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ind w:firstLine="200"/>
        <w:jc w:val="center"/>
        <w:rPr>
          <w:rFonts w:ascii="Times New Roman" w:hAnsi="Times New Roman" w:eastAsia="宋体" w:cs="Times New Roman"/>
          <w:b/>
          <w:sz w:val="44"/>
          <w:szCs w:val="20"/>
        </w:rPr>
      </w:pPr>
    </w:p>
    <w:p>
      <w:pPr>
        <w:ind w:firstLine="200"/>
        <w:jc w:val="center"/>
        <w:rPr>
          <w:rFonts w:ascii="Times New Roman" w:hAnsi="Times New Roman" w:eastAsia="宋体" w:cs="Times New Roman"/>
          <w:b/>
          <w:sz w:val="44"/>
          <w:szCs w:val="20"/>
        </w:rPr>
      </w:pPr>
    </w:p>
    <w:p>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博时基金管理有限公司</w:t>
      </w: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博时国证粮食产业指数型发起式证券投资基金</w:t>
      </w:r>
      <w:bookmarkStart w:id="40" w:name="_GoBack"/>
      <w:bookmarkEnd w:id="40"/>
      <w:r>
        <w:rPr>
          <w:rFonts w:ascii="Times New Roman" w:hAnsi="Times New Roman" w:eastAsia="宋体" w:cs="Times New Roman"/>
          <w:b/>
          <w:sz w:val="42"/>
          <w:szCs w:val="42"/>
        </w:rPr>
        <w:t>基金合同</w:t>
      </w: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基金管理人： 博时基金管理有限公司</w:t>
      </w:r>
    </w:p>
    <w:p>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基金托管人： 兴业银行股份有限公司</w:t>
      </w: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p>
    <w:p>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二零二</w:t>
      </w:r>
      <w:r>
        <w:rPr>
          <w:rFonts w:hint="eastAsia" w:ascii="Times New Roman" w:hAnsi="Times New Roman" w:eastAsia="宋体" w:cs="Times New Roman"/>
          <w:b/>
          <w:sz w:val="42"/>
          <w:szCs w:val="42"/>
          <w:lang w:val="en-US" w:eastAsia="zh-CN"/>
        </w:rPr>
        <w:t>四</w:t>
      </w:r>
      <w:r>
        <w:rPr>
          <w:rFonts w:ascii="Times New Roman" w:hAnsi="Times New Roman" w:eastAsia="宋体" w:cs="Times New Roman"/>
          <w:b/>
          <w:sz w:val="42"/>
          <w:szCs w:val="42"/>
        </w:rPr>
        <w:t>年</w:t>
      </w:r>
      <w:r>
        <w:rPr>
          <w:rFonts w:hint="eastAsia" w:ascii="Times New Roman" w:hAnsi="Times New Roman" w:eastAsia="宋体" w:cs="Times New Roman"/>
          <w:b/>
          <w:sz w:val="42"/>
          <w:szCs w:val="42"/>
          <w:lang w:val="en-US" w:eastAsia="zh-CN"/>
        </w:rPr>
        <w:t>三</w:t>
      </w:r>
      <w:r>
        <w:rPr>
          <w:rFonts w:ascii="Times New Roman" w:hAnsi="Times New Roman" w:eastAsia="宋体" w:cs="Times New Roman"/>
          <w:b/>
          <w:sz w:val="42"/>
          <w:szCs w:val="42"/>
        </w:rPr>
        <w:t>月</w:t>
      </w:r>
    </w:p>
    <w:p>
      <w:pPr>
        <w:rPr>
          <w:rFonts w:ascii="Times New Roman" w:hAnsi="Times New Roman" w:eastAsia="宋体" w:cs="Times New Roman"/>
          <w:b/>
          <w:sz w:val="44"/>
          <w:szCs w:val="20"/>
        </w:rPr>
      </w:pPr>
    </w:p>
    <w:sdt>
      <w:sdtPr>
        <w:rPr>
          <w:rFonts w:ascii="Times New Roman" w:hAnsi="Times New Roman" w:eastAsia="宋体" w:cs="Times New Roman"/>
          <w:b w:val="0"/>
          <w:bCs w:val="0"/>
          <w:color w:val="auto"/>
          <w:kern w:val="2"/>
          <w:sz w:val="21"/>
          <w:szCs w:val="22"/>
          <w:lang w:val="zh-CN"/>
        </w:rPr>
        <w:id w:val="1012728692"/>
      </w:sdtPr>
      <w:sdtEndPr>
        <w:rPr>
          <w:rFonts w:ascii="Times New Roman" w:hAnsi="Times New Roman" w:eastAsia="宋体" w:cs="Times New Roman"/>
          <w:b w:val="0"/>
          <w:bCs w:val="0"/>
          <w:color w:val="auto"/>
          <w:kern w:val="2"/>
          <w:sz w:val="21"/>
          <w:szCs w:val="22"/>
          <w:lang w:val="zh-CN"/>
        </w:rPr>
      </w:sdtEndPr>
      <w:sdtContent>
        <w:p>
          <w:pPr>
            <w:pStyle w:val="31"/>
            <w:jc w:val="center"/>
            <w:rPr>
              <w:rFonts w:ascii="Times New Roman" w:hAnsi="Times New Roman" w:eastAsia="宋体" w:cs="Times New Roman"/>
            </w:rPr>
          </w:pPr>
          <w:r>
            <w:rPr>
              <w:rFonts w:ascii="Times New Roman" w:hAnsi="Times New Roman" w:eastAsia="宋体" w:cs="Times New Roman"/>
              <w:color w:val="auto"/>
              <w:lang w:val="zh-CN"/>
            </w:rPr>
            <w:t>目录</w:t>
          </w:r>
        </w:p>
        <w:p>
          <w:pPr>
            <w:pStyle w:val="10"/>
            <w:jc w:val="both"/>
            <w:rPr>
              <w:kern w:val="2"/>
              <w:sz w:val="21"/>
            </w:rPr>
          </w:pPr>
          <w:r>
            <w:fldChar w:fldCharType="begin"/>
          </w:r>
          <w:r>
            <w:instrText xml:space="preserve"> TOC \o "1-3" \h \z \u </w:instrText>
          </w:r>
          <w:r>
            <w:fldChar w:fldCharType="separate"/>
          </w:r>
          <w:r>
            <w:fldChar w:fldCharType="begin"/>
          </w:r>
          <w:r>
            <w:instrText xml:space="preserve"> HYPERLINK \l "_Toc471235838" </w:instrText>
          </w:r>
          <w:r>
            <w:fldChar w:fldCharType="separate"/>
          </w:r>
          <w:r>
            <w:rPr>
              <w:rStyle w:val="17"/>
            </w:rPr>
            <w:t>第一部分 前言</w:t>
          </w:r>
          <w:r>
            <w:tab/>
          </w:r>
          <w:r>
            <w:t>1-</w:t>
          </w:r>
          <w:r>
            <w:fldChar w:fldCharType="begin"/>
          </w:r>
          <w:r>
            <w:instrText xml:space="preserve"> PAGEREF _Toc471235838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"_Toc471235839" </w:instrText>
          </w:r>
          <w:r>
            <w:fldChar w:fldCharType="separate"/>
          </w:r>
          <w:r>
            <w:rPr>
              <w:rStyle w:val="17"/>
            </w:rPr>
            <w:t>第二部分 释义</w:t>
          </w:r>
          <w:r>
            <w:tab/>
          </w:r>
          <w:r>
            <w:t>2-</w:t>
          </w:r>
          <w:r>
            <w:fldChar w:fldCharType="begin"/>
          </w:r>
          <w:r>
            <w:instrText xml:space="preserve"> PAGEREF _Toc471235839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"_Toc471235840" </w:instrText>
          </w:r>
          <w:r>
            <w:fldChar w:fldCharType="separate"/>
          </w:r>
          <w:r>
            <w:rPr>
              <w:rStyle w:val="17"/>
            </w:rPr>
            <w:t>第三部分 基金的基本情况</w:t>
          </w:r>
          <w:r>
            <w:tab/>
          </w:r>
          <w:r>
            <w:t>3-</w:t>
          </w:r>
          <w:r>
            <w:fldChar w:fldCharType="begin"/>
          </w:r>
          <w:r>
            <w:instrText xml:space="preserve"> PAGEREF _Toc471235840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"_Toc471235841" </w:instrText>
          </w:r>
          <w:r>
            <w:fldChar w:fldCharType="separate"/>
          </w:r>
          <w:r>
            <w:rPr>
              <w:rStyle w:val="17"/>
            </w:rPr>
            <w:t>第四部分 基金份额的发售</w:t>
          </w:r>
          <w:r>
            <w:tab/>
          </w:r>
          <w:r>
            <w:t>4-</w:t>
          </w:r>
          <w:r>
            <w:fldChar w:fldCharType="begin"/>
          </w:r>
          <w:r>
            <w:instrText xml:space="preserve"> PAGEREF _Toc471235841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"_Toc471235842" </w:instrText>
          </w:r>
          <w:r>
            <w:fldChar w:fldCharType="separate"/>
          </w:r>
          <w:r>
            <w:rPr>
              <w:rStyle w:val="17"/>
            </w:rPr>
            <w:t>第五部分 基金备案</w:t>
          </w:r>
          <w:r>
            <w:tab/>
          </w:r>
          <w:r>
            <w:t>5-</w:t>
          </w:r>
          <w:r>
            <w:fldChar w:fldCharType="begin"/>
          </w:r>
          <w:r>
            <w:instrText xml:space="preserve"> PAGEREF _Toc471235842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"_Toc471235843" </w:instrText>
          </w:r>
          <w:r>
            <w:fldChar w:fldCharType="separate"/>
          </w:r>
          <w:r>
            <w:rPr>
              <w:rStyle w:val="17"/>
            </w:rPr>
            <w:t>第六部分 基金份额的申购与赎回</w:t>
          </w:r>
          <w:r>
            <w:tab/>
          </w:r>
          <w:r>
            <w:t>6-</w:t>
          </w:r>
          <w:r>
            <w:fldChar w:fldCharType="begin"/>
          </w:r>
          <w:r>
            <w:instrText xml:space="preserve"> PAGEREF _Toc471235843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"_Toc471235844" </w:instrText>
          </w:r>
          <w:r>
            <w:fldChar w:fldCharType="separate"/>
          </w:r>
          <w:r>
            <w:rPr>
              <w:rStyle w:val="17"/>
            </w:rPr>
            <w:t>第七部分 基金合同当事人及权利义务</w:t>
          </w:r>
          <w:r>
            <w:tab/>
          </w:r>
          <w:r>
            <w:t>7-</w:t>
          </w:r>
          <w:r>
            <w:fldChar w:fldCharType="begin"/>
          </w:r>
          <w:r>
            <w:instrText xml:space="preserve"> PAGEREF _Toc471235844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"_Toc471235845" </w:instrText>
          </w:r>
          <w:r>
            <w:fldChar w:fldCharType="separate"/>
          </w:r>
          <w:r>
            <w:rPr>
              <w:rStyle w:val="17"/>
            </w:rPr>
            <w:t>第八部分 基金份额持有人大会</w:t>
          </w:r>
          <w:r>
            <w:tab/>
          </w:r>
          <w:r>
            <w:t>8-</w:t>
          </w:r>
          <w:r>
            <w:fldChar w:fldCharType="begin"/>
          </w:r>
          <w:r>
            <w:instrText xml:space="preserve"> PAGEREF _Toc471235845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"_Toc471235846" </w:instrText>
          </w:r>
          <w:r>
            <w:fldChar w:fldCharType="separate"/>
          </w:r>
          <w:r>
            <w:rPr>
              <w:rStyle w:val="17"/>
            </w:rPr>
            <w:t>第九部分 基金管理人、基金托管人的更换条件和程序</w:t>
          </w:r>
          <w:r>
            <w:tab/>
          </w:r>
          <w:r>
            <w:t>9-</w:t>
          </w:r>
          <w:r>
            <w:fldChar w:fldCharType="begin"/>
          </w:r>
          <w:r>
            <w:instrText xml:space="preserve"> PAGEREF _Toc471235846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"_Toc471235847" </w:instrText>
          </w:r>
          <w:r>
            <w:fldChar w:fldCharType="separate"/>
          </w:r>
          <w:r>
            <w:rPr>
              <w:rStyle w:val="17"/>
            </w:rPr>
            <w:t>第十部分 基金的托管</w:t>
          </w:r>
          <w:r>
            <w:tab/>
          </w:r>
          <w:r>
            <w:t>10-</w:t>
          </w:r>
          <w:r>
            <w:fldChar w:fldCharType="begin"/>
          </w:r>
          <w:r>
            <w:instrText xml:space="preserve"> PAGEREF _Toc471235847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"_Toc471235848" </w:instrText>
          </w:r>
          <w:r>
            <w:fldChar w:fldCharType="separate"/>
          </w:r>
          <w:r>
            <w:rPr>
              <w:rStyle w:val="17"/>
            </w:rPr>
            <w:t>第十一部分 基金份额的登记</w:t>
          </w:r>
          <w:r>
            <w:tab/>
          </w:r>
          <w:r>
            <w:t>11-</w:t>
          </w:r>
          <w:r>
            <w:fldChar w:fldCharType="begin"/>
          </w:r>
          <w:r>
            <w:instrText xml:space="preserve"> PAGEREF _Toc471235848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"_Toc471235849" </w:instrText>
          </w:r>
          <w:r>
            <w:fldChar w:fldCharType="separate"/>
          </w:r>
          <w:r>
            <w:rPr>
              <w:rStyle w:val="17"/>
            </w:rPr>
            <w:t>第十二部分 基金的投资</w:t>
          </w:r>
          <w:r>
            <w:tab/>
          </w:r>
          <w:r>
            <w:t>12-</w:t>
          </w:r>
          <w:r>
            <w:fldChar w:fldCharType="begin"/>
          </w:r>
          <w:r>
            <w:instrText xml:space="preserve"> PAGEREF _Toc471235849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"_Toc471235850" </w:instrText>
          </w:r>
          <w:r>
            <w:fldChar w:fldCharType="separate"/>
          </w:r>
          <w:r>
            <w:rPr>
              <w:rStyle w:val="17"/>
            </w:rPr>
            <w:t>第十三部分 基金的财产</w:t>
          </w:r>
          <w:r>
            <w:tab/>
          </w:r>
          <w:r>
            <w:t>13-</w:t>
          </w:r>
          <w:r>
            <w:fldChar w:fldCharType="begin"/>
          </w:r>
          <w:r>
            <w:instrText xml:space="preserve"> PAGEREF _Toc471235850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"_Toc471235851" </w:instrText>
          </w:r>
          <w:r>
            <w:fldChar w:fldCharType="separate"/>
          </w:r>
          <w:r>
            <w:rPr>
              <w:rStyle w:val="17"/>
            </w:rPr>
            <w:t>第十四部分 基金资产估值</w:t>
          </w:r>
          <w:r>
            <w:tab/>
          </w:r>
          <w:r>
            <w:t>14-</w:t>
          </w:r>
          <w:r>
            <w:fldChar w:fldCharType="begin"/>
          </w:r>
          <w:r>
            <w:instrText xml:space="preserve"> PAGEREF _Toc471235851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"_Toc471235852" </w:instrText>
          </w:r>
          <w:r>
            <w:fldChar w:fldCharType="separate"/>
          </w:r>
          <w:r>
            <w:rPr>
              <w:rStyle w:val="17"/>
            </w:rPr>
            <w:t>第十五部分 基金费用与税收</w:t>
          </w:r>
          <w:r>
            <w:tab/>
          </w:r>
          <w:r>
            <w:t>15-</w:t>
          </w:r>
          <w:r>
            <w:fldChar w:fldCharType="begin"/>
          </w:r>
          <w:r>
            <w:instrText xml:space="preserve"> PAGEREF _Toc471235852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"_Toc471235853" </w:instrText>
          </w:r>
          <w:r>
            <w:fldChar w:fldCharType="separate"/>
          </w:r>
          <w:r>
            <w:rPr>
              <w:rStyle w:val="17"/>
            </w:rPr>
            <w:t>第十六部分 基金的收益与分配</w:t>
          </w:r>
          <w:r>
            <w:tab/>
          </w:r>
          <w:r>
            <w:t>16-</w:t>
          </w:r>
          <w:r>
            <w:fldChar w:fldCharType="begin"/>
          </w:r>
          <w:r>
            <w:instrText xml:space="preserve"> PAGEREF _Toc471235853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"_Toc471235854" </w:instrText>
          </w:r>
          <w:r>
            <w:fldChar w:fldCharType="separate"/>
          </w:r>
          <w:r>
            <w:rPr>
              <w:rStyle w:val="17"/>
            </w:rPr>
            <w:t>第十七部分 基金的会计与审计</w:t>
          </w:r>
          <w:r>
            <w:tab/>
          </w:r>
          <w:r>
            <w:t>17-</w:t>
          </w:r>
          <w:r>
            <w:fldChar w:fldCharType="begin"/>
          </w:r>
          <w:r>
            <w:instrText xml:space="preserve"> PAGEREF _Toc471235854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"_Toc471235855" </w:instrText>
          </w:r>
          <w:r>
            <w:fldChar w:fldCharType="separate"/>
          </w:r>
          <w:r>
            <w:rPr>
              <w:rStyle w:val="17"/>
            </w:rPr>
            <w:t>第十八部分 基金的信息披露</w:t>
          </w:r>
          <w:r>
            <w:tab/>
          </w:r>
          <w:r>
            <w:t>18-</w:t>
          </w:r>
          <w:r>
            <w:fldChar w:fldCharType="begin"/>
          </w:r>
          <w:r>
            <w:instrText xml:space="preserve"> PAGEREF _Toc471235855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"_Toc471235856" </w:instrText>
          </w:r>
          <w:r>
            <w:fldChar w:fldCharType="separate"/>
          </w:r>
          <w:r>
            <w:rPr>
              <w:rStyle w:val="17"/>
            </w:rPr>
            <w:t>第十九部分 基金合同的变更、终止与基金财产的清算</w:t>
          </w:r>
          <w:r>
            <w:tab/>
          </w:r>
          <w:r>
            <w:t>19-</w:t>
          </w:r>
          <w:r>
            <w:fldChar w:fldCharType="begin"/>
          </w:r>
          <w:r>
            <w:instrText xml:space="preserve"> PAGEREF _Toc471235856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"_Toc471235857" </w:instrText>
          </w:r>
          <w:r>
            <w:fldChar w:fldCharType="separate"/>
          </w:r>
          <w:r>
            <w:rPr>
              <w:rStyle w:val="17"/>
            </w:rPr>
            <w:t>第二十部分 违约责任</w:t>
          </w:r>
          <w:r>
            <w:tab/>
          </w:r>
          <w:r>
            <w:t>20-</w:t>
          </w:r>
          <w:r>
            <w:fldChar w:fldCharType="begin"/>
          </w:r>
          <w:r>
            <w:instrText xml:space="preserve"> PAGEREF _Toc471235857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"_Toc471235858" </w:instrText>
          </w:r>
          <w:r>
            <w:fldChar w:fldCharType="separate"/>
          </w:r>
          <w:r>
            <w:rPr>
              <w:rStyle w:val="17"/>
            </w:rPr>
            <w:t>第二十一部分 争议的处理和适用的法律</w:t>
          </w:r>
          <w:r>
            <w:tab/>
          </w:r>
          <w:r>
            <w:t>21-</w:t>
          </w:r>
          <w:r>
            <w:fldChar w:fldCharType="begin"/>
          </w:r>
          <w:r>
            <w:instrText xml:space="preserve"> PAGEREF _Toc471235858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"_Toc471235859" </w:instrText>
          </w:r>
          <w:r>
            <w:fldChar w:fldCharType="separate"/>
          </w:r>
          <w:r>
            <w:rPr>
              <w:rStyle w:val="17"/>
            </w:rPr>
            <w:t>第二十二部分 基金合同的效力</w:t>
          </w:r>
          <w:r>
            <w:tab/>
          </w:r>
          <w:r>
            <w:t>22-</w:t>
          </w:r>
          <w:r>
            <w:fldChar w:fldCharType="begin"/>
          </w:r>
          <w:r>
            <w:instrText xml:space="preserve"> PAGEREF _Toc471235859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"_Toc471235860" </w:instrText>
          </w:r>
          <w:r>
            <w:fldChar w:fldCharType="separate"/>
          </w:r>
          <w:r>
            <w:rPr>
              <w:rStyle w:val="17"/>
            </w:rPr>
            <w:t>第二十三部分 其他事项</w:t>
          </w:r>
          <w:r>
            <w:tab/>
          </w:r>
          <w:r>
            <w:t>23-</w:t>
          </w:r>
          <w:r>
            <w:fldChar w:fldCharType="begin"/>
          </w:r>
          <w:r>
            <w:instrText xml:space="preserve"> PAGEREF _Toc471235860 \h </w:instrText>
          </w:r>
          <w:r>
            <w:fldChar w:fldCharType="separate"/>
          </w:r>
          <w:r>
            <w:t>1</w:t>
          </w:r>
          <w:r>
            <w:fldChar w:fldCharType="end"/>
          </w:r>
          <w:r>
            <w:fldChar w:fldCharType="end"/>
          </w:r>
        </w:p>
        <w:p>
          <w:pPr>
            <w:pStyle w:val="10"/>
            <w:jc w:val="both"/>
            <w:rPr>
              <w:kern w:val="2"/>
              <w:sz w:val="21"/>
            </w:rPr>
          </w:pPr>
          <w:r>
            <w:fldChar w:fldCharType="begin"/>
          </w:r>
          <w:r>
            <w:instrText xml:space="preserve"> HYPERLINK \l "_Toc471235861" </w:instrText>
          </w:r>
          <w:r>
            <w:fldChar w:fldCharType="separate"/>
          </w:r>
          <w:r>
            <w:rPr>
              <w:rStyle w:val="17"/>
            </w:rPr>
            <w:t>第二十四部分  基金合同的内容摘要</w:t>
          </w:r>
          <w:r>
            <w:tab/>
          </w:r>
          <w:r>
            <w:t>24-</w:t>
          </w:r>
          <w:r>
            <w:fldChar w:fldCharType="begin"/>
          </w:r>
          <w:r>
            <w:instrText xml:space="preserve"> PAGEREF _Toc471235861 \h </w:instrText>
          </w:r>
          <w:r>
            <w:fldChar w:fldCharType="separate"/>
          </w:r>
          <w:r>
            <w:t>1</w:t>
          </w:r>
          <w:r>
            <w:fldChar w:fldCharType="end"/>
          </w:r>
          <w:r>
            <w:fldChar w:fldCharType="end"/>
          </w:r>
        </w:p>
        <w:p>
          <w:pPr>
            <w:rPr>
              <w:rFonts w:ascii="Times New Roman" w:hAnsi="Times New Roman" w:eastAsia="宋体" w:cs="Times New Roman"/>
            </w:rPr>
          </w:pPr>
          <w:r>
            <w:rPr>
              <w:rFonts w:ascii="Times New Roman" w:hAnsi="Times New Roman" w:eastAsia="宋体" w:cs="Times New Roman"/>
              <w:b/>
              <w:bCs/>
              <w:lang w:val="zh-CN"/>
            </w:rPr>
            <w:fldChar w:fldCharType="end"/>
          </w:r>
        </w:p>
      </w:sdtContent>
    </w:sdt>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headerReference r:id="rId3" w:type="default"/>
          <w:pgSz w:w="11906" w:h="16838"/>
          <w:pgMar w:top="1440" w:right="1800" w:bottom="1440" w:left="1800" w:header="851" w:footer="992" w:gutter="0"/>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0" w:name="_Toc471235838"/>
      <w:r>
        <w:rPr>
          <w:rFonts w:ascii="Times New Roman" w:hAnsi="Times New Roman" w:eastAsia="宋体" w:cs="Times New Roman"/>
          <w:kern w:val="0"/>
          <w:sz w:val="30"/>
          <w:lang w:val="zh-CN"/>
        </w:rPr>
        <w:t>第一部分 前言</w:t>
      </w:r>
      <w:bookmarkEnd w:id="0"/>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一、订立本基金合同的目的、依据和原则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1、订立本基金合同的目的是保护投资人合法权益，明确基金合同当事人的权利义务，规范基金运作。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订立本基金合同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和其他有关法律法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3、订立本基金合同的原则是平等自愿、诚实信用、充分保护投资人合法权益。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的当事人包括基金管理人、基金托管人和基金份额持有人。基金管理人和基金托管人自本基金合同签订并生效之日起成为本基金合同的当事人。基金投资人自依本基金合同取得基金份额，即成为基金份额持有人和本基金合同的当事人，其持有基金份额的行为本身即表明其对基金合同的承认和接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三、博时国证粮食产业指数型发起式证券投资基金由基金管理人依照《基金法》、基金合同及其他有关规定募集，并经中国证券监督管理委员会(以下简称“中国证监会”)注册。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中国证监会对本基金募集的注册，并不表明其对本基金的投资价值、市场前景和收益做出实质性判断或保证，也不表明投资于本基金没有风险。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基金管理人依照恪尽职守、诚实信用、谨慎勤勉的原则管理和运用基金财产，但不保证投资于本基金一定盈利，也不保证最低收益。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投资者应当认真阅读基金招募说明书、基金合同、基金产品资料概要等信息披露文件，自主判断基金的投资价值，自主做出投资决策，自行承担投资风险。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四、基金管理人、基金托管人在本基金合同之外披露涉及本基金的信息，其内容涉及界定基金合同当事人之间权利义务关系的，如与基金合同有冲突，以基金合同为准。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五、本基金按照中国法律法规成立并运作，若基金合同的内容与届时有效的法律法规的强制性规定不一致，应当以届时有效的法律法规的规定为准。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本基金因特殊情况（比如流动性不足等）导致本基金无法有效复制和跟踪标的指数时，为更好地实现基金的投资目标，本基金可能会少量投资于依法发行上市的非成份股（包括主板、创业板及其他经中国证监会核准或注册上市的股票、存托凭证）、</w:t>
      </w:r>
      <w:r>
        <w:rPr>
          <w:rFonts w:ascii="Times New Roman" w:hAnsi="Times New Roman" w:eastAsia="宋体" w:cs="Times New Roman"/>
          <w:sz w:val="24"/>
          <w:szCs w:val="24"/>
        </w:rPr>
        <w:t>内地与香港股票市场交易互联互通机制下允许买卖的香港联合交易所上市股票（以下简称“</w:t>
      </w:r>
      <w:r>
        <w:rPr>
          <w:rFonts w:ascii="Times New Roman" w:hAnsi="Times New Roman" w:eastAsia="宋体" w:cs="Times New Roman"/>
          <w:kern w:val="0"/>
          <w:sz w:val="24"/>
          <w:szCs w:val="24"/>
        </w:rPr>
        <w:t>港股通标的股票”）。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能会选择将部分基金资产投资于港股通标的股票，但基金资产并非必然投资港股通标的股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八、本基金为指数基金，投资者投资于本基金面临跟踪误差控制未达约定目标、指数编制机构停止服务、成份股停牌或退市等潜在风险，具体风险详见本基金招募说明书。</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九、本基金的投资范围包括存托凭证，除与其他仅投资于境内市场股票的基金所面临的共同风险外，本基金还将面临存托凭证价格大幅波动甚至出现较大亏损的风险，以及与存托凭证发行机制相关的风险。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4"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 w:name="_Toc471235839"/>
      <w:r>
        <w:rPr>
          <w:rFonts w:ascii="Times New Roman" w:hAnsi="Times New Roman" w:eastAsia="宋体" w:cs="Times New Roman"/>
          <w:kern w:val="0"/>
          <w:sz w:val="30"/>
          <w:lang w:val="zh-CN"/>
        </w:rPr>
        <w:t>第二部分 释义</w:t>
      </w:r>
      <w:bookmarkEnd w:id="1"/>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在本基金合同中，除非文意另有所指，下列词语或简称具有如下含义：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1、基金或本基金：指博时国证粮食产业指数型发起式证券投资基金</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2、基金管理人：指博时基金管理有限公司</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3、基金托管人：指兴业银行股份有限公司</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4、基金合同或本基金合同：指《博时国证粮食产业指数型发起式证券投资基金基金合同》及对本基金合同的任何有效修订和补充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5、托管协议：指基金管理人与基金托管人就本基金签订之《博时国证粮食产业指数型发起式证券投资基金托管协议》及对该托管协议的任何有效修订和补充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6、招募说明书：指《博时国证粮食产业指数型发起式证券投资基金招募说明书》及其更新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7、基金份额发售公告：指《博时国证粮食产业指数型发起式证券投资基金基金份额发售公告》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8、基金产品资料概要：指《博时国证粮食产业指数型发起式证券投资基金基金产品资料概要》及其更新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9、法律法规：指中国现行有效并公布实施的法律、行政法规、规范性文件</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司法解释、行政规章以及其他对基金合同当事人有约束力的决定、决议、通知等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11、《销售办法》：指中国证监会2020年8月28日颁布、同年10月1日实施的《公开募集证券投资基金销售机构监督管理办法》及颁布机关对其不时做出的修订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13、《运作办法》：指中国证监会2014年7月7日颁布、同年8月8日实施的《公开募集证券投资基金运作管理办法》及颁布机关对其不时做出的修订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14、《流动性风险管理规定》：指中国证监会2017年8月31日颁布、同年10月1日实施的《公开募集开放式证券投资基金流动性风险管理规定》及颁布机关对其不时做出的修订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15、中国证监会：指中国证券监督管理委员会</w:t>
      </w:r>
    </w:p>
    <w:p>
      <w:pPr>
        <w:autoSpaceDE w:val="0"/>
        <w:autoSpaceDN w:val="0"/>
        <w:adjustRightInd w:val="0"/>
        <w:spacing w:line="360" w:lineRule="auto"/>
        <w:ind w:firstLine="480" w:firstLineChars="200"/>
        <w:rPr>
          <w:rFonts w:ascii="Times New Roman" w:hAnsi="Times New Roman" w:eastAsia="宋体" w:cs="Times New Roman"/>
          <w:kern w:val="0"/>
          <w:sz w:val="24"/>
          <w:szCs w:val="24"/>
          <w:lang w:eastAsia="zh-Hans"/>
        </w:rPr>
      </w:pPr>
      <w:r>
        <w:rPr>
          <w:rFonts w:ascii="Times New Roman" w:hAnsi="Times New Roman" w:eastAsia="宋体" w:cs="Times New Roman"/>
          <w:kern w:val="0"/>
          <w:sz w:val="24"/>
          <w:szCs w:val="24"/>
        </w:rPr>
        <w:t>16、银行业监督管理机构：指中国人民银行和/或</w:t>
      </w:r>
      <w:r>
        <w:rPr>
          <w:rFonts w:hint="eastAsia" w:ascii="Times New Roman" w:hAnsi="Times New Roman" w:eastAsia="宋体" w:cs="Times New Roman"/>
          <w:kern w:val="0"/>
          <w:sz w:val="24"/>
          <w:szCs w:val="24"/>
          <w:lang w:eastAsia="zh-Hans"/>
        </w:rPr>
        <w:t>国家金融监督管理总局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17、基金合同当事人：指受基金合同约束，根据基金合同享有权利并承担义务的法律主体，包括基金管理人、基金托管人和基金份额持有人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18、个人投资者：指依据有关法律法规规定可投资于证券投资基金的自然人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21、投资人、投资者：指个人投资者、机构投资者、合格境外投资者、发起资金提供方以及法律法规或中国证监会允许购买证券投资基金的其他投资人的合称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22、基金份额持有人：指依基金合同和招募说明书合法取得基金份额的投资人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23、基金销售业务：指基金管理人或销售机构宣传推介基金，发售基金份额，办理基金份额的申购、赎回、转换、转托管及定期定额投资等业务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24、销售机构：指博时基金管理有限公司以及符合《销售办法》和中国证监会规定的其他条件，取得基金销售业务资格并与基金管理人签订了基金销售服务协议，办理基金销售业务的机构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26、登记机构：指办理登记业务的机构。本基金的登记机构为博时基金管理有限公司</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27、基金账户：指登记机构为投资人开立的、记录其持有的、基金管理人所管理的基金份额余额及其变动情况的账户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28、基金交易账户：指销售机构为投资人开立的、记录投资人通过该销售机构办理认购、申购、赎回、转换、转托管及定期定额投资等业务而引起的基金份额变动及结余情况的账户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29、基金合同生效日：指基金募集达到法律法规规定及基金合同规定的条件，基金管理人向中国证监会办理基金备案手续完毕，并获得中国证监会书面确认的日期</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30、基金合同终止日：指基金合同规定的基金合同终止事由出现后，基金财产清算完毕，清算结果报中国证监会备案并予以公告的日期</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31、基金募集期：指自基金份额发售之日起至发售结束之日止的期间，最长不得超过3个月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32、存续期：指基金合同生效至终止之间的不定期期限</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33、工作日：指上海证券交易所、深圳证券交易所及相关期货交易所的正常交易日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34、T日：指销售机构在规定时间受理投资人申购、赎回或其他业务申请的开放日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35、T+n日：指自T日起第n个工作日（不包含T日），n为自然数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36、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37、开放时间：指开放日基金接受申购、赎回或其他交易的时间段</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38、《业务规则》：指《博时基金管理有限公司开放式基金业务规则》，是规范基金管理人所管理的开放式证券投资基金登记方面的业务规则，由基金管理人、销售机构和投资人共同遵守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39、认购：指在基金募集期内，投资人根据基金合同和招募说明书的规定，申请购买基金份额的行为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40、申购：指基金合同生效后，投资人根据基金合同和招募说明书的规定，申请购买基金份额的行为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41、赎回：指基金合同生效后，基金份额持有人按基金合同和招募说明书规定的条件，要求将基金份额兑换为现金的行为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42、基金转换：指基金份额持有人按照本基金合同和基金管理人届时有效公告规定的条件，申请将其持有基金管理人管理的、某一基金的基金份额转换为基金管理人管理的其他基金基金份额的行为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43、转托管：指基金份额持有人在本基金的不同销售机构之间实施的变更所持基金份额销售机构的操作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45、巨额赎回：指本基金单个开放日，基金净赎回申请（赎回申请份额总数加上基金转换中转出申请份额总数后扣除申购申请份额总数及基金转换中转入申请份额总数后的余额）超过上一</w:t>
      </w:r>
      <w:r>
        <w:rPr>
          <w:rFonts w:hint="eastAsia" w:ascii="Times New Roman" w:hAnsi="Times New Roman" w:eastAsia="宋体" w:cs="Times New Roman"/>
          <w:kern w:val="0"/>
          <w:sz w:val="24"/>
          <w:szCs w:val="24"/>
          <w:lang w:eastAsia="zh-Hans"/>
        </w:rPr>
        <w:t>工作</w:t>
      </w:r>
      <w:r>
        <w:rPr>
          <w:rFonts w:ascii="Times New Roman" w:hAnsi="Times New Roman" w:eastAsia="宋体" w:cs="Times New Roman"/>
          <w:kern w:val="0"/>
          <w:sz w:val="24"/>
          <w:szCs w:val="24"/>
        </w:rPr>
        <w:t>日基金总份额的10%</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46、元：指人民币元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47、基金收益：指基金投资所得红利、股息、债券利息、买卖证券价差、证券持有期间的公允价值变动、银行存款利息、已实现的其他合法收入及因运用基金财产带来的成本和费用的节约</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48、</w:t>
      </w:r>
      <w:bookmarkStart w:id="2" w:name="_Hlk38272810"/>
      <w:r>
        <w:rPr>
          <w:rFonts w:ascii="Times New Roman" w:hAnsi="Times New Roman" w:eastAsia="宋体" w:cs="Times New Roman"/>
          <w:kern w:val="0"/>
          <w:sz w:val="24"/>
          <w:szCs w:val="24"/>
        </w:rPr>
        <w:t>基金资产总值：指基金拥有的各类有价证券、银行存款本息、基金应收款项及其他资产的价值总和</w:t>
      </w:r>
      <w:bookmarkEnd w:id="2"/>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49、基金资产净值：指基金资产总值减去基金负债后的价值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50、基金份额净值：指计算日基金资产净值除以计算日基金份额总数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51、基金资产估值：指计算评估基金资产和负债的价值，以确定基金资产净值和基金份额净值的过程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53、A类基金份额：指在投资者认购、申购时收取认购、申购费用，在赎回时根据持有期限收取赎回费用，但不从本类别基金资产中计提销售服务费的基金份额类别</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54、C类基金份额：指在投资者认购、申购时不收取认购、申购费用，在赎回时根据持有期限收取赎回费用，且从本类别基金资产中计提销售服务费的基金份额类别</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55、销售服务费：指从基金财产中计提的，用于本基金市场推广、销售以及基金份额持有人服务的费用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56、港股通：指内地投资者委托内地证券公司，经由证券交易所或经中国证监会认可的机构设立的证券交易服务公司，向香港联合交易所有限公司进行申报，买卖规定范围内的香港联合交易所上市的股票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58、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59、转融通证券出借业务：指基金以一定的费率通过证券交易所综合业务平台向中国证券金融股份有限公司（以下简称证券金融公司）出借证券，证券金融公司到期归还所借证券及相应权益补偿并支付费用的业务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60、规定媒介：指符合中国证监会规定条件的用以进行信息披露的全国性报刊及《信息披露办法》规定的互联网网站（包括基金管理人网站、基金托管人网站、中国证监会基金电子披露网站）等媒介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61、中国法律：指中华人民共和国法律，就本基金合同而言，不包括香港特别行政区、澳门特别行政区和台湾地区法律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62、不可抗力：指本基金合同当事人不能预见、不能避免且不能克服的客观事件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63、《指数基金指引》：指中国证监会2021年1月22日颁布、同年2月1日实施的《公开募集证券投资基金运作指引第3号——指数基金指引》及颁布机关对其不时做出的修订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64、发起资金：指基金管理人的股东资金、基金管理人固有资金、基金管理人高级管理人员或基金经理（指基金管理人员工中依法具有基金经理资格者，包括但可能不限于本基金的基金经理，下同）等人员参与认购的资金</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65、发起资金提供方：指以发起资金认购本基金且承诺以发起资金认购的基金份额持有期限不少于3年的基金管理人股东、基金管理人、基金管理人的高级管理人员及基金经理等人员</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66、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67、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5"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3" w:name="_Toc471235840"/>
      <w:r>
        <w:rPr>
          <w:rFonts w:ascii="Times New Roman" w:hAnsi="Times New Roman" w:eastAsia="宋体" w:cs="Times New Roman"/>
          <w:kern w:val="0"/>
          <w:sz w:val="30"/>
          <w:lang w:val="zh-CN"/>
        </w:rPr>
        <w:t>第三部分 基金的基本情况</w:t>
      </w:r>
      <w:bookmarkEnd w:id="3"/>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一、基金名称</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博时国证粮食产业指数型发起式证券投资基金</w:t>
      </w:r>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二、基金的类别</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股票型证券投资基金</w:t>
      </w:r>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三、基金的运作方式</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契约型开放式</w:t>
      </w:r>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四、基金的投资目标</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紧密跟踪标的指数，追求跟踪偏离度和跟踪误差的最小化。在正常情况下，本基金力争控制投资组合的净值增长率与业绩比较基准之间的预期日均跟踪偏离度的绝对值小于0.35%，预期年化跟踪误差不超过4%。</w:t>
      </w:r>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五、标的指数</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本基金的标的指数为国证粮食产业指数</w:t>
      </w:r>
    </w:p>
    <w:p>
      <w:pPr>
        <w:spacing w:line="360" w:lineRule="auto"/>
        <w:ind w:firstLine="480" w:firstLineChars="200"/>
        <w:rPr>
          <w:rFonts w:ascii="Times New Roman" w:hAnsi="Times New Roman" w:eastAsia="宋体" w:cs="Times New Roman"/>
          <w:kern w:val="0"/>
          <w:sz w:val="24"/>
          <w:szCs w:val="24"/>
        </w:rPr>
      </w:pPr>
    </w:p>
    <w:p>
      <w:pPr>
        <w:spacing w:line="360" w:lineRule="auto"/>
        <w:ind w:left="796" w:leftChars="257" w:hanging="256"/>
        <w:rPr>
          <w:rFonts w:ascii="Times New Roman" w:hAnsi="Times New Roman" w:eastAsia="宋体" w:cs="Times New Roman"/>
          <w:bCs/>
          <w:sz w:val="24"/>
          <w:szCs w:val="20"/>
        </w:rPr>
      </w:pPr>
      <w:r>
        <w:rPr>
          <w:rFonts w:ascii="Times New Roman" w:hAnsi="Times New Roman" w:eastAsia="宋体" w:cs="Times New Roman"/>
          <w:bCs/>
          <w:sz w:val="24"/>
          <w:szCs w:val="20"/>
        </w:rPr>
        <w:t>六、基金发起资金的来源</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基金发起资金来自于基金管理人的股东资金、基金管理人固有资金、基金管理人高级管理人员或基金经理等人员参与认购的资金。</w:t>
      </w:r>
    </w:p>
    <w:p>
      <w:pPr>
        <w:spacing w:line="360" w:lineRule="auto"/>
        <w:ind w:firstLine="480" w:firstLineChars="200"/>
        <w:rPr>
          <w:rFonts w:ascii="Times New Roman" w:hAnsi="Times New Roman" w:eastAsia="宋体" w:cs="Times New Roman"/>
          <w:sz w:val="24"/>
          <w:szCs w:val="20"/>
        </w:rPr>
      </w:pPr>
    </w:p>
    <w:p>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七、发起资金的认购金额和认购份额的锁定期</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本基金为发起式基金。使用发起资金提供方资金认购基金的金额不少于1,000万元人民币（不含认购费用），且持有期限不少于3年，法律法规和监管机构另有规定的除外。</w:t>
      </w:r>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八、基金份额发售面值和认购费用</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本基金基金份额发售面值为人民币1.00元。</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本基金A类基金份额的具体认购费率按招募说明书及基金产品资料概要的规定执行。本基金C类基金份额不收取认购费。</w:t>
      </w:r>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九、基金存续期限</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不定期</w:t>
      </w:r>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bCs/>
          <w:color w:val="000000"/>
          <w:sz w:val="24"/>
          <w:szCs w:val="20"/>
        </w:rPr>
      </w:pPr>
      <w:r>
        <w:rPr>
          <w:rFonts w:ascii="Times New Roman" w:hAnsi="Times New Roman" w:eastAsia="宋体" w:cs="Times New Roman"/>
          <w:bCs/>
          <w:color w:val="000000"/>
          <w:sz w:val="24"/>
          <w:szCs w:val="20"/>
        </w:rPr>
        <w:t xml:space="preserve">十、基金份额类别设置 </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根据认购/申购费用、销售服务费收取方式的不同，将基金份额分为不同的类别。在投资者认购、申购时收取认购、申购费用，在赎回时根据持有期限收取赎回费用，但不从本类别基金资产中计提销售服务费的基金份额，称为A类基金份额；在投资者认购、申购时不收取认购、申购费用，在赎回时根据持有期限收取赎回费用，且从本类别基金资产中计提销售服务费的基金份额，称为C类基金份额。</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本基金A类基金份额和C类基金份额分别设置代码。本基金A类基金份额和C类基金份额将分别计算基金份额净值，计算公式为计算日各类别基金资产净值除以计算日发售在外的该类别基金份额总数。</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投资者可自行选择认购、申购的基金份额类别。</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p>
      <w:pPr>
        <w:spacing w:line="360" w:lineRule="auto"/>
        <w:ind w:firstLine="480" w:firstLineChars="200"/>
        <w:rPr>
          <w:rFonts w:ascii="Times New Roman" w:hAnsi="Times New Roman" w:eastAsia="宋体" w:cs="Times New Roman"/>
          <w:kern w:val="0"/>
          <w:sz w:val="24"/>
          <w:szCs w:val="24"/>
        </w:rPr>
      </w:pP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十一、未来条件许可情况下的基金模式转换</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若将来本基金管理人推出投资同一标的指数的交易型开放式指数证券投资基金（ETF），则基金管理人有权在履行适当程序后使本基金转换为该基金的联接基金，并相应修改基金合同，届时无需召开基金份额持有人大会但须报中国证监会备案并提前公告。</w:t>
      </w:r>
    </w:p>
    <w:p>
      <w:pPr>
        <w:spacing w:line="360" w:lineRule="auto"/>
        <w:ind w:firstLine="480" w:firstLineChars="200"/>
        <w:rPr>
          <w:rFonts w:ascii="Times New Roman" w:hAnsi="Times New Roman" w:eastAsia="宋体" w:cs="Times New Roman"/>
          <w:kern w:val="0"/>
          <w:sz w:val="24"/>
          <w:szCs w:val="24"/>
        </w:rPr>
        <w:sectPr>
          <w:footerReference r:id="rId6"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4" w:name="_Toc471235841"/>
      <w:r>
        <w:rPr>
          <w:rFonts w:ascii="Times New Roman" w:hAnsi="Times New Roman" w:eastAsia="宋体" w:cs="Times New Roman"/>
          <w:kern w:val="0"/>
          <w:sz w:val="30"/>
          <w:lang w:val="zh-CN"/>
        </w:rPr>
        <w:t>第四部分 基金份额的发售</w:t>
      </w:r>
      <w:bookmarkEnd w:id="4"/>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一、基金份额的发售时间、发售方式、发售对象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1、发售时间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自基金份额发售之日起最长不得超过3个月，具体发售时间见基金份额发售公告。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2、发售方式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通过各销售机构的基金销售网点公开发售，各销售机构的具体名单见基金份额发售公告以及基金管理人网站。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3、发售对象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符合法律法规规定的可投资于证券投资基金的个人投资者、机构投资者、合格境外投资者、发起资金提供方以及法律法规或中国证监会允许购买证券投资基金的其他投资人。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二、基金份额的认购</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1、认购费用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本基金A类基金份额的认购费率由基金管理人决定，并在招募说明书及基金产品资料概要中列示。基金认购费用不列入基金财产。本基金C类基金份额不收取认购费用。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2、募集期利息的处理方式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有效认购款项在募集期间产生的利息将折算为基金份额归基金份额持有人所有，其中利息转份额的具体数额以登记机构的记录为准。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3、基金认购份额的计算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基金认购份额具体的计算方法在招募说明书中列示。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4、认购份额余额的处理方式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认购份额的计算保留到小数点后2位，小数点2位以后的部分四舍五入，由此误差产生的收益或损失由基金财产承担。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5、认购申请的确认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销售机构对认购申请的受理并不代表该申请一定成功，而仅代表销售机构确实接收到认购申请。认购申请的确认以登记机构的确认结果为准。对于认购申请及认购份额的确认情况，投资者应及时查询并妥善行使合法权利，否则，由此产生的投资者任何损失由投资者自行承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三、基金份额认购金额的限制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1、投资人认购时，需按销售机构规定的方式全额缴款。</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2、基金管理人可以对每个基金交易账户的单笔最低认购金额进行限制，具体限制请参看招募说明书或相关公告。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3、基金管理人可以对募集期间的单个投资人的累计认购金额进行限制，具体限制和处理方法请参看招募说明书或相关公告。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4、投资者在募集期内可以多次认购基金份额，A类基金份额的认购费按每笔该类基金份额认购申请单独计算，但已受理的认购申请不允许撤销。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单一投资者（基金管理人、基金管理人高级管理人员或基金经理等人员作为发起资金提供方的除外）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6、本基金可设置首次募集规模上限，具体募集上限及规模控制的方案详见基金份额发售公告或其他公告。若本基金设置首次募集规模上限，基金合同生效后不受首次募集规模的限制。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四、发起资金的认购</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发起资金提供方认购金额不低于1,000万元人民币（不含认购费用），认购的基金份额持有期限自基金合同生效日起不少于三年，法律法规和监管机构另有规定的除外。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本基金发起资金的认购情况见基金管理人届时发布的公告。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7"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5" w:name="_Toc471235842"/>
      <w:r>
        <w:rPr>
          <w:rFonts w:ascii="Times New Roman" w:hAnsi="Times New Roman" w:eastAsia="宋体" w:cs="Times New Roman"/>
          <w:kern w:val="0"/>
          <w:sz w:val="30"/>
          <w:lang w:val="zh-CN"/>
        </w:rPr>
        <w:t>第五部分 基金备案</w:t>
      </w:r>
      <w:bookmarkEnd w:id="5"/>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一、基金备案的条件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自基金份额发售之日起3个月内，在发起资金提供方认购本基金的金额不少于1,000万元人民币（不含认购费用）且承诺持有期限自基金合同生效日起不少于3年的条件下，基金募集期届满或者基金管理人依据法律法规及招募说明书可以决定停止基金发售，并在10日内聘请法定验资机构验资，验资报告需对发起资金提供方及其持有份额进行专门说明。基金管理人自收到验资报告之日起10日内，向中国证监会办理基金备案手续。</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bCs/>
          <w:sz w:val="24"/>
        </w:rPr>
        <w:t>基金管理人应将基金募集期间募集的资金存入专门账户，</w:t>
      </w:r>
      <w:r>
        <w:rPr>
          <w:rFonts w:ascii="Times New Roman" w:hAnsi="Times New Roman" w:eastAsia="宋体" w:cs="Times New Roman"/>
          <w:kern w:val="0"/>
          <w:sz w:val="24"/>
          <w:szCs w:val="24"/>
        </w:rPr>
        <w:t>在基金募集行为结束前，任何人不得动用。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二、基金合同不能生效时募集资金的处理方式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如果募集期限届满，未满足基金备案条件，基金管理人应当承担下列责任：</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1、以其固有财产承担因募集行为而产生的债务和费用；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2、在基金募集期限届满后30日内返还投资者已交纳的款项，并加计银行同期活期存款利息；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3、如基金募集失败，基金管理人、基金托管人及销售机构不得请求报酬。基金管理人、基金托管人和销售机构为基金募集支付之一切费用应由各方各自承担。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三、基金存续期内的基金份额持有人数量和资产规模</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pPr>
        <w:spacing w:line="360" w:lineRule="auto"/>
        <w:ind w:firstLine="480" w:firstLineChars="200"/>
        <w:rPr>
          <w:rFonts w:ascii="Times New Roman" w:hAnsi="Times New Roman" w:eastAsia="宋体" w:cs="Times New Roman"/>
          <w:kern w:val="0"/>
          <w:sz w:val="24"/>
          <w:szCs w:val="24"/>
        </w:rPr>
        <w:sectPr>
          <w:footerReference r:id="rId8" w:type="default"/>
          <w:pgSz w:w="11906" w:h="16838"/>
          <w:pgMar w:top="1440" w:right="1800" w:bottom="1440" w:left="1800" w:header="851" w:footer="992" w:gutter="0"/>
          <w:pgNumType w:start="1"/>
          <w:cols w:space="425" w:num="1"/>
          <w:docGrid w:type="lines" w:linePitch="312" w:charSpace="0"/>
        </w:sectPr>
      </w:pPr>
      <w:r>
        <w:rPr>
          <w:rFonts w:ascii="Times New Roman" w:hAnsi="Times New Roman" w:eastAsia="宋体" w:cs="Times New Roman"/>
          <w:bCs/>
          <w:sz w:val="24"/>
          <w:szCs w:val="20"/>
        </w:rPr>
        <w:t>法律法规或中国证监会另有规定时，从其规定。</w:t>
      </w: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6" w:name="_Toc471235843"/>
      <w:r>
        <w:rPr>
          <w:rFonts w:ascii="Times New Roman" w:hAnsi="Times New Roman" w:eastAsia="宋体" w:cs="Times New Roman"/>
          <w:kern w:val="0"/>
          <w:sz w:val="30"/>
          <w:lang w:val="zh-CN"/>
        </w:rPr>
        <w:t>第六部分 基金份额的申购与赎回</w:t>
      </w:r>
      <w:bookmarkEnd w:id="6"/>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一、申购和赎回场所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与赎回。</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二、申购和赎回的开放日及时间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1、开放日及开放时间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2、申购、赎回开始日及业务办理时间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基金管理人可根据实际情况依法决定本基金开始办理申购的具体日期，具体业务办理时间在申购开始公告中规定。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基金管理人自基金合同生效之日起不超过3个月开始办理赎回，具体业务办理时间在赎回开始公告中规定。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在确定申购开始与赎回开始时间后，基金管理人应在申购、赎回开放日前依照《信息披露办法》的有关规定在规定媒介上公告申购与赎回的开始时间。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三、申购与赎回的原则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1、“未知价”原则，即申购、赎回价格以申请当日收市后计算的该类别基金份额净值为基准进行计算；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2、“金额申购、份额赎回”原则，即申购以金额申请，赎回以份额申请；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3、当日的申购与赎回申请可以在基金管理人规定的时间以内撤销；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4、赎回遵循“先进先出”原则，即按照投资人认购、申购的先后次序进行顺序赎回；</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5、办理申购、赎回业务时，应当遵循基金份额持有人利益优先原则，确保投资者的合法权益不受损害并得到公平对待。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基金管理人可在</w:t>
      </w:r>
      <w:r>
        <w:rPr>
          <w:rFonts w:hint="eastAsia" w:ascii="Times New Roman" w:hAnsi="Times New Roman" w:eastAsia="宋体" w:cs="Times New Roman"/>
          <w:kern w:val="0"/>
          <w:sz w:val="24"/>
          <w:szCs w:val="24"/>
          <w:lang w:eastAsia="zh-Hans"/>
        </w:rPr>
        <w:t>不违反</w:t>
      </w:r>
      <w:r>
        <w:rPr>
          <w:rFonts w:ascii="Times New Roman" w:hAnsi="Times New Roman" w:eastAsia="宋体" w:cs="Times New Roman"/>
          <w:kern w:val="0"/>
          <w:sz w:val="24"/>
          <w:szCs w:val="24"/>
        </w:rPr>
        <w:t>法律法规的情况下，对上述原则进行调整。基金管理人必须在新规则开始实施前依照《信息披露办法》的有关规定在规定媒介上公告。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四、申购与赎回的程序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1、申购和赎回的申请方式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投资人必须根据销售机构规定的程序，在开放日的具体业务办理时间内提出申购或赎回的申请。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2、申购和赎回的款项支付</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投资人申购基金份额时，必须全额交付申购款项，投资人全额交付申购款项，申购成立；基金份额登记机构确认基金份额时，申购生效。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sz w:val="24"/>
        </w:rPr>
        <w:t>基金份额持有人递交赎回申请，赎回成立；</w:t>
      </w:r>
      <w:r>
        <w:rPr>
          <w:rFonts w:ascii="Times New Roman" w:hAnsi="Times New Roman" w:eastAsia="宋体" w:cs="Times New Roman"/>
          <w:sz w:val="24"/>
          <w:lang w:val="zh-CN"/>
        </w:rPr>
        <w:t>基金份额</w:t>
      </w:r>
      <w:r>
        <w:rPr>
          <w:rFonts w:ascii="Times New Roman" w:hAnsi="Times New Roman" w:eastAsia="宋体" w:cs="Times New Roman"/>
          <w:kern w:val="0"/>
          <w:sz w:val="24"/>
          <w:szCs w:val="24"/>
        </w:rPr>
        <w:t>登记机构确认赎回时，赎回生效。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投资者的赎回申请生效后，基金管理人将在T＋7日（包括该日）内支付赎回款项。在发生巨额赎回或本基金合同载明的</w:t>
      </w:r>
      <w:r>
        <w:rPr>
          <w:rFonts w:hint="eastAsia" w:ascii="Times New Roman" w:hAnsi="Times New Roman" w:eastAsia="宋体" w:cs="Times New Roman"/>
          <w:kern w:val="0"/>
          <w:sz w:val="24"/>
          <w:szCs w:val="24"/>
          <w:lang w:eastAsia="zh-Hans"/>
        </w:rPr>
        <w:t>其他暂停赎回或</w:t>
      </w:r>
      <w:r>
        <w:rPr>
          <w:rFonts w:ascii="Times New Roman" w:hAnsi="Times New Roman" w:eastAsia="宋体" w:cs="Times New Roman"/>
          <w:kern w:val="0"/>
          <w:sz w:val="24"/>
          <w:szCs w:val="24"/>
        </w:rPr>
        <w:t>延缓支付赎回款项的情形时，款项的支付办法参照本基金合同有关条款处理。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遇交易所或交易市场数据传输延迟、通讯系统故障、银行数据交换系统故障、港股通交易系统故障、港股通资金交收规则限制或其他非基金管理人及基金托管人所能控制的因素影响业务处理流程，则赎回款项划付时间相应顺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3、申购和赎回申请的确认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基金销售机构受理申请并不代表该申请一定成功，而仅代表销售机构确实接收到该申请。申购和赎回申请的确认以基金登记机构的确认结果为准。对于申购、赎回申请的确认情况，投资者应及时查询。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基金管理人可以在</w:t>
      </w:r>
      <w:r>
        <w:rPr>
          <w:rFonts w:hint="eastAsia" w:ascii="Times New Roman" w:hAnsi="Times New Roman" w:eastAsia="宋体" w:cs="Times New Roman"/>
          <w:kern w:val="0"/>
          <w:sz w:val="24"/>
          <w:szCs w:val="24"/>
          <w:lang w:eastAsia="zh-Hans"/>
        </w:rPr>
        <w:t>不违反</w:t>
      </w:r>
      <w:r>
        <w:rPr>
          <w:rFonts w:ascii="Times New Roman" w:hAnsi="Times New Roman" w:eastAsia="宋体" w:cs="Times New Roman"/>
          <w:kern w:val="0"/>
          <w:sz w:val="24"/>
          <w:szCs w:val="24"/>
        </w:rPr>
        <w:t>法律法规和基金合同的范围内，对上述业务办理时间进行调整，并在调整实施前依照《信息披露办法》的有关规定在规定媒介上公告。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五、申购和赎回的数量限制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1、基金管理人可以规定投资人首次申购和每次申购的最低金额以及每次赎回的最低份额，具体规定请参见招募说明书或相关公告。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2、基金管理人可以规定投资人每个基金交易账户的最低基金份额余额，具体规定请参见招募说明书或相关公告。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3、基金管理人可以规定单个投资人累计持有的基金份额上限，具体规定请参见招募说明书或相关公告。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5、基金管理人可在</w:t>
      </w:r>
      <w:r>
        <w:rPr>
          <w:rFonts w:hint="eastAsia" w:ascii="Times New Roman" w:hAnsi="Times New Roman" w:eastAsia="宋体" w:cs="Times New Roman"/>
          <w:kern w:val="0"/>
          <w:sz w:val="24"/>
          <w:szCs w:val="24"/>
          <w:lang w:eastAsia="zh-Hans"/>
        </w:rPr>
        <w:t>不违反</w:t>
      </w:r>
      <w:r>
        <w:rPr>
          <w:rFonts w:ascii="Times New Roman" w:hAnsi="Times New Roman" w:eastAsia="宋体" w:cs="Times New Roman"/>
          <w:kern w:val="0"/>
          <w:sz w:val="24"/>
          <w:szCs w:val="24"/>
        </w:rPr>
        <w:t>法律法规的情况下，调整上述规定申购金额和赎回份额等数量限制。基金管理人必须在调整实施前依照《信息披露办法》的有关规定在规定媒介上公告。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六、申购和赎回的价格、费用及其用途</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本基金各类基金份额净值的计算，均保留到小数点后4位，小数点后第5位四舍五入，由此产生的收益或损失由基金财产承担。T日的各类基金份额净值在当天收市后计算，并按基金合同的约定进行公告。遇特殊情况，经履行适当程序，可以适当延迟计算或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申购份额的计算及余额的处理方式：本基金申购份额的计算详见《招募说明书》。本基金A类基金份额的申购费率由基金管理人决定，并在招募说明书及基金产品资料概要中列示。申购的有效份额为净申购金额除以当日该类基金份额的基金份额净值，有效份额单位为份，上述计算结果均按四舍五入方法，保留到小数点后2位，由此产生的收益或损失由基金财产承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赎回金额的计算及处理方式：本基金赎回金额的计算详见《招募说明书》。本基金的赎回费率由基金管理人决定，并在招募说明书及基金产品资料概要中列示。赎回金额为按实际确认的有效赎回份额乘以当日该类基金份额的基金份额净值并扣除相应的费用，赎回金额单位为元。上述计算结果均按四舍五入方法，保留到小数点后2位，由此产生的收益或损失由基金财产承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4、本基金A类基金份额的申购费用由申购A类基金份额的投资人承担，不列入基金财产；C类基金份额不收取申购费用。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5、赎回费用由赎回基金份额的基金份额持有人承担，在基金份额持有人赎回基金份额时收取。赎回费用归入基金财产的比例依</w:t>
      </w:r>
      <w:r>
        <w:rPr>
          <w:rFonts w:ascii="Times New Roman" w:hAnsi="Times New Roman" w:eastAsia="宋体" w:cs="Times New Roman"/>
          <w:sz w:val="24"/>
        </w:rPr>
        <w:t>照相关法律法规设定，具体</w:t>
      </w:r>
      <w:r>
        <w:rPr>
          <w:rFonts w:ascii="Times New Roman" w:hAnsi="Times New Roman" w:eastAsia="宋体" w:cs="Times New Roman"/>
          <w:kern w:val="0"/>
          <w:sz w:val="24"/>
        </w:rPr>
        <w:t>见招募说明书</w:t>
      </w:r>
      <w:r>
        <w:rPr>
          <w:rFonts w:ascii="Times New Roman" w:hAnsi="Times New Roman" w:eastAsia="宋体" w:cs="Times New Roman"/>
          <w:sz w:val="24"/>
        </w:rPr>
        <w:t>的规定</w:t>
      </w:r>
      <w:r>
        <w:rPr>
          <w:rFonts w:ascii="Times New Roman" w:hAnsi="Times New Roman" w:eastAsia="宋体" w:cs="Times New Roman"/>
          <w:kern w:val="0"/>
          <w:sz w:val="24"/>
          <w:szCs w:val="24"/>
        </w:rPr>
        <w:t>，未归入基金财产的部分用于支付登记费和其他必要的手续费。其中，对持续持有期少于7日的投资者收取不低于1.5%的赎回费，并全额计入基金财产。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本基金A类基金份额的申购费率、A类基金份额和C类基金份额的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规定媒介上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七、拒绝或暂停申购的情形</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发生下列情况时，基金管理人可拒绝或暂停接受投资人的申购申请：</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1、因不可抗力导致基金无法正常运作。</w:t>
      </w:r>
    </w:p>
    <w:p>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2、发生基金合同规定的暂停基金资产估值情况时。</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3、证券、期货交易所或外汇市场交易时间非正常停市，导致基金管理人无法计算当日基金资产净值。</w:t>
      </w:r>
    </w:p>
    <w:p>
      <w:pPr>
        <w:spacing w:line="360" w:lineRule="auto"/>
        <w:ind w:firstLine="480" w:firstLineChars="200"/>
        <w:rPr>
          <w:rFonts w:ascii="Times New Roman" w:hAnsi="Times New Roman" w:eastAsia="宋体" w:cs="Times New Roman"/>
          <w:bCs/>
          <w:sz w:val="24"/>
          <w:szCs w:val="24"/>
        </w:rPr>
      </w:pPr>
      <w:bookmarkStart w:id="7" w:name="_Hlt70481650"/>
      <w:bookmarkEnd w:id="7"/>
      <w:r>
        <w:rPr>
          <w:rFonts w:ascii="Times New Roman" w:hAnsi="Times New Roman" w:eastAsia="宋体" w:cs="Times New Roman"/>
          <w:bCs/>
          <w:sz w:val="24"/>
          <w:szCs w:val="24"/>
        </w:rPr>
        <w:t>4、基金管理人接受某笔或某些申购申请可能会影响或损害现有基金份额持有人利益或对存量基金份额持有人利益构成潜在重大不利影响时。</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5、基金资产规模过大，使基金管理人无法找到合适的投资品种，或其他可能对基金业绩产生负面影响，或发生其他损害现有基金份额持有人利益的情形。</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6、基金管理人、基金托管人、销售机构或登记机构的技术故障等异常情况导致基金销售系统、基金注册登记系统或基金会计系统无法正常运行。</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7、当特定资产占前一估值日基金资产净值50%以上的，经与基金托管人协商确认后，基金管理人应当暂停接受基金申购申请。</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8、基金管理人接受某笔或者某些申购申请有可能导致单一投资者持有基金份额的比例达到或者超过50%，或者变相规避50%集中度的情形时。</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9、港股通的业务规则发生重大变化时。</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10、法律法规规定或中国证监会认定的其他情形。</w:t>
      </w:r>
    </w:p>
    <w:p>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bCs/>
          <w:sz w:val="24"/>
          <w:szCs w:val="24"/>
        </w:rPr>
        <w:t>发生上述第1、2、3、5、6、7、9、10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八、暂停赎回或延缓支付赎回款项的情形</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发生下列情形时，基金管理人可暂停接受投资人的赎回申请或延缓支付赎回款项：</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1、因不可抗力导致基金管理人不能支付赎回款项。</w:t>
      </w:r>
    </w:p>
    <w:p>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2、发生基金合同规定的暂停基金资产估值情况时。</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3、证券、期货交易所或外汇市场交易时间非正常停市，导致基金管理人无法计算当日基金资产</w:t>
      </w:r>
      <w:bookmarkStart w:id="8" w:name="_Hlt152500890"/>
      <w:r>
        <w:rPr>
          <w:rFonts w:ascii="Times New Roman" w:hAnsi="Times New Roman" w:eastAsia="宋体" w:cs="Times New Roman"/>
          <w:bCs/>
          <w:sz w:val="24"/>
          <w:szCs w:val="24"/>
        </w:rPr>
        <w:t>净值。</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4、连续两个或两个以上开放日发生巨额赎回。</w:t>
      </w:r>
    </w:p>
    <w:bookmarkEnd w:id="8"/>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5、发生继续接受赎回申请将损害现有基金份额持有人利益的情形时，基金管理人可暂停接受基金份额持有人的赎回申请。</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6、当特定资产占前一估值日基金资产净值50%以上的，经与基金托管人协商确认后，基金管理人应当延缓支付赎回款项或暂停接受基金赎回申请。</w:t>
      </w:r>
    </w:p>
    <w:p>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7、法律法规规定或中国证监会认定的其他情形。</w:t>
      </w:r>
    </w:p>
    <w:p>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bCs/>
          <w:sz w:val="24"/>
          <w:szCs w:val="24"/>
        </w:rPr>
        <w:t>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九、巨额赎回的情形及处理方式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1、巨额赎回的认定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若本基金单个开放日内的基金份额净赎回申请（赎回申请份额总数加上基金转换中转出申请份额总数后扣除申购申请份额总数及基金转换中转入申请份额总数后的余额）超过前一</w:t>
      </w:r>
      <w:r>
        <w:rPr>
          <w:rFonts w:hint="eastAsia" w:ascii="Times New Roman" w:hAnsi="Times New Roman" w:eastAsia="宋体" w:cs="Times New Roman"/>
          <w:kern w:val="0"/>
          <w:sz w:val="24"/>
          <w:szCs w:val="24"/>
        </w:rPr>
        <w:t>工作</w:t>
      </w:r>
      <w:r>
        <w:rPr>
          <w:rFonts w:ascii="Times New Roman" w:hAnsi="Times New Roman" w:eastAsia="宋体" w:cs="Times New Roman"/>
          <w:kern w:val="0"/>
          <w:sz w:val="24"/>
          <w:szCs w:val="24"/>
        </w:rPr>
        <w:t>日的基金总份额的10%，即认为是发生了巨额赎回。</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2、巨额赎回的处理方式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当基金出现巨额赎回时，基金管理人可以根据基金当时的资产组合状况决定全额赎回、部分延期赎回或暂停赎回。</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（1）全额赎回：当基金管理人认为有能力支付投资人的全部赎回申请时，按正常赎回程序执行。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（2）部分延期赎回：当基金管理人认为支付投资人的赎回申请有困难或认为因支付投资人的赎回申请而进行的财产变现可能会对基金资产净值造成较大波动时，基金管理人在当日接受赎回比例不低于上一</w:t>
      </w:r>
      <w:r>
        <w:rPr>
          <w:rFonts w:hint="eastAsia" w:ascii="Times New Roman" w:hAnsi="Times New Roman" w:eastAsia="宋体" w:cs="Times New Roman"/>
          <w:kern w:val="0"/>
          <w:sz w:val="24"/>
          <w:szCs w:val="24"/>
          <w:lang w:eastAsia="zh-Hans"/>
        </w:rPr>
        <w:t>工作</w:t>
      </w:r>
      <w:r>
        <w:rPr>
          <w:rFonts w:ascii="Times New Roman" w:hAnsi="Times New Roman" w:eastAsia="宋体" w:cs="Times New Roman"/>
          <w:kern w:val="0"/>
          <w:sz w:val="24"/>
          <w:szCs w:val="24"/>
        </w:rPr>
        <w:t>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（3）本基金发生巨额赎回时，对于单个基金份额持有人当日赎回申请超过上一</w:t>
      </w:r>
      <w:r>
        <w:rPr>
          <w:rFonts w:hint="eastAsia" w:ascii="Times New Roman" w:hAnsi="Times New Roman" w:eastAsia="宋体" w:cs="Times New Roman"/>
          <w:kern w:val="0"/>
          <w:sz w:val="24"/>
          <w:szCs w:val="24"/>
          <w:lang w:eastAsia="zh-Hans"/>
        </w:rPr>
        <w:t>工作</w:t>
      </w:r>
      <w:r>
        <w:rPr>
          <w:rFonts w:ascii="Times New Roman" w:hAnsi="Times New Roman" w:eastAsia="宋体" w:cs="Times New Roman"/>
          <w:kern w:val="0"/>
          <w:sz w:val="24"/>
          <w:szCs w:val="24"/>
        </w:rPr>
        <w:t>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w:t>
      </w:r>
      <w:r>
        <w:rPr>
          <w:rFonts w:hint="eastAsia" w:ascii="Times New Roman" w:hAnsi="Times New Roman" w:eastAsia="宋体" w:cs="Times New Roman"/>
          <w:kern w:val="0"/>
          <w:sz w:val="24"/>
          <w:szCs w:val="24"/>
          <w:lang w:eastAsia="zh-Hans"/>
        </w:rPr>
        <w:t>工作</w:t>
      </w:r>
      <w:r>
        <w:rPr>
          <w:rFonts w:ascii="Times New Roman" w:hAnsi="Times New Roman" w:eastAsia="宋体" w:cs="Times New Roman"/>
          <w:kern w:val="0"/>
          <w:sz w:val="24"/>
          <w:szCs w:val="24"/>
        </w:rPr>
        <w:t>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暂停赎回：连续2个开放日以上（含2个开放日）发生巨额赎回，如基金管理人认为有必要，可暂停接受基金的赎回申请；已经接受的赎回申请可以延缓支付赎回款项，但不得超过20个工作日，并应当在规定媒介上进行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3、巨额赎回的公告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当发生上述巨额赎回并延期办理时，基金管理人应当通过邮寄、传真或者招募说明书规定的其他方式在3个交易日内通知基金份额持有人，说明有关处理方法，并在2日内在规定媒介上刊登公告。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十、暂停申购或赎回的公告和重新开放申购或赎回的公告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1、发生上述暂停申购或赎回情况的，基金管理人应在规定期限内在规定媒介上刊登暂停公告。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3、上述暂停申购或赎回情况消除的，基金管理人应于重新开放日公布最近1个开放日各类基金份额净值。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十一、基金转换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十二、基金份额的转让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十三、基金的非交易过户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十四、基金的转托管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基金份额持有人可办理已持有基金份额在不同销售机构之间的转托管，基金销售机构可以按照规定的标准收取转托管费。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十五、定期定额投资计划</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十六、基金份额的冻结、解冻与质押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对基金份额持有人无实质不利影响的前提下，如相关法律法规允许，基金管理人履行相关程序后可办理基金份额的质押业务或其他基金业务，基金管理人将制定和实施相应的业务规则。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十七、实施侧袋机制期间本基金的申购与赎回</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本基金实施侧袋机制的，本基金的申购和赎回安排详见招募说明书或相关公告。</w:t>
      </w:r>
    </w:p>
    <w:p>
      <w:pPr>
        <w:widowControl/>
        <w:ind w:firstLine="200"/>
        <w:rPr>
          <w:rFonts w:ascii="Times New Roman" w:hAnsi="Times New Roman" w:eastAsia="宋体" w:cs="Times New Roman"/>
          <w:kern w:val="0"/>
          <w:sz w:val="24"/>
          <w:szCs w:val="24"/>
        </w:rPr>
        <w:sectPr>
          <w:footerReference r:id="rId9"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9" w:name="_Toc471235844"/>
      <w:r>
        <w:rPr>
          <w:rFonts w:ascii="Times New Roman" w:hAnsi="Times New Roman" w:eastAsia="宋体" w:cs="Times New Roman"/>
          <w:kern w:val="0"/>
          <w:sz w:val="30"/>
          <w:lang w:val="zh-CN"/>
        </w:rPr>
        <w:t>第七部分 基金合同当事人及权利义务</w:t>
      </w:r>
      <w:bookmarkEnd w:id="9"/>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一、基金管理人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基金管理人简况</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名称：博时基金管理有限公司</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住所：深圳市福田区莲花街道福新社区益田路5999号基金大厦21层</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法定代表人：江向阳</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设立日期： 1998年7月13日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批准设立机关及批准设立文号：中国证监会证监基字【1998】26号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组织形式：有限责任公司</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注册资本： 2.5亿元人民币</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存续期限： 持续经营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基金管理人的权利与义务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1、根据《基金法》、《运作办法》及其他有关规定，基金管理人的权利包括但不限于：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（1）依法募集资金；</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（2）自《基金合同》生效之日起，根据法律法规和《基金合同》独立运用并管理基金财产；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（3）依照《基金合同》收取基金管理费以及法律法规规定或中国证监会批准的其他费用；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（4）销售基金份额；</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（5）按照规定召集基金份额持有人大会；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（7）在基金托管人更换时，提名新的基金托管人；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（8）选择、更换基金销售机构，对基金销售机构的相关行为进行监督和处理；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（9）担任或委托其他符合条件的机构担任基金登记机构办理基金登记业务并获得《基金合同》规定的费用；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（10）依据《基金合同》及有关法律规定决定基金收益的分配方案；</w:t>
      </w:r>
      <w:r>
        <w:rPr>
          <w:rFonts w:ascii="Times New Roman" w:hAnsi="Times New Roman" w:eastAsia="宋体" w:cs="Times New Roman"/>
          <w:kern w:val="0"/>
          <w:sz w:val="24"/>
          <w:szCs w:val="24"/>
        </w:rPr>
        <w:tab/>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（11）在《基金合同》约定的范围内，拒绝或暂停受理申购、赎回与转换申请；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（12）依照法律法规为基金的利益对被投资公司行使股东权利，为基金的利益行使因基金财产投资于证券所产生的权利；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（13）在法律法规允许的前提下，为基金的利益依法为基金进行融资及转融通证券出借业务；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（14）以基金管理人的名义，代表基金份额持有人的利益行使诉讼权利或者实施其他法律行为；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（15）选择、更换律师事务所、会计师事务所、证券、期货经纪商或其他为基金提供服务的外部机构；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（16）在符合有关法律、法规的前提下，制订和调整有关基金认购、申购、赎回、转换、定期定额投资和非交易过户等业务规则；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（17）法律法规及中国证监会规定的和《基金合同》约定的其他权利。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2、根据《基金法》、《运作办法》及其他有关规定，基金管理人的义务包括但不限于：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（1）依法募集资金，办理或者委托经中国证监会认定的其他机构代为办理基金份额的发售、申购、赎回和登记事宜；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（2）办理基金备案手续；</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（3）自《基金合同》生效之日起，以诚实信用、谨慎勤勉的原则管理和运用基金财产；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（4）配备足够的具有专业资格的人员进行基金投资分析、决策，以专业化的经营方式管理和运作基金财产；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（6）除依据《基金法》、《基金合同》及其他有关规定外，不得利用基金财产为自己及任何第三人谋取利益，不得委托第三人运作基金财产；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（7）依法接受基金托管人的监督；</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（9）进行基金会计核算并编制基金财务会计报告；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（10）编制季度报告、中期报告和年度报告；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（11）严格按照《基金法》、《基金合同》及其他有关规定，履行信息披露及报告义务；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（13）按《基金合同》的约定确定基金收益分配方案，及时向基金份额持有人分配基金收益；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（14）按规定受理申购与赎回申请，及时、足额支付赎回款项；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（15）依据《基金法》、《基金合同》及其他有关规定召集基金份额持有人大会或配合基金托管人、基金份额持有人依法召集基金份额持有人大会；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（16）按规定保存基金财产管理业务活动的会计账册、报表、记录和其他相关资料，保存期限不低于法律法规规定的最低期限；</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（18）组织并参加基金财产清算小组，参与基金财产的保管、清理、估价、变现和分配；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（19）面临解散、依法被撤销或者被依法宣告破产时，及时报告中国证监会并通知基金托管人；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（20）因违反《基金合同》导致基金财产的损失或损害基金份额持有人合法权益时，应当承担赔偿责任，其赔偿责任不因其退任而免除；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（22）当基金管理人将其义务委托第三方处理时，应当对第三方处理有关基金事务的行为承担责任；</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（23）以基金管理人名义，代表基金份额持有人利益行使诉讼权利或实施其他法律行为；</w:t>
      </w:r>
      <w:r>
        <w:rPr>
          <w:rFonts w:ascii="Times New Roman" w:hAnsi="Times New Roman" w:eastAsia="宋体" w:cs="Times New Roman"/>
          <w:kern w:val="0"/>
          <w:sz w:val="24"/>
          <w:szCs w:val="24"/>
        </w:rPr>
        <w:tab/>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（24）基金在募集期间未能达到基金的备案条件，《基金合同》不能生效，基金管理人承担全部募集费用，将已募集资金并加计银行同期活期存款利息在基金募集期结束后30日内退还基金认购人；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（25）执行生效的基金份额持有人大会的决议；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（26）建立并保存基金份额持有人名册；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（27）法律法规及中国证监会规定的和《基金合同》约定的其他义务。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基金托管人简况</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名称：兴业银行股份有限公司</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 xml:space="preserve">注册地址：福建省福州市台江区江滨中大道398号兴业银行大厦 </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办公地址：上海市银城路167号</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邮政编码：200120</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法定代表人：吕家进</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成立日期：1988年8月22日</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批准设立机关和批准设立文号：中国人民银行总行，银复[1988]347号</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基金托管业务批准文号：中国证监会证监基金字[2005]74号</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组织形式：股份有限公司</w:t>
      </w:r>
    </w:p>
    <w:p>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注册资本：207.74亿元人民币</w:t>
      </w:r>
    </w:p>
    <w:p>
      <w:pPr>
        <w:pStyle w:val="12"/>
        <w:widowControl/>
        <w:shd w:val="clear" w:color="auto" w:fill="FFFFFF"/>
        <w:autoSpaceDE w:val="0"/>
        <w:autoSpaceDN w:val="0"/>
        <w:adjustRightInd w:val="0"/>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存续期间：持续经营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基金托管人的权利与义务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1、根据《基金法》、《运作办法》及其他有关规定，基金托管人的权利包括但不限于：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（1）自《基金合同》生效之日起，依法律法规和《基金合同》的规定安全保管基金财产；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（2）依《基金合同》约定获得基金托管费以及法律法规规定或监管部门批准的其他费用；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（4）根据相关市场规则，为基金开设托管账户、证券账户等投资所需账户，为基金办理证券、期货交易资金清算；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（5）提议召开或召集基金份额持有人大会；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（6）在基金管理人更换时，提名新的基金管理人；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（7）法律法规及中国证监会规定的和《基金合同》约定的其他权利。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2、根据《基金法》、《运作办法》及其他有关规定，基金托管人的义务包括但不限于：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（1）以诚实信用、勤勉尽责的原则持有并安全保管基金财产；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（2）设立专门的基金托管部门，具有符合要求的营业场所，配备足够的、合格的熟悉基金托管业务的专职人员，负责基金财产托管事宜；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（4）除依据《基金法》、《基金合同》及其他有关规定外，不得利用基金财产为自己及任何第三人谋取利益，不得委托第三人托管基金财产；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（5）保管由基金管理人代表基金签订的与基金有关的重大合同及有关凭证；</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（6）按规定开设基金财产的托管账户和证券账户等投资所需账户，按照《基金合同》的约定，根据基金管理人的投资指令，及时办理清算、交割事宜；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（8）复核、审查基金管理人计算的基金资产净值、各类基金份额净值、基金份额申购、赎回价格；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（9）办理与基金托管业务活动有关的信息披露事项；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（11）保存基金托管业务活动的记录、账册、报表和其他相关资料不低于法律法规规定的最低期限；</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（12）保存基金份额持有人名册；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（13）按规定制作相关账册并与基金管理人核对；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（14）依据基金管理人的指令或有关规定向基金份额持有人支付基金收益和赎回款项；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（15）依据《基金法》、《基金合同》及其他有关规定，召集基金份额持有人大会或配合基金管理人、基金份额持有人依法召集基金份额持有人大会；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（16）按照法律法规和《基金合同》的规定监督基金管理人的投资运作；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（17）参加基金财产清算小组，参与基金财产的保管、清理、估价、变现和分配；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（18）面临解散、依法被撤销或者被依法宣告破产时，及时报告中国证监会和银行业监督管理机构，并通知基金管理人；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（19）因违反《基金合同》导致基金财产损失时，应承担赔偿责任，其赔偿责任不因其退任而免除；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（21）执行生效的基金份额持有人大会的决议；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（22）法律法规及中国证监会规定的和《基金合同》约定的其他义务。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三、基金份额持有人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除法律法规另有规定或本基金合同另有约定外，同一类别每份基金份额具有同等的合法权益。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1、根据《基金法》、《运作办法》及其他有关规定，基金份额持有人的权利包括但不限于：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（1）分享基金财产收益；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（2）参与分配清算后的剩余基金财产；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（3）依法转让或者申请赎回其持有的基金份额；</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（4）按照规定要求召开基金份额持有人大会或者召集基金份额持有人大会；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（5）出席或者委派代表出席基金份额持有人大会，对基金份额持有人大会审议事项行使表决权；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（6）查阅或者复制公开披露的基金信息资料；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（7）监督基金管理人的投资运作；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（8）对基金管理人、基金托管人、基金服务机构损害其合法权益的行为依法提起诉讼或仲裁；</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（9）法律法规及中国证监会规定的和《基金合同》约定的其他权利。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2、根据《基金法》、《运作办法》及其他有关规定，基金份额持有人的义务包括但不限于：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（1）认真阅读并遵守《基金合同》、招募说明书等信息披露文件；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（2）了解所投资基金产品，了解自身风险承受能力，自主判断基金的投资价值，自主做出投资决策，自行承担投资风险；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（3）关注基金信息披露，及时行使权利和履行义务；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（4）交纳基金认购、申购款项及法律法规和《基金合同》所规定的费用；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（5）在其持有的基金份额范围内，承担基金亏损或者《基金合同》终止的有限责任；</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（6）不从事任何有损基金及其他《基金合同》当事人合法权益的活动；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（7）执行生效的基金份额持有人大会的决议；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（8）返还在基金交易过程中因任何原因获得的不当得利；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（9）发起资金提供方持有认购的基金份额不少于3年，法律法规或监管机构另有规定的除外；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（10）法律法规及中国证监会规定的和《基金合同》约定的其他义务。</w:t>
      </w:r>
    </w:p>
    <w:p>
      <w:pPr>
        <w:widowControl/>
        <w:ind w:firstLine="200"/>
        <w:rPr>
          <w:rFonts w:ascii="Times New Roman" w:hAnsi="Times New Roman" w:eastAsia="宋体" w:cs="Times New Roman"/>
          <w:kern w:val="0"/>
          <w:sz w:val="24"/>
          <w:szCs w:val="24"/>
        </w:rPr>
        <w:sectPr>
          <w:footerReference r:id="rId10"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0" w:name="_Toc471235845"/>
      <w:r>
        <w:rPr>
          <w:rFonts w:ascii="Times New Roman" w:hAnsi="Times New Roman" w:eastAsia="宋体" w:cs="Times New Roman"/>
          <w:kern w:val="0"/>
          <w:sz w:val="30"/>
          <w:lang w:val="zh-CN"/>
        </w:rPr>
        <w:t>第八部分 基金份额持有人大会</w:t>
      </w:r>
      <w:bookmarkEnd w:id="10"/>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本基金份额持有人大会不设日常机构。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一、召开事由</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1、除法律法规和中国证监会另有规定或《基金合同》另有约定外，当出现或需要决定下列事由之一的，应当召开基金份额持有人大会：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（1）终止《基金合同》；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（2）更换基金管理人；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（3）更换基金托管人；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（4）转换基金运作方式；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（5）调整基金管理人、基金托管人的报酬标准或提高销售服务费率；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（6）变更基金类别；</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（7）本基金与其他基金的合并；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（8）变更基金投资目标、范围或策略；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（9）变更基金份额持有人大会程序；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（10）基金管理人或基金托管人要求召开基金份额持有人大会；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（12）对基金合同当事人权利和义务产生重大影响的其他事项；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（13）法律法规、《基金合同》或中国证监会规定的其他应当召开基金份额持有人大会的事项。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（1）法律法规要求增加的基金费用的收取；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（2）调整本基金的申购费率、调低赎回费率、调低销售服务费率或变更收费方式，调整基金份额类别设置、对基金份额分类办法及规则进行调整；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（3）因相应的法律法规发生变动而应当对《基金合同》进行修改；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（4）对《基金合同》的修改对基金份额持有人利益无实质性不利影响或修改不涉及《基金合同》当事人权利义务关系发生重大变化；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（5）基金管理人、登记机构、基金销售机构调整有关申购、赎回、转换、基金交易、非交易过户、转托管等业务规则；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（6）履行相关程序后，基金推出新业务或服务；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（7）按照法律法规和《基金合同》规定不需召开基金份额持有人大会的其他情形。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二、会议召集人及召集方式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1、除法律法规规定或《基金合同》另有约定外，基金份额持有人大会由基金管理人召集。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2、基金管理人未按规定召集或不能召集时，由基金托管人召集。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6、基金份额持有人会议的召集人负责选择确定开会时间、地点、方式和权益登记日。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三、召开基金份额持有人大会的通知时间、通知内容、通知方式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1、召开基金份额持有人大会，召集人应于会议召开前30日，在规定媒介公告。基金份额持有人大会通知应至少载明以下内容：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（1）会议召开的时间、地点和会议形式；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（2）会议拟审议的事项、议事程序和表决方式；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（3）有权出席基金份额持有人大会的基金份额持有人的权益登记日；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（4）授权委托证明的内容要求（包括但不限于代理人身份，代理权限和代理有效期限等）、送达时间和地点；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（5）会务常设联系人姓名及联系电话；</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（6）出席会议者必须准备的文件和必须履行的手续；</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（7）召集人需要通知的其他事项。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四、基金份额持有人出席会议的方式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基金份额持有人大会可通过现场开会方式、通讯开会方式或法律法规、监管机构允许的其他方式召开，会议的召开方式由会议召集人确定。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在同时符合以下条件时，通讯开会的方式视为有效：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（1）会议召集人按《基金合同》约定公布会议通知后，在2个工作日内连续公布相关提示性公告；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五、议事内容与程序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1、议事内容及提案权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基金份额持有人大会的召集人发出召集会议的通知后，对原有提案的修改应当在基金份额持有人大会召开前及时公告。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基金份额持有人大会不得对未事先公告的议事内容进行表决。</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2、议事程序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（1）现场开会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（2）通讯开会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六、表决</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基金份额持有人所持每份基金份额有一票表决权。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基金份额持有人大会决议分为一般决议和特别决议：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基金份额持有人大会采取记名方式进行投票表决。</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基金份额持有人大会的各项提案或同一项提案内并列的各项议题应当分开审议、逐项表决。</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七、计票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1、现场开会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（2）监票人应当在基金份额持有人表决后立即进行清点并由大会主持人当场公布计票结果。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（4）计票过程应由公证机关予以公证，基金管理人或基金托管人拒不出席大会的，不影响计票的效力。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2、通讯开会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八、生效与公告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基金份额持有人大会的决议，召集人应当自通过之日起5日内报中国证监会备案。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基金份额持有人大会的决议自表决通过之日起生效。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基金份额持有人大会决议自生效之日起按规定在规定媒介上公告。如果采用通讯方式进行表决，在公告基金份额持有人大会决议时，必须将公证书全文、公证机构、公证员姓名等一同公告。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九、实施侧袋机制期间基金份额持有人大会的特殊约定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1、基金份额持有人行使提议权、召集权、提名权所需单独或合计代表相关基金份额10%以上（含10%）；</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2、现场开会的到会者在权益登记日代表的基金份额不少于本基金在权益登记日相关基金份额的二分之一（含二分之一）；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5、现场开会由出席大会的基金份额持有人和代理人所持表决权的50%以上（含50%）选举产生一名基金份额持有人作为该次基金份额持有人大会的主持人；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6、一般决议须经参加大会的基金份额持有人或其代理人所持表决权的二分之一以上（含二分之一）通过；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7、特别决议应当经参加大会的基金份额持有人或其代理人所持表决权的三分之二以上（含三分之二）通过。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侧袋机制实施期间，关于基金份额持有人大会的相关规定以本节特殊约定内容为准，本节没有规定的适用上文相关约定。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1" w:name="_Toc471235846"/>
      <w:r>
        <w:rPr>
          <w:rFonts w:ascii="Times New Roman" w:hAnsi="Times New Roman" w:eastAsia="宋体" w:cs="Times New Roman"/>
          <w:kern w:val="0"/>
          <w:sz w:val="30"/>
          <w:lang w:val="zh-CN"/>
        </w:rPr>
        <w:t>第九部分 基金管理人、基金托管人的更换条件和程序</w:t>
      </w:r>
      <w:bookmarkEnd w:id="11"/>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一、基金管理人和基金托管人职责终止的情形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基金管理人职责终止的情形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有下列情形之一的，基金管理人职责终止：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1、被依法取消基金管理资格；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2、被基金份额持有人大会解任；</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3、依法解散、被依法撤销或被依法宣告破产；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4、法律法规及中国证监会规定的和《基金合同》约定的其他情形。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基金托管人职责终止的情形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有下列情形之一的，基金托管人职责终止：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1、被依法取消基金托管资格；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2、被基金份额持有人大会解任；</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3、依法解散、被依法撤销或被依法宣告破产；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4、法律法规及中国证监会规定的和《基金合同》约定的其他情形。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二、基金管理人和基金托管人的更换程序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基金管理人的更换程序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1、提名：新任基金管理人由基金托管人或由单独或合计持有10%以上（含10%）基金份额的基金份额持有人提名；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3、临时基金管理人：新任基金管理人产生之前，由中国证监会指定临时基金管理人；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4、备案：基金份额持有人大会更换基金管理人的决议须报中国证监会备案；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5、公告：基金管理人更换后，由基金托管人在更换基金管理人的基金份额持有人大会决议生效后按规定在规定媒介公告；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7、审计：基金管理人职责终止的，应当按照法律法规规定聘请会计师事务所对基金财产进行审计，并将审计结果予以公告，同时报中国证监会备案，审计费用在基金财产中列支；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8、基金名称变更：基金管理人更换后，如果原任或新任基金管理人要求，应按其要求替换或删除基金名称中与原基金管理人有关的名称字样。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基金托管人的更换程序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1、提名：新任基金托管人由基金管理人或由单独或合计持有10%以上（含10%）基金份额的基金份额持有人提名；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决议：基金份额持有人大会在基金托管人职责终止后6个月内对被提名的基金托管人形成决议，该决议需经参加大会的基金份额持有人所持表决权的三分之二以上（含三分之二）表决通过，决议自表决通过之日起生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3、临时基金托管人：新任基金托管人产生之前，由中国证监会指定临时基金托管人；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4、备案：基金份额持有人大会更换基金托管人的决议须报中国证监会备案；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5、公告：基金托管人更换后，由基金管理人在更换基金托管人的基金份额持有人大会决议生效后按规定在规定媒介公告；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6、交接：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7、审计：基金托管人职责终止的，应当按照法律法规规定聘请会计师事务所对基金财产进行审计，并将审计结果予以公告，同时报中国证监会备案，审计费用在基金财产中列支。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（三）基金管理人与基金托管人同时更换的条件和程序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1、提名：如果基金管理人和基金托管人同时更换，由单独或合计持有基金总份额10%以上（含10%）的基金份额持有人提名新的基金管理人和基金托管人；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2、基金管理人和基金托管人的更换分别按上述程序进行；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3、公告：新任基金管理人和新任基金托管人应在更换基金管理人和基金托管人的基金份额持有人大会决议生效后按规定在规定媒介上联合公告。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2"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2" w:name="_Toc471235847"/>
      <w:r>
        <w:rPr>
          <w:rFonts w:ascii="Times New Roman" w:hAnsi="Times New Roman" w:eastAsia="宋体" w:cs="Times New Roman"/>
          <w:kern w:val="0"/>
          <w:sz w:val="30"/>
          <w:lang w:val="zh-CN"/>
        </w:rPr>
        <w:t>第十部分 基金的托管</w:t>
      </w:r>
      <w:bookmarkEnd w:id="12"/>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基金托管人和基金管理人按照《基金法》、《基金合同》及其他有关规定订立托管协议。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3"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3" w:name="_Toc471235848"/>
      <w:r>
        <w:rPr>
          <w:rFonts w:ascii="Times New Roman" w:hAnsi="Times New Roman" w:eastAsia="宋体" w:cs="Times New Roman"/>
          <w:kern w:val="0"/>
          <w:sz w:val="30"/>
          <w:lang w:val="zh-CN"/>
        </w:rPr>
        <w:t>第十一部分 基金份额的登记</w:t>
      </w:r>
      <w:bookmarkEnd w:id="13"/>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一、基金份额的登记业务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二、基金登记业务办理机构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登记业务由基金管理人或基金管理人委托的其他符合条件的机构办理，但基金管理人依法应当承担的责任不因委托而免除。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三、基金登记机构的权利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基金登记机构享有以下权利：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1、取得登记费；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2、建立和管理投资者基金账户；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3、保管基金份额持有人开户资料、交易资料、基金份额持有人名册等；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4、在法律法规允许的范围内，对登记业务的办理时间进行调整，并依照有关规定于开始实施前在规定媒介上公告；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5、法律法规及中国证监会规定的和《基金合同》约定的其他权利。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四、基金登记机构的义务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基金登记机构承担以下义务：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1、配备足够的专业人员办理本基金份额的登记业务；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2、严格按照法律法规和《基金合同》规定的条件办理本基金份额的登记业务；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3、妥善保存登记数据，并将基金份额持有人名称、身份信息及基金份额明细等数据备份至中国证监会认定的机构，其保存期限不得少于法律法规规定的最低年限；</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对基金份额持有人的基金账户信息负有保密义务，因违反该保密义务对投资者或基金带来的损失，须承担相应的赔偿责任，但司法强制检查情形及法律法规及中国证监会规定的和《基金合同》约定的其他情形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5、按《基金合同》及招募说明书规定为投资者办理非交易过户业务、提供其他必要的服务；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6、接受基金管理人的监督；</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7、法律法规及中国证监会规定的和《基金合同》约定的其他义务。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4"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4" w:name="_Toc471235849"/>
      <w:r>
        <w:rPr>
          <w:rFonts w:ascii="Times New Roman" w:hAnsi="Times New Roman" w:eastAsia="宋体" w:cs="Times New Roman"/>
          <w:kern w:val="0"/>
          <w:sz w:val="30"/>
          <w:lang w:val="zh-CN"/>
        </w:rPr>
        <w:t>第十二部分 基金的投资</w:t>
      </w:r>
      <w:bookmarkEnd w:id="14"/>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一、投资目标</w:t>
      </w:r>
    </w:p>
    <w:p>
      <w:pPr>
        <w:adjustRightInd w:val="0"/>
        <w:snapToGrid w:val="0"/>
        <w:spacing w:line="360" w:lineRule="auto"/>
        <w:ind w:firstLine="422" w:firstLineChars="176"/>
        <w:rPr>
          <w:rFonts w:ascii="Times New Roman" w:hAnsi="Times New Roman" w:eastAsia="宋体" w:cs="Times New Roman"/>
          <w:sz w:val="24"/>
          <w:szCs w:val="24"/>
        </w:rPr>
      </w:pPr>
      <w:r>
        <w:rPr>
          <w:rFonts w:ascii="Times New Roman" w:hAnsi="Times New Roman" w:eastAsia="宋体" w:cs="Times New Roman"/>
          <w:kern w:val="0"/>
          <w:sz w:val="24"/>
          <w:szCs w:val="24"/>
        </w:rPr>
        <w:t>紧密跟踪标的指数，追求跟踪偏离度和跟踪误差的最小化。在正常情况下，本基金力争控制投资组合的净值增长率与业绩比较基准之间的预期日均跟踪偏离度的绝对值小于0.35%，预期年化跟踪误差不超过4%。</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二、投资范围</w:t>
      </w:r>
    </w:p>
    <w:p>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本基金主要投资于标的指数成份股和备选成份股（含存托凭证）。</w:t>
      </w:r>
    </w:p>
    <w:p>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w:t>
      </w:r>
      <w:r>
        <w:rPr>
          <w:rFonts w:hint="eastAsia" w:ascii="Times New Roman" w:hAnsi="Times New Roman" w:eastAsia="宋体" w:cs="Times New Roman"/>
          <w:sz w:val="24"/>
          <w:szCs w:val="24"/>
          <w:lang w:eastAsia="zh-Hans"/>
        </w:rPr>
        <w:t>可</w:t>
      </w:r>
      <w:r>
        <w:rPr>
          <w:rFonts w:ascii="Times New Roman" w:hAnsi="Times New Roman" w:eastAsia="宋体" w:cs="Times New Roman"/>
          <w:sz w:val="24"/>
          <w:szCs w:val="24"/>
        </w:rPr>
        <w:t>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本基金</w:t>
      </w:r>
      <w:r>
        <w:rPr>
          <w:rFonts w:hint="eastAsia" w:ascii="Times New Roman" w:hAnsi="Times New Roman" w:eastAsia="宋体" w:cs="Times New Roman"/>
          <w:sz w:val="24"/>
          <w:szCs w:val="24"/>
        </w:rPr>
        <w:t>可</w:t>
      </w:r>
      <w:r>
        <w:rPr>
          <w:rFonts w:ascii="Times New Roman" w:hAnsi="Times New Roman" w:eastAsia="宋体" w:cs="Times New Roman"/>
          <w:sz w:val="24"/>
          <w:szCs w:val="24"/>
        </w:rPr>
        <w:t>根据法律法规的规定参与融资及转融通证券出借业务。未来在法律法规允许的前提下，本基金可根据相关法律法规规定参与融券业务。</w:t>
      </w:r>
    </w:p>
    <w:p>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本基金根据相关法律法规或中国证监会要求履行适当</w:t>
      </w:r>
      <w:r>
        <w:rPr>
          <w:rFonts w:ascii="Times New Roman" w:hAnsi="Times New Roman" w:eastAsia="宋体" w:cs="Times New Roman"/>
          <w:kern w:val="0"/>
          <w:sz w:val="24"/>
        </w:rPr>
        <w:t>程序</w:t>
      </w:r>
      <w:r>
        <w:rPr>
          <w:rFonts w:ascii="Times New Roman" w:hAnsi="Times New Roman" w:eastAsia="宋体" w:cs="Times New Roman"/>
          <w:sz w:val="24"/>
          <w:szCs w:val="24"/>
        </w:rPr>
        <w:t>后，还可以投资于法律法规或中国证监会未来允许基金投资的其他金融工具。</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若法律法规的相关规定发生变更或监管机构允许，本基金管理人在履行适当程序后，可对上述资产配置比例进行调整。</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1、组合复制策略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2、债券（除可转换债券和可交换债券）投资策略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本基金债券投资组合将着重考虑基金的流动性管理及策略性投资的需要进行配置。债券投资的目的是保证基金资产流动性，有效利用基金资产，提高基金资产的投资收益。</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3、港股通标的股票投资策略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在特殊情况下，本基金将少量投资于港股通标的股票以进行替代复制。对于同时有A股、H股的指数成份公司，如果该公司A股长期停牌，组合无法买入该股票时，可以买入该公司H股进行替代。</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4、资产支持证券的投资策略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5、可转换债券和</w:t>
      </w:r>
      <w:r>
        <w:rPr>
          <w:rFonts w:ascii="Times New Roman" w:hAnsi="Times New Roman" w:eastAsia="宋体" w:cs="Times New Roman"/>
          <w:sz w:val="24"/>
          <w:szCs w:val="24"/>
        </w:rPr>
        <w:t>可交换债券</w:t>
      </w:r>
      <w:r>
        <w:rPr>
          <w:rFonts w:ascii="Times New Roman" w:hAnsi="Times New Roman" w:eastAsia="宋体" w:cs="Times New Roman"/>
          <w:kern w:val="0"/>
          <w:sz w:val="24"/>
          <w:szCs w:val="24"/>
        </w:rPr>
        <w:t>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sz w:val="24"/>
          <w:szCs w:val="24"/>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6、衍生品投资策略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（1）股指期货、国债期货投资策略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本基金投资股指期货将根据风险管理的原则，以套期保值为目的，力争利用股指期货的杠杆作用，降低股票仓位频繁调整的交易成本和跟踪误差，达到有效跟踪标的指数的目的。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本基金将根据风险管理的原则，以套期保值为目的，在风险可控的前提下，本着谨慎原则，参与国债期货的投资，改善组合的风险收益特性。</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（2）股票期权投资策略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本基金将按照风险管理的原则，以套期保值为主要目的参与股票期权交易。本基金将结合投资目标、比例限制、风险收益特征以及法律法规的相关限定和要求，确定参与股票期权交易的投资时机和投资比例。</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7、融资及转融通证券出借业务投资策略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w:t>
      </w:r>
    </w:p>
    <w:p>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8、存托凭证投资策略</w:t>
      </w:r>
    </w:p>
    <w:p>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本基金将根据本基金的投资目标，基于对基础证券投资价值的深入研究判断，进行存托凭证的投资。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未来，随着投资工具的发展和丰富，本基金可在不改变投资目标的前提下，相应调整和更新相关投资策略，并在更新的招募说明书中公告。</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四、投资限制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1、组合限制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基金的投资组合应遵循以下限制：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（1）本基金的股票资产投资比例不低于基金资产的90%，其中投资于标的指数成份股和备选成份股的资产不低于非现金基金资产的80%，投资港股通标的股票的比例不超过本基金股票资产的10%；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）本基金资产总值不得超过基金资产净值的140%；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）本基金投资于同一原始权益人的各类资产支持证券的比例，不得超过基金资产净值的10%；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）本基金持有的全部资产支持证券，其市值不得超过基金资产净值的20%；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）本基金持有的同一(指同一信用级别)资产支持证券的比例，不得超过该资产支持证券规模的10%；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）本基金管理人管理的全部基金投资于同一原始权益人的各类资产支持证券，不得超过其各类资产支持证券合计规模的10%；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）本基金应投资于信用级别评级为BBB以上(含BBB)的资产支持证券。基金持有资产支持证券期间，如果其信用等级下降、不再符合投资标准，应在评级报告发布之日起3个月内予以全部卖出；</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9</w:t>
      </w:r>
      <w:r>
        <w:rPr>
          <w:rFonts w:ascii="Times New Roman" w:hAnsi="Times New Roman" w:eastAsia="宋体" w:cs="Times New Roman"/>
          <w:kern w:val="0"/>
          <w:sz w:val="24"/>
          <w:szCs w:val="24"/>
        </w:rPr>
        <w:t>）基金财产参与股票发行申购，本基金所申报的金额不超过本基金的总资产，本基金所申报的股票数量不超过拟发行股票公司本次发行股票的总量；</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10</w:t>
      </w:r>
      <w:r>
        <w:rPr>
          <w:rFonts w:ascii="Times New Roman" w:hAnsi="Times New Roman" w:eastAsia="宋体" w:cs="Times New Roman"/>
          <w:kern w:val="0"/>
          <w:sz w:val="24"/>
          <w:szCs w:val="24"/>
        </w:rPr>
        <w:t>）本基金参与融资的，在任何交易日日终，本基金融资买入股票与其他有价证券市值之和，不得超过基金资产净值的95%；</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）本基金投资于股指期货和国债期货，还应遵循如下投资组合限制：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1）在任何交易日日终，本基金持有的买入股指期货合约价值不超过基金资产净值的10%；在任何交易日日终，持有的买入国债期货合约价值，不得超过基金资产净值15%；</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2）在任何交易日日终，持有的卖出股指期货合约价值不超过基金持有的股票总市值的20%；在任何交易日日终，持有的卖出国债期货合约价值不得超过基金持有的债券总市值的30%；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）本基金投资于股票期权，还应遵循如下投资组合限制：</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1）因未平仓的期权合约支付和收取的权利金总额不得超过基金资产净值的10%；</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2）开仓卖出认购期权的，应持有足额标的证券；开仓卖出认沽期权的，应持有合约行权所需的全额现金或交易所规则认可的可冲抵期权保证金的现金等价物；</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3）未平仓的期权合约面值不得超过基金资产净值的20%。其中，合约面值按照行权价乘以合约乘数计算；</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（1</w:t>
      </w:r>
      <w:r>
        <w:rPr>
          <w:rFonts w:hint="eastAsia" w:ascii="Times New Roman" w:hAnsi="Times New Roman" w:eastAsia="宋体" w:cs="Times New Roman"/>
          <w:color w:val="0D0D0D" w:themeColor="text1" w:themeTint="F2"/>
          <w:sz w:val="24"/>
          <w14:textFill>
            <w14:solidFill>
              <w14:schemeClr w14:val="tx1">
                <w14:lumMod w14:val="95000"/>
                <w14:lumOff w14:val="5000"/>
              </w14:schemeClr>
            </w14:solidFill>
          </w14:textFill>
        </w:rPr>
        <w:t>3</w:t>
      </w: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）本基金参与转融通证券出借业务，需遵守下列投资限制：</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2）参与出借业务的单只证券不得超过本基金持有该证券总量的50%；</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3）最近6个月内日均基金资产净值不得低于2亿元；</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4）证券出借的平均剩余期限不得超过30天，平均剩余期限按照市值加权平均计算；</w:t>
      </w:r>
    </w:p>
    <w:p>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因证券市场波动、上市公司合并、基金规模变动等基金管理人之外的因素致使基金投资不符合上述规定的，基金管理人不得新增出借业务；</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）本基金主动投资于流动性受限资产的市值合计不得超过本基金资产净值的15%；</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因证券市场波动、上市公司股票停牌、基金规模变动等基金管理人之外的因素致使基金不符合该比例限制的，基金管理人不得主动新增流动性受限资产的投资；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）本基金与私募类证券资管产品及中国证监会认定的其他主体为交易对手开展逆回购交易的，可接受质押品的资质要求应当与基金合同约定的投资范围保持一致；</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sz w:val="24"/>
        </w:rPr>
        <w:t>（1</w:t>
      </w:r>
      <w:r>
        <w:rPr>
          <w:rFonts w:hint="eastAsia" w:ascii="Times New Roman" w:hAnsi="Times New Roman" w:eastAsia="宋体" w:cs="Times New Roman"/>
          <w:sz w:val="24"/>
        </w:rPr>
        <w:t>6</w:t>
      </w:r>
      <w:r>
        <w:rPr>
          <w:rFonts w:ascii="Times New Roman" w:hAnsi="Times New Roman" w:eastAsia="宋体" w:cs="Times New Roman"/>
          <w:sz w:val="24"/>
        </w:rPr>
        <w:t>）本基金投资存托凭证的比例限制依照境内上市交易的股票执行</w:t>
      </w:r>
      <w:r>
        <w:rPr>
          <w:rFonts w:ascii="Times New Roman" w:hAnsi="Times New Roman" w:eastAsia="宋体" w:cs="Times New Roman"/>
          <w:bCs/>
          <w:sz w:val="24"/>
        </w:rPr>
        <w:t>，与境内上市交易的股票合并计算</w:t>
      </w:r>
      <w:r>
        <w:rPr>
          <w:rFonts w:ascii="Times New Roman" w:hAnsi="Times New Roman" w:eastAsia="宋体" w:cs="Times New Roman"/>
          <w:sz w:val="24"/>
        </w:rPr>
        <w:t>；</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）相关法律法规以及监管部门规定的和基金合同约定的其它投资比例限制。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除上述第（2）、（</w:t>
      </w: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法律法规或监管部门取消或变更上述限制，如适用于本基金，基金管理人在履行适当程序后，则本基金投资不再受相关限制，或以变更后的规定为准。</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2、禁止行为</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为维护基金份额持有人的合法权益，基金财产不得用于下列投资或者活动：</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（1）承销证券；</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（2）违反规定向他人贷款或者提供担保；</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（3）从事承担无限责任的投资；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（4）买卖其他基金份额，但是中国证监会另有规定的除外；</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（5）向其基金管理人、基金托管人出资；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（6）从事内幕交易、操纵证券交易价格及其他不正当的证券交易活动；</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（7）法律、行政法规和中国证监会规定禁止的其他活动。</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法律、行政法规或监管部门变更或取消上述规定，在履行适当程序后，本基金可按变更后的规定执行或不受上述规定的限制。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五、标的指数和业绩比较基准</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本基金的标的指数为：国证粮食产业指数。</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本基金业绩比较基准为：国证粮食产业指数收益率×95%+银行活期存款利率(税后)×5%。</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自指数编制机构停止标的指数的编制及发布至解决方案确定期间，基金管理人应按照指数编制机构提供的最近一个交易日的指数信息遵循基金份额持有人利益优先原则维持基金投资运作。</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六、风险收益特征</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属于股票型基金，其预期收益及预期风险水平高于混合型基金、债券型基金与货币市场基金。本基金为被动式投资的股票型指数基金，跟踪国证粮食产业指数，其风险收益特征与标的指数所表征的市场组合的风险收益特征相似。本基金如果投资港股通标的股票，需承担汇率风险以及境外市场的风险。</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七、基金管理人代表基金行使股东或债权人权利的处理原则及方法</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1、基金管理人按照国家有关规定代表基金独立行使股东或债权人权利，保护基金份额持有人的利益； </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2、不谋求对上市公司的控股； </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3、有利于基金财产的安全与增值； </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4、不通过关联交易为自身、雇员、授权代理人或任何存在利害关系的第三人牟取任何不当利益。</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八、侧袋机制的实施和投资运作安排</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侧袋机制实施期间，本部分约定的投资组合比例、投资策略、组合限制、业绩比较基准、风险收益特征等约定仅适用于主袋账户。</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侧袋账户的实施条件、实施程序、运作安排、投资安排、特定资产的处置变现和支付等对投资者权益有重大影响的事项详见招募说明书的规定。</w:t>
      </w:r>
    </w:p>
    <w:p>
      <w:pPr>
        <w:tabs>
          <w:tab w:val="left" w:pos="3780"/>
        </w:tabs>
        <w:autoSpaceDE w:val="0"/>
        <w:autoSpaceDN w:val="0"/>
        <w:snapToGrid w:val="0"/>
        <w:spacing w:line="360" w:lineRule="auto"/>
        <w:ind w:firstLine="482" w:firstLineChars="201"/>
        <w:textAlignment w:val="bottom"/>
        <w:rPr>
          <w:rFonts w:ascii="Times New Roman" w:hAnsi="Times New Roman" w:eastAsia="宋体" w:cs="Times New Roman"/>
          <w:sz w:val="24"/>
          <w:szCs w:val="24"/>
        </w:rPr>
        <w:sectPr>
          <w:footerReference r:id="rId15"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5" w:name="_Toc471235850"/>
      <w:r>
        <w:rPr>
          <w:rFonts w:ascii="Times New Roman" w:hAnsi="Times New Roman" w:eastAsia="宋体" w:cs="Times New Roman"/>
          <w:kern w:val="0"/>
          <w:sz w:val="30"/>
          <w:lang w:val="zh-CN"/>
        </w:rPr>
        <w:t>第十三部分 基金的财产</w:t>
      </w:r>
      <w:bookmarkEnd w:id="15"/>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一、基金资产总值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基金资产总值是指基金拥有的各类有价证券、银行存款本息、基金应收款项及其他资产的价值总和。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二、基金资产净值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基金资产净值是指基金资产总值减去基金负债后的价值。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三、基金财产的账户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四、基金财产的保管和处分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6"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6" w:name="_Toc471235851"/>
      <w:r>
        <w:rPr>
          <w:rFonts w:ascii="Times New Roman" w:hAnsi="Times New Roman" w:eastAsia="宋体" w:cs="Times New Roman"/>
          <w:kern w:val="0"/>
          <w:sz w:val="30"/>
          <w:lang w:val="zh-CN"/>
        </w:rPr>
        <w:t>第十四部分 基金资产估值</w:t>
      </w:r>
      <w:bookmarkEnd w:id="16"/>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一、估值日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本基金的估值日为本基金相关的证券交易场所的交易日以及国家法律法规规定需要对外披露基金净值的非交易日。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二、估值对象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基金所拥有的股票（含存托凭证）、股指期货合约、国债期货合约、股票期权合约、债券和银行存款本息、应收款项、资产支持证券、其它投资等资产及负债。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三、估值原则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基金管理人在确定相关金融资产和金融负债的公允价值时，应符合《企业会计准则》、监管部门有关规定。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四、估值方法</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1、证券交易所上市的有价证券的估值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（2）交易所市场上市交易或挂牌转让的固定收益品种（本合同另有约定的除外），选取估值日第三方估值机构提供的相应品种对应的估值净价估值，具体估值机构由基金管理人与基金托管人共同确定；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交易所上市实行全价交易的固定收益品种（可转换债券除外），选取第三方估值机构提供的估值全价减去估值全价中所含的固定收益品种（税后）应收利息得到的净价进行估值；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（4）交易所上市不存在活跃市场的有价证券，采用估值技术确定公允价值。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2、处于未上市期间的有价证券应区分如下情况处理：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（1）送股、转增股、配股和公开增发的新股，按估值日在证券交易所挂牌的同一股票的估值方法估值；该日无交易的，以最近一日的市价（收盘价）估值；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（2）首次公开发行未上市的股票，采用估值技术确定公允价值，在估值技术难以可靠计量公允价值的情况下，按成本估值；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3、本基金投资存托凭证的估值核算，依照境内上市交易的股票执行。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4、银行间的有价证券的估值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（1）对银行间市场上不含权的固定收益品种，按照第三方估值机构提供的相应品种当日的估值净价确定公允价值；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（3）对银行间市场未上市，且第三方估值机构未提供估值价格的债券，</w:t>
      </w:r>
      <w:r>
        <w:rPr>
          <w:rFonts w:hint="eastAsia" w:ascii="Times New Roman" w:hAnsi="Times New Roman" w:eastAsia="宋体" w:cs="Times New Roman"/>
          <w:kern w:val="0"/>
          <w:sz w:val="24"/>
          <w:szCs w:val="24"/>
        </w:rPr>
        <w:t>采用当前情况下适用并且有足够可利用数据和其他信息支持的估值技术确定其公允价值</w:t>
      </w:r>
      <w:r>
        <w:rPr>
          <w:rFonts w:ascii="Times New Roman" w:hAnsi="Times New Roman" w:eastAsia="宋体" w:cs="Times New Roman"/>
          <w:kern w:val="0"/>
          <w:sz w:val="24"/>
          <w:szCs w:val="24"/>
        </w:rPr>
        <w:t>。</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5、资产支持证券的估值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（1）交易所上市的资产支持证券，</w:t>
      </w:r>
      <w:r>
        <w:rPr>
          <w:rFonts w:hint="eastAsia" w:ascii="Times New Roman" w:hAnsi="Times New Roman" w:eastAsia="宋体" w:cs="Times New Roman"/>
          <w:kern w:val="0"/>
          <w:sz w:val="24"/>
          <w:szCs w:val="24"/>
        </w:rPr>
        <w:t>按估值日第三方估值机构提供的价格估值</w:t>
      </w:r>
      <w:r>
        <w:rPr>
          <w:rFonts w:ascii="Times New Roman" w:hAnsi="Times New Roman" w:eastAsia="宋体" w:cs="Times New Roman"/>
          <w:kern w:val="0"/>
          <w:sz w:val="24"/>
          <w:szCs w:val="24"/>
        </w:rPr>
        <w:t>。</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（2）对全国银行间市场上的资产支持证券，按照第三方估值机构提供的相应品种当日的估值净价确定公允价值。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6、同一证券同时在两个或两个以上市场交易的，按证券所处的市场分别估值。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7、本基金投资股指期货合约、国债期货合约，一般以估值当日结算价进行估值，估值当日无结算价的，且最近交易日后经济环境未发生重大变化的，采用最近交易日结算价估值。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8、本基金投资股票期权，根据相关法律法规以及监管部门的规定估值。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9、本基金参与融资或转融通证券出借业务的，应参照行业协会的相关规定进行估值，确保估值的公允性。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10、汇率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本基金外币资产价值计算中，涉及主要货币对人民币汇率的，应当以基金估值日中国人民银行或其授权机构公布的人民币汇率中间价为准。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11、如有确凿证据表明按上述方法进行估值不能客观反映其公允价值的，基金管理人可根据具体情况与基金托管人商定后，按最能反映公允价值的价格估值。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12、当发生大额申购或赎回情形时，基金管理人可以采用摆动定价机制，以确保基金估值的公平性。具体处理原则与操作规范遵循相关法律法规以及监管部门、自律规则的规定。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13、相关法律法规以及监管部门有强制规定的，从其规定。如有新增事项，按国家最新规定估值。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五、估值程序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基金管理人于每个工作日计算基金资产净值及各类基金份额净值，并按规定公告。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六、估值错误的处理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基金管理人和基金托管人将采取必要、适当、合理的措施确保基金资产估值的准确性、及时性。当任一类基金份额净值小数点后4位以内(含第4位)发生估值错误时，视为该类基金份额净值错误。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本基金合同的当事人应按照以下约定处理：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1、估值错误类型</w:t>
      </w:r>
      <w:r>
        <w:rPr>
          <w:rFonts w:ascii="Times New Roman" w:hAnsi="Times New Roman" w:eastAsia="宋体" w:cs="Times New Roman"/>
          <w:kern w:val="0"/>
          <w:sz w:val="24"/>
          <w:szCs w:val="24"/>
        </w:rPr>
        <w:tab/>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上述估值错误的主要类型包括但不限于：资料申报差错、数据传输差错、数据计算差错、系统故障差错、下达指令差错等。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2、估值错误处理原则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（2）估值错误的责任方对有关当事人的直接损失负责，不对间接损失负责，并且仅对估值错误的有关直接当事人负责，不对第三方负责。</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（4）估值错误调整采用尽量恢复至假设未发生估值错误的正确情形的方式。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3、估值错误处理程序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估值错误被发现后，有关的当事人应当及时进行处理，处理的程序如下：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（1）查明估值错误发生的原因，列明所有的当事人，并根据估值错误发生的原因确定估值错误的责任方；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（2）根据估值错误处理原则或当事人协商的方法对因估值错误造成的损失进行评估；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（3）根据估值错误处理原则或当事人协商的方法由估值错误的责任方进行更正和赔偿损失；</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（4）根据估值错误处理的方法，需要修改基金登记机构交易数据的，由基金登记机构进行更正，并就估值错误的更正向有关当事人进行确认。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4、基金份额净值估值错误处理的方法如下：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（1）基金份额净值计算出现错误时，基金管理人应当立即予以纠正，通报基金托管人，并采取合理的措施防止损失进一步扩大。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（2）错误偏差达到该类基金份额净值的0.25%时，基金管理人应当通报基金托管人并报中国证监会备案；错误偏差达到该类基金份额净值的0.5%时，基金管理人应当公告，并报中国证监会备案。</w:t>
      </w:r>
    </w:p>
    <w:p>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（3）基金管理人和基金托管人由于各自技术系统设置而产生的净值计算尾差，以基金管理人计算结果为准。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（4）前述内容如法律法规或监管机关另有规定的，从其规定处理。如果行业另有通行做法，基金管理人、基金托管人应本着平等和保护基金份额持有人利益的原则进行协商。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七、暂停估值的情形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1、基金投资所涉及的证券、期货交易市场或外汇市场遇法定节假日或因其他原因暂停营业时；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2、因不可抗力致使基金管理人、基金托管人无法准确评估基金资产价值时；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3、当特定资产占前一估值日基金资产净值50%以上的，经与基金托管人协商确认后，基金管理人应当暂停估值；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4、法律法规规定、中国证监会和基金合同认定的其它情形。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八、基金净值的确认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九、特殊情况的处理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1、基金管理人或基金托管人按估值方法的第11项进行估值时，所造成的误差不作为基金资产估值错误处理。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十、实施侧袋机制期间的基金资产估值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本基金实施侧袋机制的，应根据本部分的约定对主袋账户资产进行估值并披露主袋账户的</w:t>
      </w:r>
      <w:bookmarkStart w:id="17" w:name="_Hlk141694862"/>
      <w:r>
        <w:rPr>
          <w:rFonts w:ascii="Times New Roman" w:hAnsi="Times New Roman" w:eastAsia="宋体" w:cs="Times New Roman"/>
          <w:kern w:val="0"/>
          <w:sz w:val="24"/>
          <w:szCs w:val="24"/>
        </w:rPr>
        <w:t>基金净值信息</w:t>
      </w:r>
      <w:bookmarkEnd w:id="17"/>
      <w:r>
        <w:rPr>
          <w:rFonts w:ascii="Times New Roman" w:hAnsi="Times New Roman" w:eastAsia="宋体" w:cs="Times New Roman"/>
          <w:kern w:val="0"/>
          <w:sz w:val="24"/>
          <w:szCs w:val="24"/>
        </w:rPr>
        <w:t>，暂停披露侧袋账户基金净值信息。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7"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8" w:name="_Toc471235852"/>
      <w:r>
        <w:rPr>
          <w:rFonts w:ascii="Times New Roman" w:hAnsi="Times New Roman" w:eastAsia="宋体" w:cs="Times New Roman"/>
          <w:kern w:val="0"/>
          <w:sz w:val="30"/>
          <w:lang w:val="zh-CN"/>
        </w:rPr>
        <w:t>第十五部分 基金费用与税收</w:t>
      </w:r>
      <w:bookmarkEnd w:id="18"/>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一、基金费用的种类</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1、基金管理人的管理费；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2、基金托管人的托管费；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3、C类基金份额的销售服务费；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4、基金合同生效后与基金相关的信息披露费用，法律法规、中国证监会另有规定的除外；</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5、基金合同生效后与基金相关的会计师费、公证费、律师费、诉讼费和仲裁费；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6、基金份额持有人大会费用；</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7、基金的证券、期货、期权交易费用；</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8、基金的银行汇划费用；</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9、账户开户费用、账户维护费用；</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10、因投资港股通标的股票而产生的各项合理费用；</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11、按照国家有关规定和基金合同约定，可以在基金财产中列支的其他费用。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二、基金费用计提方法、计提标准和支付方式</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1、基金管理人的管理费 </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本基金的管理费按前一日基金资产净值的0.50%年费率计提。管理费的计算方法如下：</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H＝E×0.50%÷当年</w:t>
      </w:r>
      <w:r>
        <w:rPr>
          <w:rFonts w:ascii="Times New Roman" w:hAnsi="Times New Roman" w:eastAsia="宋体" w:cs="Times New Roman"/>
          <w:bCs/>
          <w:sz w:val="24"/>
        </w:rPr>
        <w:t>实际</w:t>
      </w:r>
      <w:r>
        <w:rPr>
          <w:rFonts w:ascii="Times New Roman" w:hAnsi="Times New Roman" w:eastAsia="宋体" w:cs="Times New Roman"/>
          <w:bCs/>
          <w:sz w:val="24"/>
          <w:szCs w:val="20"/>
        </w:rPr>
        <w:t>天数</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H为每日应计提的基金管理费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E为前一日的基金资产净值</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基金管理费每日计提，逐日累计至每月月末，按月支付，经基金管理人与基金托管人双方核对无误后，基金托管人</w:t>
      </w:r>
      <w:r>
        <w:rPr>
          <w:rFonts w:ascii="Times New Roman" w:hAnsi="Times New Roman" w:eastAsia="宋体" w:cs="Times New Roman"/>
          <w:bCs/>
          <w:sz w:val="24"/>
          <w:szCs w:val="24"/>
        </w:rPr>
        <w:t>按照</w:t>
      </w:r>
      <w:r>
        <w:rPr>
          <w:rFonts w:ascii="Times New Roman" w:hAnsi="Times New Roman" w:eastAsia="宋体" w:cs="Times New Roman"/>
          <w:sz w:val="24"/>
          <w:szCs w:val="24"/>
        </w:rPr>
        <w:t>与基金管理人协商</w:t>
      </w:r>
      <w:r>
        <w:rPr>
          <w:rFonts w:ascii="Times New Roman" w:hAnsi="Times New Roman" w:eastAsia="宋体" w:cs="Times New Roman"/>
          <w:sz w:val="24"/>
          <w:szCs w:val="20"/>
        </w:rPr>
        <w:t>一致的</w:t>
      </w:r>
      <w:r>
        <w:rPr>
          <w:rFonts w:ascii="Times New Roman" w:hAnsi="Times New Roman" w:eastAsia="宋体" w:cs="Times New Roman"/>
          <w:sz w:val="24"/>
          <w:szCs w:val="24"/>
        </w:rPr>
        <w:t>方式</w:t>
      </w:r>
      <w:r>
        <w:rPr>
          <w:rFonts w:ascii="Times New Roman" w:hAnsi="Times New Roman" w:eastAsia="宋体" w:cs="Times New Roman"/>
          <w:bCs/>
          <w:sz w:val="24"/>
          <w:szCs w:val="20"/>
        </w:rPr>
        <w:t>于次月月初5个工作日内从基金财产中一次性支付给基金管理人。若遇法定节假日、公休假或不可抗力等，支付日期顺延。</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2、基金托管人的托管费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本基金的托管费按前一日基金资产净值的0.10%年费率计提。托管费的计算方法如下：</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H＝E×0.10%÷当年</w:t>
      </w:r>
      <w:r>
        <w:rPr>
          <w:rFonts w:ascii="Times New Roman" w:hAnsi="Times New Roman" w:eastAsia="宋体" w:cs="Times New Roman"/>
          <w:bCs/>
          <w:sz w:val="24"/>
        </w:rPr>
        <w:t>实际</w:t>
      </w:r>
      <w:r>
        <w:rPr>
          <w:rFonts w:ascii="Times New Roman" w:hAnsi="Times New Roman" w:eastAsia="宋体" w:cs="Times New Roman"/>
          <w:bCs/>
          <w:sz w:val="24"/>
          <w:szCs w:val="20"/>
        </w:rPr>
        <w:t>天数</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H为每日应计提的基金托管费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E为前一日的基金资产净值</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基金托管费每日计提，逐日累计至每月月末，按月支付，经基金管理人与基金托管人双方核对无误后，基金托管人</w:t>
      </w:r>
      <w:r>
        <w:rPr>
          <w:rFonts w:ascii="Times New Roman" w:hAnsi="Times New Roman" w:eastAsia="宋体" w:cs="Times New Roman"/>
          <w:bCs/>
          <w:sz w:val="24"/>
          <w:szCs w:val="24"/>
        </w:rPr>
        <w:t>按照</w:t>
      </w:r>
      <w:r>
        <w:rPr>
          <w:rFonts w:ascii="Times New Roman" w:hAnsi="Times New Roman" w:eastAsia="宋体" w:cs="Times New Roman"/>
          <w:sz w:val="24"/>
          <w:szCs w:val="24"/>
        </w:rPr>
        <w:t>与基金管理人协商</w:t>
      </w:r>
      <w:r>
        <w:rPr>
          <w:rFonts w:ascii="Times New Roman" w:hAnsi="Times New Roman" w:eastAsia="宋体" w:cs="Times New Roman"/>
          <w:sz w:val="24"/>
          <w:szCs w:val="20"/>
        </w:rPr>
        <w:t>一致的</w:t>
      </w:r>
      <w:r>
        <w:rPr>
          <w:rFonts w:ascii="Times New Roman" w:hAnsi="Times New Roman" w:eastAsia="宋体" w:cs="Times New Roman"/>
          <w:sz w:val="24"/>
          <w:szCs w:val="24"/>
        </w:rPr>
        <w:t>方式</w:t>
      </w:r>
      <w:r>
        <w:rPr>
          <w:rFonts w:ascii="Times New Roman" w:hAnsi="Times New Roman" w:eastAsia="宋体" w:cs="Times New Roman"/>
          <w:bCs/>
          <w:sz w:val="24"/>
          <w:szCs w:val="20"/>
        </w:rPr>
        <w:t>于次月月初5个工作日内从基金财产中一次性支</w:t>
      </w:r>
      <w:r>
        <w:rPr>
          <w:rFonts w:ascii="Times New Roman" w:hAnsi="Times New Roman" w:eastAsia="宋体" w:cs="Times New Roman"/>
          <w:bCs/>
          <w:sz w:val="24"/>
        </w:rPr>
        <w:t>付给基金托管人</w:t>
      </w:r>
      <w:r>
        <w:rPr>
          <w:rFonts w:ascii="Times New Roman" w:hAnsi="Times New Roman" w:eastAsia="宋体" w:cs="Times New Roman"/>
          <w:bCs/>
          <w:sz w:val="24"/>
          <w:szCs w:val="20"/>
        </w:rPr>
        <w:t>。若遇法定节假日、公休假或不可抗力等，支付日期顺延。</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3、C类份额的销售服务费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本基金A类基金份额不收取销售服务费，C类基金份额的销售服务费年费率为0.30%。</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本基金销售服务费按前一日C类基金资产净值的0.30%年费率计提。计算方法如下： </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H＝E×0.30%÷当年</w:t>
      </w:r>
      <w:r>
        <w:rPr>
          <w:rFonts w:ascii="Times New Roman" w:hAnsi="Times New Roman" w:eastAsia="宋体" w:cs="Times New Roman"/>
          <w:bCs/>
          <w:sz w:val="24"/>
        </w:rPr>
        <w:t>实际</w:t>
      </w:r>
      <w:r>
        <w:rPr>
          <w:rFonts w:ascii="Times New Roman" w:hAnsi="Times New Roman" w:eastAsia="宋体" w:cs="Times New Roman"/>
          <w:bCs/>
          <w:sz w:val="24"/>
          <w:szCs w:val="20"/>
        </w:rPr>
        <w:t xml:space="preserve">天数 </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H为C类基金份额每日应计提的销售服务费</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E为C类基金份额前一日基金资产净值</w:t>
      </w:r>
    </w:p>
    <w:p>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基金销售服务费每日计提，逐日累计至每月月末，按月支付，经基金管理人与基金托管人双方核对无误后，基金托管人</w:t>
      </w:r>
      <w:r>
        <w:rPr>
          <w:rFonts w:ascii="Times New Roman" w:hAnsi="Times New Roman" w:eastAsia="宋体" w:cs="Times New Roman"/>
          <w:bCs/>
          <w:sz w:val="24"/>
          <w:szCs w:val="24"/>
        </w:rPr>
        <w:t>按照</w:t>
      </w:r>
      <w:r>
        <w:rPr>
          <w:rFonts w:ascii="Times New Roman" w:hAnsi="Times New Roman" w:eastAsia="宋体" w:cs="Times New Roman"/>
          <w:sz w:val="24"/>
          <w:szCs w:val="24"/>
        </w:rPr>
        <w:t>与基金管理人协商</w:t>
      </w:r>
      <w:r>
        <w:rPr>
          <w:rFonts w:ascii="Times New Roman" w:hAnsi="Times New Roman" w:eastAsia="宋体" w:cs="Times New Roman"/>
          <w:sz w:val="24"/>
          <w:szCs w:val="20"/>
        </w:rPr>
        <w:t>一致的</w:t>
      </w:r>
      <w:r>
        <w:rPr>
          <w:rFonts w:ascii="Times New Roman" w:hAnsi="Times New Roman" w:eastAsia="宋体" w:cs="Times New Roman"/>
          <w:sz w:val="24"/>
          <w:szCs w:val="24"/>
        </w:rPr>
        <w:t>方式</w:t>
      </w:r>
      <w:r>
        <w:rPr>
          <w:rFonts w:ascii="Times New Roman" w:hAnsi="Times New Roman" w:eastAsia="宋体" w:cs="Times New Roman"/>
          <w:bCs/>
          <w:sz w:val="24"/>
          <w:szCs w:val="20"/>
        </w:rPr>
        <w:t>于次月月初5个工作日内从基金财产中一次性支付</w:t>
      </w:r>
      <w:r>
        <w:rPr>
          <w:rFonts w:ascii="Times New Roman" w:hAnsi="Times New Roman" w:eastAsia="宋体" w:cs="Times New Roman"/>
          <w:bCs/>
          <w:sz w:val="24"/>
        </w:rPr>
        <w:t>给销售机构</w:t>
      </w:r>
      <w:r>
        <w:rPr>
          <w:rFonts w:ascii="Times New Roman" w:hAnsi="Times New Roman" w:eastAsia="宋体" w:cs="Times New Roman"/>
          <w:bCs/>
          <w:sz w:val="24"/>
          <w:szCs w:val="20"/>
        </w:rPr>
        <w:t>。若遇法定节假日、公休假或不可抗力等，支付日期顺延。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上述“一、基金费用的种类”中第4－11项费用，根据有关法规及相应协议规定，按费用实际支出金额列入当期费用，由基金托管人从基金财产中支付。</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三、不列入基金费用的项目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下列费用不列入基金费用：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1、基金管理人和基金托管人因未履行或未完全履行义务导致的费用支出或基金财产的损失；</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2、基金管理人和基金托管人处理与基金运作无关的事项发生的费用；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3、指数许可使用费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本基金按照基金管理人与标的指数许可方所签订的指数使用许可协议中所规定的指数许可使用费计提方法支付指数许可使用费，该指数许可使用费由基金管理人承担，不得从基金财产中列支。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如果指数许可使用费的计算方法、费率、支付方式和费用承担方等发生调整，本基金将采用调整后的方法或费率计算指数许可使用费；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4、《基金合同》生效前的相关费用；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5、其他根据相关法律法规及中国证监会的有关规定不得列入基金费用的项目。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四、实施侧袋机制期间的基金费用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本基金实施侧袋机制的，与侧袋账户有关的费用可以从侧袋账户中列支，但应待侧袋账户资产变现后方可列支，有关费用可酌情收取或减免，但不得收取管理费，详见招募说明书的规定。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五、基金税收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本基金支付给基金管理人、基金托管人的各项费用均为含税价格，具体税率适用中国税务主管机关的规定。</w:t>
      </w:r>
    </w:p>
    <w:p>
      <w:pPr>
        <w:widowControl/>
        <w:ind w:firstLine="200"/>
        <w:rPr>
          <w:rFonts w:ascii="Times New Roman" w:hAnsi="Times New Roman" w:eastAsia="宋体" w:cs="Times New Roman"/>
          <w:kern w:val="0"/>
          <w:sz w:val="24"/>
          <w:szCs w:val="24"/>
        </w:rPr>
        <w:sectPr>
          <w:footerReference r:id="rId18"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rPr>
      </w:pPr>
      <w:bookmarkStart w:id="19" w:name="_Toc471235853"/>
      <w:r>
        <w:rPr>
          <w:rFonts w:ascii="Times New Roman" w:hAnsi="Times New Roman" w:eastAsia="宋体" w:cs="Times New Roman"/>
          <w:kern w:val="0"/>
          <w:sz w:val="30"/>
          <w:lang w:val="zh-CN"/>
        </w:rPr>
        <w:t>第十六部分</w:t>
      </w:r>
      <w:r>
        <w:rPr>
          <w:rFonts w:ascii="Times New Roman" w:hAnsi="Times New Roman" w:eastAsia="宋体" w:cs="Times New Roman"/>
          <w:kern w:val="0"/>
          <w:sz w:val="30"/>
        </w:rPr>
        <w:t xml:space="preserve"> </w:t>
      </w:r>
      <w:r>
        <w:rPr>
          <w:rFonts w:ascii="Times New Roman" w:hAnsi="Times New Roman" w:eastAsia="宋体" w:cs="Times New Roman"/>
          <w:kern w:val="0"/>
          <w:sz w:val="30"/>
          <w:lang w:val="zh-CN"/>
        </w:rPr>
        <w:t>基金的收益与分配</w:t>
      </w:r>
      <w:bookmarkEnd w:id="19"/>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一、基金利润的构成</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二、基金可供分配利润</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基金可供分配利润指截至收益分配基准日基金未分配利润与未分配利润中已实现收益的孰低数。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三、基金收益分配原则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1、由于本基金A类基金份额不收取销售服务费，而C类基金份额收取销售服务费，各基金份额类别对应的可供分配利润将有所不同，本基金同一类别的每一基金份额享有同等分配权；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3、基金收益分配后各类基金份额净值不能低于面值，即基金收益分配基准日的各类基金份额净值减去每单位该类基金份额收益分配金额后不能低于面值；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4、法律法规或监管机关另有规定的，从其规定。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在不违反法律法规及基金合同约定，并对基金份额持有人利益无实质不利影响的前提下，基金管理人经与基金托管人协商一致后，可对基金收益分配原则和支付方式进行调整，不需召开基金份额持有人大会。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四、收益分配方案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基金收益分配方案中应载明截至收益分配基准日的可供分配利润、基金收益分配对象、分配时间、分配数额及比例、分配方式等内容。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五、收益分配方案的确定、公告与实施</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本基金收益分配方案由基金管理人拟定，并由基金托管人复核，按规定在规定媒介公告。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六、基金收益分配中发生的费用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七、实施侧袋机制期间的收益分配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本基金实施侧袋机制的，侧袋账户不进行收益分配，详见招募说明书的规定。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9"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0" w:name="_Toc471235854"/>
      <w:r>
        <w:rPr>
          <w:rFonts w:ascii="Times New Roman" w:hAnsi="Times New Roman" w:eastAsia="宋体" w:cs="Times New Roman"/>
          <w:kern w:val="0"/>
          <w:sz w:val="30"/>
          <w:lang w:val="zh-CN"/>
        </w:rPr>
        <w:t>第十七部分 基金的会计与审计</w:t>
      </w:r>
      <w:bookmarkEnd w:id="20"/>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一、基金会计政策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1、基金管理人为本基金的基金会计责任方；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2、基金的会计年度为公历年度的1月1日至12月31日；基金首次募集的会计年度按如下原则：如果《基金合同》生效少于2个月，可以并入下一个会计年度披露；</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3、基金核算以人民币为记账本位币，以人民币元为记账单位；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4、会计制度执行国家有关会计制度；</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5、本基金独立建账、独立核算；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6、基金管理人及基金托管人各自保留完整的会计账目、凭证并进行日常的会计核算，按照有关规定编制基金会计报表；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7、基金托管人每月与基金管理人就基金的会计核算、报表编制等进行核对并以书面方式确认。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二、基金的年度审计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1、基金管理人聘请与基金管理人、基金托管人相互独立且符合《中华人民共和国证券法》规定的会计师事务所及其注册会计师对本基金的年度财务报表进行审计。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2、会计师事务所更换经办注册会计师，应事先征得基金管理人同意。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3、基金管理人认为有充足理由更换会计师事务所，须通报基金托管人。更换会计师事务所需按规定在规定媒介公告。</w:t>
      </w:r>
    </w:p>
    <w:p>
      <w:pPr>
        <w:ind w:firstLine="200"/>
        <w:rPr>
          <w:rFonts w:ascii="Times New Roman" w:hAnsi="Times New Roman" w:eastAsia="宋体" w:cs="Times New Roman"/>
        </w:rPr>
      </w:pPr>
    </w:p>
    <w:p>
      <w:pPr>
        <w:widowControl/>
        <w:ind w:firstLine="200"/>
        <w:rPr>
          <w:rFonts w:ascii="Times New Roman" w:hAnsi="Times New Roman" w:eastAsia="宋体" w:cs="Times New Roman"/>
          <w:b/>
          <w:kern w:val="0"/>
          <w:sz w:val="30"/>
          <w:szCs w:val="30"/>
          <w:lang w:val="zh-CN"/>
        </w:rPr>
        <w:sectPr>
          <w:footerReference r:id="rId20"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1" w:name="_Toc471235855"/>
      <w:r>
        <w:rPr>
          <w:rFonts w:ascii="Times New Roman" w:hAnsi="Times New Roman" w:eastAsia="宋体" w:cs="Times New Roman"/>
          <w:kern w:val="0"/>
          <w:sz w:val="30"/>
          <w:lang w:val="zh-CN"/>
        </w:rPr>
        <w:t>第十八部分 基金的信息披露</w:t>
      </w:r>
      <w:bookmarkEnd w:id="21"/>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一、本基金的信息披露应符合《基金法》、《运作办法》、《信息披露办法》、《流动性风险管理规定》、《基金合同》及其他有关规定。相关法律法规关于信息披露的规定发生变化时，本基金从其最新规定。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二、信息披露义务人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三、本基金信息披露义务人承诺公开披露的基金信息，不得有下列行为：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1、虚假记载、误导性陈述或者重大遗漏；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2、对证券投资业绩进行预测；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3、违规承诺收益或者承担损失；</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4、诋毁其他基金管理人、基金托管人或者基金销售机构；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5、登载任何自然人、法人和非法人组织的祝贺性、恭维性或推荐性文字；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6、中国证监会禁止的其他行为。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本基金公开披露的信息采用阿拉伯数字；除特别说明外，货币单位为人民币元。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五、公开披露的基金信息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公开披露的基金信息包括：</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（一）基金招募说明书、基金产品资料概要、《基金合同》、基金托管协议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2、基金招募说明书应当最大限度地披露影响基金投资者决策的全部事项，说明基金认购、申购和赎回安排、基金投资、基金产品特性、风险揭示、信息披露及基金份额持有人服务等内容。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基金终止运作的，除基金合同另有约定外，基金管理人可以不再更新基金招募说明书和基金产品资料概要。</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3、基金托管协议是界定基金托管人和基金管理人在基金财产保管及基金运作监督等活动中的权利、义务关系的法律文件。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（二）基金份额发售公告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基金管理人应当就基金份额发售的具体事宜编制基金份额发售公告</w:t>
      </w:r>
      <w:r>
        <w:rPr>
          <w:rFonts w:ascii="Times New Roman" w:hAnsi="Times New Roman" w:eastAsia="宋体" w:cs="Times New Roman"/>
          <w:bCs/>
          <w:sz w:val="24"/>
        </w:rPr>
        <w:t>，并在披露招募说明书的当日登载于规定媒介上</w:t>
      </w:r>
      <w:r>
        <w:rPr>
          <w:rFonts w:ascii="Times New Roman" w:hAnsi="Times New Roman" w:eastAsia="宋体" w:cs="Times New Roman"/>
          <w:kern w:val="0"/>
          <w:sz w:val="24"/>
          <w:szCs w:val="24"/>
        </w:rPr>
        <w:t>。</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（三）《基金合同》生效公告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基金管理人应当在收到中国证监会确认文件的次日在规定报刊和规定网站上登载《基金合同》生效公告。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（四）基金净值信息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《基金合同》生效后，在开始办理基金份额申购或者赎回前，基金管理人应当至少每周在规定网站公告一次各类基金份额净值和各类基金份额累计净值。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在开始办理基金份额申购或者赎回后，基金管理人应当在不晚于每个开放日的次日，通过规定网站、基金销售机构网站或者营业网点披露开放日的各类基金份额净值和各类基金份额累计净值。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基金管理人应当在不晚于半年度和年度最后一日的次日， 在规定网站公告半年度和年度最后一日各类基金份额净值和各类基金份额累计净值。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（五）基金份额申购、赎回价格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基金管理人应当在《基金合同》、招募说明书等信息披露文件上载明基金份额申购、赎回价格的计算方式及有关申购、赎回费率，并保证投资者能够在基金销售机构网站或者营业网点查阅或者复制前述信息资料。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（六）基金定期报告，包括基金年度报告、基金中期报告和基金季度报告（含资产组合季度报告）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基金管理人应当在上半年结束之日起两个月内，编制完成基金中期报告，将中期报告登载在规定网站上，并将中期报告提示性公告登载在规定报刊上。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基金管理人应当在季度结束之日起15个工作日内，编制完成基金季度报告，将季度报告登载在规定网站上，并将季度报告提示性公告登载在规定报刊上。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《基金合同》生效不足2个月的，基金管理人可以不编制当期季度报告、中期报告或者年度报告。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基金管理人应当在基金年度报告和中期报告中披露基金组合资产情况及其流动性风险分析等。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（七）临时报告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本基金发生重大事件，有关信息披露义务人应当按规定编制临时报告书，并登载在规定报刊和规定网站上。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前款所称重大事件，是指可能对基金份额持有人权益或者基金份额的价格产生重大影响的下列事件：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1、基金份额持有人大会的召开及决定的事项；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2、《基金合同》终止、基金清算；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3、转换基金运作方式、基金合并；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4、更换基金管理人、基金托管人；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5、基金管理人委托基金服务机构代为办理基金的份额登记、核算、估值等事项，基金托管人委托基金服务机构代为办理基金的核算、估值、复核等事项；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6、基金管理人、基金托管人的法定名称、住所发生变更；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7、基金管理人变更持有百分之五以上股权的股东、变更基金管理人的实际控制人；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8、基金募集期延长或提前结束募集；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9、基金管理人高级管理人员、基金经理和基金托管人专门基金托管部门负责人发生变动；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10、基金管理人的董事在最近12个月内变更超过百分之五十；</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11、基金管理人、基金托管人专门基金托管部门的主要业务人员在最近12个月内变动超过百分之三十；</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12、涉及基金管理业务、基金财产、基金托管业务的诉讼或仲裁；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15、基金收益分配事项；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16、管理费、托管费、销售服务费、申购费、赎回费等费用计提标准、计提方式和费率发生变更；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17、任一类基金份额净值计价错误达该类基金份额净值百分之零点五；</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18、基金改聘会计师事务所；</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19、更换基金登记机构；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20、本基金开始办理申购、赎回；</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21、本基金发生巨额赎回并延期办理；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22、本基金连续发生巨额赎回并暂停接受赎回申请或延缓支付赎回款项；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23、本基金暂停接受申购、赎回申请或重新接受申购、赎回申请；</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24、发生涉及基金申购、赎回事项调整或潜在影响投资者赎回等重大事项时；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25、基金管理人采用摆动定价机制进行估值；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26、调整基金份额类别的设置；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27、基金推出新业务或服务；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28、《基金合同》生效三年后继续存续的，连续30个工作日、40个工作日及45个工作日出现基金份额持有人数量不满二百人或者基金资产净值低于五千万元情形的；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29、基金信息披露义务人认为可能对基金份额持有人权益或者基金份额的价格产生重大影响的其他事项或中国证监会规定的和基金合同约定的其他事项。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（八）澄清公告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（九）清算报告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基金终止运作的，基金管理人应当依法组织基金财产清算小组对基金财产进行清算并作出清算报告。基金财产清算小组应当将清算报告登载在规定网站上，并将清算报告提示性公告登载在规定报刊上。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（十）基金份额持有人大会决议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基金份额持有人大会决定的事项，应当依法报中国证监会备案，并予以公告。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（十一）投资股指期货、国债期货、股票期权的信息披露</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（十二）投资资产支持证券的信息披露</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（十三）投资港股通标的股票的信息披露</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（十四）投资非公开发行股票的信息披露</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基金管理人应在基金投资非公开发行股票后两个交易日内，在中国证监会规定媒介披露所投资非公开发行股票的名称、数量、总成本、账面价值，以及总成本和账面价值占基金资产净值的比例、锁定期等信息。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（十五）参与融资和转融通证券出借业务的信息披露</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本基金参与转融通证券出借业务的，基金管理人应当在基金定期报告等文件中就报告期内发生的重大关联交易事项做详细说明。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未来在法律法规允许的前提下，本基金可依据法律法规的相关规定参与融券业务，并相应履行信披义务。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（十六）实施侧袋机制期间的信息披露</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本基金实施侧袋机制的，相关信息披露义务人应当根据法律法规、基金合同和招募说明书的规定进行信息披露，详见招募说明书的规定。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（十七）发起资金认购份额报告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（十八）中国证监会规定的其他信息</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六、信息披露事务管理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基金管理人、基金托管人应当建立健全信息披露管理制度，指定专门部门及高级管理人员负责管理信息披露事务。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基金信息披露义务人公开披露基金信息，应当符合中国证监会相关基金信息披露内容与格式准则等法规的规定。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基金管理人、基金托管人应当在规定媒介中选择披露信息的媒介。</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基金管理人、基金托管人应当向中国证监会基金电子披露网站报送拟披露的基金信息，并保证相关报送信息的真实、准确、完整、及时。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基金管理人、基金托管人除依法在规定媒介上披露信息外，还可以根据需要在其他公共媒介披露信息，但是其他公共媒介不得早于规定媒介披露信息，并且在不同媒介上披露同一信息的内容应当一致。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七、信息披露文件的存放与查阅</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依法必须披露的信息发布后，基金管理人、基金托管人应当按照相关法律法规规定将信息置备于公司住所，以供社会公众查阅、复制。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八、暂停或延迟信息披露的情形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1、不可抗力；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2、发生暂停估值的情形；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3、法律法规规定、中国证监会或基金合同认定的其他情形。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ind w:firstLine="200"/>
        <w:rPr>
          <w:rFonts w:ascii="Times New Roman" w:hAnsi="Times New Roman" w:eastAsia="宋体" w:cs="Times New Roman"/>
        </w:rPr>
        <w:sectPr>
          <w:footerReference r:id="rId21"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rPr>
          <w:rFonts w:ascii="Times New Roman" w:hAnsi="Times New Roman" w:eastAsia="宋体" w:cs="Times New Roman"/>
          <w:kern w:val="0"/>
          <w:sz w:val="30"/>
          <w:lang w:val="zh-CN"/>
        </w:rPr>
      </w:pPr>
      <w:bookmarkStart w:id="22" w:name="_Toc471235856"/>
      <w:r>
        <w:rPr>
          <w:rFonts w:ascii="Times New Roman" w:hAnsi="Times New Roman" w:eastAsia="宋体" w:cs="Times New Roman"/>
          <w:kern w:val="0"/>
          <w:sz w:val="30"/>
          <w:lang w:val="zh-CN"/>
        </w:rPr>
        <w:t>第十九部分 基金合同的变更、终止与基金财产的清算</w:t>
      </w:r>
      <w:bookmarkEnd w:id="22"/>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一、《基金合同》的变更</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2、关于《基金合同》变更的基金份额持有人大会决议自生效后方可执行，自决议生效后按规定在规定媒介公告。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二、《基金合同》的终止事由</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有下列情形之一的，经履行相关程序后，《基金合同》应当终止：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1、基金份额持有人大会决定终止的；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2、基金管理人、基金托管人职责终止，在6个月内没有新基金管理人、新基金托管人承接的；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3、《基金合同》约定的其他情形；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4、相关法律法规和中国证监会规定的其他情况。</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三、基金财产的清算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1、基金财产清算小组：自出现《基金合同》终止事由之日起30个工作日内由基金管理人发起成立基金财产清算小组，基金管理人组织基金财产清算小组并在中国证监会的监督下进行基金清算。</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2、在基金财产清算小组接管基金财产之前，基金管理人和基金托管人应按照《基金合同》和托管协议的规定继续履行保护基金财产安全的职责。</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4、基金财产清算小组职责：基金财产清算小组负责基金财产的保管、清理、估价、变现和分配。基金财产清算小组可以依法进行必要的民事活动。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5、在基金财产清算过程中，基金管理人和基金托管人应各自履行职责，继续忠实、勤勉、尽责地履行基金合同和托管协议规定的义务，维护基金份额持有人的合法权益。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6、基金财产清算程序：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（1）《基金合同》终止情形出现时，由基金财产清算小组统一接管基金；</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（2）对基金财产和债权债务进行清理和确认；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（3）对基金财产进行估值和变现；</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（4）制作清算报告；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（5）聘请会计师事务所对清算报告进行外部审计，聘请律师事务所对清算报告出具法律意见书；</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（6）将清算报告报中国证监会备案并公告；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（7）对基金剩余财产进行分配。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7、基金财产清算的期限为6个月，但因本基金所持证券的流动性受到限制而不能及时变现的，清算期限可相应顺延。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四、清算费用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清算费用是指基金财产清算小组在进行基金清算过程中发生的所有合理费用，清算费用由基金财产清算小组优先从基金剩余财产中支付。</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五、基金财产清算剩余资产的分配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依据基金财产清算的分配方案，将基金财产清算后的全部剩余资产扣除基金财产清算费用、交纳所欠税款并清偿基金债务后，按基金份额持有人持有的各类基金份额比例进行分配。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六、基金财产清算的公告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七、基金财产清算账册及文件的保存</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基金财产清算账册及有关文件由基金托管人保存，保存期限不低于法律法规规定的最低期限。</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八、基金合并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本基金与其他基金的合并应当按照法律法规规定的程序进行。</w:t>
      </w:r>
    </w:p>
    <w:p>
      <w:pPr>
        <w:ind w:firstLine="200"/>
        <w:rPr>
          <w:rFonts w:ascii="Times New Roman" w:hAnsi="Times New Roman" w:eastAsia="宋体" w:cs="Times New Roman"/>
        </w:rPr>
        <w:sectPr>
          <w:footerReference r:id="rId22"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3" w:name="_Toc471235857"/>
      <w:r>
        <w:rPr>
          <w:rFonts w:ascii="Times New Roman" w:hAnsi="Times New Roman" w:eastAsia="宋体" w:cs="Times New Roman"/>
          <w:kern w:val="0"/>
          <w:sz w:val="30"/>
          <w:lang w:val="zh-CN"/>
        </w:rPr>
        <w:t>第二十部分 违约责任</w:t>
      </w:r>
      <w:bookmarkEnd w:id="23"/>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但是发生下列情况的，当事人免责：</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1、不可抗力；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2、基金管理人和/或基金托管人按照当时有效的法律法规或中国证监会的规定作为或不作为而造成的损失等；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3、基金管理人由于按照基金合同规定的投资原则行使或不行使其投资权而造成的损失等。</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200"/>
        <w:rPr>
          <w:rFonts w:ascii="Times New Roman" w:hAnsi="Times New Roman" w:eastAsia="宋体" w:cs="Times New Roman"/>
          <w:kern w:val="0"/>
          <w:sz w:val="24"/>
          <w:szCs w:val="24"/>
        </w:rPr>
        <w:sectPr>
          <w:footerReference r:id="rId23"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4" w:name="_Toc471235858"/>
      <w:r>
        <w:rPr>
          <w:rFonts w:ascii="Times New Roman" w:hAnsi="Times New Roman" w:eastAsia="宋体" w:cs="Times New Roman"/>
          <w:kern w:val="0"/>
          <w:sz w:val="30"/>
          <w:lang w:val="zh-CN"/>
        </w:rPr>
        <w:t>第二十一部分 争议的处理和适用的法律</w:t>
      </w:r>
      <w:bookmarkEnd w:id="24"/>
    </w:p>
    <w:p>
      <w:pPr>
        <w:autoSpaceDE w:val="0"/>
        <w:autoSpaceDN w:val="0"/>
        <w:adjustRightInd w:val="0"/>
        <w:spacing w:line="360" w:lineRule="auto"/>
        <w:ind w:firstLine="482" w:firstLineChars="200"/>
        <w:rPr>
          <w:rFonts w:ascii="Times New Roman" w:hAnsi="Times New Roman" w:eastAsia="宋体" w:cs="Times New Roman"/>
          <w:b/>
          <w:i/>
          <w:kern w:val="0"/>
          <w:sz w:val="24"/>
          <w:szCs w:val="24"/>
        </w:rPr>
      </w:pPr>
    </w:p>
    <w:p>
      <w:pPr>
        <w:autoSpaceDE w:val="0"/>
        <w:autoSpaceDN w:val="0"/>
        <w:adjustRightInd w:val="0"/>
        <w:spacing w:line="360" w:lineRule="auto"/>
        <w:ind w:firstLine="482" w:firstLineChars="200"/>
        <w:rPr>
          <w:rFonts w:ascii="Times New Roman" w:hAnsi="Times New Roman" w:eastAsia="宋体" w:cs="Times New Roman"/>
          <w:b/>
          <w:i/>
          <w:kern w:val="0"/>
          <w:sz w:val="24"/>
          <w:szCs w:val="24"/>
        </w:rPr>
      </w:pPr>
      <w:r>
        <w:rPr>
          <w:rFonts w:ascii="Times New Roman" w:hAnsi="Times New Roman" w:eastAsia="宋体" w:cs="Times New Roman"/>
          <w:b/>
          <w:i/>
          <w:kern w:val="0"/>
          <w:sz w:val="24"/>
          <w:szCs w:val="24"/>
        </w:rPr>
        <w:t>各方当事人同意，因《基金合同》而产生的或与《基金合同》有关的一切争议，如不愿或者不能通过协商、调解解决的，</w:t>
      </w:r>
      <w:r>
        <w:rPr>
          <w:rFonts w:hint="eastAsia" w:ascii="Times New Roman" w:hAnsi="Times New Roman" w:eastAsia="宋体" w:cs="Times New Roman"/>
          <w:b/>
          <w:i/>
          <w:kern w:val="0"/>
          <w:sz w:val="24"/>
          <w:szCs w:val="24"/>
          <w:lang w:eastAsia="zh-Hans"/>
        </w:rPr>
        <w:t>应</w:t>
      </w:r>
      <w:r>
        <w:rPr>
          <w:rFonts w:ascii="Times New Roman" w:hAnsi="Times New Roman" w:eastAsia="宋体" w:cs="Times New Roman"/>
          <w:b/>
          <w:i/>
          <w:kern w:val="0"/>
          <w:sz w:val="24"/>
          <w:szCs w:val="24"/>
        </w:rPr>
        <w:t>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pPr>
        <w:autoSpaceDE w:val="0"/>
        <w:autoSpaceDN w:val="0"/>
        <w:adjustRightInd w:val="0"/>
        <w:spacing w:line="360" w:lineRule="auto"/>
        <w:ind w:firstLine="482" w:firstLineChars="200"/>
        <w:rPr>
          <w:rFonts w:ascii="Times New Roman" w:hAnsi="Times New Roman" w:eastAsia="宋体" w:cs="Times New Roman"/>
          <w:b/>
          <w:i/>
          <w:kern w:val="0"/>
          <w:sz w:val="24"/>
          <w:szCs w:val="24"/>
        </w:rPr>
      </w:pPr>
      <w:r>
        <w:rPr>
          <w:rFonts w:ascii="Times New Roman" w:hAnsi="Times New Roman" w:eastAsia="宋体" w:cs="Times New Roman"/>
          <w:b/>
          <w:i/>
          <w:kern w:val="0"/>
          <w:sz w:val="24"/>
          <w:szCs w:val="24"/>
        </w:rPr>
        <w:t>争议处理期间，基金管理人、基金托管人应恪守基金管理人和基金托管人的职责，各自继续忠实、勤勉、尽责地履行基金合同和基金托管协议规定的义务，维护基金份额持有人的合法权益。</w:t>
      </w:r>
    </w:p>
    <w:p>
      <w:pPr>
        <w:autoSpaceDE w:val="0"/>
        <w:autoSpaceDN w:val="0"/>
        <w:adjustRightInd w:val="0"/>
        <w:spacing w:line="360" w:lineRule="auto"/>
        <w:ind w:firstLine="482" w:firstLineChars="200"/>
        <w:rPr>
          <w:rFonts w:ascii="Times New Roman" w:hAnsi="Times New Roman" w:eastAsia="宋体" w:cs="Times New Roman"/>
          <w:b/>
          <w:i/>
          <w:kern w:val="0"/>
          <w:sz w:val="24"/>
          <w:szCs w:val="24"/>
        </w:rPr>
      </w:pPr>
      <w:r>
        <w:rPr>
          <w:rFonts w:ascii="Times New Roman" w:hAnsi="Times New Roman" w:eastAsia="宋体" w:cs="Times New Roman"/>
          <w:b/>
          <w:i/>
          <w:kern w:val="0"/>
          <w:sz w:val="24"/>
          <w:szCs w:val="24"/>
        </w:rPr>
        <w:t>《基金合同》受中国法律（为本基金合同之目的，在此不包括香港、澳门特别行政区和台湾地区法律）管辖并从其解释。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24"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rPr>
      </w:pPr>
      <w:bookmarkStart w:id="25" w:name="_Toc471235859"/>
      <w:r>
        <w:rPr>
          <w:rFonts w:ascii="Times New Roman" w:hAnsi="Times New Roman" w:eastAsia="宋体" w:cs="Times New Roman"/>
          <w:kern w:val="0"/>
          <w:sz w:val="30"/>
          <w:lang w:val="zh-CN"/>
        </w:rPr>
        <w:t>第二十二部分</w:t>
      </w:r>
      <w:r>
        <w:rPr>
          <w:rFonts w:ascii="Times New Roman" w:hAnsi="Times New Roman" w:eastAsia="宋体" w:cs="Times New Roman"/>
          <w:kern w:val="0"/>
          <w:sz w:val="30"/>
        </w:rPr>
        <w:t xml:space="preserve"> </w:t>
      </w:r>
      <w:r>
        <w:rPr>
          <w:rFonts w:ascii="Times New Roman" w:hAnsi="Times New Roman" w:eastAsia="宋体" w:cs="Times New Roman"/>
          <w:kern w:val="0"/>
          <w:sz w:val="30"/>
          <w:lang w:val="zh-CN"/>
        </w:rPr>
        <w:t>基金合同的效力</w:t>
      </w:r>
      <w:bookmarkEnd w:id="25"/>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《基金合同》是约定基金合同当事人之间权利义务关系的法律文件。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合同》经基金管理人、基金托管人双方加盖公章（或合同专用章）以及双方法定代表人或授权代表签字（或盖章）并在募集结束后经基金管理人向中国证监会办理基金备案手续，并经中国证监会书面确认后生效。</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2、《基金合同》的有效期自其生效之日起至基金财产清算结果报中国证监会备案并公告之日止。</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3、《基金合同》自生效之日起对包括基金管理人、基金托管人和基金份额持有人在内的《基金合同》各方当事人具有同等的法律约束力。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4、《基金合同》正本一式三份，除上报有关监管机构一式一份外，基金管理人、基金托管人各持有一份，每份具有同等的法律效力。</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5、《基金合同》可印制成册，供投资者在基金管理人、基金托管人、销售机构的办公场所和营业场所查阅。</w:t>
      </w:r>
    </w:p>
    <w:p>
      <w:pPr>
        <w:ind w:firstLine="200"/>
        <w:rPr>
          <w:rFonts w:ascii="Times New Roman" w:hAnsi="Times New Roman" w:eastAsia="宋体" w:cs="Times New Roman"/>
        </w:rPr>
      </w:pPr>
    </w:p>
    <w:p>
      <w:pPr>
        <w:widowControl/>
        <w:ind w:firstLine="200"/>
        <w:rPr>
          <w:rFonts w:ascii="Times New Roman" w:hAnsi="Times New Roman" w:eastAsia="宋体" w:cs="Times New Roman"/>
          <w:b/>
          <w:kern w:val="0"/>
          <w:sz w:val="30"/>
          <w:szCs w:val="30"/>
          <w:lang w:val="zh-CN"/>
        </w:rPr>
        <w:sectPr>
          <w:footerReference r:id="rId25" w:type="default"/>
          <w:pgSz w:w="11906" w:h="16838"/>
          <w:pgMar w:top="1440" w:right="1800" w:bottom="1440" w:left="1800" w:header="851" w:footer="992" w:gutter="0"/>
          <w:pgNumType w:start="1"/>
          <w:cols w:space="425" w:num="1"/>
          <w:docGrid w:type="lines" w:linePitch="312" w:charSpace="0"/>
        </w:sectPr>
      </w:pPr>
    </w:p>
    <w:p>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6" w:name="_Toc471235860"/>
      <w:r>
        <w:rPr>
          <w:rFonts w:ascii="Times New Roman" w:hAnsi="Times New Roman" w:eastAsia="宋体" w:cs="Times New Roman"/>
          <w:kern w:val="0"/>
          <w:sz w:val="30"/>
          <w:lang w:val="zh-CN"/>
        </w:rPr>
        <w:t>第二十三部分 其他事项</w:t>
      </w:r>
      <w:bookmarkEnd w:id="26"/>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《基金合同》如有未尽事宜，由《基金合同》当事人各方按有关法律法规协商解决。</w:t>
      </w:r>
    </w:p>
    <w:p>
      <w:pPr>
        <w:widowControl/>
        <w:ind w:firstLine="200"/>
        <w:rPr>
          <w:rFonts w:ascii="Times New Roman" w:hAnsi="Times New Roman" w:eastAsia="宋体" w:cs="Times New Roman"/>
          <w:kern w:val="0"/>
          <w:sz w:val="24"/>
          <w:szCs w:val="24"/>
        </w:rPr>
        <w:sectPr>
          <w:footerReference r:id="rId26" w:type="default"/>
          <w:pgSz w:w="11906" w:h="16838"/>
          <w:pgMar w:top="1440" w:right="1800" w:bottom="1440" w:left="1800" w:header="851" w:footer="992" w:gutter="0"/>
          <w:pgNumType w:start="1"/>
          <w:cols w:space="425" w:num="1"/>
          <w:docGrid w:type="lines" w:linePitch="312" w:charSpace="0"/>
        </w:sectPr>
      </w:pPr>
    </w:p>
    <w:p>
      <w:pPr>
        <w:keepNext/>
        <w:keepLines/>
        <w:autoSpaceDE w:val="0"/>
        <w:autoSpaceDN w:val="0"/>
        <w:adjustRightInd w:val="0"/>
        <w:snapToGrid w:val="0"/>
        <w:spacing w:line="360" w:lineRule="auto"/>
        <w:ind w:firstLine="422" w:firstLineChars="150"/>
        <w:jc w:val="center"/>
        <w:textAlignment w:val="baseline"/>
        <w:outlineLvl w:val="0"/>
        <w:rPr>
          <w:rFonts w:ascii="Times New Roman" w:hAnsi="Times New Roman" w:eastAsia="宋体" w:cs="Times New Roman"/>
          <w:sz w:val="28"/>
          <w:szCs w:val="20"/>
        </w:rPr>
      </w:pPr>
      <w:bookmarkStart w:id="27" w:name="_Toc20098"/>
      <w:bookmarkStart w:id="28" w:name="_Toc15664"/>
      <w:bookmarkStart w:id="29" w:name="_Toc21122"/>
      <w:bookmarkStart w:id="30" w:name="_Toc141703905"/>
      <w:bookmarkStart w:id="31" w:name="_Toc15045"/>
      <w:bookmarkStart w:id="32" w:name="_Toc7437"/>
      <w:bookmarkStart w:id="33" w:name="_Toc17263"/>
      <w:bookmarkStart w:id="34" w:name="_Toc5108"/>
      <w:bookmarkStart w:id="35" w:name="_Toc12499"/>
      <w:bookmarkStart w:id="36" w:name="_Toc1360"/>
      <w:bookmarkStart w:id="37" w:name="_Toc32355"/>
      <w:bookmarkStart w:id="38" w:name="_Toc9054"/>
      <w:bookmarkStart w:id="39" w:name="_Toc471235861"/>
      <w:r>
        <w:rPr>
          <w:rFonts w:ascii="Times New Roman" w:hAnsi="Times New Roman" w:eastAsia="宋体" w:cs="Times New Roman"/>
          <w:b/>
          <w:kern w:val="0"/>
          <w:sz w:val="28"/>
          <w:lang w:val="zh-CN"/>
        </w:rPr>
        <w:t xml:space="preserve">第二十四部分  </w:t>
      </w:r>
      <w:bookmarkEnd w:id="27"/>
      <w:bookmarkEnd w:id="28"/>
      <w:bookmarkEnd w:id="29"/>
      <w:bookmarkEnd w:id="30"/>
      <w:bookmarkEnd w:id="31"/>
      <w:bookmarkEnd w:id="32"/>
      <w:bookmarkEnd w:id="33"/>
      <w:bookmarkEnd w:id="34"/>
      <w:bookmarkEnd w:id="35"/>
      <w:bookmarkEnd w:id="36"/>
      <w:bookmarkEnd w:id="37"/>
      <w:bookmarkEnd w:id="38"/>
      <w:r>
        <w:rPr>
          <w:rFonts w:ascii="Times New Roman" w:hAnsi="Times New Roman" w:eastAsia="宋体" w:cs="Times New Roman"/>
          <w:b/>
          <w:kern w:val="0"/>
          <w:sz w:val="28"/>
          <w:lang w:val="zh-CN"/>
        </w:rPr>
        <w:t>基金合同的内容摘要</w:t>
      </w:r>
      <w:bookmarkEnd w:id="39"/>
    </w:p>
    <w:p>
      <w:pPr>
        <w:autoSpaceDE w:val="0"/>
        <w:autoSpaceDN w:val="0"/>
        <w:spacing w:line="360" w:lineRule="auto"/>
        <w:ind w:firstLine="480" w:firstLineChars="200"/>
        <w:textAlignment w:val="bottom"/>
        <w:rPr>
          <w:rFonts w:ascii="Times New Roman" w:hAnsi="Times New Roman" w:eastAsia="宋体" w:cs="Times New Roman"/>
          <w:bCs/>
          <w:sz w:val="24"/>
          <w:szCs w:val="20"/>
        </w:rPr>
      </w:pP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一、基金管理人、基金托管人及基金份额持有人的权利与义务</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（一）基金管理人的权利与义务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1、根据《基金法》、《运作办法》及其他有关规定，基金管理人的权利包括但不限于：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（1）依法募集资金；</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（2）自《基金合同》生效之日起，根据法律法规和《基金合同》独立运用并管理基金财产；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（3）依照《基金合同》收取基金管理费以及法律法规规定或中国证监会批准的其他费用；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（4）销售基金份额；</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（5）按照规定召集基金份额持有人大会；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（7）在基金托管人更换时，提名新的基金托管人；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（8）选择、更换基金销售机构，对基金销售机构的相关行为进行监督和处理；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（9）担任或委托其他符合条件的机构担任基金登记机构办理基金登记业务并获得《基金合同》规定的费用；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（10）依据《基金合同》及有关法律规定决定基金收益的分配方案；</w:t>
      </w:r>
      <w:r>
        <w:rPr>
          <w:rFonts w:hint="eastAsia" w:ascii="Times New Roman" w:hAnsi="Times New Roman" w:eastAsia="宋体" w:cs="Times New Roman"/>
          <w:kern w:val="0"/>
          <w:sz w:val="24"/>
          <w:szCs w:val="24"/>
        </w:rPr>
        <w:tab/>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（11）在《基金合同》约定的范围内，拒绝或暂停受理申购、赎回与转换申请； </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（12）依照法律法规为基金的利益对被投资公司行使股东权利，为基金的利益行使因基金财产投资于证券所产生的权利；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（13）在法律法规允许的前提下，为基金的利益依法为基金进行融资及转融通证券出借业务；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（14）以基金管理人的名义，代表基金份额持有人的利益行使诉讼权利或者实施其他法律行为；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（15）选择、更换律师事务所、会计师事务所、证券、期货经纪商或其他为基金提供服务的外部机构；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（16）在符合有关法律、法规的前提下，制订和调整有关基金认购、申购、赎回、转换、定期定额投资和非交易过户等业务规则；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（17）法律法规及中国证监会规定的和《基金合同》约定的其他权利。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2、根据《基金法》、《运作办法》及其他有关规定，基金管理人的义务包括但不限于：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（1）依法募集资金，办理或者委托经中国证监会认定的其他机构代为办理基金份额的发售、申购、赎回和登记事宜；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（2）办理基金备案手续；</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（3）自《基金合同》生效之日起，以诚实信用、谨慎勤勉的原则管理和运用基金财产；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（4）配备足够的具有专业资格的人员进行基金投资分析、决策，以专业化的经营方式管理和运作基金财产；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（6）除依据《基金法》、《基金合同》及其他有关规定外，不得利用基金财产为自己及任何第三人谋取利益，不得委托第三人运作基金财产；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（7）依法接受基金托管人的监督；</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（9）进行基金会计核算并编制基金财务会计报告；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（10）编制季度报告、中期报告和年度报告；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（11）严格按照《基金法》、《基金合同》及其他有关规定，履行信息披露及报告义务；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（13）按《基金合同》的约定确定基金收益分配方案，及时向基金份额持有人分配基金收益；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（14）按规定受理申购与赎回申请，及时、足额支付赎回款项；</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（15）依据《基金法》、《基金合同》及其他有关规定召集基金份额持有人大会或配合基金托管人、基金份额持有人依法召集基金份额持有人大会；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（16）按规定保存基金财产管理业务活动的会计账册、报表、记录和其他相关资料，保存期限不低于法律法规规定的最低期限；</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（18）组织并参加基金财产清算小组，参与基金财产的保管、清理、估价、变现和分配；</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（19）面临解散、依法被撤销或者被依法宣告破产时，及时报告中国证监会并通知基金托管人；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（20）因违反《基金合同》导致基金财产的损失或损害基金份额持有人合法权益时，应当承担赔偿责任，其赔偿责任不因其退任而免除；</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（22）当基金管理人将其义务委托第三方处理时，应当对第三方处理有关基金事务的行为承担责任；</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（23）以基金管理人名义，代表基金份额持有人利益行使诉讼权利或实施其他法律行为；</w:t>
      </w:r>
      <w:r>
        <w:rPr>
          <w:rFonts w:hint="eastAsia" w:ascii="Times New Roman" w:hAnsi="Times New Roman" w:eastAsia="宋体" w:cs="Times New Roman"/>
          <w:kern w:val="0"/>
          <w:sz w:val="24"/>
          <w:szCs w:val="24"/>
        </w:rPr>
        <w:tab/>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（24）基金在募集期间未能达到基金的备案条件，《基金合同》不能生效，基金管理人承担全部募集费用，将已募集资金并加计银行同期活期存款利息在基金募集期结束后30日内退还基金认购人；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（25）执行生效的基金份额持有人大会的决议；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（26）建立并保存基金份额持有人名册；</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（27）法律法规及中国证监会规定的和《基金合同》约定的其他义务。</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（二）基金托管人的权利与义务</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1、根据《基金法》、《运作办法》及其他有关规定，基金托管人的权利包括但不限于：</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（1）自《基金合同》生效之日起，依法律法规和《基金合同》的规定安全保管基金财产；</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（2）依《基金合同》约定获得基金托管费以及法律法规规定或监管部门批准的其他费用；</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（4）根据相关市场规则，为基金开设托管账户、证券账户等投资所需账户，为基金办理证券、期货交易资金清算；</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（5）提议召开或召集基金份额持有人大会；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（6）在基金管理人更换时，提名新的基金管理人；</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（7）法律法规及中国证监会规定的和《基金合同》约定的其他权利。</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2、根据《基金法》、《运作办法》及其他有关规定，基金托管人的义务包括但不限于：</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（1）以诚实信用、勤勉尽责的原则持有并安全保管基金财产；</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（2）设立专门的基金托管部门，具有符合要求的营业场所，配备足够的、合格的熟悉基金托管业务的专职人员，负责基金财产托管事宜；</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（4）除依据《基金法》、《基金合同》及其他有关规定外，不得利用基金财产为自己及任何第三人谋取利益，不得委托第三人托管基金财产；</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（5）保管由基金管理人代表基金签订的与基金有关的重大合同及有关凭证；</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（6）按规定开设基金财产的托管账户和证券账户等投资所需账户，按照《基金合同》的约定，根据基金管理人的投资指令，及时办理清算、交割事宜；</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（8）复核、审查基金管理人计算的基金资产净值、各类基金份额净值、基金份额申购、赎回价格；</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（9）办理与基金托管业务活动有关的信息披露事项；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（11）保存基金托管业务活动的记录、账册、报表和其他相关资料不低于法律法规规定的最低期限；</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（12）保存基金份额持有人名册；</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（13）按规定制作相关账册并与基金管理人核对；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（14）依据基金管理人的指令或有关规定向基金份额持有人支付基金收益和赎回款项；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（15）依据《基金法》、《基金合同》及其他有关规定，召集基金份额持有人大会或配合基金管理人、基金份额持有人依法召集基金份额持有人大会；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（16）按照法律法规和《基金合同》的规定监督基金管理人的投资运作；</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（17）参加基金财产清算小组，参与基金财产的保管、清理、估价、变现和分配；</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（18）面临解散、依法被撤销或者被依法宣告破产时，及时报告中国证监会和银行业监督管理机构，并通知基金管理人；</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（19）因违反《基金合同》导致基金财产损失时，应承担赔偿责任，其赔偿责任不因其退任而免除；</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（21）执行生效的基金份额持有人大会的决议；</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（22）法律法规及中国证监会规定的和《基金合同》约定的其他义务。</w:t>
      </w:r>
    </w:p>
    <w:p>
      <w:pPr>
        <w:autoSpaceDE w:val="0"/>
        <w:autoSpaceDN w:val="0"/>
        <w:adjustRightInd w:val="0"/>
        <w:spacing w:line="360" w:lineRule="auto"/>
        <w:ind w:firstLine="480" w:firstLineChars="200"/>
        <w:rPr>
          <w:rFonts w:ascii="Times New Roman" w:hAnsi="Times New Roman" w:eastAsia="宋体" w:cs="Times New Roman"/>
          <w:bCs/>
          <w:sz w:val="24"/>
          <w:szCs w:val="20"/>
          <w:lang w:eastAsia="zh-Hans"/>
        </w:rPr>
      </w:pPr>
      <w:r>
        <w:rPr>
          <w:rFonts w:ascii="Times New Roman" w:hAnsi="Times New Roman" w:eastAsia="宋体" w:cs="Times New Roman"/>
          <w:bCs/>
          <w:sz w:val="24"/>
          <w:szCs w:val="20"/>
        </w:rPr>
        <w:t>（三）基金份额持有人</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除法律法规另有规定或本基金合同另有约定外，同一类别每份基金份额具有同等的合法权益。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1、根据《基金法》、《运作办法》及其他有关规定，基金份额持有人的权利包括但不限于：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（1）分享基金财产收益；</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（2）参与分配清算后的剩余基金财产；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（3）依法转让或者申请赎回其持有的基金份额；</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（4）按照规定要求召开基金份额持有人大会或者召集基金份额持有人大会；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（5）出席或者委派代表出席基金份额持有人大会，对基金份额持有人大会审议事项行使表决权；</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（6）查阅或者复制公开披露的基金信息资料；</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（7）监督基金管理人的投资运作；</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（8）对基金管理人、基金托管人、基金服务机构损害其合法权益的行为依法提起诉讼或仲裁；</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（9）法律法规及中国证监会规定的和《基金合同》约定的其他权利。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2、根据《基金法》、《运作办法》及其他有关规定，基金份额持有人的义务包括但不限于：</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（1）认真阅读并遵守《基金合同》、招募说明书等信息披露文件；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（2）了解所投资基金产品，了解自身风险承受能力，自主判断基金的投资价值，自主做出投资决策，自行承担投资风险；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（3）关注基金信息披露，及时行使权利和履行义务；</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（4）交纳基金认购、申购款项及法律法规和《基金合同》所规定的费用；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（5）在其持有的基金份额范围内，承担基金亏损或者《基金合同》终止的有限责任；</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（6）不从事任何有损基金及其他《基金合同》当事人合法权益的活动；</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（7）执行生效的基金份额持有人大会的决议；</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（8）返还在基金交易过程中因任何原因获得的不当得利；</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（9）发起资金提供方持有认购的基金份额不少于3年，法律法规或监管机构另有规定的除外；</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（10）法律法规及中国证监会规定的和《基金合同》约定的其他义务。</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二、基金份额持有人大会召集、议事及表决的程序和规则</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本基金份额持有人大会不设日常机构。</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（一）召开事由</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1、除法律法规和中国证监会另有规定或《基金合同》另有约定外，当出现或需要决定下列事由之一的，应当召开基金份额持有人大会：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（1）终止《基金合同》；</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（2）更换基金管理人；</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（3）更换基金托管人；</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（4）转换基金运作方式；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（5）调整基金管理人、基金托管人的报酬标准或提高销售服务费率；</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（6）变更基金类别；</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（7）本基金与其他基金的合并；</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（8）变更基金投资目标、范围或策略；</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（9）变更基金份额持有人大会程序；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（10）基金管理人或基金托管人要求召开基金份额持有人大会；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（12）对基金合同当事人权利和义务产生重大影响的其他事项；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（13）法律法规、《基金合同》或中国证监会规定的其他应当召开基金份额持有人大会的事项。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（1）法律法规要求增加的基金费用的收取；</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（2）调整本基金的申购费率、调低赎回费率、调低销售服务费率或变更收费方式，调整基金份额类别设置、对基金份额分类办法及规则进行调整；</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（3）因相应的法律法规发生变动而应当对《基金合同》进行修改；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（4）对《基金合同》的修改对基金份额持有人利益无实质性不利影响或修改不涉及《基金合同》当事人权利义务关系发生重大变化；</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（5）基金管理人、登记机构、基金销售机构调整有关申购、赎回、转换、基金交易、非交易过户、转托管等业务规则；</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（6）履行相关程序后，基金推出新业务或服务；</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（7）按照法律法规和《基金合同》规定不需召开基金份额持有人大会的其他情形。</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（二）会议召集人及召集方式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1、除法律法规规定或《基金合同》另有约定外，基金份额持有人大会由基金管理人召集。</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2、基金管理人未按规定召集或不能召集时，由基金托管人召集。</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6、基金份额持有人会议的召集人负责选择确定开会时间、地点、方式和权益登记日。</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（三）召开基金份额持有人大会的通知时间、通知内容、通知方式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1、召开基金份额持有人大会，召集人应于会议召开前30日，在规定媒介公告。基金份额持有人大会通知应至少载明以下内容：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（1）会议召开的时间、地点和会议形式；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（2）会议拟审议的事项、议事程序和表决方式；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（3）有权出席基金份额持有人大会的基金份额持有人的权益登记日；</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（4）授权委托证明的内容要求（包括但不限于代理人身份，代理权限和代理有效期限等）、送达时间和地点；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（5）会务常设联系人姓名及联系电话；</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（6）出席会议者必须准备的文件和必须履行的手续；</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（7）召集人需要通知的其他事项。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（四）基金份额持有人出席会议的方式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基金份额持有人大会可通过现场开会方式、通讯开会方式或法律法规、监管机构允许的其他方式召开，会议的召开方式由会议召集人确定。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在同时符合以下条件时，通讯开会的方式视为有效：</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（1）会议召集人按《基金合同》约定公布会议通知后，在2个工作日内连续公布相关提示性公告；</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（五）议事内容与程序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1、议事内容及提案权</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基金份额持有人大会的召集人发出召集会议的通知后，对原有提案的修改应当在基金份额持有人大会召开前及时公告。</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基金份额持有人大会不得对未事先公告的议事内容进行表决。</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2、议事程序</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在现场开会的方式下，首先由大会主持人按照下列第</w:t>
      </w:r>
      <w:r>
        <w:rPr>
          <w:rFonts w:ascii="Times New Roman" w:hAnsi="Times New Roman" w:eastAsia="宋体" w:cs="Times New Roman"/>
          <w:bCs/>
          <w:sz w:val="24"/>
          <w:szCs w:val="20"/>
        </w:rPr>
        <w:t>（</w:t>
      </w:r>
      <w:r>
        <w:rPr>
          <w:rFonts w:hint="eastAsia" w:ascii="Times New Roman" w:hAnsi="Times New Roman" w:eastAsia="宋体" w:cs="Times New Roman"/>
          <w:bCs/>
          <w:sz w:val="24"/>
          <w:szCs w:val="20"/>
        </w:rPr>
        <w:t>七</w:t>
      </w:r>
      <w:r>
        <w:rPr>
          <w:rFonts w:ascii="Times New Roman" w:hAnsi="Times New Roman" w:eastAsia="宋体" w:cs="Times New Roman"/>
          <w:bCs/>
          <w:sz w:val="24"/>
          <w:szCs w:val="20"/>
        </w:rPr>
        <w:t>）</w:t>
      </w:r>
      <w:r>
        <w:rPr>
          <w:rFonts w:hint="eastAsia" w:ascii="Times New Roman" w:hAnsi="Times New Roman" w:eastAsia="宋体" w:cs="Times New Roman"/>
          <w:bCs/>
          <w:sz w:val="24"/>
          <w:szCs w:val="20"/>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（六）表决</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基金份额持有人所持每份基金份额有一票表决权。</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基金份额持有人大会决议分为一般决议和特别决议：</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基金份额持有人大会采取记名方式进行投票表决。</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基金份额持有人大会的各项提案或同一项提案内并列的各项议题应当分开审议、逐项表决。</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（七）计票</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（2）监票人应当在基金份额持有人表决后立即进行清点并由大会主持人当场公布计票结果。</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（4）计票过程应由公证机关予以公证，基金管理人或基金托管人拒不出席大会的，不影响计票的效力。</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（八）生效与公告</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基金份额持有人大会的决议，召集人应当自通过之日起5日内报中国证监会备案。</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基金份额持有人大会的决议自表决通过之日起生效。</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基金份额持有人大会决议自生效之日起按规定在规定媒介上公告。如果采用通讯方式进行表决，在公告基金份额持有人大会决议时，必须将公证书全文、公证机构、公证员姓名等一同公告。</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（九）实施侧袋机制期间基金份额持有人大会的特殊约定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1、基金份额持有人行使提议权、召集权、提名权所需单独或合计代表相关基金份额10%以上（含10%）；</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2、现场开会的到会者在权益登记日代表的基金份额不少于本基金在权益登记日相关基金份额的二分之一（含二分之一）；</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5、现场开会由出席大会的基金份额持有人和代理人所持表决权的50%以上（含50%）选举产生一名基金份额持有人作为该次基金份额持有人大会的主持人；</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6、一般决议须经参加大会的基金份额持有人或其代理人所持表决权的二分之一以上（含二分之一）通过；</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7、特别决议应当经参加大会的基金份额持有人或其代理人所持表决权的三分之二以上（含三分之二）通过。</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侧袋机制实施期间，关于基金份额持有人大会的相关规定以本节特殊约定内容为准，本节没有规定的适用上文相关约定。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（十）</w:t>
      </w:r>
      <w:r>
        <w:rPr>
          <w:rFonts w:hint="eastAsia" w:ascii="Times New Roman" w:hAnsi="Times New Roman" w:eastAsia="宋体" w:cs="Times New Roman"/>
          <w:bCs/>
          <w:sz w:val="24"/>
          <w:szCs w:val="20"/>
        </w:rPr>
        <w:t>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三、基金收益分配原则</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1、由于本基金A类基金份额不收取销售服务费，而C类基金份额收取销售服务费，各基金份额类别对应的可供分配利润将有所不同，本基金同一类别的每一基金份额享有同等分配权；</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3、基金收益分配后各类基金份额净值不能低于面值，即基金收益分配基准日的各类基金份额净值减去每单位该类基金份额收益分配金额后不能低于面值；</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4、法律法规或监管机关另有规定的，从其规定。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在不违反法律法规及基金合同约定，并对基金份额持有人利益无实质不利影响的前提下，基金管理人经与基金托管人协商一致后，可对基金收益分配原则和支付方式进行调整，不需召开基金份额持有人大会。</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四、与基金财产管理、运用有关费用的提取、支付方式与比例</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1、基金管理人的管理费 </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本基金的管理费按前一日基金资产净值的0.50%年费率计提。管理费的计算方法如下：</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H＝E×0.50%÷当年实际天数</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H为每日应计提的基金管理费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2、基金托管人的托管费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本基金的托管费按前一日基金资产净值的0.10%年费率计提。托管费的计算方法如下：</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H＝E×0.10%÷当年实际天数</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H为每日应计提的基金托管费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3、C类份额的销售服务费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本基金A类基金份额不收取销售服务费，C类基金份额的销售服务费年费率为0.30%。</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本基金销售服务费按前一日C类基金资产净值的0.30%年费率计提。计算方法如下： </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H＝E×0.30%÷当年实际天数 </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H为C类基金份额每日应计提的销售服务费</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E为C类基金份额前一日基金资产净值</w:t>
      </w:r>
    </w:p>
    <w:p>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w:t>
      </w:r>
    </w:p>
    <w:p>
      <w:pPr>
        <w:adjustRightInd w:val="0"/>
        <w:snapToGri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bCs/>
          <w:sz w:val="24"/>
          <w:szCs w:val="20"/>
        </w:rPr>
        <w:t>上述“第十五部分 基金费用与税收”中“一、基金费用的种类”中第4－11项费用，根据有关法规及相应协议规定，按费用实际支出金额列入当期费用，由基金托管人从基金财产中支付。</w:t>
      </w:r>
    </w:p>
    <w:p>
      <w:pPr>
        <w:adjustRightInd w:val="0"/>
        <w:snapToGri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五、基金财产的投资方向和投资限制</w:t>
      </w:r>
    </w:p>
    <w:p>
      <w:pPr>
        <w:adjustRightInd w:val="0"/>
        <w:snapToGri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（一）投资范围</w:t>
      </w:r>
    </w:p>
    <w:p>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本基金主要投资于标的指数成份股和备选成份股（含存托凭证）。</w:t>
      </w:r>
    </w:p>
    <w:p>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本基金可根据法律法规的规定参与融资及转融通证券出借业务。未来在法律法规允许的前提下，本基金可根据相关法律法规规定参与融券业务。</w:t>
      </w:r>
    </w:p>
    <w:p>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本基金根据相关法律法规或中国证监会要求履行适当程序后，还可以投资于法律法规或中国证监会未来允许基金投资的其他金融工具。</w:t>
      </w:r>
    </w:p>
    <w:p>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pPr>
        <w:adjustRightInd w:val="0"/>
        <w:snapToGri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sz w:val="24"/>
          <w:szCs w:val="24"/>
        </w:rPr>
        <w:t>若法律法规的相关规定发生变更或监管机构允许，本基金管理人在履行适当程序后，可对上述资产配置比例进行调整。</w:t>
      </w:r>
    </w:p>
    <w:p>
      <w:pPr>
        <w:adjustRightInd w:val="0"/>
        <w:snapToGri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（二）投资限制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1、组合限制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基金的投资组合应遵循以下限制：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（1）本基金的股票资产投资比例不低于基金资产的90%，其中投资于标的指数成份股和备选成份股的资产不低于非现金基金资产的80%，投资港股通标的股票的比例不超过本基金股票资产的10%；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（3）本基金资产总值不得超过基金资产净值的140%；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（4）本基金投资于同一原始权益人的各类资产支持证券的比例，不得超过基金资产净值的10%；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（5）本基金持有的全部资产支持证券，其市值不得超过基金资产净值的20%；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（6）本基金持有的同一(指同一信用级别)资产支持证券的比例，不得超过该资产支持证券规模的10%；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（7）本基金管理人管理的全部基金投资于同一原始权益人的各类资产支持证券，不得超过其各类资产支持证券合计规模的10%；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（8）本基金应投资于信用级别评级为BBB以上(含BBB)的资产支持证券。基金持有资产支持证券期间，如果其信用等级下降、不再符合投资标准，应在评级报告发布之日起3个月内予以全部卖出；</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（9）基金财产参与股票发行申购，本基金所申报的金额不超过本基金的总资产，本基金所申报的股票数量不超过拟发行股票公司本次发行股票的总量；</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（10）本基金参与融资的，在任何交易日日终，本基金融资买入股票与其他有价证券市值之和，不得超过基金资产净值的95%；</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（11）本基金投资于股指期货和国债期货，还应遵循如下投资组合限制：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1）在任何交易日日终，本基金持有的买入股指期货合约价值不超过基金资产净值的10%；在任何交易日日终，持有的买入国债期货合约价值，不得超过基金资产净值15%；</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2）在任何交易日日终，持有的卖出股指期货合约价值不超过基金持有的股票总市值的20%；在任何交易日日终，持有的卖出国债期货合约价值不得超过基金持有的债券总市值的30%；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（12）本基金投资于股票期权，还应遵循如下投资组合限制：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1）因未平仓的期权合约支付和收取的权利金总额不得超过基金资产净值的10%；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2）开仓卖出认购期权的，应持有足额标的证券；开仓卖出认沽期权的，应持有合约行权所需的全额现金或交易所规则认可的可冲抵期权保证金的现金等价物；</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3）未平仓的期权合约面值不得超过基金资产净值的20%。其中，合约面值按照行权价乘以合约乘数计算；</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（13）本基金参与转融通证券出借业务，需遵守下列投资限制：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1）出借证券资产不得超过基金资产净值的30%，出借期限在10 个交易日以上的出借证券应纳入《流动性风险管理规定》所述流动性受限证券的范围；</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2）参与出借业务的单只证券不得超过本基金持有该证券总量的50%；</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3）最近6个月内日均基金资产净值不得低于2亿元；</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4）证券出借的平均剩余期限不得超过30天，平均剩余期限按照市值加权平均计算；</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因证券市场波动、上市公司合并、基金规模变动等基金管理人之外的因素致使基金投资不符合上述规定的，基金管理人不得新增出借业务；</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（14）本基金主动投资于流动性受限资产的市值合计不得超过本基金资产净值的15%；</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因证券市场波动、上市公司股票停牌、基金规模变动等基金管理人之外的因素致使基金不符合该比例限制的，基金管理人不得主动新增流动性受限资产的投资；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（15）本基金与私募类证券资管产品及中国证监会认定的其他主体为交易对手开展逆回购交易的，可接受质押品的资质要求应当与基金合同约定的投资范围保持一致；</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（16）本基金投资存托凭证的比例限制依照境内上市交易的股票执行，与境内上市交易的股票合并计算；</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（17）相关法律法规以及监管部门规定的和基金合同约定的其它投资比例限制。</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除上述第（2）、（8）、（13）、（14）、（15）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法律法规或监管部门取消或变更上述限制，如适用于本基金，基金管理人在履行适当程序后，则本基金投资不再受相关限制，或以变更后的规定为准。</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2、禁止行为</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为维护基金份额持有人的合法权益，基金财产不得用于下列投资或者活动：</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（1）承销证券；</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（2）违反规定向他人贷款或者提供担保；</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（3）从事承担无限责任的投资；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（4）买卖其他基金份额，但是中国证监会另有规定的除外；</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（5）向其基金管理人、基金托管人出资；</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（6）从事内幕交易、操纵证券交易价格及其他不正当的证券交易活动；</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（7）法律、行政法规和中国证监会规定禁止的其他活动。</w:t>
      </w:r>
    </w:p>
    <w:p>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法律、行政法规或监管部门变更或取消上述规定，在履行适当程序后，本基金可按变更后的规定执行或不受上述规定的限制。</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六、基金资产净值的计算方法和公告方式</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（一）估值方法</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1、证券交易所上市的有价证券的估值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（2）交易所市场上市交易或挂牌转让的固定收益品种（本合同另有约定的除外），选取估值日第三方估值机构提供的相应品种对应的估值净价估值，具体估值机构由基金管理人与基金托管人共同确定；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交易所上市实行全价交易的固定收益品种（可转换债券除外），选取第三方估值机构提供的估值全价减去估值全价中所含的固定收益品种（税后）应收利息得到的净价进行估值；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（4）交易所上市不存在活跃市场的有价证券，采用估值技术确定公允价值。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2、处于未上市期间的有价证券应区分如下情况处理：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（1）送股、转增股、配股和公开增发的新股，按估值日在证券交易所挂牌的同一股票的估值方法估值；该日无交易的，以最近一日的市价（收盘价）估值；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（2）首次公开发行未上市的股票，采用估值技术确定公允价值，在估值技术难以可靠计量公允价值的情况下，按成本估值；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3、本基金投资存托凭证的估值核算，依照境内上市交易的股票执行。</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4、银行间的有价证券的估值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（1）对银行间市场上不含权的固定收益品种，按照第三方估值机构提供的相应品种当日的估值净价确定公允价值；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（3）对银行间市场未上市，且第三方估值机构未提供估值价格的债券，采用当前情况下适用并且有足够可利用数据和其他信息支持的估值技术确定其公允价值。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5、资产支持证券的估值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（1）交易所上市的资产支持证券，按估值日第三方估值机构提供的价格估值。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（2）对全国银行间市场上的资产支持证券，按照第三方估值机构提供的相应品种当日的估值净价确定公允价值。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6、同一证券同时在两个或两个以上市场交易的，按证券所处的市场分别估值。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7、本基金投资股指期货合约、国债期货合约，一般以估值当日结算价进行估值，估值当日无结算价的，且最近交易日后经济环境未发生重大变化的，采用最近交易日结算价估值。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8、本基金投资股票期权，根据相关法律法规以及监管部门的规定估值。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9、本基金参与融资或转融通证券出借业务的，应参照行业协会的相关规定进行估值，确保估值的公允性。</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10、汇率</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本基金外币资产价值计算中，涉及主要货币对人民币汇率的，应当以基金估值日中国人民银行或其授权机构公布的人民币汇率中间价为准。</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11、如有确凿证据表明按上述方法进行估值不能客观反映其公允价值的，基金管理人可根据具体情况与基金托管人商定后，按最能反映公允价值的价格估值。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12、当发生大额申购或赎回情形时，基金管理人可以采用摆动定价机制，以确保基金估值的公平性。具体处理原则与操作规范遵循相关法律法规以及监管部门、自律规则的规定。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13、相关法律法规以及监管部门有强制规定的，从其规定。如有新增事项，按国家最新规定估值。</w:t>
      </w:r>
    </w:p>
    <w:p>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pPr>
        <w:autoSpaceDE w:val="0"/>
        <w:autoSpaceDN w:val="0"/>
        <w:spacing w:line="360" w:lineRule="auto"/>
        <w:ind w:firstLine="480" w:firstLineChars="200"/>
        <w:textAlignment w:val="bottom"/>
        <w:rPr>
          <w:rFonts w:ascii="Times New Roman" w:hAnsi="Times New Roman" w:eastAsia="宋体" w:cs="Times New Roman"/>
          <w:sz w:val="24"/>
          <w:szCs w:val="24"/>
        </w:rPr>
      </w:pPr>
      <w:r>
        <w:rPr>
          <w:rFonts w:ascii="Times New Roman" w:hAnsi="Times New Roman" w:eastAsia="宋体" w:cs="Times New Roman"/>
          <w:sz w:val="24"/>
          <w:szCs w:val="24"/>
        </w:rPr>
        <w:t>（二）基金净值信息</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《基金合同》生效后，在开始办理基金份额申购或者赎回前，基金管理人应当至少每周在规定网站公告一次各类基金份额净值和各类基金份额累计净值。</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在开始办理基金份额申购或者赎回后，基金管理人应当在不晚于每个开放日的次日，通过规定网站、基金销售机构网站或者营业网点披露开放日的各类基金份额净值和各类基金份额累计净值。</w:t>
      </w:r>
    </w:p>
    <w:p>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基金管理人应当在不晚于半年度和年度最后一日的次日， 在规定网站公告半年度和年度最后一日各类基金份额净值和各类基金份额累计净值。</w:t>
      </w:r>
    </w:p>
    <w:p>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ascii="Times New Roman" w:hAnsi="Times New Roman" w:eastAsia="宋体" w:cs="Times New Roman"/>
          <w:bCs/>
          <w:sz w:val="24"/>
          <w:szCs w:val="20"/>
        </w:rPr>
        <w:t>七、基金合同的变更、终止与基金财产的清算</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（一）《基金合同》的变更</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2、关于《基金合同》变更的基金份额持有人大会决议自生效后方可执行，自决议生效后按规定在规定媒介公告。</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（二）《基金合同》的终止事由</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有下列情形之一的，经履行相关程序后，《基金合同》应当终止：</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1、基金份额持有人大会决定终止的；</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2、基金管理人、基金托管人职责终止，在6个月内没有新基金管理人、新基金托管人承接的；</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3、《基金合同》约定的其他情形；</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4、相关法律法规和中国证监会规定的其他情况。</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（三）基金财产的清算</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1、基金财产清算小组：自出现《基金合同》终止事由之日起30个工作日内由基金管理人发起成立基金财产清算小组，基金管理人组织基金财产清算小组并在中国证监会的监督下进行基金清算。</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2、在基金财产清算小组接管基金财产之前，基金管理人和基金托管人应按照《基金合同》和托管协议的规定继续履行保护基金财产安全的职责。</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4、基金财产清算小组职责：基金财产清算小组负责基金财产的保管、清理、估价、变现和分配。基金财产清算小组可以依法进行必要的民事活动。</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5、在基金财产清算过程中，基金管理人和基金托管人应各自履行职责，继续忠实、勤勉、尽责地履行基金合同和托管协议规定的义务，维护基金份额持有人的合法权益。</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6、基金财产清算程序：</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（1）《基金合同》终止情形出现时，由基金财产清算小组统一接管基金；</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（2）对基金财产和债权债务进行清理和确认；</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（3）对基金财产进行估值和变现；</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（4）制作清算报告；</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（5）聘请会计师事务所对清算报告进行外部审计，聘请律师事务所对清算报告出具法律意见书；</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（6）将清算报告报中国证监会备案并公告；</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（7）对基金剩余财产进行分配。</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7、基金财产清算的期限为6个月，但因本基金所持证券的流动性受到限制而不能及时变现的，清算期限可相应顺延。</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（四）清算费用</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清算费用是指基金财产清算小组在进行基金清算过程中发生的所有合理费用，清算费用由基金财产清算小组优先从基金剩余财产中支付。</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（五）基金财产清算剩余资产的分配</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依据基金财产清算的分配方案，将基金财产清算后的全部剩余资产扣除基金财产清算费用、交纳所欠税款并清偿基金债务后，按基金份额持有人持有的各类基金份额比例进行分配。</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（六）基金财产清算的公告</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（七）基金财产清算账册及文件的保存</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基金财产清算账册及有关文件由基金托管人保存，保存期限不低于法律法规规定的最低期限。</w:t>
      </w:r>
    </w:p>
    <w:p>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（八）基金合并</w:t>
      </w:r>
    </w:p>
    <w:p>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本基金与其他基金的合并应当按照法律法规规定的程序进行。</w:t>
      </w:r>
    </w:p>
    <w:p>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ascii="Times New Roman" w:hAnsi="Times New Roman" w:eastAsia="宋体" w:cs="Times New Roman"/>
          <w:bCs/>
          <w:sz w:val="24"/>
          <w:szCs w:val="20"/>
        </w:rPr>
        <w:t>八、争议的处理和适用的法律</w:t>
      </w:r>
    </w:p>
    <w:p>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争议处理期间，基金管理人、基金托管人应恪守基金管理人和基金托管人的职责，各自继续忠实、勤勉、尽责地履行基金合同和基金托管协议规定的义务，维护基金份额持有人的合法权益。</w:t>
      </w:r>
    </w:p>
    <w:p>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《基金合同》受中国法律（为本基金合同之目的，在此不包括香港、澳门特别行政区和台湾地区法律）管辖并从其解释。</w:t>
      </w:r>
    </w:p>
    <w:p>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ascii="Times New Roman" w:hAnsi="Times New Roman" w:eastAsia="宋体" w:cs="Times New Roman"/>
          <w:bCs/>
          <w:sz w:val="24"/>
          <w:szCs w:val="20"/>
        </w:rPr>
        <w:t>九、基金合同的存放地和投资者取得基金合同的方式</w:t>
      </w:r>
    </w:p>
    <w:p>
      <w:pPr>
        <w:adjustRightInd w:val="0"/>
        <w:snapToGrid w:val="0"/>
        <w:spacing w:line="360" w:lineRule="auto"/>
        <w:rPr>
          <w:rFonts w:ascii="Times New Roman" w:hAnsi="Times New Roman" w:eastAsia="宋体" w:cs="Times New Roman"/>
          <w:bCs/>
          <w:sz w:val="24"/>
          <w:szCs w:val="20"/>
        </w:rPr>
      </w:pPr>
      <w:r>
        <w:rPr>
          <w:rFonts w:ascii="Times New Roman" w:hAnsi="Times New Roman" w:eastAsia="宋体" w:cs="Times New Roman"/>
          <w:bCs/>
          <w:sz w:val="24"/>
          <w:szCs w:val="20"/>
        </w:rPr>
        <w:t>《基金合同》可印制成册，供投资者在基金管理人、基金托管人、销售机构的办公场所和营业场所查阅。</w:t>
      </w:r>
    </w:p>
    <w:sectPr>
      <w:footerReference r:id="rId27" w:type="default"/>
      <w:pgSz w:w="11906" w:h="16838"/>
      <w:pgMar w:top="1418" w:right="1701" w:bottom="1418"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5843161"/>
    </w:sdtPr>
    <w:sdtContent>
      <w:p>
        <w:pPr>
          <w:pStyle w:val="8"/>
          <w:jc w:val="center"/>
        </w:pPr>
        <w:r>
          <w:rPr>
            <w:rFonts w:hint="eastAsia"/>
          </w:rPr>
          <w:t>1-</w:t>
        </w:r>
        <w:r>
          <w:fldChar w:fldCharType="begin"/>
        </w:r>
        <w:r>
          <w:instrText xml:space="preserve">PAGE   \* MERGEFORMAT</w:instrText>
        </w:r>
        <w:r>
          <w:fldChar w:fldCharType="separate"/>
        </w:r>
        <w:r>
          <w:rPr>
            <w:lang w:val="zh-CN"/>
          </w:rPr>
          <w:t>3</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2290991"/>
    </w:sdtPr>
    <w:sdtContent>
      <w:p>
        <w:pPr>
          <w:pStyle w:val="8"/>
          <w:jc w:val="center"/>
        </w:pPr>
        <w:r>
          <w:rPr>
            <w:rFonts w:hint="eastAsia"/>
          </w:rPr>
          <w:t>2-</w:t>
        </w:r>
        <w:r>
          <w:fldChar w:fldCharType="begin"/>
        </w:r>
        <w:r>
          <w:instrText xml:space="preserve">PAGE   \* MERGEFORMAT</w:instrText>
        </w:r>
        <w:r>
          <w:fldChar w:fldCharType="separate"/>
        </w:r>
        <w:r>
          <w:rPr>
            <w:lang w:val="zh-CN"/>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583245"/>
    </w:sdtPr>
    <w:sdtContent>
      <w:p>
        <w:pPr>
          <w:pStyle w:val="8"/>
          <w:jc w:val="center"/>
        </w:pPr>
        <w:r>
          <w:rPr>
            <w:rFonts w:hint="eastAsia"/>
          </w:rPr>
          <w:t>3-</w:t>
        </w: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433617"/>
    </w:sdtPr>
    <w:sdtContent>
      <w:p>
        <w:pPr>
          <w:pStyle w:val="8"/>
          <w:jc w:val="center"/>
        </w:pPr>
        <w:r>
          <w:rPr>
            <w:rFonts w:hint="eastAsia"/>
          </w:rPr>
          <w:t>4-</w:t>
        </w: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260878"/>
    </w:sdtPr>
    <w:sdtContent>
      <w:p>
        <w:pPr>
          <w:pStyle w:val="8"/>
          <w:jc w:val="center"/>
        </w:pPr>
        <w:r>
          <w:rPr>
            <w:rFonts w:hint="eastAsia"/>
          </w:rPr>
          <w:t>5-</w:t>
        </w:r>
        <w:r>
          <w:fldChar w:fldCharType="begin"/>
        </w:r>
        <w:r>
          <w:instrText xml:space="preserve">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3984408"/>
    </w:sdtPr>
    <w:sdtContent>
      <w:p>
        <w:pPr>
          <w:pStyle w:val="8"/>
          <w:jc w:val="center"/>
        </w:pPr>
        <w:r>
          <w:rPr>
            <w:rFonts w:hint="eastAsia"/>
          </w:rPr>
          <w:t>6-</w:t>
        </w:r>
        <w:r>
          <w:fldChar w:fldCharType="begin"/>
        </w:r>
        <w:r>
          <w:instrText xml:space="preserve">PAGE   \* MERGEFORMAT</w:instrText>
        </w:r>
        <w:r>
          <w:fldChar w:fldCharType="separate"/>
        </w:r>
        <w:r>
          <w:rPr>
            <w:lang w:val="zh-CN"/>
          </w:rPr>
          <w:t>9</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0527981"/>
    </w:sdtPr>
    <w:sdtContent>
      <w:p>
        <w:pPr>
          <w:pStyle w:val="8"/>
          <w:jc w:val="center"/>
        </w:pPr>
        <w:r>
          <w:rPr>
            <w:rFonts w:hint="eastAsia"/>
          </w:rPr>
          <w:t>7-</w:t>
        </w:r>
        <w:r>
          <w:fldChar w:fldCharType="begin"/>
        </w:r>
        <w:r>
          <w:instrText xml:space="preserve">PAGE   \* MERGEFORMAT</w:instrText>
        </w:r>
        <w:r>
          <w:fldChar w:fldCharType="separate"/>
        </w:r>
        <w:r>
          <w:rPr>
            <w:lang w:val="zh-CN"/>
          </w:rPr>
          <w:t>8</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2783646"/>
    </w:sdtPr>
    <w:sdtContent>
      <w:p>
        <w:pPr>
          <w:pStyle w:val="8"/>
          <w:jc w:val="center"/>
        </w:pPr>
        <w:r>
          <w:rPr>
            <w:rFonts w:hint="eastAsia"/>
          </w:rPr>
          <w:t>8-</w:t>
        </w:r>
        <w:r>
          <w:fldChar w:fldCharType="begin"/>
        </w:r>
        <w:r>
          <w:instrText xml:space="preserve">PAGE   \* MERGEFORMAT</w:instrText>
        </w:r>
        <w:r>
          <w:fldChar w:fldCharType="separate"/>
        </w:r>
        <w:r>
          <w:rPr>
            <w:lang w:val="zh-CN"/>
          </w:rPr>
          <w:t>9</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7986414"/>
    </w:sdtPr>
    <w:sdtContent>
      <w:p>
        <w:pPr>
          <w:pStyle w:val="8"/>
          <w:jc w:val="center"/>
        </w:pPr>
        <w:r>
          <w:rPr>
            <w:rFonts w:hint="eastAsia"/>
          </w:rPr>
          <w:t>9-</w:t>
        </w:r>
        <w:r>
          <w:fldChar w:fldCharType="begin"/>
        </w:r>
        <w:r>
          <w:instrText xml:space="preserve">PAGE   \* MERGEFORMAT</w:instrText>
        </w:r>
        <w:r>
          <w:fldChar w:fldCharType="separate"/>
        </w:r>
        <w:r>
          <w:rPr>
            <w:lang w:val="zh-CN"/>
          </w:rPr>
          <w:t>3</w:t>
        </w:r>
        <w: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049421"/>
    </w:sdtPr>
    <w:sdtContent>
      <w:p>
        <w:pPr>
          <w:pStyle w:val="8"/>
          <w:jc w:val="center"/>
        </w:pPr>
        <w:r>
          <w:rPr>
            <w:rFonts w:hint="eastAsia"/>
          </w:rPr>
          <w:t>10-</w:t>
        </w:r>
        <w:r>
          <w:fldChar w:fldCharType="begin"/>
        </w:r>
        <w:r>
          <w:instrText xml:space="preserve">PAGE   \* MERGEFORMAT</w:instrText>
        </w:r>
        <w:r>
          <w:fldChar w:fldCharType="separate"/>
        </w:r>
        <w:r>
          <w:rPr>
            <w:lang w:val="zh-CN"/>
          </w:rPr>
          <w:t>1</w:t>
        </w:r>
        <w: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1462335"/>
    </w:sdtPr>
    <w:sdtContent>
      <w:p>
        <w:pPr>
          <w:pStyle w:val="8"/>
          <w:jc w:val="center"/>
        </w:pPr>
        <w:r>
          <w:rPr>
            <w:rFonts w:hint="eastAsia"/>
          </w:rPr>
          <w:t>11-</w:t>
        </w:r>
        <w:r>
          <w:fldChar w:fldCharType="begin"/>
        </w:r>
        <w:r>
          <w:instrText xml:space="preserve">PAGE   \* MERGEFORMAT</w:instrText>
        </w:r>
        <w:r>
          <w:fldChar w:fldCharType="separate"/>
        </w:r>
        <w:r>
          <w:rPr>
            <w:lang w:val="zh-CN"/>
          </w:rPr>
          <w:t>2</w:t>
        </w:r>
        <w: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4427333"/>
    </w:sdtPr>
    <w:sdtContent>
      <w:p>
        <w:pPr>
          <w:pStyle w:val="8"/>
          <w:jc w:val="center"/>
        </w:pPr>
        <w:r>
          <w:rPr>
            <w:rFonts w:hint="eastAsia"/>
          </w:rPr>
          <w:t>1</w:t>
        </w:r>
        <w:r>
          <w:t>2</w:t>
        </w:r>
        <w:r>
          <w:rPr>
            <w:rFonts w:hint="eastAsia"/>
          </w:rPr>
          <w:t>-</w:t>
        </w:r>
        <w:r>
          <w:fldChar w:fldCharType="begin"/>
        </w:r>
        <w:r>
          <w:instrText xml:space="preserve">PAGE   \* MERGEFORMAT</w:instrText>
        </w:r>
        <w:r>
          <w:fldChar w:fldCharType="separate"/>
        </w:r>
        <w:r>
          <w:rPr>
            <w:lang w:val="zh-CN"/>
          </w:rPr>
          <w:t>8</w:t>
        </w:r>
        <w: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6244562"/>
    </w:sdtPr>
    <w:sdtContent>
      <w:p>
        <w:pPr>
          <w:pStyle w:val="8"/>
          <w:jc w:val="center"/>
        </w:pPr>
        <w:r>
          <w:rPr>
            <w:rFonts w:hint="eastAsia"/>
          </w:rPr>
          <w:t>13-</w:t>
        </w:r>
        <w:r>
          <w:fldChar w:fldCharType="begin"/>
        </w:r>
        <w:r>
          <w:instrText xml:space="preserve">PAGE   \* MERGEFORMAT</w:instrText>
        </w:r>
        <w:r>
          <w:fldChar w:fldCharType="separate"/>
        </w:r>
        <w:r>
          <w:rPr>
            <w:lang w:val="zh-CN"/>
          </w:rPr>
          <w:t>1</w:t>
        </w:r>
        <w: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5131533"/>
    </w:sdtPr>
    <w:sdtContent>
      <w:p>
        <w:pPr>
          <w:pStyle w:val="8"/>
          <w:jc w:val="center"/>
        </w:pPr>
        <w:r>
          <w:rPr>
            <w:rFonts w:hint="eastAsia"/>
          </w:rPr>
          <w:t>14-</w:t>
        </w:r>
        <w:r>
          <w:fldChar w:fldCharType="begin"/>
        </w:r>
        <w:r>
          <w:instrText xml:space="preserve">PAGE   \* MERGEFORMAT</w:instrText>
        </w:r>
        <w:r>
          <w:fldChar w:fldCharType="separate"/>
        </w:r>
        <w:r>
          <w:rPr>
            <w:lang w:val="zh-CN"/>
          </w:rPr>
          <w:t>4</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7577"/>
    </w:sdtPr>
    <w:sdtContent>
      <w:p>
        <w:pPr>
          <w:pStyle w:val="8"/>
          <w:jc w:val="center"/>
        </w:pPr>
        <w:r>
          <w:rPr>
            <w:rFonts w:hint="eastAsia"/>
          </w:rPr>
          <w:t>15-</w:t>
        </w:r>
        <w:r>
          <w:fldChar w:fldCharType="begin"/>
        </w:r>
        <w:r>
          <w:instrText xml:space="preserve">PAGE   \* MERGEFORMAT</w:instrText>
        </w:r>
        <w:r>
          <w:fldChar w:fldCharType="separate"/>
        </w:r>
        <w:r>
          <w:rPr>
            <w:lang w:val="zh-CN"/>
          </w:rPr>
          <w:t>3</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5931259"/>
    </w:sdtPr>
    <w:sdtContent>
      <w:p>
        <w:pPr>
          <w:pStyle w:val="8"/>
          <w:jc w:val="center"/>
        </w:pPr>
        <w:r>
          <w:rPr>
            <w:rFonts w:hint="eastAsia"/>
          </w:rPr>
          <w:t>16-</w:t>
        </w:r>
        <w:r>
          <w:fldChar w:fldCharType="begin"/>
        </w:r>
        <w:r>
          <w:instrText xml:space="preserve">PAGE   \* MERGEFORMAT</w:instrText>
        </w:r>
        <w:r>
          <w:fldChar w:fldCharType="separate"/>
        </w:r>
        <w:r>
          <w:rPr>
            <w:lang w:val="zh-CN"/>
          </w:rPr>
          <w:t>2</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8570845"/>
    </w:sdtPr>
    <w:sdtContent>
      <w:p>
        <w:pPr>
          <w:pStyle w:val="8"/>
          <w:jc w:val="center"/>
        </w:pPr>
        <w:r>
          <w:rPr>
            <w:rFonts w:hint="eastAsia"/>
          </w:rPr>
          <w:t>17-</w:t>
        </w:r>
        <w:r>
          <w:fldChar w:fldCharType="begin"/>
        </w:r>
        <w:r>
          <w:instrText xml:space="preserve">PAGE   \* MERGEFORMAT</w:instrText>
        </w:r>
        <w:r>
          <w:fldChar w:fldCharType="separate"/>
        </w:r>
        <w:r>
          <w:rPr>
            <w:lang w:val="zh-CN"/>
          </w:rPr>
          <w:t>1</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794555"/>
    </w:sdtPr>
    <w:sdtContent>
      <w:p>
        <w:pPr>
          <w:pStyle w:val="8"/>
          <w:jc w:val="center"/>
        </w:pPr>
        <w:r>
          <w:rPr>
            <w:rFonts w:hint="eastAsia"/>
          </w:rPr>
          <w:t>18-</w:t>
        </w:r>
        <w:r>
          <w:fldChar w:fldCharType="begin"/>
        </w:r>
        <w:r>
          <w:instrText xml:space="preserve">PAGE   \* MERGEFORMAT</w:instrText>
        </w:r>
        <w:r>
          <w:fldChar w:fldCharType="separate"/>
        </w:r>
        <w:r>
          <w:rPr>
            <w:lang w:val="zh-CN"/>
          </w:rPr>
          <w:t>8</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0523463"/>
    </w:sdtPr>
    <w:sdtContent>
      <w:p>
        <w:pPr>
          <w:pStyle w:val="8"/>
          <w:jc w:val="center"/>
        </w:pPr>
        <w:r>
          <w:t>19</w:t>
        </w:r>
        <w:r>
          <w:rPr>
            <w:rFonts w:hint="eastAsia"/>
          </w:rPr>
          <w:t>-</w:t>
        </w:r>
        <w:r>
          <w:fldChar w:fldCharType="begin"/>
        </w:r>
        <w:r>
          <w:instrText xml:space="preserve">PAGE   \* MERGEFORMAT</w:instrText>
        </w:r>
        <w:r>
          <w:fldChar w:fldCharType="separate"/>
        </w:r>
        <w:r>
          <w:rPr>
            <w:lang w:val="zh-CN"/>
          </w:rPr>
          <w:t>3</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985813"/>
    </w:sdtPr>
    <w:sdtContent>
      <w:p>
        <w:pPr>
          <w:pStyle w:val="8"/>
          <w:jc w:val="center"/>
        </w:pPr>
        <w:r>
          <w:rPr>
            <w:rFonts w:hint="eastAsia"/>
          </w:rPr>
          <w:t>20-</w:t>
        </w:r>
        <w:r>
          <w:fldChar w:fldCharType="begin"/>
        </w:r>
        <w:r>
          <w:instrText xml:space="preserve">PAGE   \* MERGEFORMAT</w:instrText>
        </w:r>
        <w:r>
          <w:fldChar w:fldCharType="separate"/>
        </w:r>
        <w:r>
          <w:rPr>
            <w:lang w:val="zh-CN"/>
          </w:rPr>
          <w:t>1</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8052798"/>
    </w:sdtPr>
    <w:sdtContent>
      <w:p>
        <w:pPr>
          <w:pStyle w:val="8"/>
          <w:jc w:val="center"/>
        </w:pPr>
        <w:r>
          <w:rPr>
            <w:rFonts w:hint="eastAsia"/>
          </w:rPr>
          <w:t>21-</w:t>
        </w:r>
        <w:r>
          <w:fldChar w:fldCharType="begin"/>
        </w:r>
        <w:r>
          <w:instrText xml:space="preserve">PAGE   \* MERGEFORMAT</w:instrText>
        </w:r>
        <w:r>
          <w:fldChar w:fldCharType="separate"/>
        </w:r>
        <w:r>
          <w:rPr>
            <w:lang w:val="zh-CN"/>
          </w:rPr>
          <w:t>1</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5269233"/>
    </w:sdtPr>
    <w:sdtContent>
      <w:p>
        <w:pPr>
          <w:pStyle w:val="8"/>
          <w:jc w:val="center"/>
        </w:pPr>
        <w:r>
          <w:rPr>
            <w:rFonts w:hint="eastAsia"/>
          </w:rPr>
          <w:t>22-</w:t>
        </w:r>
        <w:r>
          <w:fldChar w:fldCharType="begin"/>
        </w:r>
        <w:r>
          <w:instrText xml:space="preserve">PAGE   \* MERGEFORMAT</w:instrText>
        </w:r>
        <w:r>
          <w:fldChar w:fldCharType="separate"/>
        </w:r>
        <w:r>
          <w:rPr>
            <w:lang w:val="zh-CN"/>
          </w:rPr>
          <w:t>1</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1967383"/>
    </w:sdtPr>
    <w:sdtContent>
      <w:p>
        <w:pPr>
          <w:pStyle w:val="8"/>
          <w:jc w:val="center"/>
        </w:pPr>
        <w:r>
          <w:rPr>
            <w:rFonts w:hint="eastAsia"/>
          </w:rPr>
          <w:t>23-</w:t>
        </w:r>
        <w:r>
          <w:fldChar w:fldCharType="begin"/>
        </w:r>
        <w:r>
          <w:instrText xml:space="preserve">PAGE   \* MERGEFORMAT</w:instrText>
        </w:r>
        <w:r>
          <w:fldChar w:fldCharType="separate"/>
        </w:r>
        <w:r>
          <w:rPr>
            <w:lang w:val="zh-CN"/>
          </w:rPr>
          <w:t>1</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s="宋体" w:asciiTheme="minorEastAsia" w:hAnsiTheme="minorEastAsia"/>
        <w:kern w:val="0"/>
      </w:rPr>
      <w:t>博时国证粮食产业指数型发起式证券投资基金基金合同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hideSpellingErrors/>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354"/>
    <w:rsid w:val="00002EC5"/>
    <w:rsid w:val="00004AC4"/>
    <w:rsid w:val="00005022"/>
    <w:rsid w:val="00011814"/>
    <w:rsid w:val="0001426E"/>
    <w:rsid w:val="0001635D"/>
    <w:rsid w:val="00020300"/>
    <w:rsid w:val="00021AFA"/>
    <w:rsid w:val="00023973"/>
    <w:rsid w:val="00027D99"/>
    <w:rsid w:val="00030AD7"/>
    <w:rsid w:val="00031665"/>
    <w:rsid w:val="000333DE"/>
    <w:rsid w:val="00037EBD"/>
    <w:rsid w:val="00040DD9"/>
    <w:rsid w:val="00042FB4"/>
    <w:rsid w:val="0004450A"/>
    <w:rsid w:val="0004547B"/>
    <w:rsid w:val="0005107F"/>
    <w:rsid w:val="0005175B"/>
    <w:rsid w:val="0005302E"/>
    <w:rsid w:val="0005379E"/>
    <w:rsid w:val="00053B6E"/>
    <w:rsid w:val="00054EBA"/>
    <w:rsid w:val="000555E5"/>
    <w:rsid w:val="000559FA"/>
    <w:rsid w:val="000608B2"/>
    <w:rsid w:val="00061A24"/>
    <w:rsid w:val="00061C9D"/>
    <w:rsid w:val="00062F5A"/>
    <w:rsid w:val="00063003"/>
    <w:rsid w:val="00063D94"/>
    <w:rsid w:val="00064252"/>
    <w:rsid w:val="00064B9C"/>
    <w:rsid w:val="00066B06"/>
    <w:rsid w:val="0006727F"/>
    <w:rsid w:val="00067C4F"/>
    <w:rsid w:val="000703EA"/>
    <w:rsid w:val="00070C54"/>
    <w:rsid w:val="000725BE"/>
    <w:rsid w:val="000726B6"/>
    <w:rsid w:val="00073543"/>
    <w:rsid w:val="00074D26"/>
    <w:rsid w:val="0007593D"/>
    <w:rsid w:val="0008060D"/>
    <w:rsid w:val="0008175C"/>
    <w:rsid w:val="000846E1"/>
    <w:rsid w:val="0008477A"/>
    <w:rsid w:val="0008552F"/>
    <w:rsid w:val="00085AE6"/>
    <w:rsid w:val="00092A1C"/>
    <w:rsid w:val="000961DA"/>
    <w:rsid w:val="000A4452"/>
    <w:rsid w:val="000A462F"/>
    <w:rsid w:val="000A5700"/>
    <w:rsid w:val="000A6055"/>
    <w:rsid w:val="000A729C"/>
    <w:rsid w:val="000A7F4A"/>
    <w:rsid w:val="000B1BDF"/>
    <w:rsid w:val="000B2A7A"/>
    <w:rsid w:val="000B43D2"/>
    <w:rsid w:val="000C19E4"/>
    <w:rsid w:val="000C430D"/>
    <w:rsid w:val="000C63C2"/>
    <w:rsid w:val="000C6EF7"/>
    <w:rsid w:val="000D04B1"/>
    <w:rsid w:val="000D1ACD"/>
    <w:rsid w:val="000D1B4E"/>
    <w:rsid w:val="000D24DD"/>
    <w:rsid w:val="000D567F"/>
    <w:rsid w:val="000E3430"/>
    <w:rsid w:val="000E443E"/>
    <w:rsid w:val="000E4712"/>
    <w:rsid w:val="000E5B26"/>
    <w:rsid w:val="000E5B84"/>
    <w:rsid w:val="000F070E"/>
    <w:rsid w:val="000F1E27"/>
    <w:rsid w:val="000F354F"/>
    <w:rsid w:val="000F3BA8"/>
    <w:rsid w:val="000F6900"/>
    <w:rsid w:val="000F6A1E"/>
    <w:rsid w:val="000F6EA4"/>
    <w:rsid w:val="0010162C"/>
    <w:rsid w:val="001018D7"/>
    <w:rsid w:val="00105DBF"/>
    <w:rsid w:val="001064C7"/>
    <w:rsid w:val="00106F14"/>
    <w:rsid w:val="001127CC"/>
    <w:rsid w:val="00113A3E"/>
    <w:rsid w:val="00113C12"/>
    <w:rsid w:val="00114B3D"/>
    <w:rsid w:val="0011579F"/>
    <w:rsid w:val="001200E0"/>
    <w:rsid w:val="00120A0C"/>
    <w:rsid w:val="00123CAF"/>
    <w:rsid w:val="00124DF9"/>
    <w:rsid w:val="001267FB"/>
    <w:rsid w:val="0012750B"/>
    <w:rsid w:val="0012797D"/>
    <w:rsid w:val="001314CF"/>
    <w:rsid w:val="00134B00"/>
    <w:rsid w:val="001404C3"/>
    <w:rsid w:val="00142C8C"/>
    <w:rsid w:val="00144211"/>
    <w:rsid w:val="001446FC"/>
    <w:rsid w:val="001469CD"/>
    <w:rsid w:val="00152E5B"/>
    <w:rsid w:val="0015460A"/>
    <w:rsid w:val="00161AE7"/>
    <w:rsid w:val="00162F46"/>
    <w:rsid w:val="001641AA"/>
    <w:rsid w:val="00166D93"/>
    <w:rsid w:val="00170D80"/>
    <w:rsid w:val="0017369C"/>
    <w:rsid w:val="00173D6C"/>
    <w:rsid w:val="00182C58"/>
    <w:rsid w:val="00184465"/>
    <w:rsid w:val="001908A0"/>
    <w:rsid w:val="00192708"/>
    <w:rsid w:val="00192B71"/>
    <w:rsid w:val="00195F0F"/>
    <w:rsid w:val="001A10BE"/>
    <w:rsid w:val="001A2915"/>
    <w:rsid w:val="001A5109"/>
    <w:rsid w:val="001A5683"/>
    <w:rsid w:val="001A7BCE"/>
    <w:rsid w:val="001B14CE"/>
    <w:rsid w:val="001B238A"/>
    <w:rsid w:val="001B39F2"/>
    <w:rsid w:val="001B5878"/>
    <w:rsid w:val="001B653B"/>
    <w:rsid w:val="001D016B"/>
    <w:rsid w:val="001D226C"/>
    <w:rsid w:val="001D2338"/>
    <w:rsid w:val="001D54C4"/>
    <w:rsid w:val="001D670B"/>
    <w:rsid w:val="001E28B2"/>
    <w:rsid w:val="001E32EF"/>
    <w:rsid w:val="001F672D"/>
    <w:rsid w:val="001F7D19"/>
    <w:rsid w:val="00200E2C"/>
    <w:rsid w:val="00202CE6"/>
    <w:rsid w:val="00207932"/>
    <w:rsid w:val="00210080"/>
    <w:rsid w:val="00213061"/>
    <w:rsid w:val="002158D4"/>
    <w:rsid w:val="002168E4"/>
    <w:rsid w:val="00222E4A"/>
    <w:rsid w:val="002230E4"/>
    <w:rsid w:val="002258CE"/>
    <w:rsid w:val="00236299"/>
    <w:rsid w:val="0024041F"/>
    <w:rsid w:val="002404A5"/>
    <w:rsid w:val="00245A98"/>
    <w:rsid w:val="00245DEC"/>
    <w:rsid w:val="00246F2E"/>
    <w:rsid w:val="00250289"/>
    <w:rsid w:val="00257782"/>
    <w:rsid w:val="00260CBC"/>
    <w:rsid w:val="00261E0E"/>
    <w:rsid w:val="00263FBE"/>
    <w:rsid w:val="00265CBF"/>
    <w:rsid w:val="0026764E"/>
    <w:rsid w:val="00272948"/>
    <w:rsid w:val="00274747"/>
    <w:rsid w:val="00280C7E"/>
    <w:rsid w:val="00281E34"/>
    <w:rsid w:val="0028533D"/>
    <w:rsid w:val="00290D9D"/>
    <w:rsid w:val="00291354"/>
    <w:rsid w:val="00291370"/>
    <w:rsid w:val="00291F48"/>
    <w:rsid w:val="0029514F"/>
    <w:rsid w:val="002964E7"/>
    <w:rsid w:val="00297747"/>
    <w:rsid w:val="002A1AEE"/>
    <w:rsid w:val="002A6464"/>
    <w:rsid w:val="002A6781"/>
    <w:rsid w:val="002B06F0"/>
    <w:rsid w:val="002B1D1D"/>
    <w:rsid w:val="002B3979"/>
    <w:rsid w:val="002B401C"/>
    <w:rsid w:val="002C5FAC"/>
    <w:rsid w:val="002C671E"/>
    <w:rsid w:val="002D0009"/>
    <w:rsid w:val="002D13CA"/>
    <w:rsid w:val="002D3017"/>
    <w:rsid w:val="002D3573"/>
    <w:rsid w:val="002D3620"/>
    <w:rsid w:val="002D5E92"/>
    <w:rsid w:val="002D7C64"/>
    <w:rsid w:val="002E065C"/>
    <w:rsid w:val="002E0A90"/>
    <w:rsid w:val="002E12F8"/>
    <w:rsid w:val="002E18AF"/>
    <w:rsid w:val="002E2B6D"/>
    <w:rsid w:val="002F37B7"/>
    <w:rsid w:val="002F48AD"/>
    <w:rsid w:val="002F4A45"/>
    <w:rsid w:val="00300EAB"/>
    <w:rsid w:val="00301F2F"/>
    <w:rsid w:val="00302AB0"/>
    <w:rsid w:val="00303FFE"/>
    <w:rsid w:val="00314AFA"/>
    <w:rsid w:val="0032097D"/>
    <w:rsid w:val="00320D56"/>
    <w:rsid w:val="00324A95"/>
    <w:rsid w:val="003310CE"/>
    <w:rsid w:val="00331BA0"/>
    <w:rsid w:val="00332C6C"/>
    <w:rsid w:val="00333A10"/>
    <w:rsid w:val="00334BD6"/>
    <w:rsid w:val="00337F17"/>
    <w:rsid w:val="00347D9E"/>
    <w:rsid w:val="00355146"/>
    <w:rsid w:val="00371CE4"/>
    <w:rsid w:val="00372A6E"/>
    <w:rsid w:val="00373B49"/>
    <w:rsid w:val="00374092"/>
    <w:rsid w:val="00374515"/>
    <w:rsid w:val="003757A4"/>
    <w:rsid w:val="003758E2"/>
    <w:rsid w:val="00377456"/>
    <w:rsid w:val="003809E2"/>
    <w:rsid w:val="00381923"/>
    <w:rsid w:val="003922CC"/>
    <w:rsid w:val="0039686E"/>
    <w:rsid w:val="003A1FE8"/>
    <w:rsid w:val="003A21DC"/>
    <w:rsid w:val="003A39CE"/>
    <w:rsid w:val="003B065C"/>
    <w:rsid w:val="003B3DB7"/>
    <w:rsid w:val="003B4874"/>
    <w:rsid w:val="003B6026"/>
    <w:rsid w:val="003C03B9"/>
    <w:rsid w:val="003C11C8"/>
    <w:rsid w:val="003C275E"/>
    <w:rsid w:val="003D094C"/>
    <w:rsid w:val="003D2420"/>
    <w:rsid w:val="003D2B38"/>
    <w:rsid w:val="003D3441"/>
    <w:rsid w:val="003D4A6F"/>
    <w:rsid w:val="003E066B"/>
    <w:rsid w:val="003E1D86"/>
    <w:rsid w:val="003E1E53"/>
    <w:rsid w:val="003E3444"/>
    <w:rsid w:val="003E41BB"/>
    <w:rsid w:val="003E510C"/>
    <w:rsid w:val="003F0EAB"/>
    <w:rsid w:val="003F4B12"/>
    <w:rsid w:val="003F5D1F"/>
    <w:rsid w:val="0040039C"/>
    <w:rsid w:val="00405452"/>
    <w:rsid w:val="00405602"/>
    <w:rsid w:val="00406B6B"/>
    <w:rsid w:val="00416B8A"/>
    <w:rsid w:val="0042228F"/>
    <w:rsid w:val="004234BA"/>
    <w:rsid w:val="00424A77"/>
    <w:rsid w:val="004263E5"/>
    <w:rsid w:val="004339FE"/>
    <w:rsid w:val="00435580"/>
    <w:rsid w:val="00435F87"/>
    <w:rsid w:val="004404CF"/>
    <w:rsid w:val="00441694"/>
    <w:rsid w:val="00442EFA"/>
    <w:rsid w:val="0045101E"/>
    <w:rsid w:val="0045288B"/>
    <w:rsid w:val="004540EB"/>
    <w:rsid w:val="00454237"/>
    <w:rsid w:val="00456E0D"/>
    <w:rsid w:val="004637B3"/>
    <w:rsid w:val="00464046"/>
    <w:rsid w:val="004651EC"/>
    <w:rsid w:val="004671AA"/>
    <w:rsid w:val="00475028"/>
    <w:rsid w:val="00476F04"/>
    <w:rsid w:val="00480886"/>
    <w:rsid w:val="00480BC2"/>
    <w:rsid w:val="00481C96"/>
    <w:rsid w:val="00483451"/>
    <w:rsid w:val="00484B1C"/>
    <w:rsid w:val="004850F4"/>
    <w:rsid w:val="00485F47"/>
    <w:rsid w:val="00486AA5"/>
    <w:rsid w:val="00487889"/>
    <w:rsid w:val="00491EC6"/>
    <w:rsid w:val="004A27BB"/>
    <w:rsid w:val="004A46F8"/>
    <w:rsid w:val="004A6974"/>
    <w:rsid w:val="004B0D30"/>
    <w:rsid w:val="004B48AF"/>
    <w:rsid w:val="004B6E91"/>
    <w:rsid w:val="004C0C16"/>
    <w:rsid w:val="004C2C35"/>
    <w:rsid w:val="004C3705"/>
    <w:rsid w:val="004C56BD"/>
    <w:rsid w:val="004C5C4C"/>
    <w:rsid w:val="004C5DD7"/>
    <w:rsid w:val="004D68D2"/>
    <w:rsid w:val="004D697B"/>
    <w:rsid w:val="004E40DB"/>
    <w:rsid w:val="004E4AB5"/>
    <w:rsid w:val="004E57A8"/>
    <w:rsid w:val="004F236C"/>
    <w:rsid w:val="004F2625"/>
    <w:rsid w:val="004F42D0"/>
    <w:rsid w:val="004F7C16"/>
    <w:rsid w:val="005031CC"/>
    <w:rsid w:val="00506444"/>
    <w:rsid w:val="00507ED1"/>
    <w:rsid w:val="00510009"/>
    <w:rsid w:val="005123F1"/>
    <w:rsid w:val="0051320C"/>
    <w:rsid w:val="0051349D"/>
    <w:rsid w:val="00515FA1"/>
    <w:rsid w:val="00520081"/>
    <w:rsid w:val="00525C89"/>
    <w:rsid w:val="005275AD"/>
    <w:rsid w:val="00532163"/>
    <w:rsid w:val="00532326"/>
    <w:rsid w:val="00541154"/>
    <w:rsid w:val="00543B2D"/>
    <w:rsid w:val="00543FEF"/>
    <w:rsid w:val="00553DFA"/>
    <w:rsid w:val="00554979"/>
    <w:rsid w:val="00556F0E"/>
    <w:rsid w:val="005577DE"/>
    <w:rsid w:val="0056149A"/>
    <w:rsid w:val="0056593D"/>
    <w:rsid w:val="00565F31"/>
    <w:rsid w:val="00570E03"/>
    <w:rsid w:val="00572BD9"/>
    <w:rsid w:val="00590246"/>
    <w:rsid w:val="005919E1"/>
    <w:rsid w:val="005923A8"/>
    <w:rsid w:val="0059336D"/>
    <w:rsid w:val="00595938"/>
    <w:rsid w:val="00597464"/>
    <w:rsid w:val="005A02CD"/>
    <w:rsid w:val="005A15D3"/>
    <w:rsid w:val="005A4464"/>
    <w:rsid w:val="005A7403"/>
    <w:rsid w:val="005A7829"/>
    <w:rsid w:val="005B7192"/>
    <w:rsid w:val="005C5859"/>
    <w:rsid w:val="005D6898"/>
    <w:rsid w:val="005E0704"/>
    <w:rsid w:val="005E1BEE"/>
    <w:rsid w:val="005E23C3"/>
    <w:rsid w:val="005E3708"/>
    <w:rsid w:val="005E3D05"/>
    <w:rsid w:val="005E47F4"/>
    <w:rsid w:val="005E5E98"/>
    <w:rsid w:val="005E6A3C"/>
    <w:rsid w:val="005E7DC7"/>
    <w:rsid w:val="005F02B7"/>
    <w:rsid w:val="005F08E0"/>
    <w:rsid w:val="005F3CA5"/>
    <w:rsid w:val="00600EC0"/>
    <w:rsid w:val="00602F16"/>
    <w:rsid w:val="00603E31"/>
    <w:rsid w:val="00605E5D"/>
    <w:rsid w:val="00610D19"/>
    <w:rsid w:val="00612610"/>
    <w:rsid w:val="00617718"/>
    <w:rsid w:val="00624EAC"/>
    <w:rsid w:val="00631243"/>
    <w:rsid w:val="00634987"/>
    <w:rsid w:val="00636D17"/>
    <w:rsid w:val="00640399"/>
    <w:rsid w:val="00641FE2"/>
    <w:rsid w:val="00642A8B"/>
    <w:rsid w:val="006502F2"/>
    <w:rsid w:val="00652F9B"/>
    <w:rsid w:val="006540E9"/>
    <w:rsid w:val="00656E74"/>
    <w:rsid w:val="006677E8"/>
    <w:rsid w:val="00671794"/>
    <w:rsid w:val="00674913"/>
    <w:rsid w:val="00674977"/>
    <w:rsid w:val="006752EB"/>
    <w:rsid w:val="006800FF"/>
    <w:rsid w:val="006827CE"/>
    <w:rsid w:val="00685EDC"/>
    <w:rsid w:val="00692F18"/>
    <w:rsid w:val="006940EB"/>
    <w:rsid w:val="00695EB2"/>
    <w:rsid w:val="0069783E"/>
    <w:rsid w:val="006A33A3"/>
    <w:rsid w:val="006A4C5C"/>
    <w:rsid w:val="006A7C12"/>
    <w:rsid w:val="006B4D9E"/>
    <w:rsid w:val="006B53D4"/>
    <w:rsid w:val="006C0ECD"/>
    <w:rsid w:val="006D211F"/>
    <w:rsid w:val="006E190B"/>
    <w:rsid w:val="006E1D78"/>
    <w:rsid w:val="006E3D2C"/>
    <w:rsid w:val="006F1388"/>
    <w:rsid w:val="006F35D3"/>
    <w:rsid w:val="006F4193"/>
    <w:rsid w:val="006F640B"/>
    <w:rsid w:val="006F699D"/>
    <w:rsid w:val="006F7839"/>
    <w:rsid w:val="0070058E"/>
    <w:rsid w:val="007014B8"/>
    <w:rsid w:val="00701828"/>
    <w:rsid w:val="00707ABA"/>
    <w:rsid w:val="0071182B"/>
    <w:rsid w:val="0071405C"/>
    <w:rsid w:val="00715221"/>
    <w:rsid w:val="00722235"/>
    <w:rsid w:val="007222A3"/>
    <w:rsid w:val="00723A67"/>
    <w:rsid w:val="00726299"/>
    <w:rsid w:val="00726770"/>
    <w:rsid w:val="00726903"/>
    <w:rsid w:val="00726A5D"/>
    <w:rsid w:val="0073189E"/>
    <w:rsid w:val="00731A54"/>
    <w:rsid w:val="00732EEF"/>
    <w:rsid w:val="00734CF7"/>
    <w:rsid w:val="00735D22"/>
    <w:rsid w:val="0073650A"/>
    <w:rsid w:val="0073691D"/>
    <w:rsid w:val="007369E6"/>
    <w:rsid w:val="00747B0A"/>
    <w:rsid w:val="00750084"/>
    <w:rsid w:val="00751CE3"/>
    <w:rsid w:val="00753B28"/>
    <w:rsid w:val="00757A96"/>
    <w:rsid w:val="00763E6E"/>
    <w:rsid w:val="00764F1B"/>
    <w:rsid w:val="0076687E"/>
    <w:rsid w:val="00775B59"/>
    <w:rsid w:val="00776CBD"/>
    <w:rsid w:val="00776D60"/>
    <w:rsid w:val="00782928"/>
    <w:rsid w:val="0078321C"/>
    <w:rsid w:val="007853B1"/>
    <w:rsid w:val="00785EE3"/>
    <w:rsid w:val="0078673D"/>
    <w:rsid w:val="0078701F"/>
    <w:rsid w:val="007871E0"/>
    <w:rsid w:val="0078725F"/>
    <w:rsid w:val="00790A51"/>
    <w:rsid w:val="00794227"/>
    <w:rsid w:val="007946BD"/>
    <w:rsid w:val="00795B19"/>
    <w:rsid w:val="007A0280"/>
    <w:rsid w:val="007A0BBA"/>
    <w:rsid w:val="007A1520"/>
    <w:rsid w:val="007A2570"/>
    <w:rsid w:val="007A39E4"/>
    <w:rsid w:val="007B16CF"/>
    <w:rsid w:val="007B28D0"/>
    <w:rsid w:val="007B66E5"/>
    <w:rsid w:val="007B7193"/>
    <w:rsid w:val="007C14AF"/>
    <w:rsid w:val="007C240B"/>
    <w:rsid w:val="007C2D8C"/>
    <w:rsid w:val="007C4954"/>
    <w:rsid w:val="007C5D8D"/>
    <w:rsid w:val="007C60C1"/>
    <w:rsid w:val="007C6215"/>
    <w:rsid w:val="007D0780"/>
    <w:rsid w:val="007D0B8A"/>
    <w:rsid w:val="007D2474"/>
    <w:rsid w:val="007D6087"/>
    <w:rsid w:val="007D6AE1"/>
    <w:rsid w:val="007D78DD"/>
    <w:rsid w:val="007E4B24"/>
    <w:rsid w:val="007F0001"/>
    <w:rsid w:val="007F0EB6"/>
    <w:rsid w:val="007F2EF8"/>
    <w:rsid w:val="007F351F"/>
    <w:rsid w:val="007F3B92"/>
    <w:rsid w:val="00801678"/>
    <w:rsid w:val="008026E6"/>
    <w:rsid w:val="00802D2F"/>
    <w:rsid w:val="00803E3E"/>
    <w:rsid w:val="00804962"/>
    <w:rsid w:val="00810FBA"/>
    <w:rsid w:val="00811808"/>
    <w:rsid w:val="00813D26"/>
    <w:rsid w:val="00814EE7"/>
    <w:rsid w:val="008154B2"/>
    <w:rsid w:val="00817CAA"/>
    <w:rsid w:val="00822223"/>
    <w:rsid w:val="0083140E"/>
    <w:rsid w:val="0083209D"/>
    <w:rsid w:val="0083477B"/>
    <w:rsid w:val="0083785A"/>
    <w:rsid w:val="008423BF"/>
    <w:rsid w:val="00845B66"/>
    <w:rsid w:val="00845BEC"/>
    <w:rsid w:val="0085191A"/>
    <w:rsid w:val="00851E92"/>
    <w:rsid w:val="008525FB"/>
    <w:rsid w:val="00854A1E"/>
    <w:rsid w:val="00857D6F"/>
    <w:rsid w:val="00860CCA"/>
    <w:rsid w:val="0086121E"/>
    <w:rsid w:val="00861DE6"/>
    <w:rsid w:val="0086312B"/>
    <w:rsid w:val="00863F8D"/>
    <w:rsid w:val="00864B44"/>
    <w:rsid w:val="00865550"/>
    <w:rsid w:val="00874A8C"/>
    <w:rsid w:val="00875CF0"/>
    <w:rsid w:val="0087665D"/>
    <w:rsid w:val="0087690F"/>
    <w:rsid w:val="008776F2"/>
    <w:rsid w:val="008808E2"/>
    <w:rsid w:val="00884417"/>
    <w:rsid w:val="00885516"/>
    <w:rsid w:val="008867F7"/>
    <w:rsid w:val="008869DB"/>
    <w:rsid w:val="00890722"/>
    <w:rsid w:val="00891A23"/>
    <w:rsid w:val="00892107"/>
    <w:rsid w:val="008935AA"/>
    <w:rsid w:val="00893AE9"/>
    <w:rsid w:val="00897E73"/>
    <w:rsid w:val="008A1BDC"/>
    <w:rsid w:val="008A2548"/>
    <w:rsid w:val="008A28FB"/>
    <w:rsid w:val="008A6756"/>
    <w:rsid w:val="008A7473"/>
    <w:rsid w:val="008B491B"/>
    <w:rsid w:val="008B708F"/>
    <w:rsid w:val="008C0A7B"/>
    <w:rsid w:val="008C3C54"/>
    <w:rsid w:val="008D11E2"/>
    <w:rsid w:val="008D142D"/>
    <w:rsid w:val="008D1E33"/>
    <w:rsid w:val="008D4D6A"/>
    <w:rsid w:val="008D6F25"/>
    <w:rsid w:val="008E22C3"/>
    <w:rsid w:val="008E236B"/>
    <w:rsid w:val="008E2888"/>
    <w:rsid w:val="008E34A0"/>
    <w:rsid w:val="008E3961"/>
    <w:rsid w:val="008E4633"/>
    <w:rsid w:val="008E6C69"/>
    <w:rsid w:val="008F2051"/>
    <w:rsid w:val="008F2BD0"/>
    <w:rsid w:val="008F42A7"/>
    <w:rsid w:val="0090021E"/>
    <w:rsid w:val="00903478"/>
    <w:rsid w:val="009059D4"/>
    <w:rsid w:val="009079B0"/>
    <w:rsid w:val="0091506D"/>
    <w:rsid w:val="00916193"/>
    <w:rsid w:val="0091688B"/>
    <w:rsid w:val="0091726A"/>
    <w:rsid w:val="00917315"/>
    <w:rsid w:val="00921332"/>
    <w:rsid w:val="0092449B"/>
    <w:rsid w:val="0092628B"/>
    <w:rsid w:val="00935C58"/>
    <w:rsid w:val="009366FE"/>
    <w:rsid w:val="0094452B"/>
    <w:rsid w:val="00945035"/>
    <w:rsid w:val="00945F24"/>
    <w:rsid w:val="0094693C"/>
    <w:rsid w:val="00947E41"/>
    <w:rsid w:val="00950C3F"/>
    <w:rsid w:val="0095293A"/>
    <w:rsid w:val="009564CF"/>
    <w:rsid w:val="009571EA"/>
    <w:rsid w:val="00957504"/>
    <w:rsid w:val="00957E36"/>
    <w:rsid w:val="009605B5"/>
    <w:rsid w:val="0096178B"/>
    <w:rsid w:val="00962F97"/>
    <w:rsid w:val="00964FEF"/>
    <w:rsid w:val="00967ADA"/>
    <w:rsid w:val="00971C2D"/>
    <w:rsid w:val="0097565F"/>
    <w:rsid w:val="00983480"/>
    <w:rsid w:val="00985454"/>
    <w:rsid w:val="00987B8F"/>
    <w:rsid w:val="0099314C"/>
    <w:rsid w:val="00994D15"/>
    <w:rsid w:val="0099530B"/>
    <w:rsid w:val="009955F6"/>
    <w:rsid w:val="009968B0"/>
    <w:rsid w:val="009A3C21"/>
    <w:rsid w:val="009A3FB5"/>
    <w:rsid w:val="009B126F"/>
    <w:rsid w:val="009B14E7"/>
    <w:rsid w:val="009B2981"/>
    <w:rsid w:val="009B34CD"/>
    <w:rsid w:val="009B459B"/>
    <w:rsid w:val="009B6550"/>
    <w:rsid w:val="009C04AD"/>
    <w:rsid w:val="009C15EA"/>
    <w:rsid w:val="009C69EC"/>
    <w:rsid w:val="009C6B1C"/>
    <w:rsid w:val="009C6BBC"/>
    <w:rsid w:val="009E46EF"/>
    <w:rsid w:val="009E7E12"/>
    <w:rsid w:val="009F1214"/>
    <w:rsid w:val="009F58A5"/>
    <w:rsid w:val="009F664A"/>
    <w:rsid w:val="00A0063F"/>
    <w:rsid w:val="00A015D2"/>
    <w:rsid w:val="00A04D4D"/>
    <w:rsid w:val="00A12716"/>
    <w:rsid w:val="00A13B31"/>
    <w:rsid w:val="00A15283"/>
    <w:rsid w:val="00A16178"/>
    <w:rsid w:val="00A2758C"/>
    <w:rsid w:val="00A311AF"/>
    <w:rsid w:val="00A311F8"/>
    <w:rsid w:val="00A326F7"/>
    <w:rsid w:val="00A359AA"/>
    <w:rsid w:val="00A40120"/>
    <w:rsid w:val="00A51BE0"/>
    <w:rsid w:val="00A51CAE"/>
    <w:rsid w:val="00A52E2C"/>
    <w:rsid w:val="00A54F5F"/>
    <w:rsid w:val="00A55CC7"/>
    <w:rsid w:val="00A60C7A"/>
    <w:rsid w:val="00A64061"/>
    <w:rsid w:val="00A719A5"/>
    <w:rsid w:val="00A7673A"/>
    <w:rsid w:val="00A84B0D"/>
    <w:rsid w:val="00A85E71"/>
    <w:rsid w:val="00A921BF"/>
    <w:rsid w:val="00A9358E"/>
    <w:rsid w:val="00A96ADA"/>
    <w:rsid w:val="00AA0972"/>
    <w:rsid w:val="00AA0DA5"/>
    <w:rsid w:val="00AA12C8"/>
    <w:rsid w:val="00AA1B45"/>
    <w:rsid w:val="00AA1BC1"/>
    <w:rsid w:val="00AA2447"/>
    <w:rsid w:val="00AA3EA4"/>
    <w:rsid w:val="00AA49C4"/>
    <w:rsid w:val="00AA6408"/>
    <w:rsid w:val="00AB34B0"/>
    <w:rsid w:val="00AC769B"/>
    <w:rsid w:val="00AD4CE5"/>
    <w:rsid w:val="00AD4E84"/>
    <w:rsid w:val="00AD515D"/>
    <w:rsid w:val="00AD5FBE"/>
    <w:rsid w:val="00AE4043"/>
    <w:rsid w:val="00AF1D77"/>
    <w:rsid w:val="00AF3A8F"/>
    <w:rsid w:val="00AF4CAF"/>
    <w:rsid w:val="00AF5931"/>
    <w:rsid w:val="00AF6572"/>
    <w:rsid w:val="00B006C6"/>
    <w:rsid w:val="00B009C0"/>
    <w:rsid w:val="00B021AE"/>
    <w:rsid w:val="00B025E4"/>
    <w:rsid w:val="00B03020"/>
    <w:rsid w:val="00B04319"/>
    <w:rsid w:val="00B0518C"/>
    <w:rsid w:val="00B06423"/>
    <w:rsid w:val="00B06CE2"/>
    <w:rsid w:val="00B0773F"/>
    <w:rsid w:val="00B1203E"/>
    <w:rsid w:val="00B1378A"/>
    <w:rsid w:val="00B174D5"/>
    <w:rsid w:val="00B251D2"/>
    <w:rsid w:val="00B25E6E"/>
    <w:rsid w:val="00B26C5D"/>
    <w:rsid w:val="00B330C3"/>
    <w:rsid w:val="00B33EDA"/>
    <w:rsid w:val="00B36E00"/>
    <w:rsid w:val="00B36EC1"/>
    <w:rsid w:val="00B423F1"/>
    <w:rsid w:val="00B43279"/>
    <w:rsid w:val="00B43D8F"/>
    <w:rsid w:val="00B4486E"/>
    <w:rsid w:val="00B46685"/>
    <w:rsid w:val="00B55689"/>
    <w:rsid w:val="00B5721A"/>
    <w:rsid w:val="00B605B2"/>
    <w:rsid w:val="00B63AA8"/>
    <w:rsid w:val="00B63EDB"/>
    <w:rsid w:val="00B64129"/>
    <w:rsid w:val="00B760EF"/>
    <w:rsid w:val="00B83B4A"/>
    <w:rsid w:val="00B843D5"/>
    <w:rsid w:val="00B8671F"/>
    <w:rsid w:val="00B909DE"/>
    <w:rsid w:val="00B924EC"/>
    <w:rsid w:val="00B926F4"/>
    <w:rsid w:val="00B92C9A"/>
    <w:rsid w:val="00B956DC"/>
    <w:rsid w:val="00B971E5"/>
    <w:rsid w:val="00B976D6"/>
    <w:rsid w:val="00BA2C31"/>
    <w:rsid w:val="00BA3862"/>
    <w:rsid w:val="00BA3F14"/>
    <w:rsid w:val="00BA47EB"/>
    <w:rsid w:val="00BA4DF4"/>
    <w:rsid w:val="00BA6009"/>
    <w:rsid w:val="00BA7B64"/>
    <w:rsid w:val="00BB46A6"/>
    <w:rsid w:val="00BB74A3"/>
    <w:rsid w:val="00BB7CE4"/>
    <w:rsid w:val="00BC08B1"/>
    <w:rsid w:val="00BC1998"/>
    <w:rsid w:val="00BC6A28"/>
    <w:rsid w:val="00BC7660"/>
    <w:rsid w:val="00BC7BD0"/>
    <w:rsid w:val="00BD2F17"/>
    <w:rsid w:val="00BD5E98"/>
    <w:rsid w:val="00BD61A0"/>
    <w:rsid w:val="00BD7D39"/>
    <w:rsid w:val="00BE14BF"/>
    <w:rsid w:val="00BE3337"/>
    <w:rsid w:val="00BE3DFF"/>
    <w:rsid w:val="00BE5604"/>
    <w:rsid w:val="00BE5A5D"/>
    <w:rsid w:val="00BE693D"/>
    <w:rsid w:val="00BF0D22"/>
    <w:rsid w:val="00BF6FD2"/>
    <w:rsid w:val="00C01420"/>
    <w:rsid w:val="00C01E25"/>
    <w:rsid w:val="00C02969"/>
    <w:rsid w:val="00C07B0E"/>
    <w:rsid w:val="00C13BE4"/>
    <w:rsid w:val="00C13E4F"/>
    <w:rsid w:val="00C14043"/>
    <w:rsid w:val="00C2021F"/>
    <w:rsid w:val="00C214EB"/>
    <w:rsid w:val="00C311EA"/>
    <w:rsid w:val="00C31477"/>
    <w:rsid w:val="00C31B0E"/>
    <w:rsid w:val="00C321BD"/>
    <w:rsid w:val="00C32443"/>
    <w:rsid w:val="00C336B6"/>
    <w:rsid w:val="00C34F4F"/>
    <w:rsid w:val="00C350FE"/>
    <w:rsid w:val="00C370FC"/>
    <w:rsid w:val="00C37D6F"/>
    <w:rsid w:val="00C4162A"/>
    <w:rsid w:val="00C51313"/>
    <w:rsid w:val="00C54019"/>
    <w:rsid w:val="00C5413A"/>
    <w:rsid w:val="00C61CEF"/>
    <w:rsid w:val="00C653C7"/>
    <w:rsid w:val="00C65926"/>
    <w:rsid w:val="00C65DC8"/>
    <w:rsid w:val="00C66CE4"/>
    <w:rsid w:val="00C762B9"/>
    <w:rsid w:val="00C7636F"/>
    <w:rsid w:val="00C77908"/>
    <w:rsid w:val="00C8024D"/>
    <w:rsid w:val="00C80414"/>
    <w:rsid w:val="00C80F4B"/>
    <w:rsid w:val="00C8561E"/>
    <w:rsid w:val="00C86B78"/>
    <w:rsid w:val="00C958EF"/>
    <w:rsid w:val="00CA39BA"/>
    <w:rsid w:val="00CA7B56"/>
    <w:rsid w:val="00CB1352"/>
    <w:rsid w:val="00CB1AA1"/>
    <w:rsid w:val="00CB2E07"/>
    <w:rsid w:val="00CB42B2"/>
    <w:rsid w:val="00CB519A"/>
    <w:rsid w:val="00CB6BD2"/>
    <w:rsid w:val="00CC670F"/>
    <w:rsid w:val="00CD2333"/>
    <w:rsid w:val="00CD47A4"/>
    <w:rsid w:val="00CD6730"/>
    <w:rsid w:val="00CE086A"/>
    <w:rsid w:val="00CE246B"/>
    <w:rsid w:val="00CE2725"/>
    <w:rsid w:val="00CE368D"/>
    <w:rsid w:val="00CE5E4C"/>
    <w:rsid w:val="00CE5F5D"/>
    <w:rsid w:val="00CE6832"/>
    <w:rsid w:val="00CE781A"/>
    <w:rsid w:val="00CF3031"/>
    <w:rsid w:val="00CF43E8"/>
    <w:rsid w:val="00CF5B39"/>
    <w:rsid w:val="00CF6AF6"/>
    <w:rsid w:val="00CF70C0"/>
    <w:rsid w:val="00D00395"/>
    <w:rsid w:val="00D0089D"/>
    <w:rsid w:val="00D01A0E"/>
    <w:rsid w:val="00D03CB1"/>
    <w:rsid w:val="00D04EC9"/>
    <w:rsid w:val="00D1278A"/>
    <w:rsid w:val="00D148B6"/>
    <w:rsid w:val="00D15C32"/>
    <w:rsid w:val="00D16616"/>
    <w:rsid w:val="00D211FE"/>
    <w:rsid w:val="00D25CA8"/>
    <w:rsid w:val="00D3031C"/>
    <w:rsid w:val="00D3038B"/>
    <w:rsid w:val="00D31387"/>
    <w:rsid w:val="00D33253"/>
    <w:rsid w:val="00D33EC9"/>
    <w:rsid w:val="00D34156"/>
    <w:rsid w:val="00D35213"/>
    <w:rsid w:val="00D355D3"/>
    <w:rsid w:val="00D3563B"/>
    <w:rsid w:val="00D35AD4"/>
    <w:rsid w:val="00D41E70"/>
    <w:rsid w:val="00D42DDE"/>
    <w:rsid w:val="00D45A97"/>
    <w:rsid w:val="00D46A24"/>
    <w:rsid w:val="00D50DDD"/>
    <w:rsid w:val="00D512BB"/>
    <w:rsid w:val="00D5266E"/>
    <w:rsid w:val="00D56B8B"/>
    <w:rsid w:val="00D60CEC"/>
    <w:rsid w:val="00D64170"/>
    <w:rsid w:val="00D64673"/>
    <w:rsid w:val="00D65459"/>
    <w:rsid w:val="00D65DEA"/>
    <w:rsid w:val="00D672B9"/>
    <w:rsid w:val="00D815D3"/>
    <w:rsid w:val="00D82A58"/>
    <w:rsid w:val="00D853F6"/>
    <w:rsid w:val="00D87B0E"/>
    <w:rsid w:val="00D91D9F"/>
    <w:rsid w:val="00D933DD"/>
    <w:rsid w:val="00D93450"/>
    <w:rsid w:val="00D934BF"/>
    <w:rsid w:val="00D9389B"/>
    <w:rsid w:val="00D93B29"/>
    <w:rsid w:val="00D962C2"/>
    <w:rsid w:val="00D97483"/>
    <w:rsid w:val="00DA13CC"/>
    <w:rsid w:val="00DA2BB1"/>
    <w:rsid w:val="00DA3EF3"/>
    <w:rsid w:val="00DA4D6A"/>
    <w:rsid w:val="00DA5A24"/>
    <w:rsid w:val="00DA6426"/>
    <w:rsid w:val="00DA75BD"/>
    <w:rsid w:val="00DB0750"/>
    <w:rsid w:val="00DB69D5"/>
    <w:rsid w:val="00DB750C"/>
    <w:rsid w:val="00DC11A5"/>
    <w:rsid w:val="00DC3127"/>
    <w:rsid w:val="00DC34AC"/>
    <w:rsid w:val="00DC5594"/>
    <w:rsid w:val="00DC7BE0"/>
    <w:rsid w:val="00DD6805"/>
    <w:rsid w:val="00DD685B"/>
    <w:rsid w:val="00DE1ACD"/>
    <w:rsid w:val="00DE1C7A"/>
    <w:rsid w:val="00DE33CF"/>
    <w:rsid w:val="00DE53CD"/>
    <w:rsid w:val="00DE6433"/>
    <w:rsid w:val="00DE6468"/>
    <w:rsid w:val="00DF1D74"/>
    <w:rsid w:val="00DF2016"/>
    <w:rsid w:val="00E00EBB"/>
    <w:rsid w:val="00E01367"/>
    <w:rsid w:val="00E025DE"/>
    <w:rsid w:val="00E044ED"/>
    <w:rsid w:val="00E05136"/>
    <w:rsid w:val="00E06473"/>
    <w:rsid w:val="00E07E31"/>
    <w:rsid w:val="00E10A9E"/>
    <w:rsid w:val="00E10F90"/>
    <w:rsid w:val="00E11419"/>
    <w:rsid w:val="00E11F09"/>
    <w:rsid w:val="00E14C93"/>
    <w:rsid w:val="00E20815"/>
    <w:rsid w:val="00E21283"/>
    <w:rsid w:val="00E22CF3"/>
    <w:rsid w:val="00E2300C"/>
    <w:rsid w:val="00E237AB"/>
    <w:rsid w:val="00E244EF"/>
    <w:rsid w:val="00E25A51"/>
    <w:rsid w:val="00E276B9"/>
    <w:rsid w:val="00E30495"/>
    <w:rsid w:val="00E336F4"/>
    <w:rsid w:val="00E3401A"/>
    <w:rsid w:val="00E35EB7"/>
    <w:rsid w:val="00E56E81"/>
    <w:rsid w:val="00E577CB"/>
    <w:rsid w:val="00E610E2"/>
    <w:rsid w:val="00E62F7F"/>
    <w:rsid w:val="00E65E4B"/>
    <w:rsid w:val="00E65F69"/>
    <w:rsid w:val="00E702E2"/>
    <w:rsid w:val="00E745D3"/>
    <w:rsid w:val="00E753B0"/>
    <w:rsid w:val="00E82766"/>
    <w:rsid w:val="00E82D9B"/>
    <w:rsid w:val="00E97D3F"/>
    <w:rsid w:val="00EB04F6"/>
    <w:rsid w:val="00EB0F6F"/>
    <w:rsid w:val="00EB29D3"/>
    <w:rsid w:val="00EB5014"/>
    <w:rsid w:val="00EB506A"/>
    <w:rsid w:val="00EB71C3"/>
    <w:rsid w:val="00EC03C8"/>
    <w:rsid w:val="00EC0722"/>
    <w:rsid w:val="00EC0CA6"/>
    <w:rsid w:val="00EC12C5"/>
    <w:rsid w:val="00EC2E8B"/>
    <w:rsid w:val="00EC4B5E"/>
    <w:rsid w:val="00EC57D1"/>
    <w:rsid w:val="00ED2419"/>
    <w:rsid w:val="00ED3A46"/>
    <w:rsid w:val="00ED7D3E"/>
    <w:rsid w:val="00EF0052"/>
    <w:rsid w:val="00EF28CB"/>
    <w:rsid w:val="00EF31E7"/>
    <w:rsid w:val="00EF4646"/>
    <w:rsid w:val="00EF5EB4"/>
    <w:rsid w:val="00F01A07"/>
    <w:rsid w:val="00F0326A"/>
    <w:rsid w:val="00F033B7"/>
    <w:rsid w:val="00F04B2E"/>
    <w:rsid w:val="00F06569"/>
    <w:rsid w:val="00F0676C"/>
    <w:rsid w:val="00F14537"/>
    <w:rsid w:val="00F16B5D"/>
    <w:rsid w:val="00F1746F"/>
    <w:rsid w:val="00F20C5A"/>
    <w:rsid w:val="00F2382F"/>
    <w:rsid w:val="00F2595B"/>
    <w:rsid w:val="00F2736D"/>
    <w:rsid w:val="00F30B51"/>
    <w:rsid w:val="00F31BB5"/>
    <w:rsid w:val="00F42D55"/>
    <w:rsid w:val="00F47B92"/>
    <w:rsid w:val="00F50759"/>
    <w:rsid w:val="00F51552"/>
    <w:rsid w:val="00F51DA2"/>
    <w:rsid w:val="00F53F21"/>
    <w:rsid w:val="00F57D76"/>
    <w:rsid w:val="00F62F58"/>
    <w:rsid w:val="00F63E55"/>
    <w:rsid w:val="00F6413C"/>
    <w:rsid w:val="00F70523"/>
    <w:rsid w:val="00F70A5E"/>
    <w:rsid w:val="00F762BB"/>
    <w:rsid w:val="00F81A9C"/>
    <w:rsid w:val="00F8299B"/>
    <w:rsid w:val="00F844E9"/>
    <w:rsid w:val="00F9192C"/>
    <w:rsid w:val="00F977B4"/>
    <w:rsid w:val="00FA1ABB"/>
    <w:rsid w:val="00FA4B9C"/>
    <w:rsid w:val="00FA66AC"/>
    <w:rsid w:val="00FB178E"/>
    <w:rsid w:val="00FB363F"/>
    <w:rsid w:val="00FB3C1F"/>
    <w:rsid w:val="00FB59E7"/>
    <w:rsid w:val="00FB6F94"/>
    <w:rsid w:val="00FC003B"/>
    <w:rsid w:val="00FC1F76"/>
    <w:rsid w:val="00FC4CB8"/>
    <w:rsid w:val="00FC6902"/>
    <w:rsid w:val="00FD1C0E"/>
    <w:rsid w:val="00FD4023"/>
    <w:rsid w:val="00FD5B77"/>
    <w:rsid w:val="00FD60D1"/>
    <w:rsid w:val="00FD7C76"/>
    <w:rsid w:val="00FE196F"/>
    <w:rsid w:val="00FE1D33"/>
    <w:rsid w:val="00FE30CA"/>
    <w:rsid w:val="00FE636F"/>
    <w:rsid w:val="00FE74D0"/>
    <w:rsid w:val="00FE7C0C"/>
    <w:rsid w:val="00FF18E5"/>
    <w:rsid w:val="00FF20E8"/>
    <w:rsid w:val="00FF2526"/>
    <w:rsid w:val="00FF4CD2"/>
    <w:rsid w:val="01520022"/>
    <w:rsid w:val="01CE040B"/>
    <w:rsid w:val="02C5045E"/>
    <w:rsid w:val="046E4946"/>
    <w:rsid w:val="05B22CC4"/>
    <w:rsid w:val="06402FC4"/>
    <w:rsid w:val="06690105"/>
    <w:rsid w:val="07027D7B"/>
    <w:rsid w:val="0944042D"/>
    <w:rsid w:val="09A65F67"/>
    <w:rsid w:val="0A8E4561"/>
    <w:rsid w:val="0B021001"/>
    <w:rsid w:val="0DBE56D0"/>
    <w:rsid w:val="0E751E70"/>
    <w:rsid w:val="111D51F7"/>
    <w:rsid w:val="14066CD8"/>
    <w:rsid w:val="14F121A2"/>
    <w:rsid w:val="15614F9C"/>
    <w:rsid w:val="162F5EE2"/>
    <w:rsid w:val="170BAA33"/>
    <w:rsid w:val="177B2407"/>
    <w:rsid w:val="191C0649"/>
    <w:rsid w:val="1B2557CC"/>
    <w:rsid w:val="1BFA781C"/>
    <w:rsid w:val="1D222DD5"/>
    <w:rsid w:val="1D34607E"/>
    <w:rsid w:val="1E385D53"/>
    <w:rsid w:val="1F6B1615"/>
    <w:rsid w:val="1FEE8EB9"/>
    <w:rsid w:val="215A33B7"/>
    <w:rsid w:val="219A04FA"/>
    <w:rsid w:val="22F304C6"/>
    <w:rsid w:val="23843752"/>
    <w:rsid w:val="2581534B"/>
    <w:rsid w:val="25F63F83"/>
    <w:rsid w:val="27C62A72"/>
    <w:rsid w:val="28CE49A4"/>
    <w:rsid w:val="292C05B7"/>
    <w:rsid w:val="2BEA5CC9"/>
    <w:rsid w:val="2D5D3849"/>
    <w:rsid w:val="2E6C2F97"/>
    <w:rsid w:val="30CD1CAF"/>
    <w:rsid w:val="34DA2F1B"/>
    <w:rsid w:val="373D6078"/>
    <w:rsid w:val="38D62332"/>
    <w:rsid w:val="38F7193E"/>
    <w:rsid w:val="39630450"/>
    <w:rsid w:val="39D92CA5"/>
    <w:rsid w:val="3A4321FC"/>
    <w:rsid w:val="3BA578CC"/>
    <w:rsid w:val="3DFF581B"/>
    <w:rsid w:val="3E1E1071"/>
    <w:rsid w:val="3E2D113F"/>
    <w:rsid w:val="3E3068D7"/>
    <w:rsid w:val="3F6339E8"/>
    <w:rsid w:val="3F694589"/>
    <w:rsid w:val="3FBD2FC1"/>
    <w:rsid w:val="3FF2259C"/>
    <w:rsid w:val="445043F4"/>
    <w:rsid w:val="448E371D"/>
    <w:rsid w:val="469A2C93"/>
    <w:rsid w:val="46BF5B6B"/>
    <w:rsid w:val="47B50564"/>
    <w:rsid w:val="48C74968"/>
    <w:rsid w:val="494B4AD5"/>
    <w:rsid w:val="4E443439"/>
    <w:rsid w:val="4F7A6843"/>
    <w:rsid w:val="5013777C"/>
    <w:rsid w:val="5215053D"/>
    <w:rsid w:val="53F371F8"/>
    <w:rsid w:val="55A63B7C"/>
    <w:rsid w:val="58A54999"/>
    <w:rsid w:val="5A36413C"/>
    <w:rsid w:val="5B2D30D3"/>
    <w:rsid w:val="5BB302D6"/>
    <w:rsid w:val="5BD678C9"/>
    <w:rsid w:val="5C743A6C"/>
    <w:rsid w:val="5DDF0D43"/>
    <w:rsid w:val="5F311452"/>
    <w:rsid w:val="5FE21E4C"/>
    <w:rsid w:val="6232692C"/>
    <w:rsid w:val="63357580"/>
    <w:rsid w:val="64043764"/>
    <w:rsid w:val="64F1787F"/>
    <w:rsid w:val="662462DF"/>
    <w:rsid w:val="66B01DDF"/>
    <w:rsid w:val="67BDBFF8"/>
    <w:rsid w:val="696D2620"/>
    <w:rsid w:val="69743C15"/>
    <w:rsid w:val="69D3530C"/>
    <w:rsid w:val="6C824E8D"/>
    <w:rsid w:val="6C9D4811"/>
    <w:rsid w:val="6CF97BC9"/>
    <w:rsid w:val="6D9677E2"/>
    <w:rsid w:val="6DC53F7D"/>
    <w:rsid w:val="6E3F2B3B"/>
    <w:rsid w:val="6F364741"/>
    <w:rsid w:val="6F87013E"/>
    <w:rsid w:val="6FF199EE"/>
    <w:rsid w:val="6FFFF4FD"/>
    <w:rsid w:val="70210600"/>
    <w:rsid w:val="72745046"/>
    <w:rsid w:val="75DA21F8"/>
    <w:rsid w:val="763B79A7"/>
    <w:rsid w:val="76486FD4"/>
    <w:rsid w:val="76DF13E9"/>
    <w:rsid w:val="77BD6F9C"/>
    <w:rsid w:val="77F5BE57"/>
    <w:rsid w:val="77FEC754"/>
    <w:rsid w:val="78D93F4E"/>
    <w:rsid w:val="793F465E"/>
    <w:rsid w:val="79750201"/>
    <w:rsid w:val="7B1A2F5E"/>
    <w:rsid w:val="7B8E5E9A"/>
    <w:rsid w:val="7BAF47F9"/>
    <w:rsid w:val="7BDF44E9"/>
    <w:rsid w:val="7BED19A8"/>
    <w:rsid w:val="7BFE5513"/>
    <w:rsid w:val="7CC5329A"/>
    <w:rsid w:val="7D3103E4"/>
    <w:rsid w:val="7DDE3280"/>
    <w:rsid w:val="7E086F28"/>
    <w:rsid w:val="7E2E26A8"/>
    <w:rsid w:val="7E7F82B8"/>
    <w:rsid w:val="7EBF32C9"/>
    <w:rsid w:val="7F27C6F3"/>
    <w:rsid w:val="7F526DA5"/>
    <w:rsid w:val="7F7F1DAC"/>
    <w:rsid w:val="7FAC74FE"/>
    <w:rsid w:val="7FE205A8"/>
    <w:rsid w:val="7FF5B4BA"/>
    <w:rsid w:val="7FFEB597"/>
    <w:rsid w:val="AFFDFD77"/>
    <w:rsid w:val="B75F7C49"/>
    <w:rsid w:val="BDFED2BE"/>
    <w:rsid w:val="BF3FD4CC"/>
    <w:rsid w:val="BFF7A3C8"/>
    <w:rsid w:val="CD6FE07A"/>
    <w:rsid w:val="CE6F6E5C"/>
    <w:rsid w:val="D9D61BFE"/>
    <w:rsid w:val="DFFF4BE1"/>
    <w:rsid w:val="E3DE7538"/>
    <w:rsid w:val="EBD70576"/>
    <w:rsid w:val="EF8F6260"/>
    <w:rsid w:val="EFFEA947"/>
    <w:rsid w:val="F3D9C921"/>
    <w:rsid w:val="F3FDDA31"/>
    <w:rsid w:val="F5E6805D"/>
    <w:rsid w:val="F7D4A9DB"/>
    <w:rsid w:val="F9BFFEF1"/>
    <w:rsid w:val="FBBFF893"/>
    <w:rsid w:val="FBDC563C"/>
    <w:rsid w:val="FCFC10C0"/>
    <w:rsid w:val="FF7D6EB4"/>
    <w:rsid w:val="FFDF214D"/>
    <w:rsid w:val="FFEB7C55"/>
    <w:rsid w:val="FFF7CEA0"/>
    <w:rsid w:val="FFFF9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6"/>
    <w:unhideWhenUsed/>
    <w:qFormat/>
    <w:uiPriority w:val="99"/>
    <w:pPr>
      <w:jc w:val="left"/>
    </w:pPr>
  </w:style>
  <w:style w:type="paragraph" w:styleId="6">
    <w:name w:val="toc 3"/>
    <w:basedOn w:val="1"/>
    <w:next w:val="1"/>
    <w:unhideWhenUsed/>
    <w:qFormat/>
    <w:uiPriority w:val="39"/>
    <w:pPr>
      <w:widowControl/>
      <w:spacing w:after="100" w:line="276" w:lineRule="auto"/>
      <w:ind w:left="440"/>
      <w:jc w:val="left"/>
    </w:pPr>
    <w:rPr>
      <w:kern w:val="0"/>
      <w:sz w:val="22"/>
    </w:rPr>
  </w:style>
  <w:style w:type="paragraph" w:styleId="7">
    <w:name w:val="Balloon Text"/>
    <w:basedOn w:val="1"/>
    <w:link w:val="24"/>
    <w:unhideWhenUsed/>
    <w:qFormat/>
    <w:uiPriority w:val="99"/>
    <w:rPr>
      <w:sz w:val="18"/>
      <w:szCs w:val="18"/>
    </w:rPr>
  </w:style>
  <w:style w:type="paragraph" w:styleId="8">
    <w:name w:val="footer"/>
    <w:basedOn w:val="1"/>
    <w:link w:val="23"/>
    <w:unhideWhenUsed/>
    <w:qFormat/>
    <w:uiPriority w:val="99"/>
    <w:pPr>
      <w:tabs>
        <w:tab w:val="center" w:pos="4153"/>
        <w:tab w:val="right" w:pos="8306"/>
      </w:tabs>
      <w:snapToGrid w:val="0"/>
      <w:jc w:val="left"/>
    </w:pPr>
    <w:rPr>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tabs>
        <w:tab w:val="right" w:leader="dot" w:pos="8296"/>
      </w:tabs>
      <w:spacing w:after="100" w:line="276" w:lineRule="auto"/>
      <w:jc w:val="left"/>
    </w:pPr>
    <w:rPr>
      <w:rFonts w:ascii="Times New Roman" w:hAnsi="Times New Roman" w:eastAsia="宋体" w:cs="Times New Roman"/>
      <w:kern w:val="0"/>
      <w:sz w:val="22"/>
      <w:lang w:val="zh-CN"/>
    </w:rPr>
  </w:style>
  <w:style w:type="paragraph" w:styleId="11">
    <w:name w:val="toc 2"/>
    <w:basedOn w:val="1"/>
    <w:next w:val="1"/>
    <w:unhideWhenUsed/>
    <w:qFormat/>
    <w:uiPriority w:val="39"/>
    <w:pPr>
      <w:widowControl/>
      <w:spacing w:after="100" w:line="276" w:lineRule="auto"/>
      <w:ind w:left="220"/>
      <w:jc w:val="left"/>
    </w:pPr>
    <w:rPr>
      <w:kern w:val="0"/>
      <w:sz w:val="22"/>
    </w:rPr>
  </w:style>
  <w:style w:type="paragraph" w:styleId="12">
    <w:name w:val="Normal (Web)"/>
    <w:basedOn w:val="1"/>
    <w:semiHidden/>
    <w:unhideWhenUsed/>
    <w:qFormat/>
    <w:uiPriority w:val="99"/>
    <w:pPr>
      <w:spacing w:beforeAutospacing="1" w:afterAutospacing="1"/>
      <w:jc w:val="left"/>
    </w:pPr>
    <w:rPr>
      <w:rFonts w:cs="Times New Roman"/>
      <w:kern w:val="0"/>
      <w:sz w:val="24"/>
    </w:rPr>
  </w:style>
  <w:style w:type="paragraph" w:styleId="13">
    <w:name w:val="annotation subject"/>
    <w:basedOn w:val="5"/>
    <w:next w:val="5"/>
    <w:link w:val="27"/>
    <w:unhideWhenUsed/>
    <w:qFormat/>
    <w:uiPriority w:val="99"/>
    <w:rPr>
      <w:b/>
      <w:bCs/>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000FF" w:themeColor="hyperlink"/>
      <w:u w:val="single"/>
      <w14:textFill>
        <w14:solidFill>
          <w14:schemeClr w14:val="hlink"/>
        </w14:solidFill>
      </w14:textFill>
    </w:rPr>
  </w:style>
  <w:style w:type="character" w:styleId="18">
    <w:name w:val="annotation reference"/>
    <w:basedOn w:val="16"/>
    <w:unhideWhenUsed/>
    <w:qFormat/>
    <w:uiPriority w:val="0"/>
    <w:rPr>
      <w:sz w:val="21"/>
      <w:szCs w:val="21"/>
    </w:rPr>
  </w:style>
  <w:style w:type="character" w:customStyle="1" w:styleId="19">
    <w:name w:val="标题 1 字符"/>
    <w:basedOn w:val="16"/>
    <w:link w:val="2"/>
    <w:qFormat/>
    <w:uiPriority w:val="0"/>
    <w:rPr>
      <w:b/>
      <w:bCs/>
      <w:kern w:val="44"/>
      <w:sz w:val="44"/>
      <w:szCs w:val="44"/>
    </w:rPr>
  </w:style>
  <w:style w:type="character" w:customStyle="1" w:styleId="20">
    <w:name w:val="标题 2 字符"/>
    <w:basedOn w:val="16"/>
    <w:link w:val="3"/>
    <w:qFormat/>
    <w:uiPriority w:val="9"/>
    <w:rPr>
      <w:rFonts w:asciiTheme="majorHAnsi" w:hAnsiTheme="majorHAnsi" w:eastAsiaTheme="majorEastAsia" w:cstheme="majorBidi"/>
      <w:b/>
      <w:bCs/>
      <w:sz w:val="32"/>
      <w:szCs w:val="32"/>
    </w:rPr>
  </w:style>
  <w:style w:type="character" w:customStyle="1" w:styleId="21">
    <w:name w:val="标题 3 字符"/>
    <w:basedOn w:val="16"/>
    <w:link w:val="4"/>
    <w:qFormat/>
    <w:uiPriority w:val="9"/>
    <w:rPr>
      <w:b/>
      <w:bCs/>
      <w:sz w:val="32"/>
      <w:szCs w:val="32"/>
    </w:rPr>
  </w:style>
  <w:style w:type="character" w:customStyle="1" w:styleId="22">
    <w:name w:val="页眉 字符"/>
    <w:basedOn w:val="16"/>
    <w:link w:val="9"/>
    <w:qFormat/>
    <w:uiPriority w:val="99"/>
    <w:rPr>
      <w:sz w:val="18"/>
      <w:szCs w:val="18"/>
    </w:rPr>
  </w:style>
  <w:style w:type="character" w:customStyle="1" w:styleId="23">
    <w:name w:val="页脚 字符"/>
    <w:basedOn w:val="16"/>
    <w:link w:val="8"/>
    <w:qFormat/>
    <w:uiPriority w:val="99"/>
    <w:rPr>
      <w:sz w:val="18"/>
      <w:szCs w:val="18"/>
    </w:rPr>
  </w:style>
  <w:style w:type="character" w:customStyle="1" w:styleId="24">
    <w:name w:val="批注框文本 字符"/>
    <w:basedOn w:val="16"/>
    <w:link w:val="7"/>
    <w:semiHidden/>
    <w:qFormat/>
    <w:uiPriority w:val="99"/>
    <w:rPr>
      <w:sz w:val="18"/>
      <w:szCs w:val="18"/>
    </w:rPr>
  </w:style>
  <w:style w:type="paragraph" w:customStyle="1" w:styleId="25">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6">
    <w:name w:val="批注文字 字符"/>
    <w:basedOn w:val="16"/>
    <w:link w:val="5"/>
    <w:qFormat/>
    <w:uiPriority w:val="99"/>
  </w:style>
  <w:style w:type="character" w:customStyle="1" w:styleId="27">
    <w:name w:val="批注主题 字符"/>
    <w:basedOn w:val="26"/>
    <w:link w:val="13"/>
    <w:semiHidden/>
    <w:qFormat/>
    <w:uiPriority w:val="99"/>
    <w:rPr>
      <w:b/>
      <w:bCs/>
    </w:rPr>
  </w:style>
  <w:style w:type="paragraph" w:customStyle="1" w:styleId="28">
    <w:name w:val="列出段落1"/>
    <w:basedOn w:val="1"/>
    <w:qFormat/>
    <w:uiPriority w:val="34"/>
    <w:pPr>
      <w:ind w:firstLine="420" w:firstLineChars="200"/>
    </w:pPr>
  </w:style>
  <w:style w:type="paragraph" w:customStyle="1" w:styleId="29">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0">
    <w:name w:val="修订1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1">
    <w:name w:val="TOC 标题1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32">
    <w:name w:val="List Paragraph"/>
    <w:basedOn w:val="1"/>
    <w:qFormat/>
    <w:uiPriority w:val="34"/>
    <w:pPr>
      <w:ind w:firstLine="420" w:firstLineChars="200"/>
    </w:pPr>
  </w:style>
  <w:style w:type="paragraph" w:customStyle="1" w:styleId="33">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4">
    <w:name w:val="修订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5">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6">
    <w:name w:val="修订5"/>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7">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8">
    <w:name w:val="修订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9">
    <w:name w:val="Revision"/>
    <w:hidden/>
    <w:unhideWhenUsed/>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theme" Target="theme/theme1.xml"/><Relationship Id="rId27" Type="http://schemas.openxmlformats.org/officeDocument/2006/relationships/footer" Target="footer24.xml"/><Relationship Id="rId26" Type="http://schemas.openxmlformats.org/officeDocument/2006/relationships/footer" Target="footer23.xml"/><Relationship Id="rId25" Type="http://schemas.openxmlformats.org/officeDocument/2006/relationships/footer" Target="footer22.xml"/><Relationship Id="rId24" Type="http://schemas.openxmlformats.org/officeDocument/2006/relationships/footer" Target="footer21.xml"/><Relationship Id="rId23" Type="http://schemas.openxmlformats.org/officeDocument/2006/relationships/footer" Target="footer20.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112</Pages>
  <Words>11401</Words>
  <Characters>64992</Characters>
  <Lines>541</Lines>
  <Paragraphs>152</Paragraphs>
  <TotalTime>2</TotalTime>
  <ScaleCrop>false</ScaleCrop>
  <LinksUpToDate>false</LinksUpToDate>
  <CharactersWithSpaces>76241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2023-08-03T05:31:00Z</dcterms:created>
  <dc:creator>汤玲</dc:creator>
  <cp:lastModifiedBy>fuxj</cp:lastModifiedBy>
  <cp:lastPrinted>2022-01-18T06:43:00Z</cp:lastPrinted>
  <dcterms:modified xsi:type="dcterms:W3CDTF">2024-03-13T02:49:33Z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070B20BB08EE4C18B3B8F070887AAA3D</vt:lpwstr>
  </property>
</Properties>
</file>