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themeColor="background1"/>
  <w:body>
    <w:p w14:paraId="74AE24FB">
      <w:pPr>
        <w:ind w:firstLine="200"/>
        <w:jc w:val="center"/>
        <w:rPr>
          <w:rFonts w:ascii="Times New Roman" w:hAnsi="Times New Roman" w:eastAsia="宋体" w:cs="Times New Roman"/>
          <w:b/>
          <w:sz w:val="44"/>
          <w:szCs w:val="20"/>
        </w:rPr>
      </w:pPr>
    </w:p>
    <w:p w14:paraId="066CA94E">
      <w:pPr>
        <w:ind w:firstLine="200"/>
        <w:jc w:val="center"/>
        <w:rPr>
          <w:rFonts w:ascii="Times New Roman" w:hAnsi="Times New Roman" w:eastAsia="宋体" w:cs="Times New Roman"/>
          <w:b/>
          <w:sz w:val="44"/>
          <w:szCs w:val="20"/>
        </w:rPr>
      </w:pPr>
    </w:p>
    <w:p w14:paraId="35B7B2B4">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博时基金管理有限公司</w:t>
      </w:r>
    </w:p>
    <w:p w14:paraId="562AAB5A">
      <w:pPr>
        <w:ind w:firstLine="200"/>
        <w:jc w:val="center"/>
        <w:rPr>
          <w:rFonts w:ascii="Times New Roman" w:hAnsi="Times New Roman" w:eastAsia="宋体" w:cs="Times New Roman"/>
          <w:b/>
          <w:sz w:val="42"/>
          <w:szCs w:val="42"/>
        </w:rPr>
      </w:pPr>
    </w:p>
    <w:p w14:paraId="49ADECC4">
      <w:pPr>
        <w:ind w:firstLine="200"/>
        <w:jc w:val="center"/>
        <w:rPr>
          <w:rFonts w:ascii="Times New Roman" w:hAnsi="Times New Roman" w:eastAsia="宋体" w:cs="Times New Roman"/>
          <w:b/>
          <w:sz w:val="42"/>
          <w:szCs w:val="42"/>
        </w:rPr>
      </w:pPr>
    </w:p>
    <w:p w14:paraId="2A0986BD">
      <w:pPr>
        <w:ind w:firstLine="200"/>
        <w:jc w:val="center"/>
        <w:rPr>
          <w:rFonts w:ascii="Times New Roman" w:hAnsi="Times New Roman" w:eastAsia="宋体" w:cs="Times New Roman"/>
          <w:b/>
          <w:sz w:val="42"/>
          <w:szCs w:val="42"/>
        </w:rPr>
      </w:pPr>
      <w:r>
        <w:rPr>
          <w:rFonts w:hint="eastAsia" w:ascii="Times New Roman" w:hAnsi="Times New Roman" w:eastAsia="宋体" w:cs="Times New Roman"/>
          <w:b/>
          <w:sz w:val="42"/>
          <w:szCs w:val="42"/>
        </w:rPr>
        <w:t>博时国证粮食产业交易型开放式指数证券投资基金发起式联接基金</w:t>
      </w:r>
      <w:r>
        <w:rPr>
          <w:rFonts w:ascii="Times New Roman" w:hAnsi="Times New Roman" w:eastAsia="宋体" w:cs="Times New Roman"/>
          <w:b/>
          <w:sz w:val="42"/>
          <w:szCs w:val="42"/>
        </w:rPr>
        <w:t>基金合同</w:t>
      </w:r>
    </w:p>
    <w:p w14:paraId="2CEBACC6">
      <w:pPr>
        <w:ind w:firstLine="200"/>
        <w:jc w:val="center"/>
        <w:rPr>
          <w:rFonts w:ascii="Times New Roman" w:hAnsi="Times New Roman" w:eastAsia="宋体" w:cs="Times New Roman"/>
          <w:b/>
          <w:sz w:val="42"/>
          <w:szCs w:val="42"/>
        </w:rPr>
      </w:pPr>
      <w:r>
        <w:rPr>
          <w:rFonts w:hint="eastAsia" w:ascii="Times New Roman" w:hAnsi="Times New Roman" w:cs="Times New Roman"/>
          <w:b/>
          <w:sz w:val="36"/>
          <w:szCs w:val="36"/>
        </w:rPr>
        <w:t>（由博时国证粮食产业指数型发起式证券投资基金变更而来）</w:t>
      </w:r>
    </w:p>
    <w:p w14:paraId="72662683">
      <w:pPr>
        <w:ind w:firstLine="200"/>
        <w:jc w:val="center"/>
        <w:rPr>
          <w:rFonts w:ascii="Times New Roman" w:hAnsi="Times New Roman" w:eastAsia="宋体" w:cs="Times New Roman"/>
          <w:b/>
          <w:sz w:val="42"/>
          <w:szCs w:val="42"/>
        </w:rPr>
      </w:pPr>
    </w:p>
    <w:p w14:paraId="7E413314">
      <w:pPr>
        <w:ind w:firstLine="200"/>
        <w:jc w:val="center"/>
        <w:rPr>
          <w:rFonts w:ascii="Times New Roman" w:hAnsi="Times New Roman" w:eastAsia="宋体" w:cs="Times New Roman"/>
          <w:b/>
          <w:sz w:val="42"/>
          <w:szCs w:val="42"/>
        </w:rPr>
      </w:pPr>
    </w:p>
    <w:p w14:paraId="742A3CC2">
      <w:pPr>
        <w:ind w:firstLine="200"/>
        <w:jc w:val="center"/>
        <w:rPr>
          <w:rFonts w:ascii="Times New Roman" w:hAnsi="Times New Roman" w:eastAsia="宋体" w:cs="Times New Roman"/>
          <w:b/>
          <w:sz w:val="42"/>
          <w:szCs w:val="42"/>
        </w:rPr>
      </w:pPr>
    </w:p>
    <w:p w14:paraId="409BD69D">
      <w:pPr>
        <w:ind w:firstLine="200"/>
        <w:jc w:val="center"/>
        <w:rPr>
          <w:rFonts w:ascii="Times New Roman" w:hAnsi="Times New Roman" w:eastAsia="宋体" w:cs="Times New Roman"/>
          <w:b/>
          <w:sz w:val="42"/>
          <w:szCs w:val="42"/>
        </w:rPr>
      </w:pPr>
    </w:p>
    <w:p w14:paraId="3224801E">
      <w:pPr>
        <w:ind w:firstLine="200"/>
        <w:jc w:val="center"/>
        <w:rPr>
          <w:rFonts w:ascii="Times New Roman" w:hAnsi="Times New Roman" w:eastAsia="宋体" w:cs="Times New Roman"/>
          <w:b/>
          <w:sz w:val="42"/>
          <w:szCs w:val="42"/>
        </w:rPr>
      </w:pPr>
    </w:p>
    <w:p w14:paraId="71D804FA">
      <w:pPr>
        <w:ind w:firstLine="200"/>
        <w:jc w:val="center"/>
        <w:rPr>
          <w:rFonts w:ascii="Times New Roman" w:hAnsi="Times New Roman" w:eastAsia="宋体" w:cs="Times New Roman"/>
          <w:b/>
          <w:sz w:val="42"/>
          <w:szCs w:val="42"/>
        </w:rPr>
      </w:pPr>
    </w:p>
    <w:p w14:paraId="6FF94F46">
      <w:pPr>
        <w:ind w:firstLine="200"/>
        <w:jc w:val="center"/>
        <w:rPr>
          <w:rFonts w:ascii="Times New Roman" w:hAnsi="Times New Roman" w:eastAsia="宋体" w:cs="Times New Roman"/>
          <w:b/>
          <w:sz w:val="42"/>
          <w:szCs w:val="42"/>
        </w:rPr>
      </w:pPr>
    </w:p>
    <w:p w14:paraId="150A4F70">
      <w:pPr>
        <w:ind w:firstLine="200"/>
        <w:jc w:val="center"/>
        <w:rPr>
          <w:rFonts w:ascii="Times New Roman" w:hAnsi="Times New Roman" w:eastAsia="宋体" w:cs="Times New Roman"/>
          <w:b/>
          <w:sz w:val="42"/>
          <w:szCs w:val="42"/>
        </w:rPr>
      </w:pPr>
    </w:p>
    <w:p w14:paraId="325A06AD">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基金管理人： 博时基金管理有限公司</w:t>
      </w:r>
    </w:p>
    <w:p w14:paraId="367B21AE">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基金托管人： 兴业银行股份有限公司</w:t>
      </w:r>
    </w:p>
    <w:p w14:paraId="01E2EE5F">
      <w:pPr>
        <w:ind w:firstLine="200"/>
        <w:jc w:val="center"/>
        <w:rPr>
          <w:rFonts w:ascii="Times New Roman" w:hAnsi="Times New Roman" w:eastAsia="宋体" w:cs="Times New Roman"/>
          <w:b/>
          <w:sz w:val="42"/>
          <w:szCs w:val="42"/>
        </w:rPr>
      </w:pPr>
    </w:p>
    <w:p w14:paraId="6A9B349B">
      <w:pPr>
        <w:ind w:firstLine="200"/>
        <w:jc w:val="center"/>
        <w:rPr>
          <w:rFonts w:ascii="Times New Roman" w:hAnsi="Times New Roman" w:eastAsia="宋体" w:cs="Times New Roman"/>
          <w:b/>
          <w:sz w:val="42"/>
          <w:szCs w:val="42"/>
        </w:rPr>
      </w:pPr>
    </w:p>
    <w:p w14:paraId="1CF433A0">
      <w:pPr>
        <w:ind w:firstLine="200"/>
        <w:jc w:val="center"/>
        <w:rPr>
          <w:rFonts w:ascii="Times New Roman" w:hAnsi="Times New Roman" w:eastAsia="宋体" w:cs="Times New Roman"/>
          <w:b/>
          <w:sz w:val="42"/>
          <w:szCs w:val="42"/>
        </w:rPr>
      </w:pPr>
      <w:r>
        <w:rPr>
          <w:rFonts w:ascii="Times New Roman" w:hAnsi="Times New Roman" w:eastAsia="宋体" w:cs="Times New Roman"/>
          <w:b/>
          <w:sz w:val="42"/>
          <w:szCs w:val="42"/>
        </w:rPr>
        <w:t>二零二</w:t>
      </w:r>
      <w:r>
        <w:rPr>
          <w:rFonts w:hint="eastAsia" w:ascii="Times New Roman" w:hAnsi="Times New Roman" w:eastAsia="宋体" w:cs="Times New Roman"/>
          <w:b/>
          <w:sz w:val="42"/>
          <w:szCs w:val="42"/>
        </w:rPr>
        <w:t>六</w:t>
      </w:r>
      <w:r>
        <w:rPr>
          <w:rFonts w:ascii="Times New Roman" w:hAnsi="Times New Roman" w:eastAsia="宋体" w:cs="Times New Roman"/>
          <w:b/>
          <w:sz w:val="42"/>
          <w:szCs w:val="42"/>
        </w:rPr>
        <w:t>年</w:t>
      </w:r>
      <w:r>
        <w:rPr>
          <w:rFonts w:hint="eastAsia" w:ascii="Times New Roman" w:hAnsi="Times New Roman" w:eastAsia="宋体" w:cs="Times New Roman"/>
          <w:b/>
          <w:sz w:val="42"/>
          <w:szCs w:val="42"/>
        </w:rPr>
        <w:t>六</w:t>
      </w:r>
      <w:r>
        <w:rPr>
          <w:rFonts w:ascii="Times New Roman" w:hAnsi="Times New Roman" w:eastAsia="宋体" w:cs="Times New Roman"/>
          <w:b/>
          <w:sz w:val="42"/>
          <w:szCs w:val="42"/>
        </w:rPr>
        <w:t>月</w:t>
      </w:r>
    </w:p>
    <w:p w14:paraId="1741EDE2">
      <w:pPr>
        <w:rPr>
          <w:rFonts w:ascii="Times New Roman" w:hAnsi="Times New Roman" w:eastAsia="宋体" w:cs="Times New Roman"/>
          <w:b/>
          <w:sz w:val="44"/>
          <w:szCs w:val="20"/>
        </w:rPr>
      </w:pPr>
    </w:p>
    <w:sdt>
      <w:sdtPr>
        <w:rPr>
          <w:rFonts w:ascii="Times New Roman" w:hAnsi="Times New Roman" w:eastAsia="宋体" w:cs="Times New Roman"/>
          <w:b w:val="0"/>
          <w:bCs w:val="0"/>
          <w:color w:val="auto"/>
          <w:kern w:val="2"/>
          <w:sz w:val="21"/>
          <w:szCs w:val="22"/>
          <w:lang w:val="zh-CN"/>
        </w:rPr>
        <w:id w:val="1012728692"/>
      </w:sdtPr>
      <w:sdtEndPr>
        <w:rPr>
          <w:rFonts w:ascii="Times New Roman" w:hAnsi="Times New Roman" w:eastAsia="宋体" w:cs="Times New Roman"/>
          <w:b w:val="0"/>
          <w:bCs w:val="0"/>
          <w:color w:val="auto"/>
          <w:kern w:val="2"/>
          <w:sz w:val="21"/>
          <w:szCs w:val="22"/>
          <w:lang w:val="zh-CN"/>
        </w:rPr>
      </w:sdtEndPr>
      <w:sdtContent>
        <w:p w14:paraId="614099B0">
          <w:pPr>
            <w:pStyle w:val="31"/>
            <w:jc w:val="center"/>
            <w:rPr>
              <w:rFonts w:ascii="Times New Roman" w:hAnsi="Times New Roman" w:eastAsia="宋体" w:cs="Times New Roman"/>
            </w:rPr>
          </w:pPr>
          <w:r>
            <w:rPr>
              <w:rFonts w:ascii="Times New Roman" w:hAnsi="Times New Roman" w:eastAsia="宋体" w:cs="Times New Roman"/>
              <w:color w:val="auto"/>
              <w:lang w:val="zh-CN"/>
            </w:rPr>
            <w:t>目录</w:t>
          </w:r>
        </w:p>
        <w:p w14:paraId="711A493B">
          <w:pPr>
            <w:pStyle w:val="10"/>
            <w:jc w:val="both"/>
            <w:rPr>
              <w:kern w:val="2"/>
              <w:sz w:val="21"/>
            </w:rPr>
          </w:pPr>
          <w:r>
            <w:fldChar w:fldCharType="begin"/>
          </w:r>
          <w:r>
            <w:instrText xml:space="preserve"> TOC \o "1-3" \h \z \u </w:instrText>
          </w:r>
          <w:r>
            <w:fldChar w:fldCharType="separate"/>
          </w:r>
          <w:r>
            <w:fldChar w:fldCharType="begin"/>
          </w:r>
          <w:r>
            <w:instrText xml:space="preserve"> HYPERLINK \l "_Toc471235838" </w:instrText>
          </w:r>
          <w:r>
            <w:fldChar w:fldCharType="separate"/>
          </w:r>
          <w:r>
            <w:rPr>
              <w:rStyle w:val="17"/>
            </w:rPr>
            <w:t>第一部分 前言</w:t>
          </w:r>
          <w:r>
            <w:tab/>
          </w:r>
          <w:r>
            <w:t>1-</w:t>
          </w:r>
          <w:r>
            <w:fldChar w:fldCharType="begin"/>
          </w:r>
          <w:r>
            <w:instrText xml:space="preserve"> PAGEREF _Toc471235838 \h </w:instrText>
          </w:r>
          <w:r>
            <w:fldChar w:fldCharType="separate"/>
          </w:r>
          <w:r>
            <w:t>1</w:t>
          </w:r>
          <w:r>
            <w:fldChar w:fldCharType="end"/>
          </w:r>
          <w:r>
            <w:fldChar w:fldCharType="end"/>
          </w:r>
        </w:p>
        <w:p w14:paraId="54C7EC4E">
          <w:pPr>
            <w:pStyle w:val="10"/>
            <w:jc w:val="both"/>
            <w:rPr>
              <w:kern w:val="2"/>
              <w:sz w:val="21"/>
            </w:rPr>
          </w:pPr>
          <w:r>
            <w:fldChar w:fldCharType="begin"/>
          </w:r>
          <w:r>
            <w:instrText xml:space="preserve"> HYPERLINK \l "_Toc471235839" </w:instrText>
          </w:r>
          <w:r>
            <w:fldChar w:fldCharType="separate"/>
          </w:r>
          <w:r>
            <w:rPr>
              <w:rStyle w:val="17"/>
            </w:rPr>
            <w:t>第二部分 释义</w:t>
          </w:r>
          <w:r>
            <w:tab/>
          </w:r>
          <w:r>
            <w:t>2-</w:t>
          </w:r>
          <w:r>
            <w:fldChar w:fldCharType="begin"/>
          </w:r>
          <w:r>
            <w:instrText xml:space="preserve"> PAGEREF _Toc471235839 \h </w:instrText>
          </w:r>
          <w:r>
            <w:fldChar w:fldCharType="separate"/>
          </w:r>
          <w:r>
            <w:t>1</w:t>
          </w:r>
          <w:r>
            <w:fldChar w:fldCharType="end"/>
          </w:r>
          <w:r>
            <w:fldChar w:fldCharType="end"/>
          </w:r>
        </w:p>
        <w:p w14:paraId="209F42E6">
          <w:pPr>
            <w:pStyle w:val="10"/>
            <w:jc w:val="both"/>
            <w:rPr>
              <w:kern w:val="2"/>
              <w:sz w:val="21"/>
            </w:rPr>
          </w:pPr>
          <w:r>
            <w:fldChar w:fldCharType="begin"/>
          </w:r>
          <w:r>
            <w:instrText xml:space="preserve"> HYPERLINK \l "_Toc471235840" </w:instrText>
          </w:r>
          <w:r>
            <w:fldChar w:fldCharType="separate"/>
          </w:r>
          <w:r>
            <w:rPr>
              <w:rStyle w:val="17"/>
            </w:rPr>
            <w:t>第三部分 基金的基本情况</w:t>
          </w:r>
          <w:r>
            <w:tab/>
          </w:r>
          <w:r>
            <w:t>3-</w:t>
          </w:r>
          <w:r>
            <w:fldChar w:fldCharType="begin"/>
          </w:r>
          <w:r>
            <w:instrText xml:space="preserve"> PAGEREF _Toc471235840 \h </w:instrText>
          </w:r>
          <w:r>
            <w:fldChar w:fldCharType="separate"/>
          </w:r>
          <w:r>
            <w:t>1</w:t>
          </w:r>
          <w:r>
            <w:fldChar w:fldCharType="end"/>
          </w:r>
          <w:r>
            <w:fldChar w:fldCharType="end"/>
          </w:r>
        </w:p>
        <w:p w14:paraId="6B2FB18E">
          <w:pPr>
            <w:pStyle w:val="10"/>
            <w:jc w:val="both"/>
            <w:rPr>
              <w:kern w:val="2"/>
              <w:sz w:val="21"/>
            </w:rPr>
          </w:pPr>
          <w:r>
            <w:fldChar w:fldCharType="begin"/>
          </w:r>
          <w:r>
            <w:instrText xml:space="preserve"> HYPERLINK \l "_Toc471235841" </w:instrText>
          </w:r>
          <w:r>
            <w:fldChar w:fldCharType="separate"/>
          </w:r>
          <w:r>
            <w:rPr>
              <w:rStyle w:val="17"/>
            </w:rPr>
            <w:t>第四部分 基金的</w:t>
          </w:r>
          <w:r>
            <w:rPr>
              <w:rFonts w:hint="eastAsia"/>
            </w:rPr>
            <w:t>历史沿革</w:t>
          </w:r>
          <w:r>
            <w:tab/>
          </w:r>
          <w:r>
            <w:t>4-</w:t>
          </w:r>
          <w:r>
            <w:fldChar w:fldCharType="begin"/>
          </w:r>
          <w:r>
            <w:instrText xml:space="preserve"> PAGEREF _Toc471235841 \h </w:instrText>
          </w:r>
          <w:r>
            <w:fldChar w:fldCharType="separate"/>
          </w:r>
          <w:r>
            <w:t>1</w:t>
          </w:r>
          <w:r>
            <w:fldChar w:fldCharType="end"/>
          </w:r>
          <w:r>
            <w:fldChar w:fldCharType="end"/>
          </w:r>
        </w:p>
        <w:p w14:paraId="57D529AC">
          <w:pPr>
            <w:pStyle w:val="10"/>
            <w:jc w:val="both"/>
            <w:rPr>
              <w:kern w:val="2"/>
              <w:sz w:val="21"/>
            </w:rPr>
          </w:pPr>
          <w:r>
            <w:fldChar w:fldCharType="begin"/>
          </w:r>
          <w:r>
            <w:instrText xml:space="preserve"> HYPERLINK \l "_Toc471235842" </w:instrText>
          </w:r>
          <w:r>
            <w:fldChar w:fldCharType="separate"/>
          </w:r>
          <w:r>
            <w:rPr>
              <w:rStyle w:val="17"/>
            </w:rPr>
            <w:t>第五部分 基金</w:t>
          </w:r>
          <w:r>
            <w:rPr>
              <w:rFonts w:hint="eastAsia"/>
            </w:rPr>
            <w:t>的存续</w:t>
          </w:r>
          <w:r>
            <w:tab/>
          </w:r>
          <w:r>
            <w:t>5-</w:t>
          </w:r>
          <w:r>
            <w:fldChar w:fldCharType="begin"/>
          </w:r>
          <w:r>
            <w:instrText xml:space="preserve"> PAGEREF _Toc471235842 \h </w:instrText>
          </w:r>
          <w:r>
            <w:fldChar w:fldCharType="separate"/>
          </w:r>
          <w:r>
            <w:t>1</w:t>
          </w:r>
          <w:r>
            <w:fldChar w:fldCharType="end"/>
          </w:r>
          <w:r>
            <w:fldChar w:fldCharType="end"/>
          </w:r>
        </w:p>
        <w:p w14:paraId="38663D4E">
          <w:pPr>
            <w:pStyle w:val="10"/>
            <w:jc w:val="both"/>
            <w:rPr>
              <w:kern w:val="2"/>
              <w:sz w:val="21"/>
            </w:rPr>
          </w:pPr>
          <w:r>
            <w:fldChar w:fldCharType="begin"/>
          </w:r>
          <w:r>
            <w:instrText xml:space="preserve"> HYPERLINK \l "_Toc471235843" </w:instrText>
          </w:r>
          <w:r>
            <w:fldChar w:fldCharType="separate"/>
          </w:r>
          <w:r>
            <w:rPr>
              <w:rStyle w:val="17"/>
            </w:rPr>
            <w:t>第六部分 基金份额的申购与赎回</w:t>
          </w:r>
          <w:r>
            <w:tab/>
          </w:r>
          <w:r>
            <w:t>6-</w:t>
          </w:r>
          <w:r>
            <w:fldChar w:fldCharType="begin"/>
          </w:r>
          <w:r>
            <w:instrText xml:space="preserve"> PAGEREF _Toc471235843 \h </w:instrText>
          </w:r>
          <w:r>
            <w:fldChar w:fldCharType="separate"/>
          </w:r>
          <w:r>
            <w:t>1</w:t>
          </w:r>
          <w:r>
            <w:fldChar w:fldCharType="end"/>
          </w:r>
          <w:r>
            <w:fldChar w:fldCharType="end"/>
          </w:r>
        </w:p>
        <w:p w14:paraId="2F1AE0FF">
          <w:pPr>
            <w:pStyle w:val="10"/>
            <w:jc w:val="both"/>
            <w:rPr>
              <w:kern w:val="2"/>
              <w:sz w:val="21"/>
            </w:rPr>
          </w:pPr>
          <w:r>
            <w:fldChar w:fldCharType="begin"/>
          </w:r>
          <w:r>
            <w:instrText xml:space="preserve"> HYPERLINK \l "_Toc471235844" </w:instrText>
          </w:r>
          <w:r>
            <w:fldChar w:fldCharType="separate"/>
          </w:r>
          <w:r>
            <w:rPr>
              <w:rStyle w:val="17"/>
            </w:rPr>
            <w:t>第七部分 基金合同当事人及权利义务</w:t>
          </w:r>
          <w:r>
            <w:tab/>
          </w:r>
          <w:r>
            <w:t>7-</w:t>
          </w:r>
          <w:r>
            <w:fldChar w:fldCharType="begin"/>
          </w:r>
          <w:r>
            <w:instrText xml:space="preserve"> PAGEREF _Toc471235844 \h </w:instrText>
          </w:r>
          <w:r>
            <w:fldChar w:fldCharType="separate"/>
          </w:r>
          <w:r>
            <w:t>1</w:t>
          </w:r>
          <w:r>
            <w:fldChar w:fldCharType="end"/>
          </w:r>
          <w:r>
            <w:fldChar w:fldCharType="end"/>
          </w:r>
        </w:p>
        <w:p w14:paraId="0E5A21B8">
          <w:pPr>
            <w:pStyle w:val="10"/>
            <w:jc w:val="both"/>
            <w:rPr>
              <w:kern w:val="2"/>
              <w:sz w:val="21"/>
            </w:rPr>
          </w:pPr>
          <w:r>
            <w:fldChar w:fldCharType="begin"/>
          </w:r>
          <w:r>
            <w:instrText xml:space="preserve"> HYPERLINK \l "_Toc471235845" </w:instrText>
          </w:r>
          <w:r>
            <w:fldChar w:fldCharType="separate"/>
          </w:r>
          <w:r>
            <w:rPr>
              <w:rStyle w:val="17"/>
            </w:rPr>
            <w:t>第八部分 基金份额持有人大会</w:t>
          </w:r>
          <w:r>
            <w:tab/>
          </w:r>
          <w:r>
            <w:t>8-</w:t>
          </w:r>
          <w:r>
            <w:fldChar w:fldCharType="begin"/>
          </w:r>
          <w:r>
            <w:instrText xml:space="preserve"> PAGEREF _Toc471235845 \h </w:instrText>
          </w:r>
          <w:r>
            <w:fldChar w:fldCharType="separate"/>
          </w:r>
          <w:r>
            <w:t>1</w:t>
          </w:r>
          <w:r>
            <w:fldChar w:fldCharType="end"/>
          </w:r>
          <w:r>
            <w:fldChar w:fldCharType="end"/>
          </w:r>
        </w:p>
        <w:p w14:paraId="0E154308">
          <w:pPr>
            <w:pStyle w:val="10"/>
            <w:jc w:val="both"/>
            <w:rPr>
              <w:kern w:val="2"/>
              <w:sz w:val="21"/>
            </w:rPr>
          </w:pPr>
          <w:r>
            <w:fldChar w:fldCharType="begin"/>
          </w:r>
          <w:r>
            <w:instrText xml:space="preserve"> HYPERLINK \l "_Toc471235846" </w:instrText>
          </w:r>
          <w:r>
            <w:fldChar w:fldCharType="separate"/>
          </w:r>
          <w:r>
            <w:rPr>
              <w:rStyle w:val="17"/>
            </w:rPr>
            <w:t>第九部分 基金管理人、基金托管人的更换条件和程序</w:t>
          </w:r>
          <w:r>
            <w:tab/>
          </w:r>
          <w:r>
            <w:t>9-</w:t>
          </w:r>
          <w:r>
            <w:fldChar w:fldCharType="begin"/>
          </w:r>
          <w:r>
            <w:instrText xml:space="preserve"> PAGEREF _Toc471235846 \h </w:instrText>
          </w:r>
          <w:r>
            <w:fldChar w:fldCharType="separate"/>
          </w:r>
          <w:r>
            <w:t>1</w:t>
          </w:r>
          <w:r>
            <w:fldChar w:fldCharType="end"/>
          </w:r>
          <w:r>
            <w:fldChar w:fldCharType="end"/>
          </w:r>
        </w:p>
        <w:p w14:paraId="3AD79D6D">
          <w:pPr>
            <w:pStyle w:val="10"/>
            <w:jc w:val="both"/>
            <w:rPr>
              <w:kern w:val="2"/>
              <w:sz w:val="21"/>
            </w:rPr>
          </w:pPr>
          <w:r>
            <w:fldChar w:fldCharType="begin"/>
          </w:r>
          <w:r>
            <w:instrText xml:space="preserve"> HYPERLINK \l "_Toc471235847" </w:instrText>
          </w:r>
          <w:r>
            <w:fldChar w:fldCharType="separate"/>
          </w:r>
          <w:r>
            <w:rPr>
              <w:rStyle w:val="17"/>
            </w:rPr>
            <w:t>第十部分 基金的托管</w:t>
          </w:r>
          <w:r>
            <w:tab/>
          </w:r>
          <w:r>
            <w:t>10-</w:t>
          </w:r>
          <w:r>
            <w:fldChar w:fldCharType="begin"/>
          </w:r>
          <w:r>
            <w:instrText xml:space="preserve"> PAGEREF _Toc471235847 \h </w:instrText>
          </w:r>
          <w:r>
            <w:fldChar w:fldCharType="separate"/>
          </w:r>
          <w:r>
            <w:t>1</w:t>
          </w:r>
          <w:r>
            <w:fldChar w:fldCharType="end"/>
          </w:r>
          <w:r>
            <w:fldChar w:fldCharType="end"/>
          </w:r>
        </w:p>
        <w:p w14:paraId="6D945CD7">
          <w:pPr>
            <w:pStyle w:val="10"/>
            <w:jc w:val="both"/>
            <w:rPr>
              <w:kern w:val="2"/>
              <w:sz w:val="21"/>
            </w:rPr>
          </w:pPr>
          <w:r>
            <w:fldChar w:fldCharType="begin"/>
          </w:r>
          <w:r>
            <w:instrText xml:space="preserve"> HYPERLINK \l "_Toc471235848" </w:instrText>
          </w:r>
          <w:r>
            <w:fldChar w:fldCharType="separate"/>
          </w:r>
          <w:r>
            <w:rPr>
              <w:rStyle w:val="17"/>
            </w:rPr>
            <w:t>第十一部分 基金份额的登记</w:t>
          </w:r>
          <w:r>
            <w:tab/>
          </w:r>
          <w:r>
            <w:t>11-</w:t>
          </w:r>
          <w:r>
            <w:fldChar w:fldCharType="begin"/>
          </w:r>
          <w:r>
            <w:instrText xml:space="preserve"> PAGEREF _Toc471235848 \h </w:instrText>
          </w:r>
          <w:r>
            <w:fldChar w:fldCharType="separate"/>
          </w:r>
          <w:r>
            <w:t>1</w:t>
          </w:r>
          <w:r>
            <w:fldChar w:fldCharType="end"/>
          </w:r>
          <w:r>
            <w:fldChar w:fldCharType="end"/>
          </w:r>
        </w:p>
        <w:p w14:paraId="680D23B1">
          <w:pPr>
            <w:pStyle w:val="10"/>
            <w:jc w:val="both"/>
            <w:rPr>
              <w:kern w:val="2"/>
              <w:sz w:val="21"/>
            </w:rPr>
          </w:pPr>
          <w:r>
            <w:fldChar w:fldCharType="begin"/>
          </w:r>
          <w:r>
            <w:instrText xml:space="preserve"> HYPERLINK \l "_Toc471235849" </w:instrText>
          </w:r>
          <w:r>
            <w:fldChar w:fldCharType="separate"/>
          </w:r>
          <w:r>
            <w:rPr>
              <w:rStyle w:val="17"/>
            </w:rPr>
            <w:t>第十二部分 基金的投资</w:t>
          </w:r>
          <w:r>
            <w:tab/>
          </w:r>
          <w:r>
            <w:t>12-</w:t>
          </w:r>
          <w:r>
            <w:fldChar w:fldCharType="begin"/>
          </w:r>
          <w:r>
            <w:instrText xml:space="preserve"> PAGEREF _Toc471235849 \h </w:instrText>
          </w:r>
          <w:r>
            <w:fldChar w:fldCharType="separate"/>
          </w:r>
          <w:r>
            <w:t>1</w:t>
          </w:r>
          <w:r>
            <w:fldChar w:fldCharType="end"/>
          </w:r>
          <w:r>
            <w:fldChar w:fldCharType="end"/>
          </w:r>
        </w:p>
        <w:p w14:paraId="5ACE550A">
          <w:pPr>
            <w:pStyle w:val="10"/>
            <w:jc w:val="both"/>
            <w:rPr>
              <w:kern w:val="2"/>
              <w:sz w:val="21"/>
            </w:rPr>
          </w:pPr>
          <w:r>
            <w:fldChar w:fldCharType="begin"/>
          </w:r>
          <w:r>
            <w:instrText xml:space="preserve"> HYPERLINK \l "_Toc471235850" </w:instrText>
          </w:r>
          <w:r>
            <w:fldChar w:fldCharType="separate"/>
          </w:r>
          <w:r>
            <w:rPr>
              <w:rStyle w:val="17"/>
            </w:rPr>
            <w:t>第十三部分 基金的财产</w:t>
          </w:r>
          <w:r>
            <w:tab/>
          </w:r>
          <w:r>
            <w:t>13-</w:t>
          </w:r>
          <w:r>
            <w:fldChar w:fldCharType="begin"/>
          </w:r>
          <w:r>
            <w:instrText xml:space="preserve"> PAGEREF _Toc471235850 \h </w:instrText>
          </w:r>
          <w:r>
            <w:fldChar w:fldCharType="separate"/>
          </w:r>
          <w:r>
            <w:t>1</w:t>
          </w:r>
          <w:r>
            <w:fldChar w:fldCharType="end"/>
          </w:r>
          <w:r>
            <w:fldChar w:fldCharType="end"/>
          </w:r>
        </w:p>
        <w:p w14:paraId="6AE62012">
          <w:pPr>
            <w:pStyle w:val="10"/>
            <w:jc w:val="both"/>
            <w:rPr>
              <w:kern w:val="2"/>
              <w:sz w:val="21"/>
            </w:rPr>
          </w:pPr>
          <w:r>
            <w:fldChar w:fldCharType="begin"/>
          </w:r>
          <w:r>
            <w:instrText xml:space="preserve"> HYPERLINK \l "_Toc471235851" </w:instrText>
          </w:r>
          <w:r>
            <w:fldChar w:fldCharType="separate"/>
          </w:r>
          <w:r>
            <w:rPr>
              <w:rStyle w:val="17"/>
            </w:rPr>
            <w:t>第十四部分 基金资产估值</w:t>
          </w:r>
          <w:r>
            <w:tab/>
          </w:r>
          <w:r>
            <w:t>14-</w:t>
          </w:r>
          <w:r>
            <w:fldChar w:fldCharType="begin"/>
          </w:r>
          <w:r>
            <w:instrText xml:space="preserve"> PAGEREF _Toc471235851 \h </w:instrText>
          </w:r>
          <w:r>
            <w:fldChar w:fldCharType="separate"/>
          </w:r>
          <w:r>
            <w:t>1</w:t>
          </w:r>
          <w:r>
            <w:fldChar w:fldCharType="end"/>
          </w:r>
          <w:r>
            <w:fldChar w:fldCharType="end"/>
          </w:r>
        </w:p>
        <w:p w14:paraId="273F3938">
          <w:pPr>
            <w:pStyle w:val="10"/>
            <w:jc w:val="both"/>
            <w:rPr>
              <w:kern w:val="2"/>
              <w:sz w:val="21"/>
            </w:rPr>
          </w:pPr>
          <w:r>
            <w:fldChar w:fldCharType="begin"/>
          </w:r>
          <w:r>
            <w:instrText xml:space="preserve"> HYPERLINK \l "_Toc471235852" </w:instrText>
          </w:r>
          <w:r>
            <w:fldChar w:fldCharType="separate"/>
          </w:r>
          <w:r>
            <w:rPr>
              <w:rStyle w:val="17"/>
            </w:rPr>
            <w:t>第十五部分 基金费用与税收</w:t>
          </w:r>
          <w:r>
            <w:tab/>
          </w:r>
          <w:r>
            <w:t>15-</w:t>
          </w:r>
          <w:r>
            <w:fldChar w:fldCharType="begin"/>
          </w:r>
          <w:r>
            <w:instrText xml:space="preserve"> PAGEREF _Toc471235852 \h </w:instrText>
          </w:r>
          <w:r>
            <w:fldChar w:fldCharType="separate"/>
          </w:r>
          <w:r>
            <w:t>1</w:t>
          </w:r>
          <w:r>
            <w:fldChar w:fldCharType="end"/>
          </w:r>
          <w:r>
            <w:fldChar w:fldCharType="end"/>
          </w:r>
        </w:p>
        <w:p w14:paraId="61B81260">
          <w:pPr>
            <w:pStyle w:val="10"/>
            <w:jc w:val="both"/>
            <w:rPr>
              <w:kern w:val="2"/>
              <w:sz w:val="21"/>
            </w:rPr>
          </w:pPr>
          <w:r>
            <w:fldChar w:fldCharType="begin"/>
          </w:r>
          <w:r>
            <w:instrText xml:space="preserve"> HYPERLINK \l "_Toc471235853" </w:instrText>
          </w:r>
          <w:r>
            <w:fldChar w:fldCharType="separate"/>
          </w:r>
          <w:r>
            <w:rPr>
              <w:rStyle w:val="17"/>
            </w:rPr>
            <w:t>第十六部分 基金的收益与分配</w:t>
          </w:r>
          <w:r>
            <w:tab/>
          </w:r>
          <w:r>
            <w:t>16-</w:t>
          </w:r>
          <w:r>
            <w:fldChar w:fldCharType="begin"/>
          </w:r>
          <w:r>
            <w:instrText xml:space="preserve"> PAGEREF _Toc471235853 \h </w:instrText>
          </w:r>
          <w:r>
            <w:fldChar w:fldCharType="separate"/>
          </w:r>
          <w:r>
            <w:t>1</w:t>
          </w:r>
          <w:r>
            <w:fldChar w:fldCharType="end"/>
          </w:r>
          <w:r>
            <w:fldChar w:fldCharType="end"/>
          </w:r>
        </w:p>
        <w:p w14:paraId="31538323">
          <w:pPr>
            <w:pStyle w:val="10"/>
            <w:jc w:val="both"/>
            <w:rPr>
              <w:kern w:val="2"/>
              <w:sz w:val="21"/>
            </w:rPr>
          </w:pPr>
          <w:r>
            <w:fldChar w:fldCharType="begin"/>
          </w:r>
          <w:r>
            <w:instrText xml:space="preserve"> HYPERLINK \l "_Toc471235854" </w:instrText>
          </w:r>
          <w:r>
            <w:fldChar w:fldCharType="separate"/>
          </w:r>
          <w:r>
            <w:rPr>
              <w:rStyle w:val="17"/>
            </w:rPr>
            <w:t>第十七部分 基金的会计与审计</w:t>
          </w:r>
          <w:r>
            <w:tab/>
          </w:r>
          <w:r>
            <w:t>17-</w:t>
          </w:r>
          <w:r>
            <w:fldChar w:fldCharType="begin"/>
          </w:r>
          <w:r>
            <w:instrText xml:space="preserve"> PAGEREF _Toc471235854 \h </w:instrText>
          </w:r>
          <w:r>
            <w:fldChar w:fldCharType="separate"/>
          </w:r>
          <w:r>
            <w:t>1</w:t>
          </w:r>
          <w:r>
            <w:fldChar w:fldCharType="end"/>
          </w:r>
          <w:r>
            <w:fldChar w:fldCharType="end"/>
          </w:r>
        </w:p>
        <w:p w14:paraId="5B9C51E8">
          <w:pPr>
            <w:pStyle w:val="10"/>
            <w:jc w:val="both"/>
            <w:rPr>
              <w:kern w:val="2"/>
              <w:sz w:val="21"/>
            </w:rPr>
          </w:pPr>
          <w:r>
            <w:fldChar w:fldCharType="begin"/>
          </w:r>
          <w:r>
            <w:instrText xml:space="preserve"> HYPERLINK \l "_Toc471235855" </w:instrText>
          </w:r>
          <w:r>
            <w:fldChar w:fldCharType="separate"/>
          </w:r>
          <w:r>
            <w:rPr>
              <w:rStyle w:val="17"/>
            </w:rPr>
            <w:t>第十八部分 基金的信息披露</w:t>
          </w:r>
          <w:r>
            <w:tab/>
          </w:r>
          <w:r>
            <w:t>18-</w:t>
          </w:r>
          <w:r>
            <w:fldChar w:fldCharType="begin"/>
          </w:r>
          <w:r>
            <w:instrText xml:space="preserve"> PAGEREF _Toc471235855 \h </w:instrText>
          </w:r>
          <w:r>
            <w:fldChar w:fldCharType="separate"/>
          </w:r>
          <w:r>
            <w:t>1</w:t>
          </w:r>
          <w:r>
            <w:fldChar w:fldCharType="end"/>
          </w:r>
          <w:r>
            <w:fldChar w:fldCharType="end"/>
          </w:r>
        </w:p>
        <w:p w14:paraId="1C580903">
          <w:pPr>
            <w:pStyle w:val="10"/>
            <w:jc w:val="both"/>
            <w:rPr>
              <w:kern w:val="2"/>
              <w:sz w:val="21"/>
            </w:rPr>
          </w:pPr>
          <w:r>
            <w:fldChar w:fldCharType="begin"/>
          </w:r>
          <w:r>
            <w:instrText xml:space="preserve"> HYPERLINK \l "_Toc471235856" </w:instrText>
          </w:r>
          <w:r>
            <w:fldChar w:fldCharType="separate"/>
          </w:r>
          <w:r>
            <w:rPr>
              <w:rStyle w:val="17"/>
            </w:rPr>
            <w:t>第十九部分 基金合同的变更、终止与基金财产的清算</w:t>
          </w:r>
          <w:r>
            <w:tab/>
          </w:r>
          <w:r>
            <w:t>19-</w:t>
          </w:r>
          <w:r>
            <w:fldChar w:fldCharType="begin"/>
          </w:r>
          <w:r>
            <w:instrText xml:space="preserve"> PAGEREF _Toc471235856 \h </w:instrText>
          </w:r>
          <w:r>
            <w:fldChar w:fldCharType="separate"/>
          </w:r>
          <w:r>
            <w:t>1</w:t>
          </w:r>
          <w:r>
            <w:fldChar w:fldCharType="end"/>
          </w:r>
          <w:r>
            <w:fldChar w:fldCharType="end"/>
          </w:r>
        </w:p>
        <w:p w14:paraId="125AEA1B">
          <w:pPr>
            <w:pStyle w:val="10"/>
            <w:jc w:val="both"/>
            <w:rPr>
              <w:kern w:val="2"/>
              <w:sz w:val="21"/>
            </w:rPr>
          </w:pPr>
          <w:r>
            <w:fldChar w:fldCharType="begin"/>
          </w:r>
          <w:r>
            <w:instrText xml:space="preserve"> HYPERLINK \l "_Toc471235857" </w:instrText>
          </w:r>
          <w:r>
            <w:fldChar w:fldCharType="separate"/>
          </w:r>
          <w:r>
            <w:rPr>
              <w:rStyle w:val="17"/>
            </w:rPr>
            <w:t>第二十部分 违约责任</w:t>
          </w:r>
          <w:r>
            <w:tab/>
          </w:r>
          <w:r>
            <w:t>20-</w:t>
          </w:r>
          <w:r>
            <w:fldChar w:fldCharType="begin"/>
          </w:r>
          <w:r>
            <w:instrText xml:space="preserve"> PAGEREF _Toc471235857 \h </w:instrText>
          </w:r>
          <w:r>
            <w:fldChar w:fldCharType="separate"/>
          </w:r>
          <w:r>
            <w:t>1</w:t>
          </w:r>
          <w:r>
            <w:fldChar w:fldCharType="end"/>
          </w:r>
          <w:r>
            <w:fldChar w:fldCharType="end"/>
          </w:r>
        </w:p>
        <w:p w14:paraId="7DFD8458">
          <w:pPr>
            <w:pStyle w:val="10"/>
            <w:jc w:val="both"/>
            <w:rPr>
              <w:kern w:val="2"/>
              <w:sz w:val="21"/>
            </w:rPr>
          </w:pPr>
          <w:r>
            <w:fldChar w:fldCharType="begin"/>
          </w:r>
          <w:r>
            <w:instrText xml:space="preserve"> HYPERLINK \l "_Toc471235858" </w:instrText>
          </w:r>
          <w:r>
            <w:fldChar w:fldCharType="separate"/>
          </w:r>
          <w:r>
            <w:rPr>
              <w:rStyle w:val="17"/>
            </w:rPr>
            <w:t>第二十一部分 争议的处理和适用的法律</w:t>
          </w:r>
          <w:r>
            <w:tab/>
          </w:r>
          <w:r>
            <w:t>21-</w:t>
          </w:r>
          <w:r>
            <w:fldChar w:fldCharType="begin"/>
          </w:r>
          <w:r>
            <w:instrText xml:space="preserve"> PAGEREF _Toc471235858 \h </w:instrText>
          </w:r>
          <w:r>
            <w:fldChar w:fldCharType="separate"/>
          </w:r>
          <w:r>
            <w:t>1</w:t>
          </w:r>
          <w:r>
            <w:fldChar w:fldCharType="end"/>
          </w:r>
          <w:r>
            <w:fldChar w:fldCharType="end"/>
          </w:r>
        </w:p>
        <w:p w14:paraId="3FBB3ABE">
          <w:pPr>
            <w:pStyle w:val="10"/>
            <w:jc w:val="both"/>
            <w:rPr>
              <w:kern w:val="2"/>
              <w:sz w:val="21"/>
            </w:rPr>
          </w:pPr>
          <w:r>
            <w:fldChar w:fldCharType="begin"/>
          </w:r>
          <w:r>
            <w:instrText xml:space="preserve"> HYPERLINK \l "_Toc471235859" </w:instrText>
          </w:r>
          <w:r>
            <w:fldChar w:fldCharType="separate"/>
          </w:r>
          <w:r>
            <w:rPr>
              <w:rStyle w:val="17"/>
            </w:rPr>
            <w:t>第二十二部分 基金合同的效力</w:t>
          </w:r>
          <w:r>
            <w:tab/>
          </w:r>
          <w:r>
            <w:t>22-</w:t>
          </w:r>
          <w:r>
            <w:fldChar w:fldCharType="begin"/>
          </w:r>
          <w:r>
            <w:instrText xml:space="preserve"> PAGEREF _Toc471235859 \h </w:instrText>
          </w:r>
          <w:r>
            <w:fldChar w:fldCharType="separate"/>
          </w:r>
          <w:r>
            <w:t>1</w:t>
          </w:r>
          <w:r>
            <w:fldChar w:fldCharType="end"/>
          </w:r>
          <w:r>
            <w:fldChar w:fldCharType="end"/>
          </w:r>
        </w:p>
        <w:p w14:paraId="04AB1B02">
          <w:pPr>
            <w:pStyle w:val="10"/>
            <w:jc w:val="both"/>
            <w:rPr>
              <w:kern w:val="2"/>
              <w:sz w:val="21"/>
            </w:rPr>
          </w:pPr>
          <w:r>
            <w:fldChar w:fldCharType="begin"/>
          </w:r>
          <w:r>
            <w:instrText xml:space="preserve"> HYPERLINK \l "_Toc471235860" </w:instrText>
          </w:r>
          <w:r>
            <w:fldChar w:fldCharType="separate"/>
          </w:r>
          <w:r>
            <w:rPr>
              <w:rStyle w:val="17"/>
            </w:rPr>
            <w:t>第二十三部分 其他事项</w:t>
          </w:r>
          <w:r>
            <w:tab/>
          </w:r>
          <w:r>
            <w:t>23-</w:t>
          </w:r>
          <w:r>
            <w:fldChar w:fldCharType="begin"/>
          </w:r>
          <w:r>
            <w:instrText xml:space="preserve"> PAGEREF _Toc471235860 \h </w:instrText>
          </w:r>
          <w:r>
            <w:fldChar w:fldCharType="separate"/>
          </w:r>
          <w:r>
            <w:t>1</w:t>
          </w:r>
          <w:r>
            <w:fldChar w:fldCharType="end"/>
          </w:r>
          <w:r>
            <w:fldChar w:fldCharType="end"/>
          </w:r>
        </w:p>
        <w:p w14:paraId="165D257D">
          <w:pPr>
            <w:pStyle w:val="10"/>
            <w:jc w:val="both"/>
            <w:rPr>
              <w:kern w:val="2"/>
              <w:sz w:val="21"/>
            </w:rPr>
          </w:pPr>
          <w:r>
            <w:fldChar w:fldCharType="begin"/>
          </w:r>
          <w:r>
            <w:instrText xml:space="preserve"> HYPERLINK \l "_Toc471235861" </w:instrText>
          </w:r>
          <w:r>
            <w:fldChar w:fldCharType="separate"/>
          </w:r>
          <w:r>
            <w:rPr>
              <w:rStyle w:val="17"/>
            </w:rPr>
            <w:t>第二十四部分  基金合同的内容摘要</w:t>
          </w:r>
          <w:r>
            <w:tab/>
          </w:r>
          <w:r>
            <w:t>24-</w:t>
          </w:r>
          <w:r>
            <w:fldChar w:fldCharType="begin"/>
          </w:r>
          <w:r>
            <w:instrText xml:space="preserve"> PAGEREF _Toc471235861 \h </w:instrText>
          </w:r>
          <w:r>
            <w:fldChar w:fldCharType="separate"/>
          </w:r>
          <w:r>
            <w:t>1</w:t>
          </w:r>
          <w:r>
            <w:fldChar w:fldCharType="end"/>
          </w:r>
          <w:r>
            <w:fldChar w:fldCharType="end"/>
          </w:r>
        </w:p>
        <w:p w14:paraId="254D98F7">
          <w:pPr>
            <w:rPr>
              <w:rFonts w:ascii="Times New Roman" w:hAnsi="Times New Roman" w:eastAsia="宋体" w:cs="Times New Roman"/>
            </w:rPr>
          </w:pPr>
          <w:r>
            <w:rPr>
              <w:rFonts w:ascii="Times New Roman" w:hAnsi="Times New Roman" w:eastAsia="宋体" w:cs="Times New Roman"/>
              <w:b/>
              <w:bCs/>
              <w:lang w:val="zh-CN"/>
            </w:rPr>
            <w:fldChar w:fldCharType="end"/>
          </w:r>
        </w:p>
      </w:sdtContent>
    </w:sdt>
    <w:p w14:paraId="3235510B">
      <w:pPr>
        <w:autoSpaceDE w:val="0"/>
        <w:autoSpaceDN w:val="0"/>
        <w:adjustRightInd w:val="0"/>
        <w:spacing w:line="360" w:lineRule="auto"/>
        <w:ind w:firstLine="480" w:firstLineChars="200"/>
        <w:rPr>
          <w:rFonts w:ascii="Times New Roman" w:hAnsi="Times New Roman" w:eastAsia="宋体" w:cs="Times New Roman"/>
          <w:kern w:val="0"/>
          <w:sz w:val="24"/>
          <w:szCs w:val="24"/>
        </w:rPr>
        <w:sectPr>
          <w:headerReference r:id="rId3" w:type="default"/>
          <w:pgSz w:w="11906" w:h="16838"/>
          <w:pgMar w:top="1440" w:right="1800" w:bottom="1440" w:left="1800" w:header="851" w:footer="992" w:gutter="0"/>
          <w:cols w:space="425" w:num="1"/>
          <w:docGrid w:type="lines" w:linePitch="312" w:charSpace="0"/>
        </w:sectPr>
      </w:pPr>
    </w:p>
    <w:p w14:paraId="26FFB5F2">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0" w:name="_Toc471235838"/>
      <w:r>
        <w:rPr>
          <w:rFonts w:ascii="Times New Roman" w:hAnsi="Times New Roman" w:eastAsia="宋体" w:cs="Times New Roman"/>
          <w:kern w:val="0"/>
          <w:sz w:val="30"/>
          <w:lang w:val="zh-CN"/>
        </w:rPr>
        <w:t>第一部分 前言</w:t>
      </w:r>
      <w:bookmarkEnd w:id="0"/>
    </w:p>
    <w:p w14:paraId="1C3682FE">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0F34AF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一、订立本基金合同的目的、依据和原则</w:t>
      </w:r>
    </w:p>
    <w:p w14:paraId="627FDDE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1、订立本基金合同的目的是保护投资人合法权益，明确基金合同当事人的权利义务，规范基金运作。</w:t>
      </w:r>
    </w:p>
    <w:p w14:paraId="2D6C863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订立本基金合同的依据是《中华人民共和国民法典》、《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w:t>
      </w:r>
      <w:r>
        <w:rPr>
          <w:rFonts w:hint="eastAsia" w:cs="宋体" w:asciiTheme="minorEastAsia" w:hAnsiTheme="minorEastAsia"/>
          <w:kern w:val="0"/>
          <w:sz w:val="24"/>
          <w:szCs w:val="24"/>
        </w:rPr>
        <w:t>《公开募集证券投资基金运作指引第2号——基金中基金指引》、</w:t>
      </w:r>
      <w:r>
        <w:rPr>
          <w:rFonts w:ascii="Times New Roman" w:hAnsi="Times New Roman" w:eastAsia="宋体" w:cs="Times New Roman"/>
          <w:kern w:val="0"/>
          <w:sz w:val="24"/>
          <w:szCs w:val="24"/>
        </w:rPr>
        <w:t>《公开募集证券投资基金运作指引第3号——指数基金指引》（以下简称“《指数基金指引》”）和其他有关法律法规。</w:t>
      </w:r>
    </w:p>
    <w:p w14:paraId="158E955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3、订立本基金合同的原则是平等自愿、诚实信用、充分保护投资人合法权益。</w:t>
      </w:r>
    </w:p>
    <w:p w14:paraId="03A0D9B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是规定基金合同当事人之间权利义务关系的基本法律文件，其他与基金相关的涉及基金合同当事人之间权利义务关系的任何文件或表述，如与基金合同有冲突，均以基金合同为准。基金合同当事人按照《基金法》、基金合同及其他有关规定享有权利、承担义务。</w:t>
      </w:r>
    </w:p>
    <w:p w14:paraId="175B564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的当事人包括基金管理人、基金托管人和基金份额持有人。基金管理人和基金托管人自本基金合同签订并生效之日起成为本基金合同的当事人。基金投资人自依本基金合同取得基金份额，即成为基金份额持有人和本基金合同的当事人，其持有基金份额的行为本身即表明其对基金合同的承认和接受。</w:t>
      </w:r>
    </w:p>
    <w:p w14:paraId="1172044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w:t>
      </w:r>
      <w:r>
        <w:rPr>
          <w:rFonts w:hint="eastAsia" w:ascii="Times New Roman" w:hAnsi="Times New Roman" w:eastAsia="宋体" w:cs="Times New Roman"/>
          <w:kern w:val="0"/>
          <w:sz w:val="24"/>
          <w:szCs w:val="24"/>
        </w:rPr>
        <w:t>博时国证粮食产业交易型开放式指数证券投资基金发起式联接基金</w:t>
      </w:r>
      <w:r>
        <w:rPr>
          <w:rFonts w:hint="eastAsia" w:cs="宋体" w:asciiTheme="minorEastAsia" w:hAnsiTheme="minorEastAsia"/>
          <w:kern w:val="0"/>
          <w:sz w:val="24"/>
          <w:szCs w:val="24"/>
        </w:rPr>
        <w:t>（以下简称“本基金”）由</w:t>
      </w:r>
      <w:r>
        <w:rPr>
          <w:rFonts w:ascii="Times New Roman" w:hAnsi="Times New Roman" w:eastAsia="宋体" w:cs="Times New Roman"/>
          <w:kern w:val="0"/>
          <w:sz w:val="24"/>
          <w:szCs w:val="24"/>
        </w:rPr>
        <w:t>博时国证粮食产业指数型发起式证券投资基金</w:t>
      </w:r>
      <w:r>
        <w:rPr>
          <w:rFonts w:hint="eastAsia" w:ascii="Times New Roman" w:hAnsi="Times New Roman" w:eastAsia="宋体" w:cs="Times New Roman"/>
          <w:kern w:val="0"/>
          <w:sz w:val="24"/>
          <w:szCs w:val="24"/>
        </w:rPr>
        <w:t>变更而来，</w:t>
      </w:r>
      <w:r>
        <w:rPr>
          <w:rFonts w:ascii="Times New Roman" w:hAnsi="Times New Roman" w:eastAsia="宋体" w:cs="Times New Roman"/>
          <w:kern w:val="0"/>
          <w:sz w:val="24"/>
          <w:szCs w:val="24"/>
        </w:rPr>
        <w:t>博时国证粮食产业指数型发起式证券投资基金由基金管理人依照《基金法》、基金合同及其他有关规定募集，并经中国证券监督管理委员会(以下简称“中国证监会”)注册。</w:t>
      </w:r>
    </w:p>
    <w:p w14:paraId="2E4C293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中国证监会对博时国证粮食产业指数型发起式证券投资基金募集的注册，并不表明其对本基金的投资价值、市场前景和收益做出实质性判断或保证，也不表明投资于本基金没有风险。</w:t>
      </w:r>
    </w:p>
    <w:p w14:paraId="6CCEE18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基金管理人依照恪尽职守、诚实信用、谨慎勤勉的原则管理和运用基金财产，但不保证投资于本基金一定盈利，也不保证最低收益。</w:t>
      </w:r>
    </w:p>
    <w:p w14:paraId="568F4C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投资者应当认真阅读基金招募说明书、基金合同、基金产品资料概要等信息披露文件，自主判断基金的投资价值，自主做出投资决策，自行承担投资风险。</w:t>
      </w:r>
    </w:p>
    <w:p w14:paraId="4A9AFB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四、基金管理人、基金托管人在本基金合同之外披露涉及本基金的信息，其内容涉及界定基金合同当事人之间权利义务关系的，如与基金合同有冲突，以基金合同为准。</w:t>
      </w:r>
    </w:p>
    <w:p w14:paraId="0B8BBA0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五、本基金按照中国法律法规成立并运作，若基金合同的内容与届时有效的法律法规的强制性规定不一致，应当以届时有效的法律法规的规定为准。</w:t>
      </w:r>
    </w:p>
    <w:p w14:paraId="03E3559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本基金因特殊情况（比如流动性不足等）导致本基金无法有效复制和跟踪标的指数时，为更好地实现基金的投资目标，本基金可能会少量投资于依法发行上市的非成份股（包括主板、创业板及其他经中国证监会核准或注册上市的股票、存托凭证）、</w:t>
      </w:r>
      <w:r>
        <w:rPr>
          <w:rFonts w:ascii="Times New Roman" w:hAnsi="Times New Roman" w:eastAsia="宋体" w:cs="Times New Roman"/>
          <w:sz w:val="24"/>
          <w:szCs w:val="24"/>
        </w:rPr>
        <w:t>内地与香港股票市场交易互联互通机制下允许买卖的香港联合交易所上市股票（以下简称“</w:t>
      </w:r>
      <w:r>
        <w:rPr>
          <w:rFonts w:ascii="Times New Roman" w:hAnsi="Times New Roman" w:eastAsia="宋体" w:cs="Times New Roman"/>
          <w:kern w:val="0"/>
          <w:sz w:val="24"/>
          <w:szCs w:val="24"/>
        </w:rPr>
        <w:t>港股通标的股票”）。</w:t>
      </w:r>
    </w:p>
    <w:p w14:paraId="03CF46C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若本基金资产投资于港股通标的股票，会面临港股通机制下因投资环境、投资标的、市场制度以及交易规则等差异带来的特有风险，包括港股市场股价波动较大的风险（港股市场实行T+0回转交易，且对个股不设涨跌幅限制，港股股价可能表现出比A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本基金可能会选择将部分基金资产投资于港股通标的股票，但基金资产并非必然投资港股通标的股票。</w:t>
      </w:r>
    </w:p>
    <w:p w14:paraId="380DCF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w:t>
      </w:r>
      <w:r>
        <w:rPr>
          <w:rFonts w:hint="eastAsia" w:cs="宋体" w:asciiTheme="minorEastAsia" w:hAnsiTheme="minorEastAsia"/>
          <w:kern w:val="0"/>
          <w:sz w:val="24"/>
          <w:szCs w:val="24"/>
        </w:rPr>
        <w:t>本基金主要投资于目标ETF、标的指数成份股和备选成份股（含存托凭证）</w:t>
      </w:r>
      <w:r>
        <w:rPr>
          <w:rFonts w:ascii="Times New Roman" w:hAnsi="Times New Roman" w:eastAsia="宋体" w:cs="Times New Roman"/>
          <w:kern w:val="0"/>
          <w:sz w:val="24"/>
          <w:szCs w:val="24"/>
        </w:rPr>
        <w:t>，投资者投资于本基金面临跟踪误差控制未达约定目标、指数编制机构停止服务、成份股停牌或退市等潜在风险，具体风险详见本基金招募说明书。</w:t>
      </w:r>
    </w:p>
    <w:p w14:paraId="72787D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九、本基金的投资范围包括存托凭证，除与其他仅投资于境内市场股票的基金所面临的共同风险外，本基金还将面临存托凭证价格大幅波动甚至出现较大亏损的风险，以及与存托凭证发行机制相关的风险。</w:t>
      </w:r>
    </w:p>
    <w:p w14:paraId="2765801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当本基金持有特定资产且存在或潜在大额赎回申请时，基金管理人履行相应程序后，可以启用侧袋机制，具体详见基金合同和招募说明书的有关章节。侧袋机制实施期间，基金管理人将对基金简称进行特殊标识，投资者不得办理侧袋账户份额的申购赎回等业务。请基金份额持有人仔细阅读相关内容并关注本基金启用侧袋机制时的特定风险。</w:t>
      </w:r>
    </w:p>
    <w:p w14:paraId="50001D65">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4" w:type="default"/>
          <w:pgSz w:w="11906" w:h="16838"/>
          <w:pgMar w:top="1440" w:right="1800" w:bottom="1440" w:left="1800" w:header="851" w:footer="992" w:gutter="0"/>
          <w:pgNumType w:start="1"/>
          <w:cols w:space="425" w:num="1"/>
          <w:docGrid w:type="lines" w:linePitch="312" w:charSpace="0"/>
        </w:sectPr>
      </w:pPr>
    </w:p>
    <w:p w14:paraId="056A65C5">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 w:name="_Toc471235839"/>
      <w:r>
        <w:rPr>
          <w:rFonts w:ascii="Times New Roman" w:hAnsi="Times New Roman" w:eastAsia="宋体" w:cs="Times New Roman"/>
          <w:kern w:val="0"/>
          <w:sz w:val="30"/>
          <w:lang w:val="zh-CN"/>
        </w:rPr>
        <w:t>第二部分 释义</w:t>
      </w:r>
      <w:bookmarkEnd w:id="1"/>
    </w:p>
    <w:p w14:paraId="3910ED63">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3990418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在本基金合同中，除非文意另有所指，下列词语或简称具有如下含义：</w:t>
      </w:r>
    </w:p>
    <w:p w14:paraId="58BFAD7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1、基金或本基金：指</w:t>
      </w:r>
      <w:r>
        <w:rPr>
          <w:rFonts w:hint="eastAsia" w:ascii="Times New Roman" w:hAnsi="Times New Roman" w:eastAsia="宋体" w:cs="Times New Roman"/>
          <w:kern w:val="0"/>
          <w:sz w:val="24"/>
          <w:szCs w:val="24"/>
        </w:rPr>
        <w:t>博时国证粮食产业交易型开放式指数证券投资基金发起式联接基金</w:t>
      </w:r>
      <w:r>
        <w:rPr>
          <w:rFonts w:hint="eastAsia" w:cs="宋体" w:asciiTheme="minorEastAsia" w:hAnsiTheme="minorEastAsia"/>
          <w:kern w:val="0"/>
          <w:sz w:val="24"/>
          <w:szCs w:val="24"/>
        </w:rPr>
        <w:t>，本基金由博时</w:t>
      </w:r>
      <w:r>
        <w:rPr>
          <w:rFonts w:hint="eastAsia" w:ascii="Times New Roman" w:hAnsi="Times New Roman" w:eastAsia="宋体" w:cs="Times New Roman"/>
          <w:kern w:val="0"/>
          <w:sz w:val="24"/>
          <w:szCs w:val="24"/>
        </w:rPr>
        <w:t>国证粮食产业</w:t>
      </w:r>
      <w:r>
        <w:rPr>
          <w:rFonts w:hint="eastAsia" w:cs="宋体" w:asciiTheme="minorEastAsia" w:hAnsiTheme="minorEastAsia"/>
          <w:kern w:val="0"/>
          <w:sz w:val="24"/>
          <w:szCs w:val="24"/>
        </w:rPr>
        <w:t>指数型发起式证券投资基金变更而来</w:t>
      </w:r>
    </w:p>
    <w:p w14:paraId="034DFBC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2、基金管理人：指博时基金管理有限公司</w:t>
      </w:r>
    </w:p>
    <w:p w14:paraId="51F0CA7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3、基金托管人：指兴业银行股份有限公司</w:t>
      </w:r>
    </w:p>
    <w:p w14:paraId="18F73D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4、基金合同或本基金合同：指《</w:t>
      </w:r>
      <w:r>
        <w:rPr>
          <w:rFonts w:hint="eastAsia" w:ascii="Times New Roman" w:hAnsi="Times New Roman" w:eastAsia="宋体" w:cs="Times New Roman"/>
          <w:kern w:val="0"/>
          <w:sz w:val="24"/>
          <w:szCs w:val="24"/>
        </w:rPr>
        <w:t>博时国证粮食产业交易型开放式指数证券投资基金发起式联接基金</w:t>
      </w:r>
      <w:r>
        <w:rPr>
          <w:rFonts w:ascii="Times New Roman" w:hAnsi="Times New Roman" w:eastAsia="宋体" w:cs="Times New Roman"/>
          <w:kern w:val="0"/>
          <w:sz w:val="24"/>
          <w:szCs w:val="24"/>
        </w:rPr>
        <w:t>基金合同》及对本基金合同的任何有效修订和补充</w:t>
      </w:r>
    </w:p>
    <w:p w14:paraId="0606127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5、托管协议：指基金管理人与基金托管人就本基金签订之《</w:t>
      </w:r>
      <w:r>
        <w:rPr>
          <w:rFonts w:hint="eastAsia" w:ascii="Times New Roman" w:hAnsi="Times New Roman" w:eastAsia="宋体" w:cs="Times New Roman"/>
          <w:kern w:val="0"/>
          <w:sz w:val="24"/>
          <w:szCs w:val="24"/>
        </w:rPr>
        <w:t>博时国证粮食产业交易型开放式指数证券投资基金发起式联接基金</w:t>
      </w:r>
      <w:r>
        <w:rPr>
          <w:rFonts w:ascii="Times New Roman" w:hAnsi="Times New Roman" w:eastAsia="宋体" w:cs="Times New Roman"/>
          <w:kern w:val="0"/>
          <w:sz w:val="24"/>
          <w:szCs w:val="24"/>
        </w:rPr>
        <w:t>托管协议》及对该托管协议的任何有效修订和补充</w:t>
      </w:r>
    </w:p>
    <w:p w14:paraId="7D43F7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6、招募说明书：指《</w:t>
      </w:r>
      <w:r>
        <w:rPr>
          <w:rFonts w:hint="eastAsia" w:ascii="Times New Roman" w:hAnsi="Times New Roman" w:eastAsia="宋体" w:cs="Times New Roman"/>
          <w:kern w:val="0"/>
          <w:sz w:val="24"/>
          <w:szCs w:val="24"/>
        </w:rPr>
        <w:t>博时国证粮食产业交易型开放式指数证券投资基金发起式联接基金</w:t>
      </w:r>
      <w:r>
        <w:rPr>
          <w:rFonts w:ascii="Times New Roman" w:hAnsi="Times New Roman" w:eastAsia="宋体" w:cs="Times New Roman"/>
          <w:kern w:val="0"/>
          <w:sz w:val="24"/>
          <w:szCs w:val="24"/>
        </w:rPr>
        <w:t>招募说明书》及其更新</w:t>
      </w:r>
    </w:p>
    <w:p w14:paraId="2D232B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7、基金产品资料概要：指《</w:t>
      </w:r>
      <w:r>
        <w:rPr>
          <w:rFonts w:hint="eastAsia" w:ascii="Times New Roman" w:hAnsi="Times New Roman" w:eastAsia="宋体" w:cs="Times New Roman"/>
          <w:kern w:val="0"/>
          <w:sz w:val="24"/>
          <w:szCs w:val="24"/>
        </w:rPr>
        <w:t>博时国证粮食产业交易型开放式指数证券投资基金发起式联接基金</w:t>
      </w:r>
      <w:r>
        <w:rPr>
          <w:rFonts w:ascii="Times New Roman" w:hAnsi="Times New Roman" w:eastAsia="宋体" w:cs="Times New Roman"/>
          <w:kern w:val="0"/>
          <w:sz w:val="24"/>
          <w:szCs w:val="24"/>
        </w:rPr>
        <w:t>基金产品资料概要》及其更新</w:t>
      </w:r>
    </w:p>
    <w:p w14:paraId="52D7590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8、法律法规：指中国现行有效并公布实施的法律、行政法规、规范性文件</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司法解释、行政规章以及其他对基金合同当事人有约束力的决定、决议、通知等</w:t>
      </w:r>
    </w:p>
    <w:p w14:paraId="1A16B4E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9、《基金法》：指2003年10月28日经第十届全国人民代表大会常务委员会第五次会议通过，经2012年12月28日第十一届全国人民代表大会常务委员会第30 次会议修订，自2013年6月1日起实施，并经2015年4月24日第十二届全国人民代表大会常务委员会第十四次会议《全国人民代表大会常务委员会关于修改&lt;中华人民共和国港口法&gt;等七部法律的决定》修正的《中华人民共和国证券投资基金法》及颁布机关对其不时做出的修订</w:t>
      </w:r>
    </w:p>
    <w:p w14:paraId="7C99045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10、《销售办法》：指中国证监会2020年8月28日颁布、同年10月1日实施的《公开募集证券投资基金销售机构监督管理办法》及颁布机关对其不时做出的修订</w:t>
      </w:r>
    </w:p>
    <w:p w14:paraId="39E28B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信息披露办法》：指中国证监会2019年7月26日颁布、同年9月1日实施，并经2020年3月20日中国证监会《关于修改部分证券期货规章的决定》修改的《公开募集证券投资基金信息披露管理办法》及颁布机关对其不时做出的修订</w:t>
      </w:r>
    </w:p>
    <w:p w14:paraId="1347490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12、《运作办法》：指中国证监会2014年7月7日颁布、同年8月8日实施的《公开募集证券投资基金运作管理办法》及颁布机关对其不时做出的修订</w:t>
      </w:r>
    </w:p>
    <w:p w14:paraId="2C3ADD8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13、《流动性风险管理规定》：指中国证监会2017年8月31日颁布、同年10月1日实施的《公开募集开放式证券投资基金流动性风险管理规定》及颁布机关对其不时做出的修订</w:t>
      </w:r>
    </w:p>
    <w:p w14:paraId="165D79A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14、中国证监会：指中国证券监督管理委员会</w:t>
      </w:r>
    </w:p>
    <w:p w14:paraId="0CF75CB4">
      <w:pPr>
        <w:autoSpaceDE w:val="0"/>
        <w:autoSpaceDN w:val="0"/>
        <w:adjustRightInd w:val="0"/>
        <w:spacing w:line="360" w:lineRule="auto"/>
        <w:ind w:firstLine="480" w:firstLineChars="200"/>
        <w:rPr>
          <w:rFonts w:ascii="Times New Roman" w:hAnsi="Times New Roman" w:eastAsia="宋体" w:cs="Times New Roman"/>
          <w:kern w:val="0"/>
          <w:sz w:val="24"/>
          <w:szCs w:val="24"/>
          <w:lang w:eastAsia="zh-Hans"/>
        </w:rPr>
      </w:pPr>
      <w:r>
        <w:rPr>
          <w:rFonts w:ascii="Times New Roman" w:hAnsi="Times New Roman" w:eastAsia="宋体" w:cs="Times New Roman"/>
          <w:kern w:val="0"/>
          <w:sz w:val="24"/>
          <w:szCs w:val="24"/>
        </w:rPr>
        <w:t>15、银行业监督管理机构：指中国人民银行和/或</w:t>
      </w:r>
      <w:r>
        <w:rPr>
          <w:rFonts w:hint="eastAsia" w:ascii="Times New Roman" w:hAnsi="Times New Roman" w:eastAsia="宋体" w:cs="Times New Roman"/>
          <w:kern w:val="0"/>
          <w:sz w:val="24"/>
          <w:szCs w:val="24"/>
          <w:lang w:eastAsia="zh-Hans"/>
        </w:rPr>
        <w:t>国家金融监督管理总局</w:t>
      </w:r>
    </w:p>
    <w:p w14:paraId="14B9BA0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16、基金合同当事人：指受基金合同约束，根据基金合同享有权利并承担义务的法律主体，包括基金管理人、基金托管人和基金份额持有人</w:t>
      </w:r>
    </w:p>
    <w:p w14:paraId="0CC0E6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17、个人投资者：指依据有关法律法规规定可投资于证券投资基金的自然人</w:t>
      </w:r>
    </w:p>
    <w:p w14:paraId="12C96B1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18、机构投资者：指依法可以投资证券投资基金的、在中华人民共和国境内合法登记并存续或经有关政府部门批准设立并存续的企业法人、事业法人、社会团体或其他组织</w:t>
      </w:r>
    </w:p>
    <w:p w14:paraId="2A4891C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合格境外投资者：指符合《合格境外机构投资者和人民币合格境外机构投资者境内证券期货投资管理办法》（及颁布机关对其不时做出的修订）及相关法律法规规定，经中国证监会批准，使用来自境外的资金进行境内证券期货投资的境外机构投资者，包括合格境外机构投资者和人民币合格境外机构投资者</w:t>
      </w:r>
    </w:p>
    <w:p w14:paraId="32D8448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20、投资人、投资者：指个人投资者、机构投资者、合格境外投资者、发起资金提供方以及法律法规或中国证监会允许购买证券投资基金的其他投资人的合称</w:t>
      </w:r>
    </w:p>
    <w:p w14:paraId="5E3F455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21、基金份额持有人：指依基金合同和招募说明书合法取得基金份额的投资人</w:t>
      </w:r>
    </w:p>
    <w:p w14:paraId="7831A95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22、基金销售业务：指基金管理人或销售机构宣传推介基金，办理基金份额的申购、赎回、转换、转托管及定期定额投资等业务</w:t>
      </w:r>
    </w:p>
    <w:p w14:paraId="59A08C1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23、销售机构：指博时基金管理有限公司以及符合《销售办法》和中国证监会规定的其他条件，取得基金销售业务资格并与基金管理人签订了基金销售服务协议，办理基金销售业务的机构</w:t>
      </w:r>
    </w:p>
    <w:p w14:paraId="2A15B7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24、登记业务：指基金登记、存管、过户、清算和结算业务，具体内容包括投资人基金账户的建立和管理、基金份额登记、基金销售业务的确认、清算和结算、代理发放红利、建立并保管基金份额持有人名册和办理非交易过户等</w:t>
      </w:r>
    </w:p>
    <w:p w14:paraId="10126E7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25、登记机构：指办理登记业务的机构。本基金的登记机构为博时基金管理有限公司</w:t>
      </w:r>
    </w:p>
    <w:p w14:paraId="3DA49CC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26、基金账户：指登记机构为投资人开立的、记录其持有的、基金管理人所管理的基金份额余额及其变动情况的账户</w:t>
      </w:r>
    </w:p>
    <w:p w14:paraId="375686D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27、基金交易账户：指销售机构为投资人开立的、记录投资人通过该销售机构办理申购、赎回、转换、转托管及定期定额投资等业务而引起的基金份额变动及结余情况的账户</w:t>
      </w:r>
    </w:p>
    <w:p w14:paraId="0AC8A7A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28、基金合同生效日：指</w:t>
      </w:r>
      <w:r>
        <w:rPr>
          <w:rFonts w:hint="eastAsia" w:ascii="Times New Roman" w:hAnsi="Times New Roman" w:eastAsia="宋体" w:cs="Times New Roman"/>
          <w:kern w:val="0"/>
          <w:sz w:val="24"/>
          <w:szCs w:val="24"/>
        </w:rPr>
        <w:t>《</w:t>
      </w:r>
      <w:r>
        <w:rPr>
          <w:rFonts w:hint="eastAsia" w:cs="宋体" w:asciiTheme="minorEastAsia" w:hAnsiTheme="minorEastAsia"/>
          <w:kern w:val="0"/>
          <w:sz w:val="24"/>
          <w:szCs w:val="24"/>
        </w:rPr>
        <w:t>博时</w:t>
      </w:r>
      <w:r>
        <w:rPr>
          <w:rFonts w:hint="eastAsia" w:ascii="Times New Roman" w:hAnsi="Times New Roman" w:eastAsia="宋体" w:cs="Times New Roman"/>
          <w:kern w:val="0"/>
          <w:sz w:val="24"/>
          <w:szCs w:val="24"/>
        </w:rPr>
        <w:t>国证粮食产业</w:t>
      </w:r>
      <w:r>
        <w:rPr>
          <w:rFonts w:hint="eastAsia" w:cs="宋体" w:asciiTheme="minorEastAsia" w:hAnsiTheme="minorEastAsia"/>
          <w:kern w:val="0"/>
          <w:sz w:val="24"/>
          <w:szCs w:val="24"/>
        </w:rPr>
        <w:t>指数型发起式证券投资基金基金合同</w:t>
      </w:r>
      <w:r>
        <w:rPr>
          <w:rFonts w:hint="eastAsia" w:ascii="Times New Roman" w:hAnsi="Times New Roman" w:eastAsia="宋体" w:cs="Times New Roman"/>
          <w:kern w:val="0"/>
          <w:sz w:val="24"/>
          <w:szCs w:val="24"/>
        </w:rPr>
        <w:t>》生效日</w:t>
      </w:r>
    </w:p>
    <w:p w14:paraId="18BFDE8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29、基金合同终止日：指基金合同规定的基金合同终止事由出现后，基金财产清算完毕，清算结果报中国证监会备案并予以公告的日期</w:t>
      </w:r>
    </w:p>
    <w:p w14:paraId="2CB5B8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30、存续期：指</w:t>
      </w:r>
      <w:r>
        <w:rPr>
          <w:rFonts w:hint="eastAsia" w:ascii="Times New Roman" w:hAnsi="Times New Roman" w:eastAsia="宋体" w:cs="Times New Roman"/>
          <w:kern w:val="0"/>
          <w:sz w:val="24"/>
          <w:szCs w:val="24"/>
        </w:rPr>
        <w:t>《</w:t>
      </w:r>
      <w:r>
        <w:rPr>
          <w:rFonts w:hint="eastAsia" w:cs="宋体" w:asciiTheme="minorEastAsia" w:hAnsiTheme="minorEastAsia"/>
          <w:kern w:val="0"/>
          <w:sz w:val="24"/>
          <w:szCs w:val="24"/>
        </w:rPr>
        <w:t>博时</w:t>
      </w:r>
      <w:r>
        <w:rPr>
          <w:rFonts w:hint="eastAsia" w:ascii="Times New Roman" w:hAnsi="Times New Roman" w:eastAsia="宋体" w:cs="Times New Roman"/>
          <w:kern w:val="0"/>
          <w:sz w:val="24"/>
          <w:szCs w:val="24"/>
        </w:rPr>
        <w:t>国证粮食产业</w:t>
      </w:r>
      <w:r>
        <w:rPr>
          <w:rFonts w:hint="eastAsia" w:cs="宋体" w:asciiTheme="minorEastAsia" w:hAnsiTheme="minorEastAsia"/>
          <w:kern w:val="0"/>
          <w:sz w:val="24"/>
          <w:szCs w:val="24"/>
        </w:rPr>
        <w:t>指数型发起式证券投资基金基金合同</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生效至</w:t>
      </w:r>
      <w:r>
        <w:rPr>
          <w:rFonts w:hint="eastAsia" w:ascii="Times New Roman" w:hAnsi="Times New Roman" w:eastAsia="宋体" w:cs="Times New Roman"/>
          <w:kern w:val="0"/>
          <w:sz w:val="24"/>
          <w:szCs w:val="24"/>
        </w:rPr>
        <w:t>本基金基金合同</w:t>
      </w:r>
      <w:r>
        <w:rPr>
          <w:rFonts w:ascii="Times New Roman" w:hAnsi="Times New Roman" w:eastAsia="宋体" w:cs="Times New Roman"/>
          <w:kern w:val="0"/>
          <w:sz w:val="24"/>
          <w:szCs w:val="24"/>
        </w:rPr>
        <w:t>终止之间的不定期期限</w:t>
      </w:r>
    </w:p>
    <w:p w14:paraId="686924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31、工作日：指上海证券交易所、深圳证券交易所及相关期货交易所的正常交易日</w:t>
      </w:r>
    </w:p>
    <w:p w14:paraId="61F289B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32、T日：指销售机构在规定时间受理投资人申购、赎回或其他业务申请的开放日</w:t>
      </w:r>
    </w:p>
    <w:p w14:paraId="08655D3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33、T+n日：指自T日起第n个工作日（不包含T日），n为自然数</w:t>
      </w:r>
    </w:p>
    <w:p w14:paraId="26A972B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34、开放日：指为投资人办理基金份额申购、赎回或其他业务的工作日（若本基金参与港股通交易且该工作日为非港股通交易日时，则基金管理人可根据实际情况决定本基金是否开放申购、赎回及转换业务，具体以届时提前发布的公告为准）</w:t>
      </w:r>
    </w:p>
    <w:p w14:paraId="7CC590D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35、开放时间：指开放日基金接受申购、赎回或其他交易的时间段</w:t>
      </w:r>
    </w:p>
    <w:p w14:paraId="06DC530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36、《业务规则》：指《博时基金管理有限公司开放式基金业务规则》，是规范基金管理人所管理的开放式证券投资基金登记方面的业务规则，由基金管理人、销售机构和投资人共同遵守</w:t>
      </w:r>
    </w:p>
    <w:p w14:paraId="4EBFFCE5">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3C7D370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37、申购：指基金合同生效后，投资人根据基金合同和招募说明书的规定，申请购买基金份额的行为</w:t>
      </w:r>
    </w:p>
    <w:p w14:paraId="6481B96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38、赎回：指基金合同生效后，基金份额持有人按基金合同和招募说明书规定的条件，要求将基金份额兑换为现金的行为</w:t>
      </w:r>
    </w:p>
    <w:p w14:paraId="0A6DDF1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39、基金转换：指基金份额持有人按照本基金合同和基金管理人届时有效公告规定的条件，申请将其持有基金管理人管理的、某一基金的基金份额转换为基金管理人管理的其他基金基金份额的行为</w:t>
      </w:r>
    </w:p>
    <w:p w14:paraId="2685B37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40、转托管：指基金份额持有人在本基金的不同销售机构之间实施的变更所持基金份额销售机构的操作</w:t>
      </w:r>
    </w:p>
    <w:p w14:paraId="5792710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41、定期定额投资计划：指投资人通过有关销售机构提出申请，约定每期申购日、扣款金额及扣款方式，由销售机构于每期约定扣款日在投资人指定银行账户内自动完成扣款及受理基金申购申请的一种投资方式</w:t>
      </w:r>
    </w:p>
    <w:p w14:paraId="1E49193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42、巨额赎回：指本基金单个开放日，基金净赎回申请（赎回申请份额总数加上基金转换中转出申请份额总数后扣除申购申请份额总数及基金转换中转入申请份额总数后的余额）超过上一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日基金总份额的10%</w:t>
      </w:r>
    </w:p>
    <w:p w14:paraId="78D13B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43、元：指人民币元</w:t>
      </w:r>
    </w:p>
    <w:p w14:paraId="1ABCB32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44、基金收益：指基金投资所得红利、股息、债券利息、买卖证券价差、证券持有期间的公允价值变动、</w:t>
      </w:r>
      <w:r>
        <w:rPr>
          <w:rFonts w:hint="eastAsia" w:cs="宋体" w:asciiTheme="minorEastAsia" w:hAnsiTheme="minorEastAsia"/>
          <w:kern w:val="0"/>
          <w:sz w:val="24"/>
          <w:szCs w:val="24"/>
        </w:rPr>
        <w:t>投资目标ETF基金份额所得收益、</w:t>
      </w:r>
      <w:r>
        <w:rPr>
          <w:rFonts w:ascii="Times New Roman" w:hAnsi="Times New Roman" w:eastAsia="宋体" w:cs="Times New Roman"/>
          <w:kern w:val="0"/>
          <w:sz w:val="24"/>
          <w:szCs w:val="24"/>
        </w:rPr>
        <w:t>银行存款利息、已实现的其他合法收入及因运用基金财产带来的成本和费用的节约</w:t>
      </w:r>
    </w:p>
    <w:p w14:paraId="1097875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45、</w:t>
      </w:r>
      <w:bookmarkStart w:id="2" w:name="_Hlk38272810"/>
      <w:r>
        <w:rPr>
          <w:rFonts w:ascii="Times New Roman" w:hAnsi="Times New Roman" w:eastAsia="宋体" w:cs="Times New Roman"/>
          <w:kern w:val="0"/>
          <w:sz w:val="24"/>
          <w:szCs w:val="24"/>
        </w:rPr>
        <w:t>基金资产总值：指基金拥有的各类有价证券、</w:t>
      </w:r>
      <w:r>
        <w:rPr>
          <w:rFonts w:hint="eastAsia" w:cs="宋体" w:asciiTheme="minorEastAsia" w:hAnsiTheme="minorEastAsia"/>
          <w:kern w:val="0"/>
          <w:sz w:val="24"/>
          <w:szCs w:val="24"/>
        </w:rPr>
        <w:t>目标ETF基金份额、</w:t>
      </w:r>
      <w:r>
        <w:rPr>
          <w:rFonts w:ascii="Times New Roman" w:hAnsi="Times New Roman" w:eastAsia="宋体" w:cs="Times New Roman"/>
          <w:kern w:val="0"/>
          <w:sz w:val="24"/>
          <w:szCs w:val="24"/>
        </w:rPr>
        <w:t>银行存款本息、基金应收款项及其他资产的价值总和</w:t>
      </w:r>
      <w:bookmarkEnd w:id="2"/>
    </w:p>
    <w:p w14:paraId="712DDD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46、基金资产净值：指基金资产总值减去基金负债后的价值</w:t>
      </w:r>
    </w:p>
    <w:p w14:paraId="183E971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47、基金份额净值：指计算日基金资产净值除以计算日基金份额总数</w:t>
      </w:r>
    </w:p>
    <w:p w14:paraId="68B90E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48、基金资产估值：指计算评估基金资产和负债的价值，以确定基金资产净值和基金份额净值的过程</w:t>
      </w:r>
    </w:p>
    <w:p w14:paraId="2884A6B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49、基金份额分类：指本基金分设两类基金份额：A类基金份额和C类基金份额。两类基金份额分设不同的基金代码，分别计算基金份额净值，计算公式为计算日各类别基金资产净值除以计算日发售在外的该类别基金份额总数</w:t>
      </w:r>
    </w:p>
    <w:p w14:paraId="6DBDBDF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50、A类基金份额：指在投资者申购时收取申购费用，在赎回时根据持有期限收取赎回费用，但不从本类别基金资产中计提销售服务费的基金份额类别</w:t>
      </w:r>
    </w:p>
    <w:p w14:paraId="7CA9B5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51、C类基金份额：指在投资者申购时不收取申购费用，在赎回时根据持有期限收取赎回费用，且从本类别基金资产中计提销售服务费的基金份额类别</w:t>
      </w:r>
    </w:p>
    <w:p w14:paraId="290DEF7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52、销售服务费：指从基金财产中计提的，用于本基金市场推广、销售以及基金份额持有人服务的费用</w:t>
      </w:r>
    </w:p>
    <w:p w14:paraId="1EFC26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53、港股通：指内地投资者委托内地证券公司，经由证券交易所或经中国证监会认可的机构设立的证券交易服务公司，向香港联合交易所有限公司进行申报，买卖规定范围内的香港联合交易所上市的股票</w:t>
      </w:r>
    </w:p>
    <w:p w14:paraId="1CAC184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54、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等</w:t>
      </w:r>
    </w:p>
    <w:p w14:paraId="5803AE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55、摆动定价机制：指当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14:paraId="7DFC37A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56、转融通证券出借业务：指基金以一定的费率通过证券交易所综合业务平台向中国证券金融股份有限公司（以下简称证券金融公司）出借证券，证券金融公司到期归还所借证券及相应权益补偿并支付费用的业务</w:t>
      </w:r>
    </w:p>
    <w:p w14:paraId="2F4DF97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57、规定媒介：指符合中国证监会规定条件的用以进行信息披露的全国性报刊及《信息披露办法》规定的互联网网站（包括基金管理人网站、基金托管人网站、中国证监会基金电子披露网站）等媒介</w:t>
      </w:r>
    </w:p>
    <w:p w14:paraId="209E21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58、中国法律：指中华人民共和国法律，就本基金合同而言，不包括香港特别行政区、澳门特别行政区和台湾地区法律</w:t>
      </w:r>
    </w:p>
    <w:p w14:paraId="040AD0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59、不可抗力：指本基金合同当事人不能预见、不能避免且不能克服的客观事件</w:t>
      </w:r>
    </w:p>
    <w:p w14:paraId="4297D45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60、《指数基金指引》：指中国证监会2021年1月22日颁布、同年2月1日实施的《公开募集证券投资基金运作指引第3号——指数基金指引》及颁布机关对其不时做出的修订</w:t>
      </w:r>
    </w:p>
    <w:p w14:paraId="7B9F68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61、发起资金：指基金管理人的股东资金、基金管理人固有资金、基金管理人高级管理人员或基金经理（指基金管理人员工中依法具有基金经理资格者，包括但可能不限于本基金的基金经理，下同）等人员参与认购的资金</w:t>
      </w:r>
    </w:p>
    <w:p w14:paraId="347B0CF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62、发起资金提供方：指以发起资金认购基金且承诺以发起资金认购的基金份额持有期限不少于3年的基金管理人股东、基金管理人、基金管理人的高级管理人员及基金经理等人员</w:t>
      </w:r>
    </w:p>
    <w:p w14:paraId="46D67269">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63</w:t>
      </w:r>
      <w:r>
        <w:rPr>
          <w:rFonts w:hint="eastAsia" w:ascii="Times New Roman" w:hAnsi="Times New Roman" w:eastAsia="宋体" w:cs="Times New Roman"/>
          <w:kern w:val="0"/>
          <w:sz w:val="24"/>
          <w:szCs w:val="24"/>
        </w:rPr>
        <w:t>、</w:t>
      </w:r>
      <w:r>
        <w:rPr>
          <w:rFonts w:hint="eastAsia" w:cs="宋体" w:asciiTheme="minorEastAsia" w:hAnsiTheme="minorEastAsia"/>
          <w:kern w:val="0"/>
          <w:sz w:val="24"/>
          <w:szCs w:val="24"/>
        </w:rPr>
        <w:t>联接基金：指本基金，即将绝大部分基金财产投资于博时</w:t>
      </w:r>
      <w:r>
        <w:rPr>
          <w:rFonts w:ascii="Times New Roman" w:hAnsi="Times New Roman" w:eastAsia="宋体" w:cs="Times New Roman"/>
          <w:kern w:val="0"/>
          <w:sz w:val="24"/>
          <w:szCs w:val="24"/>
        </w:rPr>
        <w:t>国证粮食产业</w:t>
      </w:r>
      <w:r>
        <w:rPr>
          <w:rFonts w:hint="eastAsia" w:cs="宋体" w:asciiTheme="minorEastAsia" w:hAnsiTheme="minorEastAsia"/>
          <w:kern w:val="0"/>
          <w:sz w:val="24"/>
          <w:szCs w:val="24"/>
        </w:rPr>
        <w:t>交易型开放式指数证券投资基金（目标ETF），紧密跟踪标的指数表现，追求跟踪偏离度和跟踪误差最小化，采用开放式运作方式的基金</w:t>
      </w:r>
    </w:p>
    <w:p w14:paraId="3CA182D6">
      <w:pPr>
        <w:autoSpaceDE w:val="0"/>
        <w:autoSpaceDN w:val="0"/>
        <w:adjustRightInd w:val="0"/>
        <w:spacing w:line="360" w:lineRule="auto"/>
        <w:ind w:firstLine="480" w:firstLineChars="200"/>
        <w:rPr>
          <w:rFonts w:hint="eastAsia" w:cs="宋体" w:asciiTheme="minorEastAsia" w:hAnsiTheme="minorEastAsia"/>
          <w:kern w:val="0"/>
          <w:sz w:val="24"/>
          <w:szCs w:val="24"/>
        </w:rPr>
      </w:pPr>
      <w:r>
        <w:rPr>
          <w:rFonts w:hint="eastAsia" w:cs="宋体" w:asciiTheme="minorEastAsia" w:hAnsiTheme="minorEastAsia"/>
          <w:kern w:val="0"/>
          <w:sz w:val="24"/>
          <w:szCs w:val="24"/>
        </w:rPr>
        <w:t>6</w:t>
      </w:r>
      <w:r>
        <w:rPr>
          <w:rFonts w:cs="宋体" w:asciiTheme="minorEastAsia" w:hAnsiTheme="minorEastAsia"/>
          <w:kern w:val="0"/>
          <w:sz w:val="24"/>
          <w:szCs w:val="24"/>
        </w:rPr>
        <w:t>4</w:t>
      </w:r>
      <w:r>
        <w:rPr>
          <w:rFonts w:hint="eastAsia" w:cs="宋体" w:asciiTheme="minorEastAsia" w:hAnsiTheme="minorEastAsia"/>
          <w:kern w:val="0"/>
          <w:sz w:val="24"/>
          <w:szCs w:val="24"/>
        </w:rPr>
        <w:t>、目标ETF：博时</w:t>
      </w:r>
      <w:r>
        <w:rPr>
          <w:rFonts w:ascii="Times New Roman" w:hAnsi="Times New Roman" w:eastAsia="宋体" w:cs="Times New Roman"/>
          <w:kern w:val="0"/>
          <w:sz w:val="24"/>
          <w:szCs w:val="24"/>
        </w:rPr>
        <w:t>国证粮食产业</w:t>
      </w:r>
      <w:r>
        <w:rPr>
          <w:rFonts w:hint="eastAsia" w:cs="宋体" w:asciiTheme="minorEastAsia" w:hAnsiTheme="minorEastAsia"/>
          <w:kern w:val="0"/>
          <w:sz w:val="24"/>
          <w:szCs w:val="24"/>
        </w:rPr>
        <w:t>交易型开放式指数证券投资基金</w:t>
      </w:r>
    </w:p>
    <w:p w14:paraId="52590D5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5</w:t>
      </w:r>
      <w:r>
        <w:rPr>
          <w:rFonts w:hint="eastAsia" w:ascii="Times New Roman" w:hAnsi="Times New Roman" w:eastAsia="宋体" w:cs="Times New Roman"/>
          <w:kern w:val="0"/>
          <w:sz w:val="24"/>
          <w:szCs w:val="24"/>
        </w:rPr>
        <w:t>、</w:t>
      </w:r>
      <w:r>
        <w:rPr>
          <w:rFonts w:ascii="Times New Roman" w:hAnsi="Times New Roman" w:eastAsia="宋体" w:cs="Times New Roman"/>
          <w:kern w:val="0"/>
          <w:sz w:val="24"/>
          <w:szCs w:val="24"/>
        </w:rPr>
        <w:t>侧袋机制：指将基金投资组合中的特定资产从原有账户分离至专门账户进行处置清算，目的在于有效隔离并化解风险，确保投资者得到公平对待，属于流动性风险管理工具。侧袋机制实施期间，原有账户称为主袋账户，专门账户称为侧袋账户</w:t>
      </w:r>
    </w:p>
    <w:p w14:paraId="786B6F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66、特定资产：包括：（1）无可参考的活跃市场价格且采用估值技术仍导致公允价值存在重大不确定性的资产；（2）按摊余成本计量且计提资产减值准备仍导致资产价值存在重大不确定性的资产；（3）其他资产价值存在重大不确定性的资产</w:t>
      </w:r>
    </w:p>
    <w:p w14:paraId="5F4EC35B">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5" w:type="default"/>
          <w:pgSz w:w="11906" w:h="16838"/>
          <w:pgMar w:top="1440" w:right="1800" w:bottom="1440" w:left="1800" w:header="851" w:footer="992" w:gutter="0"/>
          <w:pgNumType w:start="1"/>
          <w:cols w:space="425" w:num="1"/>
          <w:docGrid w:type="lines" w:linePitch="312" w:charSpace="0"/>
        </w:sectPr>
      </w:pPr>
    </w:p>
    <w:p w14:paraId="461F23A3">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3" w:name="_Toc471235840"/>
      <w:r>
        <w:rPr>
          <w:rFonts w:ascii="Times New Roman" w:hAnsi="Times New Roman" w:eastAsia="宋体" w:cs="Times New Roman"/>
          <w:kern w:val="0"/>
          <w:sz w:val="30"/>
          <w:lang w:val="zh-CN"/>
        </w:rPr>
        <w:t>第三部分 基金的基本情况</w:t>
      </w:r>
      <w:bookmarkEnd w:id="3"/>
    </w:p>
    <w:p w14:paraId="771EEFB6">
      <w:pPr>
        <w:spacing w:line="360" w:lineRule="auto"/>
        <w:ind w:firstLine="480" w:firstLineChars="200"/>
        <w:rPr>
          <w:rFonts w:ascii="Times New Roman" w:hAnsi="Times New Roman" w:eastAsia="宋体" w:cs="Times New Roman"/>
          <w:kern w:val="0"/>
          <w:sz w:val="24"/>
          <w:szCs w:val="24"/>
        </w:rPr>
      </w:pPr>
    </w:p>
    <w:p w14:paraId="6C281E39">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一、基金名称</w:t>
      </w:r>
    </w:p>
    <w:p w14:paraId="49E09569">
      <w:pPr>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博时国证粮食产业交易型开放式指数证券投资基金发起式联接基金</w:t>
      </w:r>
    </w:p>
    <w:p w14:paraId="68EDC743">
      <w:pPr>
        <w:spacing w:line="360" w:lineRule="auto"/>
        <w:ind w:firstLine="480" w:firstLineChars="200"/>
        <w:rPr>
          <w:rFonts w:ascii="Times New Roman" w:hAnsi="Times New Roman" w:eastAsia="宋体" w:cs="Times New Roman"/>
          <w:kern w:val="0"/>
          <w:sz w:val="24"/>
          <w:szCs w:val="24"/>
        </w:rPr>
      </w:pPr>
    </w:p>
    <w:p w14:paraId="1B2D5B45">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二、基金的类别</w:t>
      </w:r>
    </w:p>
    <w:p w14:paraId="6B17A913">
      <w:pPr>
        <w:spacing w:line="360" w:lineRule="auto"/>
        <w:ind w:firstLine="480" w:firstLineChars="200"/>
        <w:rPr>
          <w:rFonts w:ascii="Times New Roman" w:hAnsi="Times New Roman" w:eastAsia="宋体" w:cs="Times New Roman"/>
          <w:kern w:val="0"/>
          <w:sz w:val="24"/>
          <w:szCs w:val="24"/>
        </w:rPr>
      </w:pPr>
      <w:r>
        <w:rPr>
          <w:rFonts w:hint="eastAsia" w:ascii="宋体" w:hAnsi="Times New Roman" w:cs="宋体"/>
          <w:sz w:val="24"/>
          <w:szCs w:val="24"/>
        </w:rPr>
        <w:t>ETF联接</w:t>
      </w:r>
      <w:r>
        <w:rPr>
          <w:rFonts w:ascii="Times New Roman" w:hAnsi="Times New Roman" w:eastAsia="宋体" w:cs="Times New Roman"/>
          <w:kern w:val="0"/>
          <w:sz w:val="24"/>
          <w:szCs w:val="24"/>
        </w:rPr>
        <w:t>基金</w:t>
      </w:r>
    </w:p>
    <w:p w14:paraId="05F89C88">
      <w:pPr>
        <w:spacing w:line="360" w:lineRule="auto"/>
        <w:ind w:firstLine="480" w:firstLineChars="200"/>
        <w:rPr>
          <w:rFonts w:ascii="Times New Roman" w:hAnsi="Times New Roman" w:eastAsia="宋体" w:cs="Times New Roman"/>
          <w:kern w:val="0"/>
          <w:sz w:val="24"/>
          <w:szCs w:val="24"/>
        </w:rPr>
      </w:pPr>
    </w:p>
    <w:p w14:paraId="6E6E8221">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三、基金的运作方式</w:t>
      </w:r>
    </w:p>
    <w:p w14:paraId="338F1620">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契约型开放式</w:t>
      </w:r>
    </w:p>
    <w:p w14:paraId="073019A3">
      <w:pPr>
        <w:spacing w:line="360" w:lineRule="auto"/>
        <w:ind w:firstLine="480" w:firstLineChars="200"/>
        <w:rPr>
          <w:rFonts w:ascii="Times New Roman" w:hAnsi="Times New Roman" w:eastAsia="宋体" w:cs="Times New Roman"/>
          <w:kern w:val="0"/>
          <w:sz w:val="24"/>
          <w:szCs w:val="24"/>
        </w:rPr>
      </w:pPr>
    </w:p>
    <w:p w14:paraId="63E22D1E">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四、基金的投资目标</w:t>
      </w:r>
    </w:p>
    <w:p w14:paraId="75750538">
      <w:pPr>
        <w:spacing w:line="360" w:lineRule="auto"/>
        <w:ind w:firstLine="480" w:firstLineChars="200"/>
        <w:rPr>
          <w:rFonts w:ascii="Times New Roman" w:hAnsi="Times New Roman" w:eastAsia="宋体" w:cs="Times New Roman"/>
          <w:kern w:val="0"/>
          <w:sz w:val="24"/>
          <w:szCs w:val="24"/>
        </w:rPr>
      </w:pPr>
      <w:r>
        <w:rPr>
          <w:rFonts w:hint="eastAsia" w:ascii="宋体" w:hAnsi="Times New Roman" w:cs="宋体"/>
          <w:sz w:val="24"/>
          <w:szCs w:val="24"/>
        </w:rPr>
        <w:t>通过主要投资于目标ETF，</w:t>
      </w:r>
      <w:r>
        <w:rPr>
          <w:rFonts w:ascii="Times New Roman" w:hAnsi="Times New Roman" w:eastAsia="宋体" w:cs="Times New Roman"/>
          <w:kern w:val="0"/>
          <w:sz w:val="24"/>
          <w:szCs w:val="24"/>
        </w:rPr>
        <w:t>紧密跟踪标的指数</w:t>
      </w:r>
      <w:r>
        <w:rPr>
          <w:rFonts w:hint="eastAsia" w:ascii="宋体" w:hAnsi="Times New Roman" w:cs="宋体"/>
          <w:sz w:val="24"/>
          <w:szCs w:val="24"/>
        </w:rPr>
        <w:t>即</w:t>
      </w:r>
      <w:r>
        <w:rPr>
          <w:rFonts w:hint="eastAsia" w:ascii="宋体" w:hAnsi="Times New Roman" w:eastAsia="宋体" w:cs="宋体"/>
          <w:kern w:val="0"/>
          <w:sz w:val="24"/>
          <w:szCs w:val="24"/>
        </w:rPr>
        <w:t>国证粮食产业</w:t>
      </w:r>
      <w:r>
        <w:rPr>
          <w:rFonts w:hint="eastAsia" w:ascii="宋体" w:hAnsi="Times New Roman" w:cs="宋体"/>
          <w:sz w:val="24"/>
          <w:szCs w:val="24"/>
        </w:rPr>
        <w:t>指数的表现</w:t>
      </w:r>
      <w:r>
        <w:rPr>
          <w:rFonts w:ascii="Times New Roman" w:hAnsi="Times New Roman" w:eastAsia="宋体" w:cs="Times New Roman"/>
          <w:kern w:val="0"/>
          <w:sz w:val="24"/>
          <w:szCs w:val="24"/>
        </w:rPr>
        <w:t>，追求跟踪偏离度和跟踪误差的最小化。</w:t>
      </w:r>
    </w:p>
    <w:p w14:paraId="79D91DDD">
      <w:pPr>
        <w:spacing w:line="360" w:lineRule="auto"/>
        <w:ind w:firstLine="480" w:firstLineChars="200"/>
        <w:rPr>
          <w:rFonts w:ascii="Times New Roman" w:hAnsi="Times New Roman" w:eastAsia="宋体" w:cs="Times New Roman"/>
          <w:kern w:val="0"/>
          <w:sz w:val="24"/>
          <w:szCs w:val="24"/>
        </w:rPr>
      </w:pPr>
    </w:p>
    <w:p w14:paraId="3CF56FCE">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五、标的指数</w:t>
      </w:r>
    </w:p>
    <w:p w14:paraId="252AA175">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本基金的标的指数为国证粮食产业指数</w:t>
      </w:r>
    </w:p>
    <w:p w14:paraId="122E14DA">
      <w:pPr>
        <w:spacing w:line="360" w:lineRule="auto"/>
        <w:ind w:firstLine="480" w:firstLineChars="200"/>
        <w:rPr>
          <w:rFonts w:ascii="Times New Roman" w:hAnsi="Times New Roman" w:eastAsia="宋体" w:cs="Times New Roman"/>
          <w:kern w:val="0"/>
          <w:sz w:val="24"/>
          <w:szCs w:val="24"/>
        </w:rPr>
      </w:pPr>
    </w:p>
    <w:p w14:paraId="5E7C1F7E">
      <w:pPr>
        <w:spacing w:line="360" w:lineRule="auto"/>
        <w:ind w:left="796" w:leftChars="257" w:hanging="256"/>
        <w:rPr>
          <w:rFonts w:ascii="Times New Roman" w:hAnsi="Times New Roman" w:eastAsia="宋体" w:cs="Times New Roman"/>
          <w:bCs/>
          <w:sz w:val="24"/>
          <w:szCs w:val="20"/>
        </w:rPr>
      </w:pPr>
      <w:r>
        <w:rPr>
          <w:rFonts w:ascii="Times New Roman" w:hAnsi="Times New Roman" w:eastAsia="宋体" w:cs="Times New Roman"/>
          <w:bCs/>
          <w:sz w:val="24"/>
          <w:szCs w:val="20"/>
        </w:rPr>
        <w:t>六、基金发起资金的来源</w:t>
      </w:r>
    </w:p>
    <w:p w14:paraId="117B3DB4">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基金发起资金来自于基金管理人的股东资金、基金管理人固有资金、基金管理人高级管理人员或基金经理等人员参与认购的资金。</w:t>
      </w:r>
    </w:p>
    <w:p w14:paraId="30287233">
      <w:pPr>
        <w:spacing w:line="360" w:lineRule="auto"/>
        <w:ind w:firstLine="480" w:firstLineChars="200"/>
        <w:rPr>
          <w:rFonts w:ascii="Times New Roman" w:hAnsi="Times New Roman" w:eastAsia="宋体" w:cs="Times New Roman"/>
          <w:sz w:val="24"/>
          <w:szCs w:val="20"/>
        </w:rPr>
      </w:pPr>
    </w:p>
    <w:p w14:paraId="4511C2E5">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七、发起资金的认购金额和认购份额的锁定期</w:t>
      </w:r>
    </w:p>
    <w:p w14:paraId="3A53442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本基金为发起式基金</w:t>
      </w:r>
      <w:r>
        <w:rPr>
          <w:rFonts w:hint="eastAsia" w:ascii="Times New Roman" w:hAnsi="Times New Roman" w:eastAsia="宋体" w:cs="Times New Roman"/>
          <w:bCs/>
          <w:sz w:val="24"/>
          <w:szCs w:val="20"/>
        </w:rPr>
        <w:t>且由博时国证粮食产业指数型发起式证券投资基金变更而来</w:t>
      </w:r>
      <w:r>
        <w:rPr>
          <w:rFonts w:ascii="Times New Roman" w:hAnsi="Times New Roman" w:eastAsia="宋体" w:cs="Times New Roman"/>
          <w:bCs/>
          <w:sz w:val="24"/>
          <w:szCs w:val="20"/>
        </w:rPr>
        <w:t>。使用发起资金提供方资金认购</w:t>
      </w:r>
      <w:r>
        <w:rPr>
          <w:rFonts w:hint="eastAsia" w:ascii="Times New Roman" w:hAnsi="Times New Roman" w:eastAsia="宋体" w:cs="Times New Roman"/>
          <w:bCs/>
          <w:sz w:val="24"/>
          <w:szCs w:val="20"/>
        </w:rPr>
        <w:t>博时国证粮食产业指数型发起式证券投资基金</w:t>
      </w:r>
      <w:r>
        <w:rPr>
          <w:rFonts w:ascii="Times New Roman" w:hAnsi="Times New Roman" w:eastAsia="宋体" w:cs="Times New Roman"/>
          <w:bCs/>
          <w:sz w:val="24"/>
          <w:szCs w:val="20"/>
        </w:rPr>
        <w:t>的金额不少于1,000万元人民币（不含认购费用），且持有期限不少于3年，法律法规和监管机构另有规定的除外。</w:t>
      </w:r>
    </w:p>
    <w:p w14:paraId="729AC6A8">
      <w:pPr>
        <w:spacing w:line="360" w:lineRule="auto"/>
        <w:ind w:firstLine="480" w:firstLineChars="200"/>
        <w:rPr>
          <w:rFonts w:ascii="Times New Roman" w:hAnsi="Times New Roman" w:eastAsia="宋体" w:cs="Times New Roman"/>
          <w:kern w:val="0"/>
          <w:sz w:val="24"/>
          <w:szCs w:val="24"/>
        </w:rPr>
      </w:pPr>
    </w:p>
    <w:p w14:paraId="7749FB02">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八、基金存续期限</w:t>
      </w:r>
    </w:p>
    <w:p w14:paraId="7CA92DB9">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不定期</w:t>
      </w:r>
    </w:p>
    <w:p w14:paraId="47DDD8CD">
      <w:pPr>
        <w:spacing w:line="360" w:lineRule="auto"/>
        <w:ind w:firstLine="480" w:firstLineChars="200"/>
        <w:rPr>
          <w:rFonts w:ascii="Times New Roman" w:hAnsi="Times New Roman" w:eastAsia="宋体" w:cs="Times New Roman"/>
          <w:kern w:val="0"/>
          <w:sz w:val="24"/>
          <w:szCs w:val="24"/>
        </w:rPr>
      </w:pPr>
    </w:p>
    <w:p w14:paraId="0BBCA2EB">
      <w:pPr>
        <w:spacing w:line="360" w:lineRule="auto"/>
        <w:ind w:firstLine="480" w:firstLineChars="200"/>
        <w:rPr>
          <w:rFonts w:ascii="Times New Roman" w:hAnsi="Times New Roman" w:eastAsia="宋体" w:cs="Times New Roman"/>
          <w:bCs/>
          <w:color w:val="000000"/>
          <w:sz w:val="24"/>
          <w:szCs w:val="20"/>
        </w:rPr>
      </w:pPr>
      <w:r>
        <w:rPr>
          <w:rFonts w:hint="eastAsia" w:ascii="Times New Roman" w:hAnsi="Times New Roman" w:eastAsia="宋体" w:cs="Times New Roman"/>
          <w:bCs/>
          <w:color w:val="000000"/>
          <w:sz w:val="24"/>
          <w:szCs w:val="20"/>
        </w:rPr>
        <w:t>九</w:t>
      </w:r>
      <w:r>
        <w:rPr>
          <w:rFonts w:ascii="Times New Roman" w:hAnsi="Times New Roman" w:eastAsia="宋体" w:cs="Times New Roman"/>
          <w:bCs/>
          <w:color w:val="000000"/>
          <w:sz w:val="24"/>
          <w:szCs w:val="20"/>
        </w:rPr>
        <w:t xml:space="preserve">、基金份额类别设置 </w:t>
      </w:r>
    </w:p>
    <w:p w14:paraId="5EFCE0B5">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根申购费用、销售服务费收取方式的不同，将基金份额分为不同的类别。在投资者申购时收取申购费用，在赎回时根据持有期限收取赎回费用，但不从本类别基金资产中计提销售服务费的基金份额，称为A类基金份额；在投资者申购时不收取申购费用，在赎回时根据持有期限收取赎回费用，且从本类别基金资产中计提销售服务费的基金份额，称为C类基金份额。</w:t>
      </w:r>
    </w:p>
    <w:p w14:paraId="59C735C4">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本基金A类基金份额和C类基金份额分别设置代码。本基金A类基金份额和C类基金份额将分别计算基金份额净值，计算公式为计算日各类别基金资产净值除以计算日发售在外的该类别基金份额总数。</w:t>
      </w:r>
    </w:p>
    <w:p w14:paraId="35C432CE">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投资者可自行选择申购的基金份额类别。</w:t>
      </w:r>
    </w:p>
    <w:p w14:paraId="1D2D6C83">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不违反法律法规、基金合同的约定以及对基金份额持有人利益无实质性不利影响的情况下，经与基金托管人协商一致，基金管理人可调整基金份额类别设置、对基金份额分类办法及规则进行调整并在调整实施之日前依照《信息披露办法》的有关规定在规定媒介上公告，不需要召开基金份额持有人大会。</w:t>
      </w:r>
    </w:p>
    <w:p w14:paraId="2CC6F00D">
      <w:pPr>
        <w:spacing w:line="360" w:lineRule="auto"/>
        <w:ind w:firstLine="480" w:firstLineChars="200"/>
        <w:rPr>
          <w:rFonts w:ascii="Times New Roman" w:hAnsi="Times New Roman" w:eastAsia="宋体" w:cs="Times New Roman"/>
          <w:kern w:val="0"/>
          <w:sz w:val="24"/>
          <w:szCs w:val="24"/>
        </w:rPr>
      </w:pPr>
    </w:p>
    <w:p w14:paraId="62DA632A">
      <w:pPr>
        <w:spacing w:line="360" w:lineRule="auto"/>
        <w:ind w:firstLine="480" w:firstLineChars="200"/>
        <w:rPr>
          <w:rFonts w:ascii="宋体" w:hAnsi="Times New Roman" w:eastAsia="宋体" w:cs="宋体"/>
          <w:kern w:val="0"/>
          <w:sz w:val="24"/>
          <w:szCs w:val="24"/>
        </w:rPr>
      </w:pPr>
      <w:r>
        <w:rPr>
          <w:rFonts w:ascii="Times New Roman" w:hAnsi="Times New Roman" w:eastAsia="宋体" w:cs="Times New Roman"/>
          <w:kern w:val="0"/>
          <w:sz w:val="24"/>
          <w:szCs w:val="24"/>
        </w:rPr>
        <w:t>十、</w:t>
      </w:r>
      <w:r>
        <w:rPr>
          <w:rFonts w:hint="eastAsia" w:ascii="宋体" w:hAnsi="Times New Roman" w:eastAsia="宋体" w:cs="宋体"/>
          <w:kern w:val="0"/>
          <w:sz w:val="24"/>
          <w:szCs w:val="24"/>
        </w:rPr>
        <w:t>本基金与博时国证粮食产业交易型开放式指数证券投资基金（目标ETF）的联系与区别</w:t>
      </w:r>
    </w:p>
    <w:p w14:paraId="6F1B2BE7">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在投资方法和交易方式等方面，本基金与博时国证粮食产业交易型开放式指数证券投资基金（目标ETF）的联系与区别主要体现在以下几个方面：</w:t>
      </w:r>
    </w:p>
    <w:p w14:paraId="00704178">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联系：</w:t>
      </w:r>
    </w:p>
    <w:p w14:paraId="6D8C5881">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1.两只基金跟踪同一个标的指数即国证粮食产业指数。</w:t>
      </w:r>
    </w:p>
    <w:p w14:paraId="3C2C4ABF">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2.两只基金的投资目标均为紧密跟踪标的指数即国证粮食产业指数的表现，追求跟踪偏离度和跟踪误差的最小化。</w:t>
      </w:r>
    </w:p>
    <w:p w14:paraId="0A3C4666">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3.两只基金具有相似的风险收益特征。</w:t>
      </w:r>
    </w:p>
    <w:p w14:paraId="456575B2">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4.博时国证粮食产业交易型开放式指数证券投资基金是本基金的主要投资对象。</w:t>
      </w:r>
    </w:p>
    <w:p w14:paraId="606101CF">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区别：</w:t>
      </w:r>
    </w:p>
    <w:p w14:paraId="048F3B5E">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基金的投资管理方式不同：博时国证粮食产业交易型开放式指数证券投资基金通过直接买卖标的指数成份股和备选成份股等，直接跟踪复制标的指数的表现；而本基金则是通过买卖目标ETF基金（包括在目标ETF的一级市场进行股票篮子组合的申购与赎回，也包括在目标ETF的二级市场以现金直接买卖ETF份额），间接跟踪标的指数的表现。</w:t>
      </w:r>
    </w:p>
    <w:p w14:paraId="05E53E79">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2.基金的申购赎回不同：博时国证粮食产业交易型开放式指数证券投资基金采用股票篮子组合的方式进行基金份额的申购与赎回，而本基金的申购和赎回均采用现金方式。</w:t>
      </w:r>
    </w:p>
    <w:p w14:paraId="469A59B6">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3.基金是否挂牌交易不同：博时国证粮食产业交易型开放式指数证券投资基金在深圳证券交易所挂牌交易；而本基金则不上市交易。</w:t>
      </w:r>
    </w:p>
    <w:p w14:paraId="2A7065F9">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4.价格揭示机制不同：博时国证粮食产业交易型开放式指数证券投资基金有实时市场交易价格和每日基金份额净值；而本基金只揭示每日基金份额净值。</w:t>
      </w:r>
    </w:p>
    <w:p w14:paraId="3504C68B">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5.投资人申购赎回基金的程序不同：博时国证粮食产业交易型开放式指数证券投资基金通过指定场内申购赎回代理券商办理基金的申购与赎回；而本基金则通过场外销售机构办理基金的申购与赎回。</w:t>
      </w:r>
    </w:p>
    <w:p w14:paraId="1341881C">
      <w:pPr>
        <w:spacing w:line="360" w:lineRule="auto"/>
        <w:ind w:left="181" w:leftChars="86" w:firstLine="480" w:firstLineChars="200"/>
        <w:rPr>
          <w:rFonts w:ascii="宋体" w:hAnsi="Times New Roman" w:eastAsia="宋体" w:cs="宋体"/>
          <w:kern w:val="0"/>
          <w:sz w:val="24"/>
          <w:szCs w:val="24"/>
        </w:rPr>
      </w:pPr>
    </w:p>
    <w:p w14:paraId="540F43D5">
      <w:pPr>
        <w:spacing w:line="360" w:lineRule="auto"/>
        <w:ind w:left="181" w:leftChars="86" w:firstLine="480" w:firstLineChars="200"/>
        <w:rPr>
          <w:rFonts w:ascii="宋体" w:hAnsi="Times New Roman" w:eastAsia="宋体" w:cs="宋体"/>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一</w:t>
      </w:r>
      <w:r>
        <w:rPr>
          <w:rFonts w:hint="eastAsia" w:ascii="宋体" w:hAnsi="Times New Roman" w:eastAsia="宋体" w:cs="宋体"/>
          <w:kern w:val="0"/>
          <w:sz w:val="24"/>
          <w:szCs w:val="24"/>
        </w:rPr>
        <w:t>、本基金与博时国证粮食产业交易型开放式指数证券投资基金业绩表现的差异</w:t>
      </w:r>
    </w:p>
    <w:p w14:paraId="68AA1BEB">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本基金的业绩表现与博时国证粮食产业交易型开放式指数证券投资基金的业绩表现可能会出现差异，差异产生的主要原因有以下几个方面：</w:t>
      </w:r>
    </w:p>
    <w:p w14:paraId="60FDE288">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1.投资对象和投资范围的不同，会导致两只基金的业绩有差异。</w:t>
      </w:r>
    </w:p>
    <w:p w14:paraId="06E86549">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2.投资管理方式的不同，如在指数化投资过程中，不同的管理方式会导致跟踪指数的水平、技术手段、买入卖出的时机选择等的不同，会导致两只基金的业绩有差异。</w:t>
      </w:r>
    </w:p>
    <w:p w14:paraId="1C8247E3">
      <w:pPr>
        <w:spacing w:line="360" w:lineRule="auto"/>
        <w:ind w:left="181" w:leftChars="86"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3.基金规模、投资成本、各种费用与税收的不同，会导致两只基金的业绩有差异。由于两只基金的投资对象和投资范围不同，投资管理方式不同，基金规模也可能不同，所以，本基金的投资成本、各种费用及税收可能不同于博时国证粮食产业交易型开放式指数证券投资基金。</w:t>
      </w:r>
    </w:p>
    <w:p w14:paraId="3B2B5265">
      <w:pPr>
        <w:spacing w:line="360" w:lineRule="auto"/>
        <w:ind w:firstLine="480" w:firstLineChars="200"/>
        <w:rPr>
          <w:rFonts w:ascii="Times New Roman" w:hAnsi="Times New Roman" w:eastAsia="宋体" w:cs="Times New Roman"/>
          <w:kern w:val="0"/>
          <w:sz w:val="24"/>
          <w:szCs w:val="24"/>
        </w:rPr>
      </w:pPr>
      <w:r>
        <w:rPr>
          <w:rFonts w:hint="eastAsia" w:ascii="宋体" w:hAnsi="Times New Roman" w:eastAsia="宋体" w:cs="宋体"/>
          <w:kern w:val="0"/>
          <w:sz w:val="24"/>
          <w:szCs w:val="24"/>
        </w:rPr>
        <w:t>4.现金比例及现金管理方式的不同，会导致两只基金的业绩有差异。本基金须每个交易日日终在扣除国债期货、股指期货和股票期权合约需缴纳的交易保证金后，对现金或者到期日在一年以内的政府债券的投资比例不低于基金资产净值的5%，而博时国证粮食产业交易型开放式指数证券投资基金仅规定在每个交易日日终在扣除股指期货、股票期权和国债期货合约需缴纳的交易保证金后，应当保持不低于交易保证金一倍的现金。</w:t>
      </w:r>
    </w:p>
    <w:p w14:paraId="1A3DF978">
      <w:pPr>
        <w:spacing w:line="360" w:lineRule="auto"/>
        <w:ind w:firstLine="480" w:firstLineChars="200"/>
        <w:rPr>
          <w:rFonts w:ascii="Times New Roman" w:hAnsi="Times New Roman" w:eastAsia="宋体" w:cs="Times New Roman"/>
          <w:kern w:val="0"/>
          <w:sz w:val="24"/>
          <w:szCs w:val="24"/>
        </w:rPr>
        <w:sectPr>
          <w:footerReference r:id="rId6" w:type="default"/>
          <w:pgSz w:w="11906" w:h="16838"/>
          <w:pgMar w:top="1440" w:right="1800" w:bottom="1440" w:left="1800" w:header="851" w:footer="992" w:gutter="0"/>
          <w:pgNumType w:start="1"/>
          <w:cols w:space="425" w:num="1"/>
          <w:docGrid w:type="lines" w:linePitch="312" w:charSpace="0"/>
        </w:sectPr>
      </w:pPr>
    </w:p>
    <w:p w14:paraId="1A8A468C">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4" w:name="_Toc471235841"/>
      <w:r>
        <w:rPr>
          <w:rFonts w:ascii="Times New Roman" w:hAnsi="Times New Roman" w:eastAsia="宋体" w:cs="Times New Roman"/>
          <w:kern w:val="0"/>
          <w:sz w:val="30"/>
          <w:lang w:val="zh-CN"/>
        </w:rPr>
        <w:t>第四部分 基金</w:t>
      </w:r>
      <w:r>
        <w:rPr>
          <w:rFonts w:hint="eastAsia" w:ascii="Times New Roman" w:hAnsi="Times New Roman"/>
          <w:kern w:val="0"/>
          <w:sz w:val="30"/>
          <w:lang w:val="zh-CN"/>
        </w:rPr>
        <w:t>的历史沿革</w:t>
      </w:r>
      <w:bookmarkEnd w:id="4"/>
    </w:p>
    <w:p w14:paraId="775DF5A8">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3CC71C0">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博时国证粮食产业交易型开放式指数证券投资基金发起式联接基金由博时国证粮食产业指数型发起式证券投资基金变更而来。博时国证粮食产业指数型发起式证券投资基金经中国证监会《关于准予博时国证粮食产业指数型发起式证券投资基金注册的批复》（证监许可</w:t>
      </w:r>
      <w:r>
        <w:rPr>
          <w:rFonts w:cs="宋体" w:asciiTheme="minorEastAsia" w:hAnsiTheme="minorEastAsia"/>
          <w:kern w:val="0"/>
          <w:sz w:val="24"/>
          <w:szCs w:val="24"/>
        </w:rPr>
        <w:t>[202</w:t>
      </w:r>
      <w:r>
        <w:rPr>
          <w:rFonts w:hint="eastAsia" w:cs="宋体" w:asciiTheme="minorEastAsia" w:hAnsiTheme="minorEastAsia"/>
          <w:kern w:val="0"/>
          <w:sz w:val="24"/>
          <w:szCs w:val="24"/>
        </w:rPr>
        <w:t>4</w:t>
      </w:r>
      <w:r>
        <w:rPr>
          <w:rFonts w:cs="宋体" w:asciiTheme="minorEastAsia" w:hAnsiTheme="minorEastAsia"/>
          <w:kern w:val="0"/>
          <w:sz w:val="24"/>
          <w:szCs w:val="24"/>
        </w:rPr>
        <w:t>]</w:t>
      </w:r>
      <w:r>
        <w:rPr>
          <w:rFonts w:hint="eastAsia" w:cs="宋体" w:asciiTheme="minorEastAsia" w:hAnsiTheme="minorEastAsia"/>
          <w:kern w:val="0"/>
          <w:sz w:val="24"/>
          <w:szCs w:val="24"/>
        </w:rPr>
        <w:t>70号）准予募集注册，基金管理人为博时基金管理有限公司，基金托管人为兴业银行股份有限公司。</w:t>
      </w:r>
    </w:p>
    <w:p w14:paraId="75349BBA">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博时国证粮食产业指数型发起式证券投资基金自</w:t>
      </w:r>
      <w:r>
        <w:rPr>
          <w:rFonts w:cs="宋体" w:asciiTheme="minorEastAsia" w:hAnsiTheme="minorEastAsia"/>
          <w:kern w:val="0"/>
          <w:sz w:val="24"/>
          <w:szCs w:val="24"/>
        </w:rPr>
        <w:t>202</w:t>
      </w:r>
      <w:r>
        <w:rPr>
          <w:rFonts w:hint="eastAsia" w:cs="宋体" w:asciiTheme="minorEastAsia" w:hAnsiTheme="minorEastAsia"/>
          <w:kern w:val="0"/>
          <w:sz w:val="24"/>
          <w:szCs w:val="24"/>
        </w:rPr>
        <w:t>4</w:t>
      </w:r>
      <w:r>
        <w:rPr>
          <w:rFonts w:cs="宋体" w:asciiTheme="minorEastAsia" w:hAnsiTheme="minorEastAsia"/>
          <w:kern w:val="0"/>
          <w:sz w:val="24"/>
          <w:szCs w:val="24"/>
        </w:rPr>
        <w:t>年</w:t>
      </w:r>
      <w:r>
        <w:rPr>
          <w:rFonts w:hint="eastAsia" w:cs="宋体" w:asciiTheme="minorEastAsia" w:hAnsiTheme="minorEastAsia"/>
          <w:kern w:val="0"/>
          <w:sz w:val="24"/>
          <w:szCs w:val="24"/>
        </w:rPr>
        <w:t>3</w:t>
      </w:r>
      <w:r>
        <w:rPr>
          <w:rFonts w:cs="宋体" w:asciiTheme="minorEastAsia" w:hAnsiTheme="minorEastAsia"/>
          <w:kern w:val="0"/>
          <w:sz w:val="24"/>
          <w:szCs w:val="24"/>
        </w:rPr>
        <w:t>月1</w:t>
      </w:r>
      <w:r>
        <w:rPr>
          <w:rFonts w:hint="eastAsia" w:cs="宋体" w:asciiTheme="minorEastAsia" w:hAnsiTheme="minorEastAsia"/>
          <w:kern w:val="0"/>
          <w:sz w:val="24"/>
          <w:szCs w:val="24"/>
        </w:rPr>
        <w:t>8</w:t>
      </w:r>
      <w:r>
        <w:rPr>
          <w:rFonts w:cs="宋体" w:asciiTheme="minorEastAsia" w:hAnsiTheme="minorEastAsia"/>
          <w:kern w:val="0"/>
          <w:sz w:val="24"/>
          <w:szCs w:val="24"/>
        </w:rPr>
        <w:t>日</w:t>
      </w:r>
      <w:r>
        <w:rPr>
          <w:rFonts w:hint="eastAsia" w:cs="宋体" w:asciiTheme="minorEastAsia" w:hAnsiTheme="minorEastAsia"/>
          <w:kern w:val="0"/>
          <w:sz w:val="24"/>
          <w:szCs w:val="24"/>
        </w:rPr>
        <w:t>至</w:t>
      </w:r>
      <w:r>
        <w:rPr>
          <w:rFonts w:cs="宋体" w:asciiTheme="minorEastAsia" w:hAnsiTheme="minorEastAsia"/>
          <w:kern w:val="0"/>
          <w:sz w:val="24"/>
          <w:szCs w:val="24"/>
        </w:rPr>
        <w:t>202</w:t>
      </w:r>
      <w:r>
        <w:rPr>
          <w:rFonts w:hint="eastAsia" w:cs="宋体" w:asciiTheme="minorEastAsia" w:hAnsiTheme="minorEastAsia"/>
          <w:kern w:val="0"/>
          <w:sz w:val="24"/>
          <w:szCs w:val="24"/>
        </w:rPr>
        <w:t>4</w:t>
      </w:r>
      <w:r>
        <w:rPr>
          <w:rFonts w:cs="宋体" w:asciiTheme="minorEastAsia" w:hAnsiTheme="minorEastAsia"/>
          <w:kern w:val="0"/>
          <w:sz w:val="24"/>
          <w:szCs w:val="24"/>
        </w:rPr>
        <w:t>年</w:t>
      </w:r>
      <w:r>
        <w:rPr>
          <w:rFonts w:hint="eastAsia" w:cs="宋体" w:asciiTheme="minorEastAsia" w:hAnsiTheme="minorEastAsia"/>
          <w:kern w:val="0"/>
          <w:sz w:val="24"/>
          <w:szCs w:val="24"/>
        </w:rPr>
        <w:t>4</w:t>
      </w:r>
      <w:r>
        <w:rPr>
          <w:rFonts w:cs="宋体" w:asciiTheme="minorEastAsia" w:hAnsiTheme="minorEastAsia"/>
          <w:kern w:val="0"/>
          <w:sz w:val="24"/>
          <w:szCs w:val="24"/>
        </w:rPr>
        <w:t>月</w:t>
      </w:r>
      <w:r>
        <w:rPr>
          <w:rFonts w:hint="eastAsia" w:cs="宋体" w:asciiTheme="minorEastAsia" w:hAnsiTheme="minorEastAsia"/>
          <w:kern w:val="0"/>
          <w:sz w:val="24"/>
          <w:szCs w:val="24"/>
        </w:rPr>
        <w:t>3</w:t>
      </w:r>
      <w:r>
        <w:rPr>
          <w:rFonts w:cs="宋体" w:asciiTheme="minorEastAsia" w:hAnsiTheme="minorEastAsia"/>
          <w:kern w:val="0"/>
          <w:sz w:val="24"/>
          <w:szCs w:val="24"/>
        </w:rPr>
        <w:t>日</w:t>
      </w:r>
      <w:r>
        <w:rPr>
          <w:rFonts w:hint="eastAsia" w:cs="宋体" w:asciiTheme="minorEastAsia" w:hAnsiTheme="minorEastAsia"/>
          <w:kern w:val="0"/>
          <w:sz w:val="24"/>
          <w:szCs w:val="24"/>
        </w:rPr>
        <w:t>进行公开募集，募集结束后基金管理人向中国证监会办理备案手续。经中国证监会书面确认，《博时国证粮食产业指数型发起式证券投资基金基金合同》于</w:t>
      </w:r>
      <w:r>
        <w:rPr>
          <w:rFonts w:cs="宋体" w:asciiTheme="minorEastAsia" w:hAnsiTheme="minorEastAsia"/>
          <w:kern w:val="0"/>
          <w:sz w:val="24"/>
          <w:szCs w:val="24"/>
        </w:rPr>
        <w:t>202</w:t>
      </w:r>
      <w:r>
        <w:rPr>
          <w:rFonts w:hint="eastAsia" w:cs="宋体" w:asciiTheme="minorEastAsia" w:hAnsiTheme="minorEastAsia"/>
          <w:kern w:val="0"/>
          <w:sz w:val="24"/>
          <w:szCs w:val="24"/>
        </w:rPr>
        <w:t>4</w:t>
      </w:r>
      <w:r>
        <w:rPr>
          <w:rFonts w:cs="宋体" w:asciiTheme="minorEastAsia" w:hAnsiTheme="minorEastAsia"/>
          <w:kern w:val="0"/>
          <w:sz w:val="24"/>
          <w:szCs w:val="24"/>
        </w:rPr>
        <w:t>年</w:t>
      </w:r>
      <w:r>
        <w:rPr>
          <w:rFonts w:hint="eastAsia" w:cs="宋体" w:asciiTheme="minorEastAsia" w:hAnsiTheme="minorEastAsia"/>
          <w:kern w:val="0"/>
          <w:sz w:val="24"/>
          <w:szCs w:val="24"/>
        </w:rPr>
        <w:t>4</w:t>
      </w:r>
      <w:r>
        <w:rPr>
          <w:rFonts w:cs="宋体" w:asciiTheme="minorEastAsia" w:hAnsiTheme="minorEastAsia"/>
          <w:kern w:val="0"/>
          <w:sz w:val="24"/>
          <w:szCs w:val="24"/>
        </w:rPr>
        <w:t>月</w:t>
      </w:r>
      <w:r>
        <w:rPr>
          <w:rFonts w:hint="eastAsia" w:cs="宋体" w:asciiTheme="minorEastAsia" w:hAnsiTheme="minorEastAsia"/>
          <w:kern w:val="0"/>
          <w:sz w:val="24"/>
          <w:szCs w:val="24"/>
        </w:rPr>
        <w:t>9</w:t>
      </w:r>
      <w:r>
        <w:rPr>
          <w:rFonts w:cs="宋体" w:asciiTheme="minorEastAsia" w:hAnsiTheme="minorEastAsia"/>
          <w:kern w:val="0"/>
          <w:sz w:val="24"/>
          <w:szCs w:val="24"/>
        </w:rPr>
        <w:t>日</w:t>
      </w:r>
      <w:r>
        <w:rPr>
          <w:rFonts w:hint="eastAsia" w:cs="宋体" w:asciiTheme="minorEastAsia" w:hAnsiTheme="minorEastAsia"/>
          <w:kern w:val="0"/>
          <w:sz w:val="24"/>
          <w:szCs w:val="24"/>
        </w:rPr>
        <w:t>生效。</w:t>
      </w:r>
    </w:p>
    <w:p w14:paraId="7E472B9F">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根据《博时国证粮食产业指数型发起式证券投资基金基金合同》的约定：“</w:t>
      </w:r>
      <w:r>
        <w:rPr>
          <w:rFonts w:ascii="Times New Roman" w:hAnsi="Times New Roman" w:eastAsia="宋体" w:cs="Times New Roman"/>
          <w:kern w:val="0"/>
          <w:sz w:val="24"/>
          <w:szCs w:val="24"/>
        </w:rPr>
        <w:t>若将来本基金管理人推出投资同一标的指数的交易型开放式指数证券投资基金（ETF），则基金管理人有权在履行适当程序后使本基金转换为该基金的联接基金，并相应修改基金合同，届时无需召开基金份额持有人大会但须报中国证监会备案并提前公告。</w:t>
      </w:r>
      <w:r>
        <w:rPr>
          <w:rFonts w:hint="eastAsia" w:cs="宋体" w:asciiTheme="minorEastAsia" w:hAnsiTheme="minorEastAsia"/>
          <w:kern w:val="0"/>
          <w:sz w:val="24"/>
          <w:szCs w:val="24"/>
        </w:rPr>
        <w:t>”，基金管理人经与基金托管人协商一致，决定将博时国证粮食产业指数型发起式证券投资基金变更为博时国证粮食产业交易型开放式指数证券投资基金发起式联接基金，并据此修订《博时国证粮食产业指数型发起式证券投资基金基金合同》。</w:t>
      </w:r>
    </w:p>
    <w:p w14:paraId="55AC5D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自</w:t>
      </w:r>
      <w:r>
        <w:rPr>
          <w:rFonts w:cs="宋体" w:asciiTheme="minorEastAsia" w:hAnsiTheme="minorEastAsia"/>
          <w:kern w:val="0"/>
          <w:sz w:val="24"/>
          <w:szCs w:val="24"/>
        </w:rPr>
        <w:t>2026</w:t>
      </w:r>
      <w:r>
        <w:rPr>
          <w:rFonts w:hint="eastAsia" w:cs="宋体" w:asciiTheme="minorEastAsia" w:hAnsiTheme="minorEastAsia"/>
          <w:kern w:val="0"/>
          <w:sz w:val="24"/>
          <w:szCs w:val="24"/>
        </w:rPr>
        <w:t>年6月</w:t>
      </w:r>
      <w:r>
        <w:rPr>
          <w:rFonts w:hint="eastAsia" w:cs="宋体" w:asciiTheme="minorEastAsia" w:hAnsiTheme="minorEastAsia"/>
          <w:kern w:val="0"/>
          <w:sz w:val="24"/>
          <w:szCs w:val="24"/>
          <w:lang w:val="en-US" w:eastAsia="zh-CN"/>
        </w:rPr>
        <w:t>3</w:t>
      </w:r>
      <w:r>
        <w:rPr>
          <w:rFonts w:hint="eastAsia" w:cs="宋体" w:asciiTheme="minorEastAsia" w:hAnsiTheme="minorEastAsia"/>
          <w:kern w:val="0"/>
          <w:sz w:val="24"/>
          <w:szCs w:val="24"/>
        </w:rPr>
        <w:t>日起，博时国证粮食产业指数型发起式证券投资基金正式变更为博时国证粮食产业交易型开放式指数证券投资基金发起式联接基金，《博时国证粮食产业交易型开放式指数证券投资基金发起式联接基金基金合同》生效，《博时国证粮食产业指数型发起式证券投资基金基金合同》失效。</w:t>
      </w:r>
    </w:p>
    <w:p w14:paraId="11A506EE">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7" w:type="default"/>
          <w:pgSz w:w="11906" w:h="16838"/>
          <w:pgMar w:top="1440" w:right="1800" w:bottom="1440" w:left="1800" w:header="851" w:footer="992" w:gutter="0"/>
          <w:pgNumType w:start="1"/>
          <w:cols w:space="425" w:num="1"/>
          <w:docGrid w:type="lines" w:linePitch="312" w:charSpace="0"/>
        </w:sectPr>
      </w:pPr>
    </w:p>
    <w:p w14:paraId="597265A1">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5" w:name="_Toc471235842"/>
      <w:r>
        <w:rPr>
          <w:rFonts w:ascii="Times New Roman" w:hAnsi="Times New Roman" w:eastAsia="宋体" w:cs="Times New Roman"/>
          <w:kern w:val="0"/>
          <w:sz w:val="30"/>
          <w:lang w:val="zh-CN"/>
        </w:rPr>
        <w:t>第五部分 基金</w:t>
      </w:r>
      <w:r>
        <w:rPr>
          <w:rFonts w:hint="eastAsia" w:ascii="Times New Roman" w:hAnsi="Times New Roman"/>
          <w:kern w:val="0"/>
          <w:sz w:val="30"/>
          <w:lang w:val="zh-CN"/>
        </w:rPr>
        <w:t>的存续</w:t>
      </w:r>
      <w:bookmarkEnd w:id="5"/>
    </w:p>
    <w:p w14:paraId="27E65170">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0DF3290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《博时国证粮食产业指数型发起式证券投资基金基金合同》</w:t>
      </w:r>
      <w:r>
        <w:rPr>
          <w:rFonts w:ascii="Times New Roman" w:hAnsi="Times New Roman" w:eastAsia="宋体" w:cs="Times New Roman"/>
          <w:bCs/>
          <w:sz w:val="24"/>
          <w:szCs w:val="20"/>
        </w:rPr>
        <w:t>生效之日起三年后的对应日，若基金资产净值低于两亿元的，本基金将根据基金合同的约定进行基金财产清算并终止，无需召开基金份额持有人大会审议，且不得通过召开基金份额持有人大会的方式延续基金合同。若届时的法律法规或中国证监会规定发生变化，上述终止规定被取消、更改或补充时，则本基金可以参照届时有效的法律法规或中国证监会规定执行。</w:t>
      </w:r>
    </w:p>
    <w:p w14:paraId="1016585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本基金在</w:t>
      </w:r>
      <w:r>
        <w:rPr>
          <w:rFonts w:hint="eastAsia" w:ascii="Times New Roman" w:hAnsi="Times New Roman" w:eastAsia="宋体" w:cs="Times New Roman"/>
          <w:bCs/>
          <w:sz w:val="24"/>
          <w:szCs w:val="20"/>
        </w:rPr>
        <w:t>《博时国证粮食产业指数型发起式证券投资基金基金合同》</w:t>
      </w:r>
      <w:r>
        <w:rPr>
          <w:rFonts w:ascii="Times New Roman" w:hAnsi="Times New Roman" w:eastAsia="宋体" w:cs="Times New Roman"/>
          <w:bCs/>
          <w:sz w:val="24"/>
          <w:szCs w:val="20"/>
        </w:rPr>
        <w:t>生效三年后继续存续的，基金存续期内，连续20个工作日出现基金份额持有人数量不满200人或者基金资产净值低于5000万元情形的，基金管理人应当在定期报告中予以披露；连续50个工作日出现前述情形的，本基金将根据基金合同的约定进行基金财产清算并终止，且无需召开基金份额持有人大会，同时基金管理人应履行相关的监管报告和信息披露程序。</w:t>
      </w:r>
    </w:p>
    <w:p w14:paraId="31B74C7B">
      <w:pPr>
        <w:spacing w:line="360" w:lineRule="auto"/>
        <w:ind w:firstLine="480" w:firstLineChars="200"/>
        <w:rPr>
          <w:rFonts w:ascii="Times New Roman" w:hAnsi="Times New Roman" w:eastAsia="宋体" w:cs="Times New Roman"/>
          <w:kern w:val="0"/>
          <w:sz w:val="24"/>
          <w:szCs w:val="24"/>
        </w:rPr>
        <w:sectPr>
          <w:footerReference r:id="rId8" w:type="default"/>
          <w:pgSz w:w="11906" w:h="16838"/>
          <w:pgMar w:top="1440" w:right="1800" w:bottom="1440" w:left="1800" w:header="851" w:footer="992" w:gutter="0"/>
          <w:pgNumType w:start="1"/>
          <w:cols w:space="425" w:num="1"/>
          <w:docGrid w:type="lines" w:linePitch="312" w:charSpace="0"/>
        </w:sectPr>
      </w:pPr>
      <w:r>
        <w:rPr>
          <w:rFonts w:ascii="Times New Roman" w:hAnsi="Times New Roman" w:eastAsia="宋体" w:cs="Times New Roman"/>
          <w:bCs/>
          <w:sz w:val="24"/>
          <w:szCs w:val="20"/>
        </w:rPr>
        <w:t>法律法规或中国证监会另有规定时，从其规定。</w:t>
      </w:r>
    </w:p>
    <w:p w14:paraId="5A2B42B6">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6" w:name="_Toc471235843"/>
      <w:r>
        <w:rPr>
          <w:rFonts w:ascii="Times New Roman" w:hAnsi="Times New Roman" w:eastAsia="宋体" w:cs="Times New Roman"/>
          <w:kern w:val="0"/>
          <w:sz w:val="30"/>
          <w:lang w:val="zh-CN"/>
        </w:rPr>
        <w:t>第六部分 基金份额的申购与赎回</w:t>
      </w:r>
      <w:bookmarkEnd w:id="6"/>
    </w:p>
    <w:p w14:paraId="5FC07721">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194D0D8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一、申购和赎回场所</w:t>
      </w:r>
    </w:p>
    <w:p w14:paraId="1233195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申购与赎回将通过销售机构进行。具体的销售机构将由基金管理人在招募说明书或基金管理人网站公示。基金管理人可根据情况变更或增减销售机构。基金投资者应当在销售机构办理基金销售业务的营业场所或按销售机构提供的其他方式办理基金份额的申购与赎回。</w:t>
      </w:r>
    </w:p>
    <w:p w14:paraId="370D291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二、申购和赎回的开放日及时间</w:t>
      </w:r>
    </w:p>
    <w:p w14:paraId="5CFF842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1、开放日及开放时间</w:t>
      </w:r>
    </w:p>
    <w:p w14:paraId="14BE1AE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在开放日办理基金份额的申购和赎回，具体办理时间为上海证券交易所、深圳证券交易所及相关期货交易所的正常交易日的交易时间（若本基金参与港股通交易且该工作日为非港股通交易日时，则基金管理人可根据实际情况决定本基金是否开放申购、赎回及转换业务，具体以届时提前发布的公告为准），但基金管理人根据法律法规、中国证监会的要求或本基金合同的规定公告暂停申购、赎回时除外。</w:t>
      </w:r>
    </w:p>
    <w:p w14:paraId="629474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14:paraId="31C6FC6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2、申购、赎回开始日及业务办理时间</w:t>
      </w:r>
    </w:p>
    <w:p w14:paraId="3BA91C7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基金管理人可根据实际情况依法决定本基金开始办理申购的具体日期，具体业务办理时间在申购开始公告中规定。</w:t>
      </w:r>
    </w:p>
    <w:p w14:paraId="07BE05D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基金管理人自基金合同生效之日起不超过3个月开始办理赎回，具体业务办理时间在赎回开始公告中规定。</w:t>
      </w:r>
    </w:p>
    <w:p w14:paraId="09F764B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在确定申购开始与赎回开始时间后，基金管理人应在申购、赎回开放日前依照《信息披露办法》的有关规定在规定媒介上公告申购与赎回的开始时间。</w:t>
      </w:r>
    </w:p>
    <w:p w14:paraId="55AB054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该类别基金份额申购、赎回的价格。</w:t>
      </w:r>
    </w:p>
    <w:p w14:paraId="3F0C417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三、申购与赎回的原则</w:t>
      </w:r>
    </w:p>
    <w:p w14:paraId="01041A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1、“未知价”原则，即申购、赎回价格以申请当日收市后计算的该类别基金份额净值为基准进行计算；</w:t>
      </w:r>
    </w:p>
    <w:p w14:paraId="4509D7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2、“金额申购、份额赎回”原则，即申购以金额申请，赎回以份额申请；</w:t>
      </w:r>
    </w:p>
    <w:p w14:paraId="5D6FD11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3、当日的申购与赎回申请可以在基金管理人规定的时间以内撤销；</w:t>
      </w:r>
    </w:p>
    <w:p w14:paraId="20A535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4、赎回遵循“先进先出”原则，即按照投资人认购、申购的先后次序进行顺序赎回；</w:t>
      </w:r>
    </w:p>
    <w:p w14:paraId="3AFC066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5、办理申购、赎回业务时，应当遵循基金份额持有人利益优先原则，确保投资者的合法权益不受损害并得到公平对待。</w:t>
      </w:r>
    </w:p>
    <w:p w14:paraId="0D48DA8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法律法规的情况下，对上述原则进行调整。基金管理人必须在新规则开始实施前依照《信息披露办法》的有关规定在规定媒介上公告。</w:t>
      </w:r>
    </w:p>
    <w:p w14:paraId="6ED551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四、申购与赎回的程序</w:t>
      </w:r>
    </w:p>
    <w:p w14:paraId="66F6F6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1、申购和赎回的申请方式</w:t>
      </w:r>
    </w:p>
    <w:p w14:paraId="6674ED1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投资人必须根据销售机构规定的程序，在开放日的具体业务办理时间内提出申购或赎回的申请。</w:t>
      </w:r>
    </w:p>
    <w:p w14:paraId="7A86410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2、申购和赎回的款项支付</w:t>
      </w:r>
    </w:p>
    <w:p w14:paraId="672DE32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投资人申购基金份额时，必须全额交付申购款项，投资人全额交付申购款项，申购成立；基金份额登记机构确认基金份额时，申购生效。</w:t>
      </w:r>
    </w:p>
    <w:p w14:paraId="38D7ECB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sz w:val="24"/>
        </w:rPr>
        <w:t>基金份额持有人递交赎回申请，赎回成立；</w:t>
      </w:r>
      <w:r>
        <w:rPr>
          <w:rFonts w:ascii="Times New Roman" w:hAnsi="Times New Roman" w:eastAsia="宋体" w:cs="Times New Roman"/>
          <w:sz w:val="24"/>
          <w:lang w:val="zh-CN"/>
        </w:rPr>
        <w:t>基金份额</w:t>
      </w:r>
      <w:r>
        <w:rPr>
          <w:rFonts w:ascii="Times New Roman" w:hAnsi="Times New Roman" w:eastAsia="宋体" w:cs="Times New Roman"/>
          <w:kern w:val="0"/>
          <w:sz w:val="24"/>
          <w:szCs w:val="24"/>
        </w:rPr>
        <w:t>登记机构确认赎回时，赎回生效。</w:t>
      </w:r>
    </w:p>
    <w:p w14:paraId="36297FA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投资者的赎回申请生效后，基金管理人将在T＋7日（包括该日）内支付赎回款项。在发生巨额赎回或本基金合同载明的</w:t>
      </w:r>
      <w:r>
        <w:rPr>
          <w:rFonts w:hint="eastAsia" w:ascii="Times New Roman" w:hAnsi="Times New Roman" w:eastAsia="宋体" w:cs="Times New Roman"/>
          <w:kern w:val="0"/>
          <w:sz w:val="24"/>
          <w:szCs w:val="24"/>
          <w:lang w:eastAsia="zh-Hans"/>
        </w:rPr>
        <w:t>其他暂停赎回或</w:t>
      </w:r>
      <w:r>
        <w:rPr>
          <w:rFonts w:ascii="Times New Roman" w:hAnsi="Times New Roman" w:eastAsia="宋体" w:cs="Times New Roman"/>
          <w:kern w:val="0"/>
          <w:sz w:val="24"/>
          <w:szCs w:val="24"/>
        </w:rPr>
        <w:t>延缓支付赎回款项的情形时，款项的支付办法参照本基金合同有关条款处理。</w:t>
      </w:r>
    </w:p>
    <w:p w14:paraId="5A9938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遇</w:t>
      </w:r>
      <w:r>
        <w:rPr>
          <w:rFonts w:hint="eastAsia" w:cs="宋体"/>
          <w:sz w:val="24"/>
          <w:szCs w:val="24"/>
        </w:rPr>
        <w:t>目标ETF的投资市场休市、目标ETF暂停交易或赎回、目标ETF延迟支付赎回对价或延迟交收、</w:t>
      </w:r>
      <w:r>
        <w:rPr>
          <w:rFonts w:ascii="Times New Roman" w:hAnsi="Times New Roman" w:eastAsia="宋体" w:cs="Times New Roman"/>
          <w:kern w:val="0"/>
          <w:sz w:val="24"/>
          <w:szCs w:val="24"/>
        </w:rPr>
        <w:t>交易所或</w:t>
      </w:r>
      <w:r>
        <w:rPr>
          <w:rFonts w:hint="eastAsia" w:cs="宋体"/>
          <w:sz w:val="24"/>
          <w:szCs w:val="24"/>
        </w:rPr>
        <w:t>登记机构的</w:t>
      </w:r>
      <w:r>
        <w:rPr>
          <w:rFonts w:ascii="Times New Roman" w:hAnsi="Times New Roman" w:eastAsia="宋体" w:cs="Times New Roman"/>
          <w:kern w:val="0"/>
          <w:sz w:val="24"/>
          <w:szCs w:val="24"/>
        </w:rPr>
        <w:t>交易</w:t>
      </w:r>
      <w:r>
        <w:rPr>
          <w:rFonts w:hint="eastAsia" w:cs="宋体"/>
          <w:sz w:val="24"/>
          <w:szCs w:val="24"/>
        </w:rPr>
        <w:t>结算规则发生较大变化、本基金交易所或交易</w:t>
      </w:r>
      <w:r>
        <w:rPr>
          <w:rFonts w:ascii="Times New Roman" w:hAnsi="Times New Roman" w:eastAsia="宋体" w:cs="Times New Roman"/>
          <w:kern w:val="0"/>
          <w:sz w:val="24"/>
          <w:szCs w:val="24"/>
        </w:rPr>
        <w:t>市场数据传输延迟、通讯系统故障、银行数据交换系统故障、港股通交易系统故障、港股通资金交收规则限制或其他非基金管理人及基金托管人所能控制的因素影响业务处理流程，则赎回款项划付时间相应顺延</w:t>
      </w:r>
      <w:r>
        <w:rPr>
          <w:rFonts w:hint="eastAsia" w:cs="宋体"/>
          <w:sz w:val="24"/>
          <w:szCs w:val="24"/>
        </w:rPr>
        <w:t>至该因素消除的最近一个工作日</w:t>
      </w:r>
      <w:r>
        <w:rPr>
          <w:rFonts w:ascii="Times New Roman" w:hAnsi="Times New Roman" w:eastAsia="宋体" w:cs="Times New Roman"/>
          <w:kern w:val="0"/>
          <w:sz w:val="24"/>
          <w:szCs w:val="24"/>
        </w:rPr>
        <w:t>。</w:t>
      </w:r>
    </w:p>
    <w:p w14:paraId="3225305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3、申购和赎回申请的确认</w:t>
      </w:r>
    </w:p>
    <w:p w14:paraId="1505C84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以交易时间结束前受理有效申购和赎回申请的当天作为申购或赎回申请日（T日），在正常情况下，本基金登记机构在T+1日内对该交易的有效性进行确认。T日提交的有效申请，投资人应在T+2日后（包括该日）及时到销售网点柜台或以销售机构规定的其他方式查询申请的确认情况。若申购不成立或无效，则申购款项本金退还给投资人。</w:t>
      </w:r>
    </w:p>
    <w:p w14:paraId="6455AE4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基金销售机构受理申请并不代表该申请一定成功，而仅代表销售机构确实接收到该申请。申购和赎回申请的确认以基金登记机构的确认结果为准。对于申购、赎回申请的确认情况，投资者应及时查询。</w:t>
      </w:r>
    </w:p>
    <w:p w14:paraId="402245E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法律法规和基金合同的范围内，对上述业务办理时间进行调整，并在调整实施前依照《信息披露办法》的有关规定在规定媒介上公告。</w:t>
      </w:r>
    </w:p>
    <w:p w14:paraId="0D30FC5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五、申购和赎回的数量限制</w:t>
      </w:r>
    </w:p>
    <w:p w14:paraId="2B68EE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1、基金管理人可以规定投资人首次申购和每次申购的最低金额以及每次赎回的最低份额，具体规定请参见招募说明书或相关公告。</w:t>
      </w:r>
    </w:p>
    <w:p w14:paraId="3A43F91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2、基金管理人可以规定投资人每个基金交易账户的最低基金份额余额，具体规定请参见招募说明书或相关公告。</w:t>
      </w:r>
    </w:p>
    <w:p w14:paraId="79135EF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3、基金管理人可以规定单个投资人累计持有的基金份额上限，具体规定请参见招募说明书或相关公告。</w:t>
      </w:r>
    </w:p>
    <w:p w14:paraId="3EAEC80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14:paraId="59F8BC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5、基金管理人可在</w:t>
      </w:r>
      <w:r>
        <w:rPr>
          <w:rFonts w:hint="eastAsia" w:ascii="Times New Roman" w:hAnsi="Times New Roman" w:eastAsia="宋体" w:cs="Times New Roman"/>
          <w:kern w:val="0"/>
          <w:sz w:val="24"/>
          <w:szCs w:val="24"/>
          <w:lang w:eastAsia="zh-Hans"/>
        </w:rPr>
        <w:t>不违反</w:t>
      </w:r>
      <w:r>
        <w:rPr>
          <w:rFonts w:ascii="Times New Roman" w:hAnsi="Times New Roman" w:eastAsia="宋体" w:cs="Times New Roman"/>
          <w:kern w:val="0"/>
          <w:sz w:val="24"/>
          <w:szCs w:val="24"/>
        </w:rPr>
        <w:t>法律法规的情况下，调整上述规定申购金额和赎回份额等数量限制。基金管理人必须在调整实施前依照《信息披露办法》的有关规定在规定媒介上公告。</w:t>
      </w:r>
    </w:p>
    <w:p w14:paraId="257001D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六、申购和赎回的价格、费用及其用途</w:t>
      </w:r>
    </w:p>
    <w:p w14:paraId="21EA25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本基金各类基金份额净值的计算，均保留到小数点后4位，小数点后第5位四舍五入，由此产生的收益或损失由基金财产承担。T日的各类基金份额净值在当天收市后计算，并按基金合同的约定进行公告。遇特殊情况，经履行适当程序，可以适当延迟计算或公告。</w:t>
      </w:r>
    </w:p>
    <w:p w14:paraId="7525739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申购份额的计算及余额的处理方式：本基金申购份额的计算详见《招募说明书》。本基金A类基金份额的申购费率由基金管理人决定，并在招募说明书及基金产品资料概要中列示。申购的有效份额为净申购金额除以当日该类基金份额的基金份额净值，有效份额单位为份，上述计算结果均按四舍五入方法，保留到小数点后2位，由此产生的收益或损失由基金财产承担。</w:t>
      </w:r>
    </w:p>
    <w:p w14:paraId="0A8F10D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赎回金额的计算及处理方式：本基金赎回金额的计算详见《招募说明书》。本基金的赎回费率由基金管理人决定，并在招募说明书及基金产品资料概要中列示。赎回金额为按实际确认的有效赎回份额乘以当日该类基金份额的基金份额净值并扣除相应的费用，赎回金额单位为元。上述计算结果均按四舍五入方法，保留到小数点后2位，由此产生的收益或损失由基金财产承担。</w:t>
      </w:r>
    </w:p>
    <w:p w14:paraId="11349C0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4、本基金A类基金份额的申购费用由申购A类基金份额的投资人承担，不列入基金财产；C类基金份额不收取申购费用。</w:t>
      </w:r>
    </w:p>
    <w:p w14:paraId="2C2FDAF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5、赎回费用由赎回基金份额的基金份额持有人承担，在基金份额持有人赎回基金份额时收取。赎回费用归入基金财产的比例依</w:t>
      </w:r>
      <w:r>
        <w:rPr>
          <w:rFonts w:ascii="Times New Roman" w:hAnsi="Times New Roman" w:eastAsia="宋体" w:cs="Times New Roman"/>
          <w:sz w:val="24"/>
        </w:rPr>
        <w:t>照相关法律法规设定，具体</w:t>
      </w:r>
      <w:r>
        <w:rPr>
          <w:rFonts w:ascii="Times New Roman" w:hAnsi="Times New Roman" w:eastAsia="宋体" w:cs="Times New Roman"/>
          <w:kern w:val="0"/>
          <w:sz w:val="24"/>
        </w:rPr>
        <w:t>见招募说明书</w:t>
      </w:r>
      <w:r>
        <w:rPr>
          <w:rFonts w:ascii="Times New Roman" w:hAnsi="Times New Roman" w:eastAsia="宋体" w:cs="Times New Roman"/>
          <w:sz w:val="24"/>
        </w:rPr>
        <w:t>的规定</w:t>
      </w:r>
      <w:r>
        <w:rPr>
          <w:rFonts w:ascii="Times New Roman" w:hAnsi="Times New Roman" w:eastAsia="宋体" w:cs="Times New Roman"/>
          <w:kern w:val="0"/>
          <w:sz w:val="24"/>
          <w:szCs w:val="24"/>
        </w:rPr>
        <w:t>，未归入基金财产的部分用于支付登记费和其他必要的手续费。其中，对持续持有期少于7日的投资者收取不低于1.5%的赎回费，并全额计入基金财产。</w:t>
      </w:r>
    </w:p>
    <w:p w14:paraId="12BAE8E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本基金A类基金份额的申购费率、A类基金份额和C类基金份额的申购份额具体的计算方法、赎回费率、赎回金额具体的计算方法和收费方式由基金管理人根据基金合同的规定确定，并在招募说明书中列示。基金管理人可以在基金合同约定的范围内调整费率或收费方式，并最迟应于新的费率或收费方式实施日前依照《信息披露办法》的有关规定在规定媒介上公告。</w:t>
      </w:r>
    </w:p>
    <w:p w14:paraId="0C3307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7、当本基金发生大额申购或赎回情形时，基金管理人可以采用摆动定价机制以确保基金估值的公平性。具体处理原则与操作规范遵循相关法律法规以及监管部门、自律规则的规定。</w:t>
      </w:r>
    </w:p>
    <w:p w14:paraId="394F201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管理人可以在不违背法律法规规定及基金合同约定并对现有份额持有人利益无实质性不利影响的情况下，根据市场情况制定基金促销计划，定期或不定期地开展基金促销活动。在基金促销活动期间，基金管理人可以按中国证监会要求履行必要手续后，对基金投资者适当调低基金申购费率、赎回费率和销售服务费率。</w:t>
      </w:r>
    </w:p>
    <w:p w14:paraId="449429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七、拒绝或暂停申购的情形</w:t>
      </w:r>
    </w:p>
    <w:p w14:paraId="2D34FF63">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发生下列情况时，基金管理人可拒绝或暂停接受投资人的申购申请：</w:t>
      </w:r>
    </w:p>
    <w:p w14:paraId="1AB78167">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1、因不可抗力导致基金无法正常运作。</w:t>
      </w:r>
    </w:p>
    <w:p w14:paraId="7E3DF46E">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2、发生基金合同规定的暂停基金资产估值情况时。</w:t>
      </w:r>
    </w:p>
    <w:p w14:paraId="37877C16">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3、证券、期货交易所或外汇市场交易时间非正常停市，导致基金管理人无法计算当日基金资产净值</w:t>
      </w:r>
      <w:r>
        <w:rPr>
          <w:rFonts w:hint="eastAsia" w:ascii="Times New Roman" w:hAnsi="Times New Roman" w:cs="Times New Roman"/>
          <w:bCs/>
          <w:sz w:val="24"/>
          <w:szCs w:val="24"/>
        </w:rPr>
        <w:t>或无法进行证券交易</w:t>
      </w:r>
      <w:r>
        <w:rPr>
          <w:rFonts w:ascii="Times New Roman" w:hAnsi="Times New Roman" w:eastAsia="宋体" w:cs="Times New Roman"/>
          <w:bCs/>
          <w:sz w:val="24"/>
          <w:szCs w:val="24"/>
        </w:rPr>
        <w:t>。</w:t>
      </w:r>
    </w:p>
    <w:p w14:paraId="286D5413">
      <w:pPr>
        <w:spacing w:line="360" w:lineRule="auto"/>
        <w:ind w:firstLine="480" w:firstLineChars="200"/>
        <w:rPr>
          <w:rFonts w:ascii="Times New Roman" w:hAnsi="Times New Roman" w:eastAsia="宋体" w:cs="Times New Roman"/>
          <w:bCs/>
          <w:sz w:val="24"/>
          <w:szCs w:val="24"/>
        </w:rPr>
      </w:pPr>
      <w:bookmarkStart w:id="7" w:name="_Hlt70481650"/>
      <w:bookmarkEnd w:id="7"/>
      <w:r>
        <w:rPr>
          <w:rFonts w:ascii="Times New Roman" w:hAnsi="Times New Roman" w:eastAsia="宋体" w:cs="Times New Roman"/>
          <w:bCs/>
          <w:sz w:val="24"/>
          <w:szCs w:val="24"/>
        </w:rPr>
        <w:t>4、基金管理人接受某笔或某些申购申请可能会影响或损害现有基金份额持有人利益或对存量基金份额持有人利益构成潜在重大不利影响时。</w:t>
      </w:r>
    </w:p>
    <w:p w14:paraId="356401D3">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5、基金资产规模过大，使基金管理人无法找到合适的投资品种，或其他可能对基金业绩产生负面影响，或发生其他损害现有基金份额持有人利益的情形。</w:t>
      </w:r>
    </w:p>
    <w:p w14:paraId="3CB002FA">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6、基金管理人、基金托管人、销售机构或登记机构的技术故障等异常情况导致基金销售系统、基金注册登记系统或基金会计系统无法正常运行。</w:t>
      </w:r>
    </w:p>
    <w:p w14:paraId="66F52924">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7、当特定资产占前一估值日基金资产净值50%以上的，经与基金托管人协商确认后，基金管理人应当暂停接受基金申购申请。</w:t>
      </w:r>
    </w:p>
    <w:p w14:paraId="72533DE4">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8、港股通的业务规则发生重大变化时。</w:t>
      </w:r>
    </w:p>
    <w:p w14:paraId="1A4AFDE2">
      <w:pPr>
        <w:pStyle w:val="7"/>
        <w:ind w:firstLine="480"/>
        <w:rPr>
          <w:rFonts w:ascii="Times New Roman" w:hAnsi="Times New Roman" w:eastAsia="宋体" w:cs="Times New Roman"/>
          <w:bCs/>
          <w:sz w:val="24"/>
          <w:szCs w:val="24"/>
        </w:rPr>
      </w:pPr>
      <w:r>
        <w:rPr>
          <w:rFonts w:hint="eastAsia" w:ascii="Times New Roman" w:hAnsi="Times New Roman" w:eastAsia="宋体" w:cs="Times New Roman"/>
          <w:bCs/>
          <w:sz w:val="24"/>
          <w:szCs w:val="24"/>
        </w:rPr>
        <w:t>9、所投资的目标ETF暂停估值，导致基金管理人无法计算当日基金资产净值。</w:t>
      </w:r>
    </w:p>
    <w:p w14:paraId="49FA7E53">
      <w:pPr>
        <w:pStyle w:val="7"/>
        <w:ind w:left="181" w:leftChars="86" w:firstLine="480"/>
      </w:pPr>
      <w:r>
        <w:rPr>
          <w:rFonts w:hint="eastAsia" w:ascii="Times New Roman" w:hAnsi="Times New Roman" w:eastAsia="宋体" w:cs="Times New Roman"/>
          <w:bCs/>
          <w:sz w:val="24"/>
          <w:szCs w:val="24"/>
        </w:rPr>
        <w:t>10、所投资的目标ETF暂停申购或二级市场交易停牌。</w:t>
      </w:r>
    </w:p>
    <w:p w14:paraId="3A2ABD9C">
      <w:pPr>
        <w:spacing w:line="360" w:lineRule="auto"/>
        <w:ind w:left="181" w:leftChars="86"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11、</w:t>
      </w:r>
      <w:r>
        <w:rPr>
          <w:rFonts w:ascii="Times New Roman" w:hAnsi="Times New Roman" w:eastAsia="宋体" w:cs="Times New Roman"/>
          <w:bCs/>
          <w:sz w:val="24"/>
          <w:szCs w:val="24"/>
        </w:rPr>
        <w:t>申请超过基金管理人设定的基金总规模、单日净申购比例上限、单一投资者单日或单笔申购金额上限</w:t>
      </w:r>
      <w:r>
        <w:rPr>
          <w:rFonts w:hint="eastAsia" w:ascii="Times New Roman" w:hAnsi="Times New Roman" w:eastAsia="宋体" w:cs="Times New Roman"/>
          <w:bCs/>
          <w:sz w:val="24"/>
          <w:szCs w:val="24"/>
        </w:rPr>
        <w:t>。</w:t>
      </w:r>
    </w:p>
    <w:p w14:paraId="221692F9">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12</w:t>
      </w:r>
      <w:r>
        <w:rPr>
          <w:rFonts w:ascii="Times New Roman" w:hAnsi="Times New Roman" w:eastAsia="宋体" w:cs="Times New Roman"/>
          <w:bCs/>
          <w:sz w:val="24"/>
          <w:szCs w:val="24"/>
        </w:rPr>
        <w:t>、法律法规规定或中国证监会认定的其他情形。</w:t>
      </w:r>
    </w:p>
    <w:p w14:paraId="36EAF155">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发生上述第1、2、3、5、6、7、</w:t>
      </w:r>
      <w:r>
        <w:rPr>
          <w:rFonts w:hint="eastAsia" w:ascii="Times New Roman" w:hAnsi="Times New Roman" w:eastAsia="宋体" w:cs="Times New Roman"/>
          <w:bCs/>
          <w:sz w:val="24"/>
          <w:szCs w:val="24"/>
        </w:rPr>
        <w:t>8、</w:t>
      </w:r>
      <w:r>
        <w:rPr>
          <w:rFonts w:ascii="Times New Roman" w:hAnsi="Times New Roman" w:eastAsia="宋体" w:cs="Times New Roman"/>
          <w:bCs/>
          <w:sz w:val="24"/>
          <w:szCs w:val="24"/>
        </w:rPr>
        <w:t>9、10</w:t>
      </w:r>
      <w:r>
        <w:rPr>
          <w:rFonts w:hint="eastAsia" w:ascii="Times New Roman" w:hAnsi="Times New Roman" w:eastAsia="宋体" w:cs="Times New Roman"/>
          <w:bCs/>
          <w:sz w:val="24"/>
          <w:szCs w:val="24"/>
        </w:rPr>
        <w:t>、12</w:t>
      </w:r>
      <w:r>
        <w:rPr>
          <w:rFonts w:ascii="Times New Roman" w:hAnsi="Times New Roman" w:eastAsia="宋体" w:cs="Times New Roman"/>
          <w:bCs/>
          <w:sz w:val="24"/>
          <w:szCs w:val="24"/>
        </w:rPr>
        <w:t>项暂停申购情形之一且基金管理人决定暂停接受投资人的申购申请时，基金管理人应当根据有关规定在规定媒介上刊登暂停申购公告。如果投资人的申购申请被全部或部分拒绝，被拒绝的申购款项本金将退还给投资人。在暂停申购的情况消除时，基金管理人应及时恢复申购业务的办理。</w:t>
      </w:r>
    </w:p>
    <w:p w14:paraId="3A28F8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八、暂停赎回或延缓支付赎回款项的情形</w:t>
      </w:r>
    </w:p>
    <w:p w14:paraId="2C113C76">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发生下列情形时，基金管理人可暂停接受投资人的赎回申请或延缓支付赎回款项：</w:t>
      </w:r>
    </w:p>
    <w:p w14:paraId="445EFD33">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1、因不可抗力导致基金管理人不能支付赎回款项。</w:t>
      </w:r>
    </w:p>
    <w:p w14:paraId="6AA9EDD1">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sz w:val="24"/>
          <w:szCs w:val="20"/>
        </w:rPr>
        <w:t>2、发生基金合同规定的暂停基金资产估值情况时。</w:t>
      </w:r>
    </w:p>
    <w:p w14:paraId="0B625D81">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3、证券、期货交易所或外汇市场交易时间非正常停市，导致基金管理人无法计算当日基金资产</w:t>
      </w:r>
      <w:bookmarkStart w:id="8" w:name="_Hlt152500890"/>
      <w:r>
        <w:rPr>
          <w:rFonts w:ascii="Times New Roman" w:hAnsi="Times New Roman" w:eastAsia="宋体" w:cs="Times New Roman"/>
          <w:bCs/>
          <w:sz w:val="24"/>
          <w:szCs w:val="24"/>
        </w:rPr>
        <w:t>净值。</w:t>
      </w:r>
    </w:p>
    <w:p w14:paraId="67991BC6">
      <w:pPr>
        <w:spacing w:line="360" w:lineRule="auto"/>
        <w:ind w:firstLine="480" w:firstLineChars="200"/>
        <w:rPr>
          <w:rFonts w:ascii="Times New Roman" w:hAnsi="Times New Roman" w:eastAsia="宋体" w:cs="Times New Roman"/>
          <w:bCs/>
          <w:sz w:val="24"/>
          <w:szCs w:val="24"/>
        </w:rPr>
      </w:pPr>
      <w:r>
        <w:rPr>
          <w:rFonts w:ascii="Times New Roman" w:hAnsi="Times New Roman" w:eastAsia="宋体" w:cs="Times New Roman"/>
          <w:bCs/>
          <w:sz w:val="24"/>
          <w:szCs w:val="24"/>
        </w:rPr>
        <w:t>4、连续两个或两个以上开放日发生巨额赎回。</w:t>
      </w:r>
    </w:p>
    <w:bookmarkEnd w:id="8"/>
    <w:p w14:paraId="764CA89A">
      <w:pPr>
        <w:spacing w:line="360" w:lineRule="auto"/>
        <w:ind w:firstLine="480"/>
        <w:rPr>
          <w:rFonts w:ascii="Times New Roman" w:hAnsi="Times New Roman" w:cs="Times New Roman"/>
          <w:bCs/>
          <w:sz w:val="24"/>
          <w:szCs w:val="24"/>
        </w:rPr>
      </w:pPr>
      <w:r>
        <w:rPr>
          <w:rFonts w:hint="eastAsia" w:ascii="Times New Roman" w:hAnsi="Times New Roman" w:cs="Times New Roman"/>
          <w:bCs/>
          <w:sz w:val="24"/>
          <w:szCs w:val="24"/>
        </w:rPr>
        <w:t>5、所投资的目标ETF暂停估值，导致基金管理人无法计算当日基金资产净值。</w:t>
      </w:r>
    </w:p>
    <w:p w14:paraId="75ED14CD">
      <w:pPr>
        <w:spacing w:line="360" w:lineRule="auto"/>
        <w:ind w:left="181" w:leftChars="86" w:firstLine="480"/>
        <w:rPr>
          <w:rFonts w:ascii="Times New Roman" w:hAnsi="Times New Roman" w:eastAsia="宋体" w:cs="Times New Roman"/>
          <w:bCs/>
          <w:sz w:val="24"/>
          <w:szCs w:val="24"/>
        </w:rPr>
      </w:pPr>
      <w:r>
        <w:rPr>
          <w:rFonts w:hint="eastAsia" w:ascii="Times New Roman" w:hAnsi="Times New Roman" w:cs="Times New Roman"/>
          <w:bCs/>
          <w:sz w:val="24"/>
          <w:szCs w:val="24"/>
        </w:rPr>
        <w:t>6、所投资的目标ETF暂停赎回、延缓支付赎回对价或二级市场交易停牌。</w:t>
      </w:r>
    </w:p>
    <w:p w14:paraId="3E974213">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7、</w:t>
      </w:r>
      <w:r>
        <w:rPr>
          <w:rFonts w:ascii="Times New Roman" w:hAnsi="Times New Roman" w:eastAsia="宋体" w:cs="Times New Roman"/>
          <w:bCs/>
          <w:sz w:val="24"/>
          <w:szCs w:val="24"/>
        </w:rPr>
        <w:t>发生继续接受赎回申请将损害现有基金份额持有人利益的情形时，基金管理人可暂停接受基金份额持有人的赎回申请。</w:t>
      </w:r>
    </w:p>
    <w:p w14:paraId="13542CBC">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8</w:t>
      </w:r>
      <w:r>
        <w:rPr>
          <w:rFonts w:ascii="Times New Roman" w:hAnsi="Times New Roman" w:eastAsia="宋体" w:cs="Times New Roman"/>
          <w:bCs/>
          <w:sz w:val="24"/>
          <w:szCs w:val="24"/>
        </w:rPr>
        <w:t>、当特定资产占前一估值日基金资产净值50%以上的，经与基金托管人协商确认后，基金管理人应当延缓支付赎回款项或暂停接受基金赎回申请。</w:t>
      </w:r>
    </w:p>
    <w:p w14:paraId="660A77F3">
      <w:pPr>
        <w:spacing w:line="360" w:lineRule="auto"/>
        <w:ind w:firstLine="480" w:firstLineChars="200"/>
        <w:rPr>
          <w:rFonts w:ascii="Times New Roman" w:hAnsi="Times New Roman" w:eastAsia="宋体" w:cs="Times New Roman"/>
          <w:bCs/>
          <w:sz w:val="24"/>
          <w:szCs w:val="24"/>
        </w:rPr>
      </w:pPr>
      <w:r>
        <w:rPr>
          <w:rFonts w:hint="eastAsia" w:ascii="Times New Roman" w:hAnsi="Times New Roman" w:eastAsia="宋体" w:cs="Times New Roman"/>
          <w:bCs/>
          <w:sz w:val="24"/>
          <w:szCs w:val="24"/>
        </w:rPr>
        <w:t>9</w:t>
      </w:r>
      <w:r>
        <w:rPr>
          <w:rFonts w:ascii="Times New Roman" w:hAnsi="Times New Roman" w:eastAsia="宋体" w:cs="Times New Roman"/>
          <w:bCs/>
          <w:sz w:val="24"/>
          <w:szCs w:val="24"/>
        </w:rPr>
        <w:t>、法律法规规定或中国证监会认定的其他情形。</w:t>
      </w:r>
    </w:p>
    <w:p w14:paraId="60ABB646">
      <w:pPr>
        <w:spacing w:line="360" w:lineRule="auto"/>
        <w:ind w:firstLine="480" w:firstLineChars="200"/>
        <w:rPr>
          <w:rFonts w:ascii="Times New Roman" w:hAnsi="Times New Roman" w:eastAsia="宋体" w:cs="Times New Roman"/>
          <w:sz w:val="24"/>
          <w:szCs w:val="20"/>
        </w:rPr>
      </w:pPr>
      <w:r>
        <w:rPr>
          <w:rFonts w:ascii="Times New Roman" w:hAnsi="Times New Roman" w:eastAsia="宋体" w:cs="Times New Roman"/>
          <w:bCs/>
          <w:sz w:val="24"/>
          <w:szCs w:val="24"/>
        </w:rPr>
        <w:t>发生上述情形之一（第4项除外）且基金管理人决定暂停赎回或延缓支付赎回款项时，基金管理人应按规定报中国证监会备案，已确认的赎回申请，基金管理人应足额支付；如暂时不能足额支付，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14:paraId="5B07A0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九、巨额赎回的情形及处理方式</w:t>
      </w:r>
    </w:p>
    <w:p w14:paraId="3934EFC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1、巨额赎回的认定</w:t>
      </w:r>
    </w:p>
    <w:p w14:paraId="71E7782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若本基金单个开放日内的基金份额净赎回申请（赎回申请份额总数加上基金转换中转出申请份额总数后扣除申购申请份额总数及基金转换中转入申请份额总数后的余额）超过前一</w:t>
      </w:r>
      <w:r>
        <w:rPr>
          <w:rFonts w:hint="eastAsia" w:ascii="Times New Roman" w:hAnsi="Times New Roman" w:eastAsia="宋体" w:cs="Times New Roman"/>
          <w:kern w:val="0"/>
          <w:sz w:val="24"/>
          <w:szCs w:val="24"/>
        </w:rPr>
        <w:t>工作</w:t>
      </w:r>
      <w:r>
        <w:rPr>
          <w:rFonts w:ascii="Times New Roman" w:hAnsi="Times New Roman" w:eastAsia="宋体" w:cs="Times New Roman"/>
          <w:kern w:val="0"/>
          <w:sz w:val="24"/>
          <w:szCs w:val="24"/>
        </w:rPr>
        <w:t>日的基金总份额的10%，即认为是发生了巨额赎回。</w:t>
      </w:r>
    </w:p>
    <w:p w14:paraId="5AC13DA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2、巨额赎回的处理方式</w:t>
      </w:r>
    </w:p>
    <w:p w14:paraId="0964035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当基金出现巨额赎回时，基金管理人可以根据基金当时的资产组合状况决定全额赎回、部分延期赎回或暂停赎回。</w:t>
      </w:r>
    </w:p>
    <w:p w14:paraId="2C9C970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（1）全额赎回：当基金管理人认为有能力支付投资人的全部赎回申请时，按正常赎回程序执行。</w:t>
      </w:r>
    </w:p>
    <w:p w14:paraId="7119E2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（2）部分延期赎回：当基金管理人认为支付投资人的赎回申请有困难或认为因支付投资人的赎回申请而进行的财产变现可能会对基金资产净值造成较大波动时，基金管理人在当日接受赎回比例不低于上一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该类基金份额净值为基础计算赎回金额，以此类推，直到全部赎回为止。如投资人在提交赎回申请时未作明确选择，投资人未能赎回部分作自动延期赎回处理。部分延期赎回不受单笔赎回最低份额的限制。</w:t>
      </w:r>
    </w:p>
    <w:p w14:paraId="46E7F6B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（3）本基金发生巨额赎回时，对于单个基金份额持有人当日赎回申请超过上一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10%以上的部分，基金管理人有权对其进行延期办理（被延期赎回的赎回申请，将自动转入下一个开放日继续赎回，延期的赎回申请与下一开放日赎回申请一并处理，无优先权并以下一开放日的该类基金份额净值为基础计算赎回金额，以此类推，直到全部赎回为止）；对于该基金份额持有人申请赎回的份额中未超过上一</w:t>
      </w:r>
      <w:r>
        <w:rPr>
          <w:rFonts w:hint="eastAsia" w:ascii="Times New Roman" w:hAnsi="Times New Roman" w:eastAsia="宋体" w:cs="Times New Roman"/>
          <w:kern w:val="0"/>
          <w:sz w:val="24"/>
          <w:szCs w:val="24"/>
          <w:lang w:eastAsia="zh-Hans"/>
        </w:rPr>
        <w:t>工作</w:t>
      </w:r>
      <w:r>
        <w:rPr>
          <w:rFonts w:ascii="Times New Roman" w:hAnsi="Times New Roman" w:eastAsia="宋体" w:cs="Times New Roman"/>
          <w:kern w:val="0"/>
          <w:sz w:val="24"/>
          <w:szCs w:val="24"/>
        </w:rPr>
        <w:t>日基金总份额10％的部分，基金管理人根据前段“（1）全额赎回”或“（2）部分延期赎回”的约定方式与其他基金份额持有人的赎回申请一并办理。但是，如该持有人在提交赎回申请时选择取消赎回，则其当日未获受理的部分赎回申请将被撤销。</w:t>
      </w:r>
    </w:p>
    <w:p w14:paraId="7A4FEFF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暂停赎回：连续2个开放日以上（含2个开放日）发生巨额赎回，如基金管理人认为有必要，可暂停接受基金的赎回申请；已经接受的赎回申请可以延缓支付赎回款项，但不得超过20个工作日，并应当在规定媒介上进行公告。</w:t>
      </w:r>
    </w:p>
    <w:p w14:paraId="251C177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3、巨额赎回的公告</w:t>
      </w:r>
    </w:p>
    <w:p w14:paraId="3965A72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当发生上述巨额赎回并延期办理时，基金管理人应当通过邮寄、传真或者招募说明书规定的其他方式在3个交易日内通知基金份额持有人，说明有关处理方法，并在2日内在规定媒介上刊登公告。</w:t>
      </w:r>
    </w:p>
    <w:p w14:paraId="62E63EC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十、暂停申购或赎回的公告和重新开放申购或赎回的公告</w:t>
      </w:r>
    </w:p>
    <w:p w14:paraId="35C0AB2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1、发生上述暂停申购或赎回情况的，基金管理人应在规定期限内在规定媒介上刊登暂停公告。</w:t>
      </w:r>
    </w:p>
    <w:p w14:paraId="64D23B5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14:paraId="16B3E82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3、上述暂停申购或赎回情况消除的，基金管理人应于重新开放日公布最近1个开放日各类基金份额净值。</w:t>
      </w:r>
    </w:p>
    <w:p w14:paraId="268E080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十一、基金转换</w:t>
      </w:r>
    </w:p>
    <w:p w14:paraId="099067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根据相关法律法规以及本基金合同的规定决定开办本基金与基金管理人管理的其他基金之间的转换业务，基金转换可以收取一定的转换费，相关规则由基金管理人届时根据相关法律法规及本基金合同的规定制定并公告，并提前告知基金托管人与相关机构。</w:t>
      </w:r>
    </w:p>
    <w:p w14:paraId="7FC2469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十二、基金份额的转让</w:t>
      </w:r>
    </w:p>
    <w:p w14:paraId="27502B2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对基金份额持有人无实质不利影响，在法律法规允许且条件具备的情况下，基金管理人履行相关程序后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14:paraId="4D46F87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十三、基金的非交易过户</w:t>
      </w:r>
    </w:p>
    <w:p w14:paraId="75BD718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14:paraId="6FCC2B7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14:paraId="55CF76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十四、基金的转托管</w:t>
      </w:r>
    </w:p>
    <w:p w14:paraId="4FD5D52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基金份额持有人可办理已持有基金份额在不同销售机构之间的转托管，基金销售机构可以按照规定的标准收取转托管费。</w:t>
      </w:r>
    </w:p>
    <w:p w14:paraId="3F9EA61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十五、定期定额投资计划</w:t>
      </w:r>
    </w:p>
    <w:p w14:paraId="4B70DA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14:paraId="3C57E0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十六、基金份额的冻结、解冻与质押</w:t>
      </w:r>
    </w:p>
    <w:p w14:paraId="02C7D3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只受理国家有权机关依法要求的基金份额的冻结与解冻，以及登记机构认可、符合法律法规的其他情况下的冻结与解冻。基金份额被冻结的，被冻结部分产生的权益一并冻结，被冻结部分份额仍然参与收益分配与支付。法律法规或基金合同另有规定的除外。</w:t>
      </w:r>
    </w:p>
    <w:p w14:paraId="549FD0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对基金份额持有人无实质不利影响的前提下，如相关法律法规允许，基金管理人履行相关程序后可办理基金份额的质押业务或其他基金业务，基金管理人将制定和实施相应的业务规则。</w:t>
      </w:r>
    </w:p>
    <w:p w14:paraId="1ADC5AF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十七、实施侧袋机制期间本基金的申购与赎回</w:t>
      </w:r>
    </w:p>
    <w:p w14:paraId="37004E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本基金实施侧袋机制的，本基金的申购和赎回安排详见招募说明书或相关公告。</w:t>
      </w:r>
    </w:p>
    <w:p w14:paraId="7B006F9D">
      <w:pPr>
        <w:widowControl/>
        <w:ind w:firstLine="200"/>
        <w:rPr>
          <w:rFonts w:ascii="Times New Roman" w:hAnsi="Times New Roman" w:eastAsia="宋体" w:cs="Times New Roman"/>
          <w:kern w:val="0"/>
          <w:sz w:val="24"/>
          <w:szCs w:val="24"/>
        </w:rPr>
        <w:sectPr>
          <w:footerReference r:id="rId9" w:type="default"/>
          <w:pgSz w:w="11906" w:h="16838"/>
          <w:pgMar w:top="1440" w:right="1800" w:bottom="1440" w:left="1800" w:header="851" w:footer="992" w:gutter="0"/>
          <w:pgNumType w:start="1"/>
          <w:cols w:space="425" w:num="1"/>
          <w:docGrid w:type="lines" w:linePitch="312" w:charSpace="0"/>
        </w:sectPr>
      </w:pPr>
    </w:p>
    <w:p w14:paraId="04CB57C1">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9" w:name="_Toc471235844"/>
      <w:r>
        <w:rPr>
          <w:rFonts w:ascii="Times New Roman" w:hAnsi="Times New Roman" w:eastAsia="宋体" w:cs="Times New Roman"/>
          <w:kern w:val="0"/>
          <w:sz w:val="30"/>
          <w:lang w:val="zh-CN"/>
        </w:rPr>
        <w:t>第七部分 基金合同当事人及权利义务</w:t>
      </w:r>
      <w:bookmarkEnd w:id="9"/>
    </w:p>
    <w:p w14:paraId="7FB99823">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5B84B65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w:t>
      </w:r>
    </w:p>
    <w:p w14:paraId="34157D1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基金管理人简况</w:t>
      </w:r>
    </w:p>
    <w:p w14:paraId="14D995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名称：博时基金管理有限公司</w:t>
      </w:r>
    </w:p>
    <w:p w14:paraId="037DB13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住所：深圳市福田区莲花街道福新社区益田路5999号基金大厦21层</w:t>
      </w:r>
    </w:p>
    <w:p w14:paraId="59039FA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法定代表人：</w:t>
      </w:r>
      <w:r>
        <w:rPr>
          <w:rFonts w:hint="eastAsia" w:ascii="Times New Roman" w:hAnsi="Times New Roman" w:eastAsia="宋体" w:cs="Times New Roman"/>
          <w:kern w:val="0"/>
          <w:sz w:val="24"/>
          <w:szCs w:val="24"/>
        </w:rPr>
        <w:t>张东</w:t>
      </w:r>
    </w:p>
    <w:p w14:paraId="685E6B9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设立日期： 1998年7月13日</w:t>
      </w:r>
    </w:p>
    <w:p w14:paraId="571B801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批准设立机关及批准设立文号：中国证监会证监基字【1998】26号</w:t>
      </w:r>
    </w:p>
    <w:p w14:paraId="05686F7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组织形式：有限责任公司</w:t>
      </w:r>
    </w:p>
    <w:p w14:paraId="732F579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注册资本： 2.5亿元人民币</w:t>
      </w:r>
    </w:p>
    <w:p w14:paraId="14A2155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存续期限： 持续经营</w:t>
      </w:r>
    </w:p>
    <w:p w14:paraId="3B6B262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基金管理人的权利与义务</w:t>
      </w:r>
    </w:p>
    <w:p w14:paraId="219F149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1、根据《基金法》、《运作办法》及其他有关规定，基金管理人的权利包括但不限于：</w:t>
      </w:r>
    </w:p>
    <w:p w14:paraId="70B6EFA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（1）依法募集资金；</w:t>
      </w:r>
    </w:p>
    <w:p w14:paraId="7C9A1C5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（2）自《基金合同》生效之日起，根据法律法规和《基金合同》独立运用并管理基金财产；</w:t>
      </w:r>
    </w:p>
    <w:p w14:paraId="109EA5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（3）依照《基金合同》收取基金管理费以及法律法规规定或中国证监会批准的其他费用；</w:t>
      </w:r>
    </w:p>
    <w:p w14:paraId="5C2E5A6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（4）销售基金份额；</w:t>
      </w:r>
    </w:p>
    <w:p w14:paraId="2E4F940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（5）按照规定召集基金份额持有人大会；</w:t>
      </w:r>
    </w:p>
    <w:p w14:paraId="16A46FB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08E1842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（7）在基金托管人更换时，提名新的基金托管人；</w:t>
      </w:r>
    </w:p>
    <w:p w14:paraId="4DD947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（8）选择、更换基金销售机构，对基金销售机构的相关行为进行监督和处理； </w:t>
      </w:r>
    </w:p>
    <w:p w14:paraId="2ED0B0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（9）担任或委托其他符合条件的机构担任基金登记机构办理基金登记业务并获得《基金合同》规定的费用； </w:t>
      </w:r>
    </w:p>
    <w:p w14:paraId="2970FD5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（10）依据《基金合同》及有关法律规定决定基金收益的分配方案；</w:t>
      </w:r>
      <w:r>
        <w:rPr>
          <w:rFonts w:ascii="Times New Roman" w:hAnsi="Times New Roman" w:eastAsia="宋体" w:cs="Times New Roman"/>
          <w:kern w:val="0"/>
          <w:sz w:val="24"/>
          <w:szCs w:val="24"/>
        </w:rPr>
        <w:tab/>
      </w:r>
    </w:p>
    <w:p w14:paraId="1767595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（11）在《基金合同》约定的范围内，拒绝或暂停受理申购、赎回与转换申请； </w:t>
      </w:r>
    </w:p>
    <w:p w14:paraId="7A7EAA2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（12）依照法律法规为基金的利益对被投资公司行使股东权利，为基金的利益行使因基金财产投资于证券所产生的权利；</w:t>
      </w:r>
    </w:p>
    <w:p w14:paraId="58AAF15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（13）在法律法规允许的前提下，为基金的利益依法为基金进行融资及转融通证券出借业务；</w:t>
      </w:r>
    </w:p>
    <w:p w14:paraId="5279D2C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（14）以基金管理人的名义，代表基金份额持有人的利益行使诉讼权利或者实施其他法律行为；</w:t>
      </w:r>
    </w:p>
    <w:p w14:paraId="219A638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（15）选择、更换律师事务所、会计师事务所、证券、期货经纪商或其他为基金提供服务的外部机构；</w:t>
      </w:r>
    </w:p>
    <w:p w14:paraId="2635069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（16）在符合有关法律、法规的前提下，制订和调整有关基金申购、赎回、转换、定期定额投资和非交易过户等业务规则；</w:t>
      </w:r>
    </w:p>
    <w:p w14:paraId="4B9F34E0">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（17）</w:t>
      </w:r>
      <w:r>
        <w:rPr>
          <w:rFonts w:hint="eastAsia" w:cs="宋体" w:asciiTheme="minorEastAsia" w:hAnsiTheme="minorEastAsia"/>
          <w:kern w:val="0"/>
          <w:sz w:val="24"/>
          <w:szCs w:val="24"/>
        </w:rPr>
        <w:t>代表基金份额持有人的利益行使因基金财产投资于目标ETF所产生的权利，基金合同另有约定的除外；</w:t>
      </w:r>
    </w:p>
    <w:p w14:paraId="0A6E55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（18）</w:t>
      </w:r>
      <w:r>
        <w:rPr>
          <w:rFonts w:ascii="Times New Roman" w:hAnsi="Times New Roman" w:eastAsia="宋体" w:cs="Times New Roman"/>
          <w:kern w:val="0"/>
          <w:sz w:val="24"/>
          <w:szCs w:val="24"/>
        </w:rPr>
        <w:t>法律法规及中国证监会规定的和《基金合同》约定的其他权利。</w:t>
      </w:r>
    </w:p>
    <w:p w14:paraId="22F2B34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2、根据《基金法》、《运作办法》及其他有关规定，基金管理人的义务包括但不限于：</w:t>
      </w:r>
    </w:p>
    <w:p w14:paraId="1600AE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（1）依法募集资金，办理或者委托经中国证监会认定的其他机构代为办理基金份额的申购、赎回和登记事宜；</w:t>
      </w:r>
    </w:p>
    <w:p w14:paraId="7E818D8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（2）办理基金备案手续；</w:t>
      </w:r>
    </w:p>
    <w:p w14:paraId="651C3AD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（3）自《基金合同》生效之日起，以诚实信用、谨慎勤勉的原则管理和运用基金财产；</w:t>
      </w:r>
    </w:p>
    <w:p w14:paraId="5AEDF1F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（4）配备足够的具有专业资格的人员进行基金投资分析、决策，以专业化的经营方式管理和运作基金财产；</w:t>
      </w:r>
    </w:p>
    <w:p w14:paraId="52D218A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0123375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（6）除依据《基金法》、《基金合同》及其他有关规定外，不得利用基金财产为自己及任何第三人谋取利益，不得委托第三人运作基金财产；</w:t>
      </w:r>
    </w:p>
    <w:p w14:paraId="04EB54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（7）依法接受基金托管人的监督；</w:t>
      </w:r>
    </w:p>
    <w:p w14:paraId="5F373F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（8）采取适当合理的措施使计算基金份额申购、赎回和注销价格的方法符合《基金合同》等法律文件的规定，按有关规定计算并公告基金净值信息，确定基金份额申购、赎回的价格；</w:t>
      </w:r>
    </w:p>
    <w:p w14:paraId="4373A19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（9）进行基金会计核算并编制基金财务会计报告；</w:t>
      </w:r>
    </w:p>
    <w:p w14:paraId="39376ED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（10）编制季度报告、中期报告和年度报告；</w:t>
      </w:r>
    </w:p>
    <w:p w14:paraId="71CC63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（11）严格按照《基金法》、《基金合同》及其他有关规定，履行信息披露及报告义务；</w:t>
      </w:r>
    </w:p>
    <w:p w14:paraId="3FC1D3A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62F04E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（13）按《基金合同》的约定确定基金收益分配方案，及时向基金份额持有人分配基金收益；</w:t>
      </w:r>
    </w:p>
    <w:p w14:paraId="1F8AA6C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（14）按规定受理申购与赎回申请，及时、足额支付赎回款项；</w:t>
      </w:r>
    </w:p>
    <w:p w14:paraId="352EFB2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（15）依据《基金法》、《基金合同》及其他有关规定召集基金份额持有人大会或配合基金托管人、基金份额持有人依法召集基金份额持有人大会；</w:t>
      </w:r>
    </w:p>
    <w:p w14:paraId="6EE5EA8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（16）按规定保存基金财产管理业务活动的会计账册、报表、记录和其他相关资料，保存期限不低于法律法规规定的最低期限；</w:t>
      </w:r>
    </w:p>
    <w:p w14:paraId="46AA1D1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146475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（18）组织并参加基金财产清算小组，参与基金财产的保管、清理、估价、变现和分配；</w:t>
      </w:r>
    </w:p>
    <w:p w14:paraId="418D179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（19）面临解散、依法被撤销或者被依法宣告破产时，及时报告中国证监会并通知基金托管人；</w:t>
      </w:r>
    </w:p>
    <w:p w14:paraId="2E5AD9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（20）因违反《基金合同》导致基金财产的损失或损害基金份额持有人合法权益时，应当承担赔偿责任，其赔偿责任不因其退任而免除；</w:t>
      </w:r>
    </w:p>
    <w:p w14:paraId="7C20808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（21）监督基金托管人按法律法规和《基金合同》规定履行自己的义务，基金托管人违反《基金合同》造成基金财产损失时，基金管理人应为基金份额持有人利益向基金托管人追偿；</w:t>
      </w:r>
    </w:p>
    <w:p w14:paraId="0B96EBF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（22）当基金管理人将其义务委托第三方处理时，应当对第三方处理有关基金事务的行为承担责任；</w:t>
      </w:r>
    </w:p>
    <w:p w14:paraId="4262F7C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（23）以基金管理人名义，代表基金份额持有人利益行使诉讼权利或实施其他法律行为；</w:t>
      </w:r>
      <w:r>
        <w:rPr>
          <w:rFonts w:ascii="Times New Roman" w:hAnsi="Times New Roman" w:eastAsia="宋体" w:cs="Times New Roman"/>
          <w:kern w:val="0"/>
          <w:sz w:val="24"/>
          <w:szCs w:val="24"/>
        </w:rPr>
        <w:tab/>
      </w:r>
    </w:p>
    <w:p w14:paraId="24F2A5D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（24）执行生效的基金份额持有人大会的决议；</w:t>
      </w:r>
    </w:p>
    <w:p w14:paraId="4AF5FD6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）建立并保存基金份额持有人名册；</w:t>
      </w:r>
    </w:p>
    <w:p w14:paraId="796E87E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）法律法规及中国证监会规定的和《基金合同》约定的其他义务。</w:t>
      </w:r>
    </w:p>
    <w:p w14:paraId="1FC30AA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二、基金托管人</w:t>
      </w:r>
    </w:p>
    <w:p w14:paraId="2F7C4E2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基金托管人简况</w:t>
      </w:r>
    </w:p>
    <w:p w14:paraId="19563DE6">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名称：兴业银行股份有限公司</w:t>
      </w:r>
    </w:p>
    <w:p w14:paraId="54A76BD2">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 xml:space="preserve">注册地址：福建省福州市台江区江滨中大道398号兴业银行大厦 </w:t>
      </w:r>
    </w:p>
    <w:p w14:paraId="46408F1E">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办公地址：上海市银城路167号</w:t>
      </w:r>
    </w:p>
    <w:p w14:paraId="4842EAAF">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邮政编码：200120</w:t>
      </w:r>
    </w:p>
    <w:p w14:paraId="65E29C0D">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法定代表人：吕家进</w:t>
      </w:r>
    </w:p>
    <w:p w14:paraId="6E4D619D">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成立日期：1988年8月22日</w:t>
      </w:r>
    </w:p>
    <w:p w14:paraId="012A7530">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批准设立机关和批准设立文号：中国人民银行总行，银复[1988]347号</w:t>
      </w:r>
    </w:p>
    <w:p w14:paraId="536811B6">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基金托管业务批准文号：中国证监会证监基金字[2005]74号</w:t>
      </w:r>
    </w:p>
    <w:p w14:paraId="6168E299">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组织形式：股份有限公司</w:t>
      </w:r>
    </w:p>
    <w:p w14:paraId="0EF6A989">
      <w:pPr>
        <w:pStyle w:val="12"/>
        <w:widowControl/>
        <w:shd w:val="clear" w:color="auto" w:fill="FFFFFF"/>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注册资本：207.74亿元人民币</w:t>
      </w:r>
    </w:p>
    <w:p w14:paraId="1A8C9714">
      <w:pPr>
        <w:pStyle w:val="12"/>
        <w:widowControl/>
        <w:shd w:val="clear" w:color="auto" w:fill="FFFFFF"/>
        <w:autoSpaceDE w:val="0"/>
        <w:autoSpaceDN w:val="0"/>
        <w:adjustRightInd w:val="0"/>
        <w:spacing w:beforeAutospacing="0" w:afterAutospacing="0" w:line="360" w:lineRule="auto"/>
        <w:ind w:firstLine="480" w:firstLineChars="200"/>
        <w:rPr>
          <w:rFonts w:ascii="Times New Roman" w:hAnsi="Times New Roman" w:eastAsia="宋体"/>
          <w:szCs w:val="24"/>
        </w:rPr>
      </w:pPr>
      <w:r>
        <w:rPr>
          <w:rFonts w:ascii="Times New Roman" w:hAnsi="Times New Roman" w:eastAsia="宋体"/>
          <w:szCs w:val="24"/>
        </w:rPr>
        <w:t>存续期间：持续经营</w:t>
      </w:r>
    </w:p>
    <w:p w14:paraId="74E85F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基金托管人的权利与义务</w:t>
      </w:r>
    </w:p>
    <w:p w14:paraId="04A89BB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1、根据《基金法》、《运作办法》及其他有关规定，基金托管人的权利包括但不限于：</w:t>
      </w:r>
    </w:p>
    <w:p w14:paraId="200B08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（1）自《基金合同》生效之日起，依法律法规和《基金合同》的规定安全保管基金财产；</w:t>
      </w:r>
    </w:p>
    <w:p w14:paraId="62A4155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（2）依《基金合同》约定获得基金托管费以及法律法规规定或监管部门批准的其他费用；</w:t>
      </w:r>
    </w:p>
    <w:p w14:paraId="5208A0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235118D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（4）根据相关市场规则，为基金开设托管账户、证券账户等投资所需账户，为基金办理证券、期货交易资金清算；</w:t>
      </w:r>
    </w:p>
    <w:p w14:paraId="70AAD55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（5）提议召开或召集基金份额持有人大会；</w:t>
      </w:r>
    </w:p>
    <w:p w14:paraId="3A7A2A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（6）在基金管理人更换时，提名新的基金管理人；</w:t>
      </w:r>
    </w:p>
    <w:p w14:paraId="2874FB3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（7）法律法规及中国证监会规定的和《基金合同》约定的其他权利。</w:t>
      </w:r>
    </w:p>
    <w:p w14:paraId="3431680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2、根据《基金法》、《运作办法》及其他有关规定，基金托管人的义务包括但不限于：</w:t>
      </w:r>
    </w:p>
    <w:p w14:paraId="66650C0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（1）以诚实信用、勤勉尽责的原则持有并安全保管基金财产；</w:t>
      </w:r>
    </w:p>
    <w:p w14:paraId="03A4F8C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（2）设立专门的基金托管部门，具有符合要求的营业场所，配备足够的、合格的熟悉基金托管业务的专职人员，负责基金财产托管事宜；</w:t>
      </w:r>
    </w:p>
    <w:p w14:paraId="7C4F65C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607F647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（4）除依据《基金法》、《基金合同》及其他有关规定外，不得利用基金财产为自己及任何第三人谋取利益，不得委托第三人托管基金财产；</w:t>
      </w:r>
    </w:p>
    <w:p w14:paraId="1F9B4EF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（5）保管由基金管理人代表基金签订的与基金有关的重大合同及有关凭证；</w:t>
      </w:r>
    </w:p>
    <w:p w14:paraId="1C6CCAD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（6）按规定开设基金财产的托管账户和证券账户等投资所需账户，按照《基金合同》的约定，根据基金管理人的投资指令，及时办理清算、交割事宜；</w:t>
      </w:r>
    </w:p>
    <w:p w14:paraId="7AAB02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72D119A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（8）复核、审查基金管理人计算的基金资产净值、各类基金份额净值、基金份额申购、赎回价格；</w:t>
      </w:r>
    </w:p>
    <w:p w14:paraId="7CDAD8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（9）办理与基金托管业务活动有关的信息披露事项；</w:t>
      </w:r>
    </w:p>
    <w:p w14:paraId="4EA6EF6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758D4F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（11）保存基金托管业务活动的记录、账册、报表和其他相关资料不低于法律法规规定的最低期限；</w:t>
      </w:r>
    </w:p>
    <w:p w14:paraId="21174AB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（12）保存基金份额持有人名册；</w:t>
      </w:r>
    </w:p>
    <w:p w14:paraId="07442A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（13）按规定制作相关账册并与基金管理人核对；</w:t>
      </w:r>
    </w:p>
    <w:p w14:paraId="4A7224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（14）依据基金管理人的指令或有关规定向基金份额持有人支付基金收益和赎回款项；</w:t>
      </w:r>
    </w:p>
    <w:p w14:paraId="0DC5F06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（15）依据《基金法》、《基金合同》及其他有关规定，召集基金份额持有人大会或配合基金管理人、基金份额持有人依法召集基金份额持有人大会；</w:t>
      </w:r>
    </w:p>
    <w:p w14:paraId="76CDAD3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（16）按照法律法规和《基金合同》的规定监督基金管理人的投资运作；</w:t>
      </w:r>
    </w:p>
    <w:p w14:paraId="3213ADA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（17）参加基金财产清算小组，参与基金财产的保管、清理、估价、变现和分配；</w:t>
      </w:r>
    </w:p>
    <w:p w14:paraId="284D635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（18）面临解散、依法被撤销或者被依法宣告破产时，及时报告中国证监会和银行业监督管理机构，并通知基金管理人；</w:t>
      </w:r>
    </w:p>
    <w:p w14:paraId="37128FF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（19）因违反《基金合同》导致基金财产损失时，应承担赔偿责任，其赔偿责任不因其退任而免除；</w:t>
      </w:r>
    </w:p>
    <w:p w14:paraId="4EDB3F6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（20）按规定监督基金管理人按法律法规和《基金合同》规定履行自己的义务，基金管理人因违反《基金合同》造成基金财产损失时，应为基金份额持有人利益向基金管理人追偿；</w:t>
      </w:r>
    </w:p>
    <w:p w14:paraId="623C7A3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（21）执行生效的基金份额持有人大会的决议；</w:t>
      </w:r>
    </w:p>
    <w:p w14:paraId="6A76E7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（22）法律法规及中国证监会规定的和《基金合同》约定的其他义务。</w:t>
      </w:r>
    </w:p>
    <w:p w14:paraId="6B5EB1A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三、基金份额持有人</w:t>
      </w:r>
    </w:p>
    <w:p w14:paraId="4A61FF0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7CBA96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除法律法规另有规定或本基金合同另有约定外，同一类别每份基金份额具有同等的合法权益。</w:t>
      </w:r>
    </w:p>
    <w:p w14:paraId="44291A5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1、根据《基金法》、《运作办法》及其他有关规定，基金份额持有人的权利包括但不限于：</w:t>
      </w:r>
    </w:p>
    <w:p w14:paraId="1D100CD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（1）分享基金财产收益；</w:t>
      </w:r>
    </w:p>
    <w:p w14:paraId="170029C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（2）参与分配清算后的剩余基金财产；</w:t>
      </w:r>
    </w:p>
    <w:p w14:paraId="565D97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（3）依法转让或者申请赎回其持有的基金份额；</w:t>
      </w:r>
    </w:p>
    <w:p w14:paraId="749E56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（4）按照规定要求召开基金份额持有人大会或者召集基金份额持有人大会；</w:t>
      </w:r>
    </w:p>
    <w:p w14:paraId="422CE9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（5）出席或者委派代表出席</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ascii="Times New Roman" w:hAnsi="Times New Roman" w:eastAsia="宋体" w:cs="Times New Roman"/>
          <w:kern w:val="0"/>
          <w:sz w:val="24"/>
          <w:szCs w:val="24"/>
        </w:rPr>
        <w:t>基金份额持有人大会，对</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ascii="Times New Roman" w:hAnsi="Times New Roman" w:eastAsia="宋体" w:cs="Times New Roman"/>
          <w:kern w:val="0"/>
          <w:sz w:val="24"/>
          <w:szCs w:val="24"/>
        </w:rPr>
        <w:t>基金份额持有人大会审议事项行使表决权；</w:t>
      </w:r>
    </w:p>
    <w:p w14:paraId="5114CA3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（6）查阅或者复制公开披露的基金信息资料；</w:t>
      </w:r>
    </w:p>
    <w:p w14:paraId="48083BF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（7）监督基金管理人的投资运作；</w:t>
      </w:r>
    </w:p>
    <w:p w14:paraId="496A6F1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（8）对基金管理人、基金托管人、基金服务机构损害其合法权益的行为依法提起诉讼或仲裁；</w:t>
      </w:r>
    </w:p>
    <w:p w14:paraId="2E9843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（9）法律法规及中国证监会规定的和《基金合同》约定的其他权利。</w:t>
      </w:r>
    </w:p>
    <w:p w14:paraId="0A0F83E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2、根据《基金法》、《运作办法》及其他有关规定，基金份额持有人的义务包括但不限于：</w:t>
      </w:r>
    </w:p>
    <w:p w14:paraId="5D5F1AD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（1）认真阅读并遵守《基金合同》、招募说明书等信息披露文件；</w:t>
      </w:r>
    </w:p>
    <w:p w14:paraId="179384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（2）了解所投资基金产品，了解自身风险承受能力，自主判断基金的投资价值，自主做出投资决策，自行承担投资风险；</w:t>
      </w:r>
    </w:p>
    <w:p w14:paraId="0E0AC40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（3）关注基金信息披露，及时行使权利和履行义务；</w:t>
      </w:r>
    </w:p>
    <w:p w14:paraId="7B76BB4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（4）交纳基金申购款项及法律法规和《基金合同》所规定的费用；</w:t>
      </w:r>
    </w:p>
    <w:p w14:paraId="434D9D6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（5）在其持有的基金份额范围内，承担基金亏损或者《基金合同》终止的有限责任；</w:t>
      </w:r>
    </w:p>
    <w:p w14:paraId="0BB917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（6）不从事任何有损基金及其他《基金合同》当事人合法权益的活动；</w:t>
      </w:r>
    </w:p>
    <w:p w14:paraId="2403928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（7）执行生效的基金份额持有人大会的决议；</w:t>
      </w:r>
    </w:p>
    <w:p w14:paraId="701FAD5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（8）返还在基金交易过程中因任何原因获得的不当得利；</w:t>
      </w:r>
    </w:p>
    <w:p w14:paraId="33A91F4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（9）发起资金提供方持有认购的基金份额不少于3年，法律法规或监管机构另有规定的除外；</w:t>
      </w:r>
    </w:p>
    <w:p w14:paraId="09048AB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（10）法律法规及中国证监会规定的和《基金合同》约定的其他义务。</w:t>
      </w:r>
    </w:p>
    <w:p w14:paraId="454BD55E">
      <w:pPr>
        <w:widowControl/>
        <w:ind w:firstLine="200"/>
        <w:rPr>
          <w:rFonts w:ascii="Times New Roman" w:hAnsi="Times New Roman" w:eastAsia="宋体" w:cs="Times New Roman"/>
          <w:kern w:val="0"/>
          <w:sz w:val="24"/>
          <w:szCs w:val="24"/>
        </w:rPr>
        <w:sectPr>
          <w:footerReference r:id="rId10" w:type="default"/>
          <w:pgSz w:w="11906" w:h="16838"/>
          <w:pgMar w:top="1440" w:right="1800" w:bottom="1440" w:left="1800" w:header="851" w:footer="992" w:gutter="0"/>
          <w:pgNumType w:start="1"/>
          <w:cols w:space="425" w:num="1"/>
          <w:docGrid w:type="lines" w:linePitch="312" w:charSpace="0"/>
        </w:sectPr>
      </w:pPr>
    </w:p>
    <w:p w14:paraId="534F8DAA">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0" w:name="_Toc471235845"/>
      <w:r>
        <w:rPr>
          <w:rFonts w:ascii="Times New Roman" w:hAnsi="Times New Roman" w:eastAsia="宋体" w:cs="Times New Roman"/>
          <w:kern w:val="0"/>
          <w:sz w:val="30"/>
          <w:lang w:val="zh-CN"/>
        </w:rPr>
        <w:t>第八部分 基金份额持有人大会</w:t>
      </w:r>
      <w:bookmarkEnd w:id="10"/>
    </w:p>
    <w:p w14:paraId="78E4310E">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C052C0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7F3B03F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本基金份额持有人大会不设日常机构。</w:t>
      </w:r>
    </w:p>
    <w:p w14:paraId="1F5587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一、召开事由</w:t>
      </w:r>
    </w:p>
    <w:p w14:paraId="3DEF4CA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1、除法律法规和中国证监会另有规定或《基金合同》另有约定外，当出现或需要决定下列事由之一的，应当召开基金份额持有人大会：</w:t>
      </w:r>
    </w:p>
    <w:p w14:paraId="0BB3824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（1）终止《基金合同》；</w:t>
      </w:r>
    </w:p>
    <w:p w14:paraId="4C50E0E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（2）更换基金管理人；</w:t>
      </w:r>
    </w:p>
    <w:p w14:paraId="6A468FE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（3）更换基金托管人；</w:t>
      </w:r>
    </w:p>
    <w:p w14:paraId="1990E0C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（4）转换基金运作方式；</w:t>
      </w:r>
    </w:p>
    <w:p w14:paraId="31A341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（5）调整基金管理人、基金托管人的报酬标准或提高销售服务费率；</w:t>
      </w:r>
    </w:p>
    <w:p w14:paraId="0C2162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（6）变更基金类别；</w:t>
      </w:r>
    </w:p>
    <w:p w14:paraId="281E58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（7）本基金与其他基金的合并；</w:t>
      </w:r>
    </w:p>
    <w:p w14:paraId="61071A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（8）变更基金投资目标、范围或策略；</w:t>
      </w:r>
    </w:p>
    <w:p w14:paraId="0892FCB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（9）变更基金份额持有人大会程序；</w:t>
      </w:r>
    </w:p>
    <w:p w14:paraId="18E7082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（10）基金管理人或基金托管人要求召开基金份额持有人大会；</w:t>
      </w:r>
    </w:p>
    <w:p w14:paraId="4C8DADF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（11）单独或合计持有本基金总份额10%以上（含10%）基金份额的基金份额持有人（以基金管理人收到提议当日的基金份额计算，下同）就同一事项书面要求召开基金份额持有人大会；</w:t>
      </w:r>
    </w:p>
    <w:p w14:paraId="576E9D8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（12）对基金合同当事人权利和义务产生重大影响的其他事项；</w:t>
      </w:r>
    </w:p>
    <w:p w14:paraId="7393B162">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（13）</w:t>
      </w:r>
      <w:r>
        <w:rPr>
          <w:rFonts w:hint="eastAsia" w:cs="宋体" w:asciiTheme="minorEastAsia" w:hAnsiTheme="minorEastAsia"/>
          <w:kern w:val="0"/>
          <w:sz w:val="24"/>
          <w:szCs w:val="24"/>
        </w:rPr>
        <w:t>基金管理人代表本基金的基金份额持有人提议召开或召集目标ETF基金份额持有人大会；</w:t>
      </w:r>
    </w:p>
    <w:p w14:paraId="514028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（14）</w:t>
      </w:r>
      <w:r>
        <w:rPr>
          <w:rFonts w:ascii="Times New Roman" w:hAnsi="Times New Roman" w:eastAsia="宋体" w:cs="Times New Roman"/>
          <w:kern w:val="0"/>
          <w:sz w:val="24"/>
          <w:szCs w:val="24"/>
        </w:rPr>
        <w:t>法律法规、《基金合同》或中国证监会规定的其他应当召开基金份额持有人大会的事项。</w:t>
      </w:r>
    </w:p>
    <w:p w14:paraId="5D04ED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2、在法律法规规定和《基金合同》约定的范围内且对基金份额持有人利益无实质性不利影响的前提下，以下情况可由基金管理人和基金托管人协商后修改，不需召开基金份额持有人大会：</w:t>
      </w:r>
    </w:p>
    <w:p w14:paraId="28BE00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（1）法律法规要求增加的基金费用的收取；</w:t>
      </w:r>
    </w:p>
    <w:p w14:paraId="481DF19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（2）调整本基金的申购费率、调低赎回费率、调低销售服务费率或变更收费方式，调整基金份额类别设置、对基金份额分类办法及规则进行调整；</w:t>
      </w:r>
    </w:p>
    <w:p w14:paraId="389F9A6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（3）因相应的法律法规发生变动而应当对《基金合同》进行修改；</w:t>
      </w:r>
    </w:p>
    <w:p w14:paraId="4FEF33B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（4）对《基金合同》的修改对基金份额持有人利益无实质性不利影响或修改不涉及《基金合同》当事人权利义务关系发生重大变化；</w:t>
      </w:r>
    </w:p>
    <w:p w14:paraId="44CD49A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（5）基金管理人、登记机构、基金销售机构调整有关申购、赎回、转换、基金交易、非交易过户、转托管等业务规则；</w:t>
      </w:r>
    </w:p>
    <w:p w14:paraId="161814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（6）履行相关程序后，基金推出新业务或服务；</w:t>
      </w:r>
    </w:p>
    <w:p w14:paraId="7266F035">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（7）</w:t>
      </w:r>
      <w:r>
        <w:rPr>
          <w:rFonts w:hint="eastAsia" w:cs="宋体" w:asciiTheme="minorEastAsia" w:hAnsiTheme="minorEastAsia"/>
          <w:kern w:val="0"/>
          <w:sz w:val="24"/>
          <w:szCs w:val="24"/>
        </w:rPr>
        <w:t>由于目标ETF交易方式发生重大变更致使本基金的投资策略难以实现、目标ETF终止上市或目标ETF基金合同终止等情形时本基金变更为直接投资该标的指数的指数基金；</w:t>
      </w:r>
    </w:p>
    <w:p w14:paraId="2B61082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（8）</w:t>
      </w:r>
      <w:r>
        <w:rPr>
          <w:rFonts w:ascii="Times New Roman" w:hAnsi="Times New Roman" w:eastAsia="宋体" w:cs="Times New Roman"/>
          <w:kern w:val="0"/>
          <w:sz w:val="24"/>
          <w:szCs w:val="24"/>
        </w:rPr>
        <w:t>按照法律法规和《基金合同》规定不需召开基金份额持有人大会的其他情形。</w:t>
      </w:r>
    </w:p>
    <w:p w14:paraId="2B3D24A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二、会议召集人及召集方式</w:t>
      </w:r>
    </w:p>
    <w:p w14:paraId="388027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1、除法律法规规定或《基金合同》另有约定外，基金份额持有人大会由基金管理人召集。</w:t>
      </w:r>
    </w:p>
    <w:p w14:paraId="5F755EE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2、基金管理人未按规定召集或不能召集时，由基金托管人召集。</w:t>
      </w:r>
    </w:p>
    <w:p w14:paraId="6040A3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0439796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680EC6D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3E16CCC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6、基金份额持有人会议的召集人负责选择确定开会时间、地点、方式和权益登记日。</w:t>
      </w:r>
    </w:p>
    <w:p w14:paraId="028670F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三、召开基金份额持有人大会的通知时间、通知内容、通知方式</w:t>
      </w:r>
    </w:p>
    <w:p w14:paraId="2EEFEC0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1、召开基金份额持有人大会，召集人应于会议召开前30日，在规定媒介公告。基金份额持有人大会通知应至少载明以下内容：</w:t>
      </w:r>
    </w:p>
    <w:p w14:paraId="4526504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（1）会议召开的时间、地点和会议形式；</w:t>
      </w:r>
    </w:p>
    <w:p w14:paraId="6F6AFAF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（2）会议拟审议的事项、议事程序和表决方式；</w:t>
      </w:r>
    </w:p>
    <w:p w14:paraId="7EC5B1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（3）有权出席基金份额持有人大会的基金份额持有人的权益登记日；</w:t>
      </w:r>
    </w:p>
    <w:p w14:paraId="2105B65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（4）授权委托证明的内容要求（包括但不限于代理人身份，代理权限和代理有效期限等）、送达时间和地点；</w:t>
      </w:r>
    </w:p>
    <w:p w14:paraId="4C0ADF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（5）会务常设联系人姓名及联系电话；</w:t>
      </w:r>
    </w:p>
    <w:p w14:paraId="0960D0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（6）出席会议者必须准备的文件和必须履行的手续；</w:t>
      </w:r>
    </w:p>
    <w:p w14:paraId="247BCC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（7）召集人需要通知的其他事项。</w:t>
      </w:r>
    </w:p>
    <w:p w14:paraId="3E0AD1F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38195C0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123ABE1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四、基金份额持有人出席会议的方式</w:t>
      </w:r>
    </w:p>
    <w:p w14:paraId="066B86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基金份额持有人大会可通过现场开会方式、通讯开会方式或法律法规、监管机构允许的其他方式召开，会议的召开方式由会议召集人确定。</w:t>
      </w:r>
    </w:p>
    <w:p w14:paraId="296704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4EBCCE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90A8A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44435D3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531A1FA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在同时符合以下条件时，通讯开会的方式视为有效：</w:t>
      </w:r>
    </w:p>
    <w:p w14:paraId="05CF788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（1）会议召集人按《基金合同》约定公布会议通知后，在2个工作日内连续公布相关提示性公告；</w:t>
      </w:r>
    </w:p>
    <w:p w14:paraId="01F0526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B63975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0A92D48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3D8C4F5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7630C7B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0E1C0EB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五、议事内容与程序</w:t>
      </w:r>
    </w:p>
    <w:p w14:paraId="4B84E23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1、议事内容及提案权</w:t>
      </w:r>
    </w:p>
    <w:p w14:paraId="4094D3A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5748849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基金份额持有人大会的召集人发出召集会议的通知后，对原有提案的修改应当在基金份额持有人大会召开前及时公告。</w:t>
      </w:r>
    </w:p>
    <w:p w14:paraId="79B6BFF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基金份额持有人大会不得对未事先公告的议事内容进行表决。</w:t>
      </w:r>
    </w:p>
    <w:p w14:paraId="7F54243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2、议事程序</w:t>
      </w:r>
    </w:p>
    <w:p w14:paraId="70CB024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w:t>
      </w:r>
    </w:p>
    <w:p w14:paraId="22DBBFB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现场开会的方式下，首先由大会主持人按照下列第七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0441C0D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会议召集人应当制作出席会议人员的签名册。签名册载明参加会议人员姓名（或单位名称）、身份证明文件号码、持有或代表有表决权的基金份额、委托人姓名（或单位名称）和联系方式等事项。</w:t>
      </w:r>
    </w:p>
    <w:p w14:paraId="26F8E01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w:t>
      </w:r>
    </w:p>
    <w:p w14:paraId="4D639B6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在通讯开会的情况下，首先由召集人提前30日公布提案，在所通知的表决截止日期后2个工作日内在公证机关监督下由召集人统计全部有效表决，在公证机关监督下形成决议。</w:t>
      </w:r>
    </w:p>
    <w:p w14:paraId="11E7B6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六、表决</w:t>
      </w:r>
    </w:p>
    <w:p w14:paraId="5BDD4A8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基金份额持有人所持每份基金份额有一票表决权。</w:t>
      </w:r>
    </w:p>
    <w:p w14:paraId="1572D55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基金份额持有人大会决议分为一般决议和特别决议：</w:t>
      </w:r>
    </w:p>
    <w:p w14:paraId="257DFF9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5107719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79ED79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基金份额持有人大会采取记名方式进行投票表决。</w:t>
      </w:r>
    </w:p>
    <w:p w14:paraId="4FFC9B8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475D54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基金份额持有人大会的各项提案或同一项提案内并列的各项议题应当分开审议、逐项表决。</w:t>
      </w:r>
    </w:p>
    <w:p w14:paraId="7D4E19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七、计票</w:t>
      </w:r>
    </w:p>
    <w:p w14:paraId="16ACF1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1、现场开会</w:t>
      </w:r>
    </w:p>
    <w:p w14:paraId="0A21AA3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1C7766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（2）监票人应当在基金份额持有人表决后立即进行清点并由大会主持人当场公布计票结果。</w:t>
      </w:r>
    </w:p>
    <w:p w14:paraId="1ABA5D0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0FF1654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（4）计票过程应由公证机关予以公证，基金管理人或基金托管人拒不出席大会的，不影响计票的效力。</w:t>
      </w:r>
    </w:p>
    <w:p w14:paraId="5112736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2、通讯开会</w:t>
      </w:r>
    </w:p>
    <w:p w14:paraId="7AD3D31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45C568D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八、生效与公告</w:t>
      </w:r>
    </w:p>
    <w:p w14:paraId="70CA644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基金份额持有人大会的决议，召集人应当自通过之日起5日内报中国证监会备案。</w:t>
      </w:r>
    </w:p>
    <w:p w14:paraId="0B5B664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基金份额持有人大会的决议自表决通过之日起生效。</w:t>
      </w:r>
    </w:p>
    <w:p w14:paraId="00F73A6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基金份额持有人大会决议自生效之日起按规定在规定媒介上公告。如果采用通讯方式进行表决，在公告基金份额持有人大会决议时，必须将公证书全文、公证机构、公证员姓名等一同公告。</w:t>
      </w:r>
    </w:p>
    <w:p w14:paraId="431B539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基金管理人、基金托管人和基金份额持有人应当执行生效的基金份额持有人大会的决议。生效的基金份额持有人大会决议对全体基金份额持有人、基金管理人、基金托管人均有约束力。</w:t>
      </w:r>
    </w:p>
    <w:p w14:paraId="54FE3F3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九、实施侧袋机制期间基金份额持有人大会的特殊约定</w:t>
      </w:r>
    </w:p>
    <w:p w14:paraId="23BB794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62D00B7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1、基金份额持有人行使提议权、召集权、提名权所需单独或合计代表相关基金份额10%以上（含10%）；</w:t>
      </w:r>
    </w:p>
    <w:p w14:paraId="0960552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2、现场开会的到会者在权益登记日代表的基金份额不少于本基金在权益登记日相关基金份额的二分之一（含二分之一）；</w:t>
      </w:r>
    </w:p>
    <w:p w14:paraId="006907E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3、通讯开会的直接出具表决意见或授权他人代表出具表决意见的基金份额持有人所持有的基金份额不小于在权益登记日相关基金份额的二分之一（含二分之一）；</w:t>
      </w:r>
    </w:p>
    <w:p w14:paraId="4F2AAF5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7FBC8B9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5、现场开会由出席大会的基金份额持有人和代理人所持表决权的50%以上（含50%）选举产生一名基金份额持有人作为该次基金份额持有人大会的主持人；</w:t>
      </w:r>
    </w:p>
    <w:p w14:paraId="6EB4406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6、一般决议须经参加大会的基金份额持有人或其代理人所持表决权的二分之一以上（含二分之一）通过；</w:t>
      </w:r>
    </w:p>
    <w:p w14:paraId="622826D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7、特别决议应当经参加大会的基金份额持有人或其代理人所持表决权的三分之二以上（含三分之二）通过。</w:t>
      </w:r>
    </w:p>
    <w:p w14:paraId="3DE9D3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7E43CB2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侧袋机制实施期间，关于基金份额持有人大会的相关规定以本节特殊约定内容为准，本节没有规定的适用上文相关约定。</w:t>
      </w:r>
    </w:p>
    <w:p w14:paraId="229B439B">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十、</w:t>
      </w:r>
      <w:r>
        <w:rPr>
          <w:rFonts w:hint="eastAsia" w:cs="宋体" w:asciiTheme="minorEastAsia" w:hAnsiTheme="minorEastAsia"/>
          <w:kern w:val="0"/>
          <w:sz w:val="24"/>
          <w:szCs w:val="24"/>
        </w:rPr>
        <w:t>鉴于本基金是目标</w:t>
      </w:r>
      <w:r>
        <w:rPr>
          <w:rFonts w:cs="宋体" w:asciiTheme="minorEastAsia" w:hAnsiTheme="minorEastAsia"/>
          <w:kern w:val="0"/>
          <w:sz w:val="24"/>
          <w:szCs w:val="24"/>
        </w:rPr>
        <w:t>ETF</w:t>
      </w:r>
      <w:r>
        <w:rPr>
          <w:rFonts w:hint="eastAsia" w:cs="宋体" w:asciiTheme="minorEastAsia" w:hAnsiTheme="minorEastAsia"/>
          <w:kern w:val="0"/>
          <w:sz w:val="24"/>
          <w:szCs w:val="24"/>
        </w:rPr>
        <w:t>的联接基金，本基金的基金份额持有人可以凭所持有的本基金份额出席或者委派代表出席目标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的基金份额持有人大会并参与表决，其持有的享有表决权的基金份额数和表决票数为：在目标</w:t>
      </w:r>
      <w:r>
        <w:rPr>
          <w:rFonts w:cs="宋体" w:asciiTheme="minorEastAsia" w:hAnsiTheme="minorEastAsia"/>
          <w:kern w:val="0"/>
          <w:sz w:val="24"/>
          <w:szCs w:val="24"/>
        </w:rPr>
        <w:t>ETF</w:t>
      </w:r>
      <w:r>
        <w:rPr>
          <w:rFonts w:hint="eastAsia" w:cs="宋体" w:asciiTheme="minorEastAsia" w:hAnsiTheme="minorEastAsia"/>
          <w:kern w:val="0"/>
          <w:sz w:val="24"/>
          <w:szCs w:val="24"/>
        </w:rPr>
        <w:t>基金份额持有人大会的权益登记日，本基金持有目标</w:t>
      </w:r>
      <w:r>
        <w:rPr>
          <w:rFonts w:cs="宋体" w:asciiTheme="minorEastAsia" w:hAnsiTheme="minorEastAsia"/>
          <w:kern w:val="0"/>
          <w:sz w:val="24"/>
          <w:szCs w:val="24"/>
        </w:rPr>
        <w:t>ETF</w:t>
      </w:r>
      <w:r>
        <w:rPr>
          <w:rFonts w:hint="eastAsia" w:cs="宋体" w:asciiTheme="minorEastAsia" w:hAnsiTheme="minorEastAsia"/>
          <w:kern w:val="0"/>
          <w:sz w:val="24"/>
          <w:szCs w:val="24"/>
        </w:rPr>
        <w:t>份额的总数乘以该持有人所持有的本基金份额占本基金总份额的比例，计算结果按照四舍五入的方法，保留到整数位。</w:t>
      </w:r>
    </w:p>
    <w:p w14:paraId="397D636F">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本基金的基金管理人不应以本基金的名义代表本基金的全体基金份额持有人以目标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的基金份额持有人的身份行使表决权，但可接受本基金的特定基金份额持有人的委托以本基金的基金份额持有人代理人的身份出席目标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的基金份额持有人大会并参与表决。</w:t>
      </w:r>
    </w:p>
    <w:p w14:paraId="1A5C5B4D">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本基金的基金管理人代表本基金的基金份额持有人提议召开或召集目标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的基金份额持有人大会的，须先遵照本基金基金合同的约定召开本基金的基金份额持有人大会，本基金的基金份额持有人大会决定提议召开或召集目标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的基金份额持有人大会的，由本基金基金管理人代表本基金的基金份额持有人提议召开或召集目标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的基金份额持有人大会。</w:t>
      </w:r>
    </w:p>
    <w:p w14:paraId="6DC4391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十一、</w:t>
      </w:r>
      <w:r>
        <w:rPr>
          <w:rFonts w:ascii="Times New Roman" w:hAnsi="Times New Roman" w:eastAsia="宋体" w:cs="Times New Roman"/>
          <w:kern w:val="0"/>
          <w:sz w:val="24"/>
          <w:szCs w:val="24"/>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2F68BF16">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1" w:type="default"/>
          <w:pgSz w:w="11906" w:h="16838"/>
          <w:pgMar w:top="1440" w:right="1800" w:bottom="1440" w:left="1800" w:header="851" w:footer="992" w:gutter="0"/>
          <w:pgNumType w:start="1"/>
          <w:cols w:space="425" w:num="1"/>
          <w:docGrid w:type="lines" w:linePitch="312" w:charSpace="0"/>
        </w:sectPr>
      </w:pPr>
    </w:p>
    <w:p w14:paraId="552353A3">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1" w:name="_Toc471235846"/>
      <w:r>
        <w:rPr>
          <w:rFonts w:ascii="Times New Roman" w:hAnsi="Times New Roman" w:eastAsia="宋体" w:cs="Times New Roman"/>
          <w:kern w:val="0"/>
          <w:sz w:val="30"/>
          <w:lang w:val="zh-CN"/>
        </w:rPr>
        <w:t>第九部分 基金管理人、基金托管人的更换条件和程序</w:t>
      </w:r>
      <w:bookmarkEnd w:id="11"/>
    </w:p>
    <w:p w14:paraId="128DA48B">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07C3F6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一、基金管理人和基金托管人职责终止的情形</w:t>
      </w:r>
    </w:p>
    <w:p w14:paraId="1071CAE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基金管理人职责终止的情形</w:t>
      </w:r>
    </w:p>
    <w:p w14:paraId="707999E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有下列情形之一的，基金管理人职责终止：</w:t>
      </w:r>
    </w:p>
    <w:p w14:paraId="37149A8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1、被依法取消基金管理资格；</w:t>
      </w:r>
    </w:p>
    <w:p w14:paraId="187A346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2、被基金份额持有人大会解任；</w:t>
      </w:r>
    </w:p>
    <w:p w14:paraId="7368520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3、依法解散、被依法撤销或被依法宣告破产；</w:t>
      </w:r>
    </w:p>
    <w:p w14:paraId="5061098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4、法律法规及中国证监会规定的和《基金合同》约定的其他情形。</w:t>
      </w:r>
    </w:p>
    <w:p w14:paraId="481621C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基金托管人职责终止的情形</w:t>
      </w:r>
    </w:p>
    <w:p w14:paraId="28410C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有下列情形之一的，基金托管人职责终止：</w:t>
      </w:r>
    </w:p>
    <w:p w14:paraId="66DDD60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1、被依法取消基金托管资格；</w:t>
      </w:r>
    </w:p>
    <w:p w14:paraId="46718D9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2、被基金份额持有人大会解任；</w:t>
      </w:r>
    </w:p>
    <w:p w14:paraId="06DA71E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3、依法解散、被依法撤销或被依法宣告破产；</w:t>
      </w:r>
    </w:p>
    <w:p w14:paraId="350DBD2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4、法律法规及中国证监会规定的和《基金合同》约定的其他情形。</w:t>
      </w:r>
    </w:p>
    <w:p w14:paraId="2679027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二、基金管理人和基金托管人的更换程序</w:t>
      </w:r>
    </w:p>
    <w:p w14:paraId="23640A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基金管理人的更换程序</w:t>
      </w:r>
    </w:p>
    <w:p w14:paraId="39E78C4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1、提名：新任基金管理人由基金托管人或由单独或合计持有10%以上（含10%）基金份额的基金份额持有人提名；</w:t>
      </w:r>
    </w:p>
    <w:p w14:paraId="71A6EC3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决议：基金份额持有人大会在基金管理人职责终止后6个月内对被提名的基金管理人形成决议，该决议需经参加大会的基金份额持有人所持表决权的三分之二以上（含三分之二）表决通过，决议自表决通过之日起生效；</w:t>
      </w:r>
    </w:p>
    <w:p w14:paraId="31D9022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3、临时基金管理人：新任基金管理人产生之前，由中国证监会指定临时基金管理人；</w:t>
      </w:r>
    </w:p>
    <w:p w14:paraId="11EC023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4、备案：基金份额持有人大会更换基金管理人的决议须报中国证监会备案；</w:t>
      </w:r>
    </w:p>
    <w:p w14:paraId="17E88A1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5、公告：基金管理人更换后，由基金托管人在更换基金管理人的基金份额持有人大会决议生效后按规定在规定媒介公告；</w:t>
      </w:r>
    </w:p>
    <w:p w14:paraId="0F1DE24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交接：基金管理人职责终止的，基金管理人应妥善保管基金管理业务资料，及时向临时基金管理人或新任基金管理人办理基金管理业务的移交手续，临时基金管理人或新任基金管理人应及时接收。新任基金管理人或临时基金管理人应与基金托管人核对基金资产总值和净值；</w:t>
      </w:r>
    </w:p>
    <w:p w14:paraId="6FA7C7F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7、审计：基金管理人职责终止的，应当按照法律法规规定聘请会计师事务所对基金财产进行审计，并将审计结果予以公告，同时报中国证监会备案，审计费用在基金财产中列支；</w:t>
      </w:r>
    </w:p>
    <w:p w14:paraId="5D76697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8、基金名称变更：基金管理人更换后，如果原任或新任基金管理人要求，应按其要求替换或删除基金名称中与原基金管理人有关的名称字样。</w:t>
      </w:r>
    </w:p>
    <w:p w14:paraId="443488E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w:t>
      </w:r>
      <w:r>
        <w:rPr>
          <w:rFonts w:ascii="Times New Roman" w:hAnsi="Times New Roman" w:eastAsia="宋体" w:cs="Times New Roman"/>
          <w:kern w:val="0"/>
          <w:sz w:val="24"/>
          <w:szCs w:val="24"/>
        </w:rPr>
        <w:tab/>
      </w:r>
      <w:r>
        <w:rPr>
          <w:rFonts w:ascii="Times New Roman" w:hAnsi="Times New Roman" w:eastAsia="宋体" w:cs="Times New Roman"/>
          <w:kern w:val="0"/>
          <w:sz w:val="24"/>
          <w:szCs w:val="24"/>
        </w:rPr>
        <w:t>基金托管人的更换程序</w:t>
      </w:r>
    </w:p>
    <w:p w14:paraId="5C5D330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1、提名：新任基金托管人由基金管理人或由单独或合计持有10%以上（含10%）基金份额的基金份额持有人提名；</w:t>
      </w:r>
    </w:p>
    <w:p w14:paraId="072340C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决议：基金份额持有人大会在基金托管人职责终止后6个月内对被提名的基金托管人形成决议，该决议需经参加大会的基金份额持有人所持表决权的三分之二以上（含三分之二）表决通过，决议自表决通过之日起生效；</w:t>
      </w:r>
    </w:p>
    <w:p w14:paraId="20E8B7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3、临时基金托管人：新任基金托管人产生之前，由中国证监会指定临时基金托管人；</w:t>
      </w:r>
    </w:p>
    <w:p w14:paraId="0FE9C97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4、备案：基金份额持有人大会更换基金托管人的决议须报中国证监会备案；</w:t>
      </w:r>
    </w:p>
    <w:p w14:paraId="54E6BF1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5、公告：基金托管人更换后，由基金管理人在更换基金托管人的基金份额持有人大会决议生效后按规定在规定媒介公告；</w:t>
      </w:r>
    </w:p>
    <w:p w14:paraId="3325A46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6、交接：基金托管人职责终止的，应当妥善保管基金财产和基金托管业务资料，及时办理基金财产和基金托管业务的移交手续，新任基金托管人或者临时基金托管人应当及时接收。新任基金托管人或临时基金托管人与基金管理人核对基金资产总值和净值； </w:t>
      </w:r>
    </w:p>
    <w:p w14:paraId="77FC841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7、审计：基金托管人职责终止的，应当按照法律法规规定聘请会计师事务所对基金财产进行审计，并将审计结果予以公告，同时报中国证监会备案，审计费用在基金财产中列支。</w:t>
      </w:r>
    </w:p>
    <w:p w14:paraId="29AF90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（三）基金管理人与基金托管人同时更换的条件和程序</w:t>
      </w:r>
    </w:p>
    <w:p w14:paraId="307CEC4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1、提名：如果基金管理人和基金托管人同时更换，由单独或合计持有基金总份额10%以上（含10%）的基金份额持有人提名新的基金管理人和基金托管人；</w:t>
      </w:r>
    </w:p>
    <w:p w14:paraId="6A499DF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2、基金管理人和基金托管人的更换分别按上述程序进行；</w:t>
      </w:r>
    </w:p>
    <w:p w14:paraId="36E7A73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3、公告：新任基金管理人和新任基金托管人应在更换基金管理人和基金托管人的基金份额持有人大会决议生效后按规定在规定媒介上联合公告。</w:t>
      </w:r>
    </w:p>
    <w:p w14:paraId="0F71424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新基金管理人或临时基金管理人接收基金管理业务，或新基金托管人或临时基金托管人接收基金财产和基金托管业务前，原基金管理人或原基金托管人应继续履行相关职责，并保证不做出对基金份额持有人的利益造成损害的行为。原基金管理人或原基金托管人在继续履行相关职责期间，仍有权按照本基金合同的规定收取基金管理费或基金托管费。</w:t>
      </w:r>
    </w:p>
    <w:p w14:paraId="60DECCC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本部分关于基金管理人、基金托管人更换条件和程序的约定，凡是直接引用法律法规的部分，如将来法律法规修改导致相关内容被取消或变更的，基金管理人与基金托管人根据新颁布的法律法规协商一致并提前公告后，可直接对相应内容进行修改和调整，无需召开基金份额持有人大会审议。</w:t>
      </w:r>
    </w:p>
    <w:p w14:paraId="501A2481">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2" w:type="default"/>
          <w:pgSz w:w="11906" w:h="16838"/>
          <w:pgMar w:top="1440" w:right="1800" w:bottom="1440" w:left="1800" w:header="851" w:footer="992" w:gutter="0"/>
          <w:pgNumType w:start="1"/>
          <w:cols w:space="425" w:num="1"/>
          <w:docGrid w:type="lines" w:linePitch="312" w:charSpace="0"/>
        </w:sectPr>
      </w:pPr>
    </w:p>
    <w:p w14:paraId="6A872CC1">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2" w:name="_Toc471235847"/>
      <w:r>
        <w:rPr>
          <w:rFonts w:ascii="Times New Roman" w:hAnsi="Times New Roman" w:eastAsia="宋体" w:cs="Times New Roman"/>
          <w:kern w:val="0"/>
          <w:sz w:val="30"/>
          <w:lang w:val="zh-CN"/>
        </w:rPr>
        <w:t>第十部分 基金的托管</w:t>
      </w:r>
      <w:bookmarkEnd w:id="12"/>
    </w:p>
    <w:p w14:paraId="2A9A04D1">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70345F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基金托管人和基金管理人按照《基金法》、《基金合同》及其他有关规定订立托管协议。</w:t>
      </w:r>
    </w:p>
    <w:p w14:paraId="04A08D9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订立托管协议的目的是明确基金托管人与基金管理人之间在基金财产的保管、投资运作、净值计算、收益分配、信息披露及相互监督等相关事宜中的权利义务及职责，确保基金财产的安全，保护基金份额持有人的合法权益。</w:t>
      </w:r>
    </w:p>
    <w:p w14:paraId="54D49A2D">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3" w:type="default"/>
          <w:pgSz w:w="11906" w:h="16838"/>
          <w:pgMar w:top="1440" w:right="1800" w:bottom="1440" w:left="1800" w:header="851" w:footer="992" w:gutter="0"/>
          <w:pgNumType w:start="1"/>
          <w:cols w:space="425" w:num="1"/>
          <w:docGrid w:type="lines" w:linePitch="312" w:charSpace="0"/>
        </w:sectPr>
      </w:pPr>
    </w:p>
    <w:p w14:paraId="5BE727FD">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3" w:name="_Toc471235848"/>
      <w:r>
        <w:rPr>
          <w:rFonts w:ascii="Times New Roman" w:hAnsi="Times New Roman" w:eastAsia="宋体" w:cs="Times New Roman"/>
          <w:kern w:val="0"/>
          <w:sz w:val="30"/>
          <w:lang w:val="zh-CN"/>
        </w:rPr>
        <w:t>第十一部分 基金份额的登记</w:t>
      </w:r>
      <w:bookmarkEnd w:id="13"/>
    </w:p>
    <w:p w14:paraId="5C48EACE">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89E229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一、基金份额的登记业务</w:t>
      </w:r>
    </w:p>
    <w:p w14:paraId="3B7CBF0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登记业务指本基金登记、存管、过户、清算和结算业务，具体内容包括投资人基金账户的建立和管理、基金份额登记、基金销售业务的确认、清算和结算、代理发放红利、建立并保管基金份额持有人名册和办理非交易过户等。</w:t>
      </w:r>
    </w:p>
    <w:p w14:paraId="3B0D828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二、基金登记业务办理机构</w:t>
      </w:r>
    </w:p>
    <w:p w14:paraId="2B157DD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登记业务由基金管理人或基金管理人委托的其他符合条件的机构办理，但基金管理人依法应当承担的责任不因委托而免除。基金管理人委托其他机构办理本基金登记业务的，应与代理人签订委托代理协议，以明确基金管理人和代理机构在投资者基金账户管理、基金份额登记、清算及基金交易确认、发放红利、建立并保管基金份额持有人名册等事宜中的权利和义务，保护基金份额持有人的合法权益。</w:t>
      </w:r>
    </w:p>
    <w:p w14:paraId="4C1C25B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三、基金登记机构的权利</w:t>
      </w:r>
    </w:p>
    <w:p w14:paraId="189CF11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基金登记机构享有以下权利：</w:t>
      </w:r>
    </w:p>
    <w:p w14:paraId="56547F8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1、取得登记费；</w:t>
      </w:r>
    </w:p>
    <w:p w14:paraId="6D7E977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2、建立和管理投资者基金账户；</w:t>
      </w:r>
    </w:p>
    <w:p w14:paraId="3CFC255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3、保管基金份额持有人开户资料、交易资料、基金份额持有人名册等；</w:t>
      </w:r>
    </w:p>
    <w:p w14:paraId="016CD0A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4、在法律法规允许的范围内，对登记业务的办理时间进行调整，并依照有关规定于开始实施前在规定媒介上公告；</w:t>
      </w:r>
    </w:p>
    <w:p w14:paraId="697CE05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5、法律法规及中国证监会规定的和《基金合同》约定的其他权利。</w:t>
      </w:r>
    </w:p>
    <w:p w14:paraId="282D219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四、基金登记机构的义务</w:t>
      </w:r>
    </w:p>
    <w:p w14:paraId="7D3CE96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基金登记机构承担以下义务：</w:t>
      </w:r>
    </w:p>
    <w:p w14:paraId="7A452C8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1、配备足够的专业人员办理本基金份额的登记业务；</w:t>
      </w:r>
    </w:p>
    <w:p w14:paraId="3803C0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2、严格按照法律法规和《基金合同》规定的条件办理本基金份额的登记业务；</w:t>
      </w:r>
    </w:p>
    <w:p w14:paraId="3AF1C6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3、妥善保存登记数据，并将基金份额持有人名称、身份信息及基金份额明细等数据备份至中国证监会认定的机构，其保存期限不得少于法律法规规定的最低年限；</w:t>
      </w:r>
    </w:p>
    <w:p w14:paraId="066A3B7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对基金份额持有人的基金账户信息负有保密义务，因违反该保密义务对投资者或基金带来的损失，须承担相应的赔偿责任，但司法强制检查情形及法律法规及中国证监会规定的和《基金合同》约定的其他情形除外；</w:t>
      </w:r>
    </w:p>
    <w:p w14:paraId="4E42DBA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5、按《基金合同》及招募说明书规定为投资者办理非交易过户业务、提供其他必要的服务；</w:t>
      </w:r>
    </w:p>
    <w:p w14:paraId="5362CA3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6、接受基金管理人的监督；</w:t>
      </w:r>
    </w:p>
    <w:p w14:paraId="09ABFD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7、法律法规及中国证监会规定的和《基金合同》约定的其他义务。</w:t>
      </w:r>
    </w:p>
    <w:p w14:paraId="33BFA17C">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4" w:type="default"/>
          <w:pgSz w:w="11906" w:h="16838"/>
          <w:pgMar w:top="1440" w:right="1800" w:bottom="1440" w:left="1800" w:header="851" w:footer="992" w:gutter="0"/>
          <w:pgNumType w:start="1"/>
          <w:cols w:space="425" w:num="1"/>
          <w:docGrid w:type="lines" w:linePitch="312" w:charSpace="0"/>
        </w:sectPr>
      </w:pPr>
    </w:p>
    <w:p w14:paraId="7EBD3659">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4" w:name="_Toc471235849"/>
      <w:r>
        <w:rPr>
          <w:rFonts w:ascii="Times New Roman" w:hAnsi="Times New Roman" w:eastAsia="宋体" w:cs="Times New Roman"/>
          <w:kern w:val="0"/>
          <w:sz w:val="30"/>
          <w:lang w:val="zh-CN"/>
        </w:rPr>
        <w:t>第十二部分 基金的投资</w:t>
      </w:r>
      <w:bookmarkEnd w:id="14"/>
    </w:p>
    <w:p w14:paraId="7A03FEFC">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31D8983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一、投资目标</w:t>
      </w:r>
    </w:p>
    <w:p w14:paraId="4542FE04">
      <w:pPr>
        <w:adjustRightInd w:val="0"/>
        <w:snapToGrid w:val="0"/>
        <w:spacing w:line="360" w:lineRule="auto"/>
        <w:ind w:firstLine="422" w:firstLineChars="176"/>
        <w:rPr>
          <w:rFonts w:ascii="Times New Roman" w:hAnsi="Times New Roman" w:eastAsia="宋体" w:cs="Times New Roman"/>
          <w:sz w:val="24"/>
          <w:szCs w:val="24"/>
        </w:rPr>
      </w:pPr>
      <w:r>
        <w:rPr>
          <w:rFonts w:hint="eastAsia" w:ascii="宋体" w:hAnsi="Times New Roman" w:cs="宋体"/>
          <w:sz w:val="24"/>
          <w:szCs w:val="24"/>
        </w:rPr>
        <w:t>通过主要投资于目标ETF，</w:t>
      </w:r>
      <w:r>
        <w:rPr>
          <w:rFonts w:ascii="Times New Roman" w:hAnsi="Times New Roman" w:eastAsia="宋体" w:cs="Times New Roman"/>
          <w:kern w:val="0"/>
          <w:sz w:val="24"/>
          <w:szCs w:val="24"/>
        </w:rPr>
        <w:t>紧密跟踪标的指数</w:t>
      </w:r>
      <w:r>
        <w:rPr>
          <w:rFonts w:hint="eastAsia" w:ascii="宋体" w:hAnsi="Times New Roman" w:cs="宋体"/>
          <w:sz w:val="24"/>
          <w:szCs w:val="24"/>
        </w:rPr>
        <w:t>即国证粮食产业指数的表现</w:t>
      </w:r>
      <w:r>
        <w:rPr>
          <w:rFonts w:ascii="Times New Roman" w:hAnsi="Times New Roman" w:eastAsia="宋体" w:cs="Times New Roman"/>
          <w:kern w:val="0"/>
          <w:sz w:val="24"/>
          <w:szCs w:val="24"/>
        </w:rPr>
        <w:t>，追求跟踪偏离度和跟踪误差的最小化。</w:t>
      </w:r>
    </w:p>
    <w:p w14:paraId="4D1EF26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二、投资范围</w:t>
      </w:r>
    </w:p>
    <w:p w14:paraId="63E9EEF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本基金主要投资于</w:t>
      </w:r>
      <w:r>
        <w:rPr>
          <w:rFonts w:hint="eastAsia" w:ascii="宋体" w:hAnsi="Times New Roman" w:eastAsia="宋体" w:cs="宋体"/>
          <w:kern w:val="0"/>
          <w:sz w:val="24"/>
          <w:szCs w:val="24"/>
        </w:rPr>
        <w:t>目标ETF、</w:t>
      </w:r>
      <w:r>
        <w:rPr>
          <w:rFonts w:ascii="Times New Roman" w:hAnsi="Times New Roman" w:eastAsia="宋体" w:cs="Times New Roman"/>
          <w:sz w:val="24"/>
          <w:szCs w:val="24"/>
        </w:rPr>
        <w:t>标的指数成份股和备选成份股（含存托凭证）。</w:t>
      </w:r>
    </w:p>
    <w:p w14:paraId="481976A2">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w:t>
      </w:r>
      <w:r>
        <w:rPr>
          <w:rFonts w:hint="eastAsia" w:ascii="Times New Roman" w:hAnsi="Times New Roman" w:eastAsia="宋体" w:cs="Times New Roman"/>
          <w:sz w:val="24"/>
          <w:szCs w:val="24"/>
          <w:lang w:eastAsia="zh-Hans"/>
        </w:rPr>
        <w:t>可</w:t>
      </w:r>
      <w:r>
        <w:rPr>
          <w:rFonts w:ascii="Times New Roman" w:hAnsi="Times New Roman" w:eastAsia="宋体" w:cs="Times New Roman"/>
          <w:sz w:val="24"/>
          <w:szCs w:val="24"/>
        </w:rPr>
        <w:t>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28F160B4">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w:t>
      </w:r>
      <w:r>
        <w:rPr>
          <w:rFonts w:hint="eastAsia" w:ascii="Times New Roman" w:hAnsi="Times New Roman" w:eastAsia="宋体" w:cs="Times New Roman"/>
          <w:sz w:val="24"/>
          <w:szCs w:val="24"/>
        </w:rPr>
        <w:t>可</w:t>
      </w:r>
      <w:r>
        <w:rPr>
          <w:rFonts w:ascii="Times New Roman" w:hAnsi="Times New Roman" w:eastAsia="宋体" w:cs="Times New Roman"/>
          <w:sz w:val="24"/>
          <w:szCs w:val="24"/>
        </w:rPr>
        <w:t>根据法律法规的规定参与融资及转融通证券出借业务。未来在法律法规允许的前提下，本基金可根据相关法律法规规定参与融券业务。</w:t>
      </w:r>
    </w:p>
    <w:p w14:paraId="09A9F2E8">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本基金根据相关法律法规或中国证监会要求履行适当</w:t>
      </w:r>
      <w:r>
        <w:rPr>
          <w:rFonts w:ascii="Times New Roman" w:hAnsi="Times New Roman" w:eastAsia="宋体" w:cs="Times New Roman"/>
          <w:kern w:val="0"/>
          <w:sz w:val="24"/>
        </w:rPr>
        <w:t>程序</w:t>
      </w:r>
      <w:r>
        <w:rPr>
          <w:rFonts w:ascii="Times New Roman" w:hAnsi="Times New Roman" w:eastAsia="宋体" w:cs="Times New Roman"/>
          <w:sz w:val="24"/>
          <w:szCs w:val="24"/>
        </w:rPr>
        <w:t>后，还可以投资于法律法规或中国证监会未来允许基金投资的其他金融工具。</w:t>
      </w:r>
    </w:p>
    <w:p w14:paraId="3C61B731">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宋体" w:hAnsi="Times New Roman" w:eastAsia="宋体" w:cs="宋体"/>
          <w:kern w:val="0"/>
          <w:sz w:val="24"/>
          <w:szCs w:val="24"/>
        </w:rPr>
        <w:t>本基金投资于目标ETF的资产比例不低于基金资产净值的</w:t>
      </w:r>
      <w:r>
        <w:rPr>
          <w:rFonts w:ascii="Times New Roman" w:hAnsi="Times New Roman" w:eastAsia="宋体" w:cs="Times New Roman"/>
          <w:kern w:val="0"/>
          <w:sz w:val="24"/>
          <w:szCs w:val="24"/>
        </w:rPr>
        <w:t>90%，</w:t>
      </w:r>
      <w:r>
        <w:rPr>
          <w:rFonts w:hint="eastAsia" w:ascii="宋体" w:hAnsi="Times New Roman" w:cs="宋体"/>
          <w:sz w:val="24"/>
          <w:szCs w:val="24"/>
        </w:rPr>
        <w:t>且</w:t>
      </w:r>
      <w:r>
        <w:rPr>
          <w:rFonts w:ascii="Times New Roman" w:hAnsi="Times New Roman" w:eastAsia="宋体" w:cs="Times New Roman"/>
          <w:kern w:val="0"/>
          <w:sz w:val="24"/>
          <w:szCs w:val="24"/>
        </w:rPr>
        <w:t>不低于非现金基金资产的80%，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1CE6EA10">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若法律法规的相关规定发生变更或监管机构允许，本基金管理人在履行适当程序后，可对上述资产配置比例进行调整。</w:t>
      </w:r>
    </w:p>
    <w:p w14:paraId="7673FCE9">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三、投资策略</w:t>
      </w:r>
    </w:p>
    <w:p w14:paraId="00E927CF">
      <w:pPr>
        <w:adjustRightInd w:val="0"/>
        <w:snapToGrid w:val="0"/>
        <w:spacing w:line="360" w:lineRule="auto"/>
        <w:ind w:firstLine="480" w:firstLineChars="200"/>
        <w:rPr>
          <w:rFonts w:ascii="宋体" w:hAnsi="Times New Roman" w:eastAsia="宋体" w:cs="宋体"/>
          <w:kern w:val="0"/>
          <w:sz w:val="24"/>
          <w:szCs w:val="24"/>
        </w:rPr>
      </w:pPr>
      <w:r>
        <w:rPr>
          <w:rFonts w:hint="eastAsia" w:ascii="宋体" w:hAnsi="Times New Roman" w:eastAsia="宋体" w:cs="宋体"/>
          <w:kern w:val="0"/>
          <w:sz w:val="24"/>
          <w:szCs w:val="24"/>
        </w:rPr>
        <w:t>本基金主要通过投资于目标ETF，实现对指数的紧密跟踪。在正常情况下，本基金力争控制投资组合的净值增长率与业绩比较基准之间的预期日均跟踪偏离度的绝对值小于0.35%，预期年化跟踪误差不超过4%。如因标的指数编制规则调整等其他原因，导致基金日均跟踪偏离度和跟踪误差变大，基金管理人应采取合理措施，避免日均跟踪偏离度和跟踪误差的进一步扩大。</w:t>
      </w:r>
    </w:p>
    <w:p w14:paraId="0BA8E88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1、</w:t>
      </w:r>
      <w:r>
        <w:rPr>
          <w:rFonts w:hint="eastAsia" w:asciiTheme="minorEastAsia" w:hAnsiTheme="minorEastAsia"/>
          <w:sz w:val="24"/>
        </w:rPr>
        <w:t>资产配置策略</w:t>
      </w:r>
    </w:p>
    <w:p w14:paraId="69EE0D1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为实现投资目标，本基金将以不低于基金资产净值</w:t>
      </w:r>
      <w:r>
        <w:rPr>
          <w:rFonts w:ascii="宋体" w:hAnsi="Times New Roman" w:eastAsia="宋体" w:cs="宋体"/>
          <w:kern w:val="0"/>
          <w:sz w:val="24"/>
          <w:szCs w:val="24"/>
        </w:rPr>
        <w:t>90%的资产投资于目标ETF。其余资产可投资于标的指数成份股、备选成份股（含存托凭证）、依法发行上市的非成份股（</w:t>
      </w:r>
      <w:r>
        <w:rPr>
          <w:rFonts w:hint="eastAsia" w:ascii="宋体" w:hAnsi="Times New Roman" w:eastAsia="宋体" w:cs="宋体"/>
          <w:kern w:val="0"/>
          <w:sz w:val="24"/>
          <w:szCs w:val="24"/>
        </w:rPr>
        <w:t>包括主板、创业板及其他经中国证监会核准或注册上市的股票、存托凭证）、</w:t>
      </w:r>
      <w:r>
        <w:rPr>
          <w:rFonts w:ascii="Times New Roman" w:hAnsi="Times New Roman" w:eastAsia="宋体" w:cs="Times New Roman"/>
          <w:sz w:val="24"/>
          <w:szCs w:val="24"/>
        </w:rPr>
        <w:t>港股通标的股票、</w:t>
      </w:r>
      <w:bookmarkStart w:id="40" w:name="_GoBack"/>
      <w:bookmarkEnd w:id="40"/>
      <w:r>
        <w:rPr>
          <w:rFonts w:hint="eastAsia" w:ascii="宋体" w:hAnsi="Times New Roman" w:eastAsia="宋体" w:cs="宋体"/>
          <w:kern w:val="0"/>
          <w:sz w:val="24"/>
          <w:szCs w:val="24"/>
        </w:rPr>
        <w:t>债券、资产支持证券、衍生工具、债券回购、货币市场工具以及法律法规或中国证监会允许基金投资的其他金融工具（但须符合中国证监会相关规定），其目的是为了使本基金在保障日常申购赎回的前提下，更好地跟踪标的指数。</w:t>
      </w:r>
    </w:p>
    <w:p w14:paraId="6C79F71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ascii="宋体" w:hAnsi="Times New Roman" w:eastAsia="宋体" w:cs="宋体"/>
          <w:kern w:val="0"/>
          <w:sz w:val="24"/>
          <w:szCs w:val="24"/>
        </w:rPr>
        <w:t>2、基金投资策略</w:t>
      </w:r>
    </w:p>
    <w:p w14:paraId="1E096F4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本基金投资目标</w:t>
      </w:r>
      <w:r>
        <w:rPr>
          <w:rFonts w:ascii="宋体" w:hAnsi="Times New Roman" w:eastAsia="宋体" w:cs="宋体"/>
          <w:kern w:val="0"/>
          <w:sz w:val="24"/>
          <w:szCs w:val="24"/>
        </w:rPr>
        <w:t>ETF的</w:t>
      </w:r>
      <w:r>
        <w:rPr>
          <w:rFonts w:hint="eastAsia" w:ascii="宋体" w:hAnsi="Times New Roman" w:eastAsia="宋体" w:cs="宋体"/>
          <w:kern w:val="0"/>
          <w:sz w:val="24"/>
          <w:szCs w:val="24"/>
        </w:rPr>
        <w:t>两种方式如下：</w:t>
      </w:r>
    </w:p>
    <w:p w14:paraId="6AFE87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ascii="宋体" w:hAnsi="Times New Roman" w:eastAsia="宋体" w:cs="宋体"/>
          <w:kern w:val="0"/>
          <w:sz w:val="24"/>
          <w:szCs w:val="24"/>
        </w:rPr>
        <w:t>1）申购和赎回：目标ETF开放申购赎回后，按照目标ETF法律文件约定的方式申赎目标ETF。</w:t>
      </w:r>
    </w:p>
    <w:p w14:paraId="4195A74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ascii="宋体" w:hAnsi="Times New Roman" w:eastAsia="宋体" w:cs="宋体"/>
          <w:kern w:val="0"/>
          <w:sz w:val="24"/>
          <w:szCs w:val="24"/>
        </w:rPr>
        <w:t>2）二级市场方式：目标ETF上市交易后，在二级市场进行目标ETF份额的交易。</w:t>
      </w:r>
    </w:p>
    <w:p w14:paraId="253E995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当目标</w:t>
      </w:r>
      <w:r>
        <w:rPr>
          <w:rFonts w:ascii="宋体" w:hAnsi="Times New Roman" w:eastAsia="宋体" w:cs="宋体"/>
          <w:kern w:val="0"/>
          <w:sz w:val="24"/>
          <w:szCs w:val="24"/>
        </w:rPr>
        <w:t>ETF申购、赎回或交易模式进行了变更或调整，本基金将在履行适当程序后</w:t>
      </w:r>
      <w:r>
        <w:rPr>
          <w:rFonts w:hint="eastAsia" w:ascii="宋体" w:hAnsi="Times New Roman" w:eastAsia="宋体" w:cs="宋体"/>
          <w:kern w:val="0"/>
          <w:sz w:val="24"/>
          <w:szCs w:val="24"/>
        </w:rPr>
        <w:t>，作相应的变更或调整。</w:t>
      </w:r>
    </w:p>
    <w:p w14:paraId="6D8E97C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在投资运作过程中，本基金将在综合考虑合规、风险、效率、成本等因素的基础上，灵活选用上述方式进行目标</w:t>
      </w:r>
      <w:r>
        <w:rPr>
          <w:rFonts w:ascii="宋体" w:hAnsi="Times New Roman" w:eastAsia="宋体" w:cs="宋体"/>
          <w:kern w:val="0"/>
          <w:sz w:val="24"/>
          <w:szCs w:val="24"/>
        </w:rPr>
        <w:t>ETF的交易。</w:t>
      </w:r>
    </w:p>
    <w:p w14:paraId="12622F2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ascii="宋体" w:hAnsi="Times New Roman" w:eastAsia="宋体" w:cs="宋体"/>
          <w:kern w:val="0"/>
          <w:sz w:val="24"/>
          <w:szCs w:val="24"/>
        </w:rPr>
        <w:t xml:space="preserve">3、成份股、备选成份股投资策略 </w:t>
      </w:r>
    </w:p>
    <w:p w14:paraId="5BB6932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宋体" w:hAnsi="Times New Roman" w:eastAsia="宋体" w:cs="宋体"/>
          <w:kern w:val="0"/>
          <w:sz w:val="24"/>
          <w:szCs w:val="24"/>
        </w:rPr>
      </w:pPr>
      <w:r>
        <w:rPr>
          <w:rFonts w:hint="eastAsia" w:ascii="宋体" w:hAnsi="Times New Roman" w:eastAsia="宋体" w:cs="宋体"/>
          <w:kern w:val="0"/>
          <w:sz w:val="24"/>
          <w:szCs w:val="24"/>
        </w:rPr>
        <w:t>本基金对成份股、备选成份股的投资目的是为准备构建股票组合以申购目标</w:t>
      </w:r>
      <w:r>
        <w:rPr>
          <w:rFonts w:ascii="宋体" w:hAnsi="Times New Roman" w:eastAsia="宋体" w:cs="宋体"/>
          <w:kern w:val="0"/>
          <w:sz w:val="24"/>
          <w:szCs w:val="24"/>
        </w:rPr>
        <w:t>ETF。因此对可投资于成份股、备选成份股的资金头寸，主要采取完全复制策略，即完全按照标的指数的成份股组成及其权重构建基金股票投资组合，并根据标的指数成份股及其权重的变动而进行相应调整。但在因特殊情况（如流动性不足等）导致无法获得足够数量的股票时，基金管理人将搭配使用其他合理方法进行适当的替代。</w:t>
      </w:r>
    </w:p>
    <w:p w14:paraId="1CED843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宋体" w:cs="Times New Roman"/>
          <w:kern w:val="0"/>
          <w:sz w:val="24"/>
          <w:szCs w:val="24"/>
        </w:rPr>
      </w:pPr>
      <w:r>
        <w:rPr>
          <w:rFonts w:hint="eastAsia" w:ascii="宋体" w:hAnsi="Times New Roman" w:eastAsia="宋体" w:cs="宋体"/>
          <w:kern w:val="0"/>
          <w:sz w:val="24"/>
          <w:szCs w:val="24"/>
        </w:rPr>
        <w:t>4</w:t>
      </w:r>
      <w:r>
        <w:rPr>
          <w:rFonts w:ascii="Times New Roman" w:hAnsi="Times New Roman" w:eastAsia="宋体" w:cs="Times New Roman"/>
          <w:kern w:val="0"/>
          <w:sz w:val="24"/>
          <w:szCs w:val="24"/>
        </w:rPr>
        <w:t>、债券（除可转换债券和可交换债券）投资策略</w:t>
      </w:r>
    </w:p>
    <w:p w14:paraId="6E300B2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本基金债券投资组合将着重考虑基金的流动性管理及策略性投资的需要进行配置。债券投资的目的是保证基金资产流动性，有效利用基金资产，提高基金资产的投资收益。</w:t>
      </w:r>
    </w:p>
    <w:p w14:paraId="1459B9F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、港股通标的股票投资策略</w:t>
      </w:r>
    </w:p>
    <w:p w14:paraId="4BD12A6F">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在特殊情况下，本基金将少量投资于港股通标的股票以进行替代复制。对于同时有A股、H股的指数成份公司，如果该公司A股长期停牌，组合无法买入该股票时，可以买入该公司H股进行替代。</w:t>
      </w:r>
    </w:p>
    <w:p w14:paraId="25C0EAD3">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、资产支持证券的投资策略</w:t>
      </w:r>
    </w:p>
    <w:p w14:paraId="01A50AA1">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投资资产支持证券将综合运用战略资产配置和战术资产配置进行资产支持证券投资组合管理，并根据信用风险、利率风险和流动性风险变化积极调整投资策略，严格遵守法律法规和基金合同，在力争本金安全和基金资产流动性基础上获得长期稳定收益。</w:t>
      </w:r>
    </w:p>
    <w:p w14:paraId="1942F1E5">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、可转换债券和</w:t>
      </w:r>
      <w:r>
        <w:rPr>
          <w:rFonts w:ascii="Times New Roman" w:hAnsi="Times New Roman" w:eastAsia="宋体" w:cs="Times New Roman"/>
          <w:sz w:val="24"/>
          <w:szCs w:val="24"/>
        </w:rPr>
        <w:t>可交换债券</w:t>
      </w:r>
      <w:r>
        <w:rPr>
          <w:rFonts w:ascii="Times New Roman" w:hAnsi="Times New Roman" w:eastAsia="宋体" w:cs="Times New Roman"/>
          <w:kern w:val="0"/>
          <w:sz w:val="24"/>
          <w:szCs w:val="24"/>
        </w:rPr>
        <w:t>投资策略</w:t>
      </w:r>
    </w:p>
    <w:p w14:paraId="0A7FCC0E">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分析宏观经济运行特征并对各类市场大势做出判断的前提下，本基金着重对可转换债券所对应的基础股票进行分析和研究，从行业选择和个券选择两方面进行全方位的评估，对盈利能力或成长性较好的行业和上市公司的可转换债券进行重点关注，并结合基金管理人可转债评级系统对可转换债券投资价值进行有效的评估，选择投资价值较高的个券进行投资。</w:t>
      </w:r>
    </w:p>
    <w:p w14:paraId="200C7010">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sz w:val="24"/>
          <w:szCs w:val="24"/>
        </w:rPr>
        <w:t>可交换债券在换股期间用于交换的股票是发行人持有的其他上市公司(以下简称“目标公司”)的股票。可交换债券同样兼具股票和债券的特性。其中,债券特性与可转换债券相同,指持有至到期获取的票面利息和票面价值。股票特性则指目标公司的成长能力、盈利能力及目标公司股票价格的成长性等。本基金将通过对可交换债券的纯债价值和目标公司的股票价值进行研究分析,综合开展投资决策。</w:t>
      </w:r>
    </w:p>
    <w:p w14:paraId="6F1D1AAE">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、衍生品投资策略</w:t>
      </w:r>
    </w:p>
    <w:p w14:paraId="23BDE1D5">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（1）股指期货、国债期货投资策略</w:t>
      </w:r>
    </w:p>
    <w:p w14:paraId="175873E9">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本基金投资股指期货将根据风险管理的原则，以套期保值为目的，力争利用股指期货的杠杆作用，降低股票仓位频繁调整的交易成本和跟踪误差，达到有效跟踪标的指数的目的。</w:t>
      </w:r>
    </w:p>
    <w:p w14:paraId="740E69A8">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本基金将根据风险管理的原则，以套期保值为目的，在风险可控的前提下，本着谨慎原则，参与国债期货的投资，改善组合的风险收益特性。</w:t>
      </w:r>
    </w:p>
    <w:p w14:paraId="2DE1B9E0">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（2）股票期权投资策略</w:t>
      </w:r>
    </w:p>
    <w:p w14:paraId="28ADDE83">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本基金将按照风险管理的原则，以套期保值为主要目的参与股票期权交易。本基金将结合投资目标、比例限制、风险收益特征以及法律法规的相关限定和要求，确定参与股票期权交易的投资时机和投资比例。</w:t>
      </w:r>
    </w:p>
    <w:p w14:paraId="2A929674">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、融资及转融通证券出借业务投资策略</w:t>
      </w:r>
    </w:p>
    <w:p w14:paraId="1CA5FAB8">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将在充分考虑风险和收益特征的基础上，审慎参与融资及转融通证券出借业务。本基金将基于对市场行情和组合风险收益的分析，确定投资时机、标的证券以及投资比例。本基金将根据市场情况、投资者类型和结构、本基金的历史申赎情况、出借证券流动性情况等因素，合理确定出借证券的范围和品类。若相关融资及转融通证券出借业务法律法规发生变化，本基金将从其最新规定，以符合上述法律法规和监管要求的变化。未来在法律法规允许的前提下，本基金将依据法律法规的相关规定参与融券业务。</w:t>
      </w:r>
    </w:p>
    <w:p w14:paraId="135FA636">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10</w:t>
      </w:r>
      <w:r>
        <w:rPr>
          <w:rFonts w:ascii="Times New Roman" w:hAnsi="Times New Roman" w:eastAsia="宋体" w:cs="Times New Roman"/>
          <w:sz w:val="24"/>
          <w:szCs w:val="24"/>
        </w:rPr>
        <w:t>、存托凭证投资策略</w:t>
      </w:r>
    </w:p>
    <w:p w14:paraId="0B72323B">
      <w:pPr>
        <w:adjustRightInd w:val="0"/>
        <w:snapToGrid w:val="0"/>
        <w:spacing w:line="360" w:lineRule="auto"/>
        <w:ind w:firstLine="480" w:firstLineChars="200"/>
        <w:rPr>
          <w:rFonts w:ascii="Times New Roman" w:hAnsi="Times New Roman" w:eastAsia="宋体" w:cs="Times New Roman"/>
          <w:sz w:val="24"/>
          <w:szCs w:val="24"/>
        </w:rPr>
      </w:pPr>
      <w:r>
        <w:rPr>
          <w:rFonts w:ascii="Times New Roman" w:hAnsi="Times New Roman" w:eastAsia="宋体" w:cs="Times New Roman"/>
          <w:sz w:val="24"/>
          <w:szCs w:val="24"/>
        </w:rPr>
        <w:t>本基金将根据本基金的投资目标，基于对基础证券投资价值的深入研究判断，进行存托凭证的投资。</w:t>
      </w:r>
    </w:p>
    <w:p w14:paraId="0273BD9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未来，随着投资工具的发展和丰富，本基金可在不改变投资目标的前提下，相应调整和更新相关投资策略，并在更新的招募说明书中公告。</w:t>
      </w:r>
    </w:p>
    <w:p w14:paraId="0E7E05BF">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四、投资限制</w:t>
      </w:r>
    </w:p>
    <w:p w14:paraId="311693F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1、组合限制</w:t>
      </w:r>
    </w:p>
    <w:p w14:paraId="55511C21">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基金的投资组合应遵循以下限制：</w:t>
      </w:r>
    </w:p>
    <w:p w14:paraId="60A02194">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w:t>
      </w:r>
      <w:r>
        <w:rPr>
          <w:rFonts w:ascii="Times New Roman" w:hAnsi="Times New Roman" w:eastAsia="宋体" w:cs="Times New Roman"/>
          <w:kern w:val="0"/>
          <w:sz w:val="24"/>
          <w:szCs w:val="24"/>
        </w:rPr>
        <w:t>；</w:t>
      </w:r>
    </w:p>
    <w:p w14:paraId="4876A455">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5F4D3A89">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）本基金资产总值不得超过基金资产净值的140%；</w:t>
      </w:r>
    </w:p>
    <w:p w14:paraId="42578FA3">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）本基金投资于同一原始权益人的各类资产支持证券的比例，不得超过基金资产净值的10%；</w:t>
      </w:r>
    </w:p>
    <w:p w14:paraId="26FD86F0">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）本基金持有的全部资产支持证券，其市值不得超过基金资产净值的20%；</w:t>
      </w:r>
    </w:p>
    <w:p w14:paraId="68F2B4D3">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）本基金持有的同一(指同一信用级别)资产支持证券的比例，不得超过该资产支持证券规模的10%；</w:t>
      </w:r>
    </w:p>
    <w:p w14:paraId="41AE03CE">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）本基金管理人管理的全部基金投资于同一原始权益人的各类资产支持证券，不得超过其各类资产支持证券合计规模的10%；</w:t>
      </w:r>
    </w:p>
    <w:p w14:paraId="4F81683B">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）本基金应投资于信用级别评级为BBB以上(含BBB)的资产支持证券。基金持有资产支持证券期间，如果其信用等级下降、不再符合投资标准，应在评级报告发布之日起3个月内予以全部卖出；</w:t>
      </w:r>
    </w:p>
    <w:p w14:paraId="3696FEB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）基金财产参与股票发行申购，本基金所申报的金额不超过本基金的总资产，本基金所申报的股票数量不超过拟发行股票公司本次发行股票的总量；</w:t>
      </w:r>
    </w:p>
    <w:p w14:paraId="75773AB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10</w:t>
      </w:r>
      <w:r>
        <w:rPr>
          <w:rFonts w:ascii="Times New Roman" w:hAnsi="Times New Roman" w:eastAsia="宋体" w:cs="Times New Roman"/>
          <w:kern w:val="0"/>
          <w:sz w:val="24"/>
          <w:szCs w:val="24"/>
        </w:rPr>
        <w:t>）本基金参与融资的，在任何交易日日终，本基金融资买入股票与其他有价证券市值之和，不得超过基金资产净值的95%；</w:t>
      </w:r>
    </w:p>
    <w:p w14:paraId="0FE36C7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）本基金投资于股指期货和国债期货，还应遵循如下投资组合限制：</w:t>
      </w:r>
    </w:p>
    <w:p w14:paraId="306975A7">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1）在任何交易日日终，本基金持有的买入股指期货合约价值不超过基金资产净值的10%；在任何交易日日终，持有的买入国债期货合约价值，不得超过基金资产净值15%；</w:t>
      </w:r>
    </w:p>
    <w:p w14:paraId="0F1434E1">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2）在任何交易日日终，持有的卖出股指期货合约价值不超过基金持有的股票总市值的20%；在任何交易日日终，持有的卖出国债期货合约价值不得超过基金持有的债券总市值的30%；</w:t>
      </w:r>
    </w:p>
    <w:p w14:paraId="7053649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0B61BCE9">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3B54269C">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68D7D7C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）本基金投资于股票期权，还应遵循如下投资组合限制：</w:t>
      </w:r>
    </w:p>
    <w:p w14:paraId="2280BB7E">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1）因未平仓的期权合约支付和收取的权利金总额不得超过基金资产净值的10%；</w:t>
      </w:r>
    </w:p>
    <w:p w14:paraId="032959B6">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2）开仓卖出认购期权的，应持有足额标的证券；开仓卖出认沽期权的，应持有合约行权所需的全额现金或交易所规则认可的可冲抵期权保证金的现金等价物；</w:t>
      </w:r>
    </w:p>
    <w:p w14:paraId="7DB32EAB">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3）未平仓的期权合约面值不得超过基金资产净值的20%。其中，合约面值按照行权价乘以合约乘数计算；</w:t>
      </w:r>
    </w:p>
    <w:p w14:paraId="7FE22ADC">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w:t>
      </w:r>
      <w:r>
        <w:rPr>
          <w:rFonts w:hint="eastAsia" w:ascii="Times New Roman" w:hAnsi="Times New Roman" w:eastAsia="宋体" w:cs="Times New Roman"/>
          <w:color w:val="0D0D0D" w:themeColor="text1" w:themeTint="F2"/>
          <w:sz w:val="24"/>
          <w14:textFill>
            <w14:solidFill>
              <w14:schemeClr w14:val="tx1">
                <w14:lumMod w14:val="95000"/>
                <w14:lumOff w14:val="5000"/>
              </w14:schemeClr>
            </w14:solidFill>
          </w14:textFill>
        </w:rPr>
        <w:t>3</w:t>
      </w: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）本基金参与转融通证券出借业务，需遵守下列投资限制：</w:t>
      </w:r>
    </w:p>
    <w:p w14:paraId="33B167D4">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1）出借证券资产不得超过基金资产净值的30%，出借期限在10 个交易日以上的出借证券应纳入《流动性风险管理规定》所述流动性受限证券的范围；</w:t>
      </w:r>
    </w:p>
    <w:p w14:paraId="2FF4BBA6">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2）参与出借业务的单只证券不得超过本基金持有该证券总量的50%；</w:t>
      </w:r>
    </w:p>
    <w:p w14:paraId="0716CCB5">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3）最近6个月内日均基金资产净值不得低于2亿元；</w:t>
      </w:r>
    </w:p>
    <w:p w14:paraId="02762C59">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4）证券出借的平均剩余期限不得超过30天，平均剩余期限按照市值加权平均计算；</w:t>
      </w:r>
    </w:p>
    <w:p w14:paraId="147ABB0A">
      <w:pPr>
        <w:adjustRightInd w:val="0"/>
        <w:snapToGrid w:val="0"/>
        <w:spacing w:line="360" w:lineRule="auto"/>
        <w:ind w:firstLine="480" w:firstLineChars="200"/>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pPr>
      <w:r>
        <w:rPr>
          <w:rFonts w:ascii="Times New Roman" w:hAnsi="Times New Roman" w:eastAsia="宋体" w:cs="Times New Roman"/>
          <w:color w:val="0D0D0D" w:themeColor="text1" w:themeTint="F2"/>
          <w:sz w:val="24"/>
          <w14:textFill>
            <w14:solidFill>
              <w14:schemeClr w14:val="tx1">
                <w14:lumMod w14:val="95000"/>
                <w14:lumOff w14:val="5000"/>
              </w14:schemeClr>
            </w14:solidFill>
          </w14:textFill>
        </w:rPr>
        <w:t>因证券市场波动、上市公司合并、基金规模变动等基金管理人之外的因素致使基金投资不符合上述规定的，基金管理人不得新增出借业务；</w:t>
      </w:r>
    </w:p>
    <w:p w14:paraId="0BA31CB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）本基金主动投资于流动性受限资产的市值合计不得超过本基金资产净值的15%；</w:t>
      </w:r>
    </w:p>
    <w:p w14:paraId="2BA106DB">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因证券市场波动、上市公司股票停牌、基金规模变动等基金管理人之外的因素致使基金不符合该比例限制的，基金管理人不得主动新增流动性受限资产的投资；</w:t>
      </w:r>
    </w:p>
    <w:p w14:paraId="660604AE">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）本基金与私募类证券资管产品及中国证监会认定的其他主体为交易对手开展逆回购交易的，可接受质押品的资质要求应当与基金合同约定的投资范围保持一致；</w:t>
      </w:r>
    </w:p>
    <w:p w14:paraId="0EA71106">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sz w:val="24"/>
        </w:rPr>
        <w:t>（1</w:t>
      </w:r>
      <w:r>
        <w:rPr>
          <w:rFonts w:hint="eastAsia" w:ascii="Times New Roman" w:hAnsi="Times New Roman" w:eastAsia="宋体" w:cs="Times New Roman"/>
          <w:sz w:val="24"/>
        </w:rPr>
        <w:t>6</w:t>
      </w:r>
      <w:r>
        <w:rPr>
          <w:rFonts w:ascii="Times New Roman" w:hAnsi="Times New Roman" w:eastAsia="宋体" w:cs="Times New Roman"/>
          <w:sz w:val="24"/>
        </w:rPr>
        <w:t>）本基金投资存托凭证的比例限制依照境内上市交易的股票执行</w:t>
      </w:r>
      <w:r>
        <w:rPr>
          <w:rFonts w:ascii="Times New Roman" w:hAnsi="Times New Roman" w:eastAsia="宋体" w:cs="Times New Roman"/>
          <w:bCs/>
          <w:sz w:val="24"/>
        </w:rPr>
        <w:t>，与境内上市交易的股票合并计算</w:t>
      </w:r>
      <w:r>
        <w:rPr>
          <w:rFonts w:ascii="Times New Roman" w:hAnsi="Times New Roman" w:eastAsia="宋体" w:cs="Times New Roman"/>
          <w:sz w:val="24"/>
        </w:rPr>
        <w:t>；</w:t>
      </w:r>
    </w:p>
    <w:p w14:paraId="0ED7B77F">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）相关法律法规以及监管部门规定的和基金合同约定的其它投资比例限制。</w:t>
      </w:r>
    </w:p>
    <w:p w14:paraId="2BDCD5CC">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除上述第</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）项外，因证券、期货市场波动、证券发行人合并、基金规模变动、标的指数成份股调整、标的指数成份股流动性限制</w:t>
      </w:r>
      <w:r>
        <w:rPr>
          <w:rFonts w:hint="eastAsia" w:ascii="宋体" w:hAnsi="Times New Roman" w:cs="宋体"/>
          <w:sz w:val="24"/>
          <w:szCs w:val="24"/>
        </w:rPr>
        <w:t>、目标ETF暂停申购/赎回或二级市场交易停牌</w:t>
      </w:r>
      <w:r>
        <w:rPr>
          <w:rFonts w:ascii="Times New Roman" w:hAnsi="Times New Roman" w:eastAsia="宋体" w:cs="Times New Roman"/>
          <w:kern w:val="0"/>
          <w:sz w:val="24"/>
          <w:szCs w:val="24"/>
        </w:rPr>
        <w:t>等基金管理人之外的因素致使基金投资比例不符合上述规定投资比例的，基金管理人应当在10个交易日内进行调整，但中国证监会规定的特殊情形除外</w:t>
      </w:r>
      <w:r>
        <w:rPr>
          <w:rFonts w:hint="eastAsia" w:ascii="宋体" w:hAnsi="Times New Roman" w:eastAsia="宋体" w:cs="宋体"/>
          <w:kern w:val="0"/>
          <w:sz w:val="24"/>
          <w:szCs w:val="24"/>
        </w:rPr>
        <w:t>。</w:t>
      </w:r>
      <w:r>
        <w:rPr>
          <w:rFonts w:hint="eastAsia" w:ascii="宋体" w:hAnsi="Times New Roman" w:cs="宋体"/>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r>
        <w:rPr>
          <w:rFonts w:ascii="Times New Roman" w:hAnsi="Times New Roman" w:eastAsia="宋体" w:cs="Times New Roman"/>
          <w:kern w:val="0"/>
          <w:sz w:val="24"/>
          <w:szCs w:val="24"/>
        </w:rPr>
        <w:t>。</w:t>
      </w:r>
    </w:p>
    <w:p w14:paraId="6C0DEFF1">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6F1B34F8">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法律法规或监管部门取消或变更上述限制，如适用于本基金，基金管理人在履行适当程序后，则本基金投资不再受相关限制，或以变更后的规定为准。</w:t>
      </w:r>
    </w:p>
    <w:p w14:paraId="4147C0A0">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2、禁止行为</w:t>
      </w:r>
    </w:p>
    <w:p w14:paraId="484EE4EB">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为维护基金份额持有人的合法权益，基金财产不得用于下列投资或者活动：</w:t>
      </w:r>
    </w:p>
    <w:p w14:paraId="5C702EC2">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（1）承销证券；</w:t>
      </w:r>
    </w:p>
    <w:p w14:paraId="17F8D993">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（2）违反规定向他人贷款或者提供担保；</w:t>
      </w:r>
    </w:p>
    <w:p w14:paraId="6F196F08">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（3）从事承担无限责任的投资；</w:t>
      </w:r>
    </w:p>
    <w:p w14:paraId="190EA0F3">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（4）买卖</w:t>
      </w:r>
      <w:r>
        <w:rPr>
          <w:rFonts w:hint="eastAsia" w:ascii="宋体" w:hAnsi="Times New Roman" w:cs="宋体"/>
          <w:sz w:val="24"/>
          <w:szCs w:val="24"/>
        </w:rPr>
        <w:t>除目标ETF外的</w:t>
      </w:r>
      <w:r>
        <w:rPr>
          <w:rFonts w:ascii="Times New Roman" w:hAnsi="Times New Roman" w:eastAsia="宋体" w:cs="Times New Roman"/>
          <w:kern w:val="0"/>
          <w:sz w:val="24"/>
          <w:szCs w:val="24"/>
        </w:rPr>
        <w:t>其他基金份额，但是中国证监会另有规定的除外；</w:t>
      </w:r>
    </w:p>
    <w:p w14:paraId="4F294322">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（5）向其基金管理人、基金托管人出资；</w:t>
      </w:r>
    </w:p>
    <w:p w14:paraId="5E610CDB">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（6）从事内幕交易、操纵证券交易价格及其他不正当的证券交易活动；</w:t>
      </w:r>
    </w:p>
    <w:p w14:paraId="2556BEAF">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（7）法律、行政法规和中国证监会规定禁止的其他活动。</w:t>
      </w:r>
    </w:p>
    <w:p w14:paraId="52DB29B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5F38ABC9">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法律、行政法规或监管部门变更或取消上述规定，在履行适当程序后，本基金可按变更后的规定执行或不受上述规定的限制。</w:t>
      </w:r>
    </w:p>
    <w:p w14:paraId="59665E2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五、标的指数和业绩比较基准</w:t>
      </w:r>
    </w:p>
    <w:p w14:paraId="70841BD2">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本基金的标的指数为：国证粮食产业指数。</w:t>
      </w:r>
    </w:p>
    <w:p w14:paraId="13335646">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本基金业绩比较基准为：国证粮食产业指数收益率×95%+</w:t>
      </w:r>
      <w:r>
        <w:rPr>
          <w:rFonts w:hint="eastAsia" w:ascii="Times New Roman" w:hAnsi="Times New Roman" w:eastAsia="宋体" w:cs="Times New Roman"/>
          <w:kern w:val="0"/>
          <w:sz w:val="24"/>
          <w:szCs w:val="24"/>
          <w:lang w:eastAsia="zh-CN"/>
        </w:rPr>
        <w:t>活期存款基准利率</w:t>
      </w:r>
      <w:r>
        <w:rPr>
          <w:rFonts w:ascii="Times New Roman" w:hAnsi="Times New Roman" w:eastAsia="宋体" w:cs="Times New Roman"/>
          <w:kern w:val="0"/>
          <w:sz w:val="24"/>
          <w:szCs w:val="24"/>
        </w:rPr>
        <w:t>×5%。</w:t>
      </w:r>
    </w:p>
    <w:p w14:paraId="27BE2D1F">
      <w:pPr>
        <w:adjustRightInd w:val="0"/>
        <w:snapToGrid w:val="0"/>
        <w:spacing w:line="360" w:lineRule="auto"/>
        <w:ind w:firstLine="480" w:firstLineChars="200"/>
        <w:rPr>
          <w:rFonts w:hint="eastAsia" w:asciiTheme="minorEastAsia" w:hAnsiTheme="minorEastAsia"/>
          <w:sz w:val="24"/>
        </w:rPr>
      </w:pPr>
      <w:r>
        <w:rPr>
          <w:rFonts w:asciiTheme="minorEastAsia" w:hAnsiTheme="minorEastAsia"/>
          <w:sz w:val="24"/>
        </w:rPr>
        <w:t>1</w:t>
      </w:r>
      <w:r>
        <w:rPr>
          <w:rFonts w:hint="eastAsia" w:asciiTheme="minorEastAsia" w:hAnsiTheme="minorEastAsia"/>
          <w:sz w:val="24"/>
        </w:rPr>
        <w:t>、业绩比较基准设定的原因</w:t>
      </w:r>
    </w:p>
    <w:p w14:paraId="1BCFFDAF">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本基金为股票型</w:t>
      </w:r>
      <w:r>
        <w:rPr>
          <w:rFonts w:asciiTheme="minorEastAsia" w:hAnsiTheme="minorEastAsia"/>
          <w:sz w:val="24"/>
        </w:rPr>
        <w:t>ETF</w:t>
      </w:r>
      <w:r>
        <w:rPr>
          <w:rFonts w:hint="eastAsia" w:asciiTheme="minorEastAsia" w:hAnsiTheme="minorEastAsia"/>
          <w:sz w:val="24"/>
        </w:rPr>
        <w:t>联接基金</w:t>
      </w:r>
      <w:r>
        <w:rPr>
          <w:rFonts w:asciiTheme="minorEastAsia" w:hAnsiTheme="minorEastAsia"/>
          <w:sz w:val="24"/>
        </w:rPr>
        <w:t>,</w:t>
      </w:r>
      <w:r>
        <w:rPr>
          <w:rFonts w:hint="eastAsia" w:asciiTheme="minorEastAsia" w:hAnsiTheme="minorEastAsia"/>
          <w:sz w:val="24"/>
        </w:rPr>
        <w:t>主要投资于目标ETF即博时国证粮食产业交易型开放式指数证券投资基金，以“紧密跟踪标的指数即国证粮食产业指数的表现，追求跟踪偏离度和跟踪误差的最小化”为投资目标，在投资中将不低于基金资产净值的90%，且不低于非现金基金资产的80%的资产投资于目标ETF。本基金的标的指数为国证粮食产业指数，相应选取国证粮食产业指数和活期存款基准利率作为基准要素，同时将国证粮食产业指数的基准要素权重设置为95</w:t>
      </w:r>
      <w:r>
        <w:rPr>
          <w:rFonts w:asciiTheme="minorEastAsia" w:hAnsiTheme="minorEastAsia"/>
          <w:sz w:val="24"/>
        </w:rPr>
        <w:t>%</w:t>
      </w:r>
      <w:r>
        <w:rPr>
          <w:rFonts w:hint="eastAsia" w:asciiTheme="minorEastAsia" w:hAnsiTheme="minorEastAsia"/>
          <w:sz w:val="24"/>
        </w:rPr>
        <w:t>；选取活期存款基准利率作为流动性管理部分的业绩比较基准，同时将活期存款基准利率的基准要素权重设置为5%。</w:t>
      </w:r>
    </w:p>
    <w:p w14:paraId="336B2819">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综上，本基金选取的业绩比较基准与基金投资目标、投资范围、投资策略、投资比例限制相匹配。</w:t>
      </w:r>
    </w:p>
    <w:p w14:paraId="79497DD2">
      <w:pPr>
        <w:adjustRightInd w:val="0"/>
        <w:snapToGrid w:val="0"/>
        <w:spacing w:line="360" w:lineRule="auto"/>
        <w:ind w:left="181" w:leftChars="86" w:firstLine="480" w:firstLineChars="200"/>
        <w:rPr>
          <w:rFonts w:hint="eastAsia" w:asciiTheme="minorEastAsia" w:hAnsiTheme="minorEastAsia"/>
          <w:sz w:val="24"/>
        </w:rPr>
      </w:pPr>
      <w:r>
        <w:rPr>
          <w:rFonts w:asciiTheme="minorEastAsia" w:hAnsiTheme="minorEastAsia"/>
          <w:sz w:val="24"/>
        </w:rPr>
        <w:t>2</w:t>
      </w:r>
      <w:r>
        <w:rPr>
          <w:rFonts w:hint="eastAsia" w:asciiTheme="minorEastAsia" w:hAnsiTheme="minorEastAsia"/>
          <w:sz w:val="24"/>
        </w:rPr>
        <w:t>、业绩比较基准要素的基本信息</w:t>
      </w:r>
    </w:p>
    <w:p w14:paraId="146C58EA">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国证粮食产业指数由深圳证券信息有限公司编制发布，指数代码为399365，具体信息详见深圳证券信息有限公司网站，网址：</w:t>
      </w:r>
      <w:r>
        <w:rPr>
          <w:rFonts w:hint="eastAsia" w:asciiTheme="minorEastAsia" w:hAnsiTheme="minorEastAsia"/>
          <w:sz w:val="24"/>
        </w:rPr>
        <w:fldChar w:fldCharType="begin"/>
      </w:r>
      <w:r>
        <w:rPr>
          <w:rFonts w:hint="eastAsia" w:asciiTheme="minorEastAsia" w:hAnsiTheme="minorEastAsia"/>
          <w:sz w:val="24"/>
        </w:rPr>
        <w:instrText xml:space="preserve"> HYPERLINK "http://www.csindex.com.cn/" </w:instrText>
      </w:r>
      <w:r>
        <w:rPr>
          <w:rFonts w:hint="eastAsia" w:asciiTheme="minorEastAsia" w:hAnsiTheme="minorEastAsia"/>
          <w:sz w:val="24"/>
        </w:rPr>
        <w:fldChar w:fldCharType="separate"/>
      </w:r>
      <w:r>
        <w:rPr>
          <w:rStyle w:val="17"/>
          <w:rFonts w:hint="eastAsia" w:asciiTheme="minorEastAsia" w:hAnsiTheme="minorEastAsia"/>
          <w:sz w:val="24"/>
        </w:rPr>
        <w:t>https://www.cnindex.com.cn</w:t>
      </w:r>
      <w:r>
        <w:rPr>
          <w:rFonts w:hint="eastAsia" w:asciiTheme="minorEastAsia" w:hAnsiTheme="minorEastAsia"/>
          <w:sz w:val="24"/>
        </w:rPr>
        <w:fldChar w:fldCharType="end"/>
      </w:r>
      <w:r>
        <w:rPr>
          <w:rFonts w:hint="eastAsia" w:asciiTheme="minorEastAsia" w:hAnsiTheme="minorEastAsia"/>
          <w:sz w:val="24"/>
        </w:rPr>
        <w:t>。</w:t>
      </w:r>
    </w:p>
    <w:p w14:paraId="6B602043">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活期存款基准利率由中国人民银行发布，具体信息详见中国人民银行网站，网址：www.pbc.gov.cn。</w:t>
      </w:r>
    </w:p>
    <w:p w14:paraId="247F1B89">
      <w:pPr>
        <w:adjustRightInd w:val="0"/>
        <w:snapToGrid w:val="0"/>
        <w:spacing w:line="360" w:lineRule="auto"/>
        <w:ind w:left="181" w:leftChars="86" w:firstLine="480" w:firstLineChars="200"/>
        <w:rPr>
          <w:rFonts w:hint="eastAsia" w:asciiTheme="minorEastAsia" w:hAnsiTheme="minorEastAsia"/>
          <w:sz w:val="24"/>
        </w:rPr>
      </w:pPr>
      <w:r>
        <w:rPr>
          <w:rFonts w:asciiTheme="minorEastAsia" w:hAnsiTheme="minorEastAsia"/>
          <w:sz w:val="24"/>
        </w:rPr>
        <w:t>3</w:t>
      </w:r>
      <w:r>
        <w:rPr>
          <w:rFonts w:hint="eastAsia" w:asciiTheme="minorEastAsia" w:hAnsiTheme="minorEastAsia"/>
          <w:sz w:val="24"/>
        </w:rPr>
        <w:t>、业绩比较基准的计算方法</w:t>
      </w:r>
    </w:p>
    <w:p w14:paraId="569E5594">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本基金业绩比较基准收益率的计算方法以每日收益率为基础，以时间加权为计算原则。本基金先分别计算业绩比较基准中国证粮食产业指数和活期存款基准利率的每日收益率，再按照预设权重比例计算当日组合要素基准的日收益率，并连乘每日收益率。</w:t>
      </w:r>
    </w:p>
    <w:p w14:paraId="56365AD1">
      <w:pPr>
        <w:adjustRightInd w:val="0"/>
        <w:snapToGrid w:val="0"/>
        <w:spacing w:line="360" w:lineRule="auto"/>
        <w:ind w:left="181" w:leftChars="86" w:firstLine="480" w:firstLineChars="200"/>
        <w:rPr>
          <w:rFonts w:hint="eastAsia" w:asciiTheme="minorEastAsia" w:hAnsiTheme="minorEastAsia"/>
          <w:sz w:val="24"/>
        </w:rPr>
      </w:pPr>
      <w:r>
        <w:rPr>
          <w:rFonts w:asciiTheme="minorEastAsia" w:hAnsiTheme="minorEastAsia"/>
          <w:sz w:val="24"/>
        </w:rPr>
        <w:t>4</w:t>
      </w:r>
      <w:r>
        <w:rPr>
          <w:rFonts w:hint="eastAsia" w:asciiTheme="minorEastAsia" w:hAnsiTheme="minorEastAsia"/>
          <w:sz w:val="24"/>
        </w:rPr>
        <w:t>、管理投资偏离业绩比较基准的定性或定量方法</w:t>
      </w:r>
    </w:p>
    <w:p w14:paraId="4E882EE2">
      <w:pPr>
        <w:adjustRightInd w:val="0"/>
        <w:snapToGrid w:val="0"/>
        <w:spacing w:line="360" w:lineRule="auto"/>
        <w:ind w:left="181" w:leftChars="86" w:firstLine="480" w:firstLineChars="200"/>
        <w:rPr>
          <w:rFonts w:hint="eastAsia" w:asciiTheme="minorEastAsia" w:hAnsiTheme="minorEastAsia"/>
          <w:sz w:val="24"/>
        </w:rPr>
      </w:pPr>
      <w:r>
        <w:rPr>
          <w:rFonts w:hint="eastAsia" w:asciiTheme="minorEastAsia" w:hAnsiTheme="minorEastAsia"/>
          <w:sz w:val="24"/>
        </w:rPr>
        <w:t>本基金主要通过投资于目标ETF，实现对指数的紧密跟踪。在正常市场情况下，本基金力争与业绩比较基准之间的日均跟踪偏离度的绝对值不超过0.35%，年化跟踪误差不超过4%。如因指数编制规则调整或其他因素导致跟踪误差超过上述范围，基金管理人应采取合理措施避免跟踪误差进一步扩大。</w:t>
      </w:r>
    </w:p>
    <w:p w14:paraId="47A1BA2F">
      <w:pPr>
        <w:adjustRightInd w:val="0"/>
        <w:snapToGrid w:val="0"/>
        <w:spacing w:line="360" w:lineRule="auto"/>
        <w:ind w:left="181" w:leftChars="86" w:firstLine="480" w:firstLineChars="200"/>
        <w:rPr>
          <w:rFonts w:hint="eastAsia" w:asciiTheme="minorEastAsia" w:hAnsiTheme="minorEastAsia"/>
          <w:sz w:val="24"/>
        </w:rPr>
      </w:pPr>
      <w:r>
        <w:rPr>
          <w:rFonts w:asciiTheme="minorEastAsia" w:hAnsiTheme="minorEastAsia"/>
          <w:sz w:val="24"/>
        </w:rPr>
        <w:t>5</w:t>
      </w:r>
      <w:r>
        <w:rPr>
          <w:rFonts w:hint="eastAsia" w:asciiTheme="minorEastAsia" w:hAnsiTheme="minorEastAsia"/>
          <w:sz w:val="24"/>
        </w:rPr>
        <w:t>、未来可能变更业绩比较基准的情况和程序</w:t>
      </w:r>
    </w:p>
    <w:p w14:paraId="35A78B13">
      <w:pPr>
        <w:adjustRightInd w:val="0"/>
        <w:snapToGrid w:val="0"/>
        <w:spacing w:line="360" w:lineRule="auto"/>
        <w:ind w:left="181" w:leftChars="86" w:firstLine="422" w:firstLineChars="176"/>
        <w:rPr>
          <w:rFonts w:hint="eastAsia" w:asciiTheme="minorEastAsia" w:hAnsiTheme="minorEastAsia"/>
          <w:sz w:val="24"/>
        </w:rPr>
      </w:pPr>
      <w:r>
        <w:rPr>
          <w:rFonts w:hint="eastAsia" w:asciiTheme="minorEastAsia" w:hAnsiTheme="minorEastAsia"/>
          <w:sz w:val="24"/>
        </w:rPr>
        <w:t>若本基金调整业绩比较基准的要素权重，本基金将根据法律法规、中国证监会的规定和基金合同约定履行相关程序。</w:t>
      </w:r>
    </w:p>
    <w:p w14:paraId="0BCC6FC2">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若出现标的指数不符合要求（因成份股价格波动等指数编制方法变动之外的因素致使标的指数不符合要求以及法律法规、监管机构另有规定的情形除外）、指数编制机构退出等情形，基金管理人应当自该情形发生之日起十个工作日内向中国证监会报告并提出解决方案，如转换运作方式、与其他基金合并或者终止基金合同等，并在6个月内召集基金份额持有人大会进行表决。</w:t>
      </w:r>
    </w:p>
    <w:p w14:paraId="3EE7082C">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自指数编制机构停止标的指数的编制及发布至解决方案确定期间，基金管理人应按照指数编制机构提供的最近一个交易日的指数信息遵循基金份额持有人利益优先原则维持基金投资运作。</w:t>
      </w:r>
    </w:p>
    <w:p w14:paraId="1E9A1D7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六、风险收益特征</w:t>
      </w:r>
    </w:p>
    <w:p w14:paraId="1EBB8414">
      <w:pPr>
        <w:adjustRightInd w:val="0"/>
        <w:snapToGrid w:val="0"/>
        <w:spacing w:line="360" w:lineRule="auto"/>
        <w:ind w:firstLine="422" w:firstLineChars="176"/>
        <w:rPr>
          <w:rFonts w:ascii="宋体" w:hAnsi="Times New Roman" w:eastAsia="宋体" w:cs="宋体"/>
          <w:kern w:val="0"/>
          <w:sz w:val="24"/>
          <w:szCs w:val="24"/>
        </w:rPr>
      </w:pPr>
      <w:r>
        <w:rPr>
          <w:rFonts w:hint="eastAsia" w:ascii="宋体" w:hAnsi="Times New Roman" w:eastAsia="宋体" w:cs="宋体"/>
          <w:kern w:val="0"/>
          <w:sz w:val="24"/>
          <w:szCs w:val="24"/>
        </w:rPr>
        <w:t>本基金为ETF联接基金，</w:t>
      </w:r>
      <w:r>
        <w:rPr>
          <w:rFonts w:hint="eastAsia" w:asciiTheme="minorEastAsia" w:hAnsiTheme="minorEastAsia"/>
          <w:sz w:val="24"/>
        </w:rPr>
        <w:t>通过投资于目标</w:t>
      </w:r>
      <w:r>
        <w:rPr>
          <w:rFonts w:asciiTheme="minorEastAsia" w:hAnsiTheme="minorEastAsia"/>
          <w:sz w:val="24"/>
        </w:rPr>
        <w:t>ETF跟踪标的指数表现，具有与标的指数以及标的指数所代表的证券市场相似的风险收益特征</w:t>
      </w:r>
      <w:r>
        <w:rPr>
          <w:rFonts w:hint="eastAsia" w:ascii="宋体" w:hAnsi="Times New Roman" w:eastAsia="宋体" w:cs="宋体"/>
          <w:kern w:val="0"/>
          <w:sz w:val="24"/>
          <w:szCs w:val="24"/>
        </w:rPr>
        <w:t>。同时，本基金为被动式投资的股票型指数基金，跟踪国证粮食产业指数，其</w:t>
      </w:r>
      <w:r>
        <w:rPr>
          <w:rFonts w:hint="eastAsia" w:asciiTheme="minorEastAsia" w:hAnsiTheme="minorEastAsia"/>
          <w:sz w:val="24"/>
        </w:rPr>
        <w:t>预期风险与预期收益高于债券型基金、混合型基金、货币市场基金</w:t>
      </w:r>
      <w:r>
        <w:rPr>
          <w:rFonts w:hint="eastAsia" w:ascii="宋体" w:hAnsi="Times New Roman" w:eastAsia="宋体" w:cs="宋体"/>
          <w:kern w:val="0"/>
          <w:sz w:val="24"/>
          <w:szCs w:val="24"/>
        </w:rPr>
        <w:t>。</w:t>
      </w:r>
    </w:p>
    <w:p w14:paraId="54D1B7D8">
      <w:pPr>
        <w:pStyle w:val="7"/>
        <w:spacing w:line="360" w:lineRule="auto"/>
        <w:ind w:left="181" w:leftChars="86"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七、目标</w:t>
      </w:r>
      <w:r>
        <w:rPr>
          <w:rFonts w:asciiTheme="minorEastAsia" w:hAnsiTheme="minorEastAsia" w:cstheme="minorEastAsia"/>
          <w:sz w:val="24"/>
          <w:szCs w:val="24"/>
        </w:rPr>
        <w:t>ETF</w:t>
      </w:r>
      <w:r>
        <w:rPr>
          <w:rFonts w:hint="eastAsia" w:asciiTheme="minorEastAsia" w:hAnsiTheme="minorEastAsia" w:cstheme="minorEastAsia"/>
          <w:sz w:val="24"/>
          <w:szCs w:val="24"/>
        </w:rPr>
        <w:t>发生相关变更情形时的处理</w:t>
      </w:r>
    </w:p>
    <w:p w14:paraId="0C86CE49">
      <w:pPr>
        <w:pStyle w:val="7"/>
        <w:spacing w:line="360" w:lineRule="auto"/>
        <w:ind w:left="181" w:leftChars="86" w:firstLine="480" w:firstLineChars="200"/>
        <w:rPr>
          <w:rFonts w:hint="eastAsia" w:asciiTheme="minorEastAsia" w:hAnsiTheme="minorEastAsia" w:cstheme="minorEastAsia"/>
          <w:sz w:val="24"/>
          <w:szCs w:val="24"/>
        </w:rPr>
      </w:pPr>
      <w:r>
        <w:rPr>
          <w:rFonts w:hint="eastAsia" w:asciiTheme="minorEastAsia" w:hAnsiTheme="minorEastAsia" w:cstheme="minorEastAsia"/>
          <w:sz w:val="24"/>
          <w:szCs w:val="24"/>
        </w:rPr>
        <w:t>除标的指数不符合要求（因成份股价格波动等指数编制方法变动之外的因素致使标的指数不符合要求以及法律法规、监管机构另有规定的情形除外）、指数编制机构退出等原因外，目标</w:t>
      </w:r>
      <w:r>
        <w:rPr>
          <w:rFonts w:asciiTheme="minorEastAsia" w:hAnsiTheme="minorEastAsia" w:cstheme="minorEastAsia"/>
          <w:sz w:val="24"/>
          <w:szCs w:val="24"/>
        </w:rPr>
        <w:t>ETF</w:t>
      </w:r>
      <w:r>
        <w:rPr>
          <w:rFonts w:hint="eastAsia" w:asciiTheme="minorEastAsia" w:hAnsiTheme="minorEastAsia" w:cstheme="minorEastAsia"/>
          <w:sz w:val="24"/>
          <w:szCs w:val="24"/>
        </w:rPr>
        <w:t>出现下述情形之一的，本基金将在履行适当程序后由投资于目标</w:t>
      </w:r>
      <w:r>
        <w:rPr>
          <w:rFonts w:asciiTheme="minorEastAsia" w:hAnsiTheme="minorEastAsia" w:cstheme="minorEastAsia"/>
          <w:sz w:val="24"/>
          <w:szCs w:val="24"/>
        </w:rPr>
        <w:t>ETF</w:t>
      </w:r>
      <w:r>
        <w:rPr>
          <w:rFonts w:hint="eastAsia" w:asciiTheme="minorEastAsia" w:hAnsiTheme="minorEastAsia" w:cstheme="minorEastAsia"/>
          <w:sz w:val="24"/>
          <w:szCs w:val="24"/>
        </w:rPr>
        <w:t>的联接基金变更为直接投资标的指数的指数基金，无需召开基金份额持有人大会；若届时本基金管理人已有以该指数作为标的指数的指数基金，基金管理人应本着维护投资人合法权益的原则，提出解决方案，并相应履行适当程序，届时将由基金管理人另行公告。相应地，本基金基金合同中将删除关于目标</w:t>
      </w:r>
      <w:r>
        <w:rPr>
          <w:rFonts w:asciiTheme="minorEastAsia" w:hAnsiTheme="minorEastAsia" w:cstheme="minorEastAsia"/>
          <w:sz w:val="24"/>
          <w:szCs w:val="24"/>
        </w:rPr>
        <w:t>ETF</w:t>
      </w:r>
      <w:r>
        <w:rPr>
          <w:rFonts w:hint="eastAsia" w:asciiTheme="minorEastAsia" w:hAnsiTheme="minorEastAsia" w:cstheme="minorEastAsia"/>
          <w:sz w:val="24"/>
          <w:szCs w:val="24"/>
        </w:rPr>
        <w:t>的表述部分，届时将由基金管理人另行公告。</w:t>
      </w:r>
    </w:p>
    <w:p w14:paraId="2AA480D1">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1</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交易方式发生重大变更致使本基金的投资策略难以实现；</w:t>
      </w:r>
    </w:p>
    <w:p w14:paraId="03EE918B">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2</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终止上市；</w:t>
      </w:r>
    </w:p>
    <w:p w14:paraId="72523D23">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3</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基金合同终止；</w:t>
      </w:r>
    </w:p>
    <w:p w14:paraId="58005808">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4</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与其他基金进行合并；</w:t>
      </w:r>
    </w:p>
    <w:p w14:paraId="203E0F8A">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5</w:t>
      </w:r>
      <w:r>
        <w:rPr>
          <w:rFonts w:hint="eastAsia" w:asciiTheme="minorEastAsia" w:hAnsiTheme="minorEastAsia" w:cstheme="minorEastAsia"/>
          <w:sz w:val="24"/>
          <w:szCs w:val="24"/>
        </w:rPr>
        <w:t>、目标</w:t>
      </w:r>
      <w:r>
        <w:rPr>
          <w:rFonts w:asciiTheme="minorEastAsia" w:hAnsiTheme="minorEastAsia" w:cstheme="minorEastAsia"/>
          <w:sz w:val="24"/>
          <w:szCs w:val="24"/>
        </w:rPr>
        <w:t>ETF</w:t>
      </w:r>
      <w:r>
        <w:rPr>
          <w:rFonts w:hint="eastAsia" w:asciiTheme="minorEastAsia" w:hAnsiTheme="minorEastAsia" w:cstheme="minorEastAsia"/>
          <w:sz w:val="24"/>
          <w:szCs w:val="24"/>
        </w:rPr>
        <w:t>的基金管理人发生变更（但变更后的本基金与目标</w:t>
      </w:r>
      <w:r>
        <w:rPr>
          <w:rFonts w:asciiTheme="minorEastAsia" w:hAnsiTheme="minorEastAsia" w:cstheme="minorEastAsia"/>
          <w:sz w:val="24"/>
          <w:szCs w:val="24"/>
        </w:rPr>
        <w:t>ETF</w:t>
      </w:r>
      <w:r>
        <w:rPr>
          <w:rFonts w:hint="eastAsia" w:asciiTheme="minorEastAsia" w:hAnsiTheme="minorEastAsia" w:cstheme="minorEastAsia"/>
          <w:sz w:val="24"/>
          <w:szCs w:val="24"/>
        </w:rPr>
        <w:t>的基金管理人相同的除外）；</w:t>
      </w:r>
    </w:p>
    <w:p w14:paraId="07E6D270">
      <w:pPr>
        <w:pStyle w:val="7"/>
        <w:spacing w:line="360" w:lineRule="auto"/>
        <w:ind w:left="181" w:leftChars="86" w:firstLine="480" w:firstLineChars="200"/>
        <w:rPr>
          <w:rFonts w:hint="eastAsia" w:asciiTheme="minorEastAsia" w:hAnsiTheme="minorEastAsia" w:cstheme="minorEastAsia"/>
          <w:sz w:val="24"/>
          <w:szCs w:val="24"/>
        </w:rPr>
      </w:pPr>
      <w:r>
        <w:rPr>
          <w:rFonts w:asciiTheme="minorEastAsia" w:hAnsiTheme="minorEastAsia" w:cstheme="minorEastAsia"/>
          <w:sz w:val="24"/>
          <w:szCs w:val="24"/>
        </w:rPr>
        <w:t>6</w:t>
      </w:r>
      <w:r>
        <w:rPr>
          <w:rFonts w:hint="eastAsia" w:asciiTheme="minorEastAsia" w:hAnsiTheme="minorEastAsia" w:cstheme="minorEastAsia"/>
          <w:sz w:val="24"/>
          <w:szCs w:val="24"/>
        </w:rPr>
        <w:t>、中国证监会规定的其他情形。</w:t>
      </w:r>
    </w:p>
    <w:p w14:paraId="5543ABD1">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宋体" w:hAnsi="Times New Roman" w:eastAsia="宋体" w:cs="宋体"/>
          <w:kern w:val="0"/>
          <w:sz w:val="24"/>
          <w:szCs w:val="24"/>
        </w:rPr>
        <w:t>八、</w:t>
      </w:r>
      <w:r>
        <w:rPr>
          <w:rFonts w:ascii="Times New Roman" w:hAnsi="Times New Roman" w:eastAsia="宋体" w:cs="Times New Roman"/>
          <w:kern w:val="0"/>
          <w:sz w:val="24"/>
          <w:szCs w:val="24"/>
        </w:rPr>
        <w:t>基金管理人代表基金行使股东或债权人权利的处理原则及方法</w:t>
      </w:r>
    </w:p>
    <w:p w14:paraId="6FC8AA6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1、基金管理人按照国家有关规定代表基金独立行使股东或债权人权利，保护基金份额持有人的利益； </w:t>
      </w:r>
    </w:p>
    <w:p w14:paraId="454627BD">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2、不谋求对上市公司的控股； </w:t>
      </w:r>
    </w:p>
    <w:p w14:paraId="1EC169B6">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3、有利于基金财产的安全与增值； </w:t>
      </w:r>
    </w:p>
    <w:p w14:paraId="60EC0F7A">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4、不通过关联交易为自身、雇员、授权代理人或任何存在利害关系的第三人牟取任何不当利益。</w:t>
      </w:r>
    </w:p>
    <w:p w14:paraId="7905CF33">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九</w:t>
      </w:r>
      <w:r>
        <w:rPr>
          <w:rFonts w:ascii="Times New Roman" w:hAnsi="Times New Roman" w:eastAsia="宋体" w:cs="Times New Roman"/>
          <w:kern w:val="0"/>
          <w:sz w:val="24"/>
          <w:szCs w:val="24"/>
        </w:rPr>
        <w:t>、侧袋机制的实施和投资运作安排</w:t>
      </w:r>
    </w:p>
    <w:p w14:paraId="6E07F555">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无需召开基金份额持有人大会审议。</w:t>
      </w:r>
    </w:p>
    <w:p w14:paraId="7A0D13CF">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侧袋机制实施期间，本部分约定的投资组合比例、投资策略、组合限制、业绩比较基准、风险收益特征等约定仅适用于主袋账户。</w:t>
      </w:r>
    </w:p>
    <w:p w14:paraId="7AF61242">
      <w:pPr>
        <w:adjustRightInd w:val="0"/>
        <w:snapToGrid w:val="0"/>
        <w:spacing w:line="360" w:lineRule="auto"/>
        <w:ind w:firstLine="422" w:firstLineChars="176"/>
        <w:rPr>
          <w:rFonts w:ascii="Times New Roman" w:hAnsi="Times New Roman" w:eastAsia="宋体" w:cs="Times New Roman"/>
          <w:kern w:val="0"/>
          <w:sz w:val="24"/>
          <w:szCs w:val="24"/>
        </w:rPr>
      </w:pPr>
      <w:r>
        <w:rPr>
          <w:rFonts w:ascii="Times New Roman" w:hAnsi="Times New Roman" w:eastAsia="宋体" w:cs="Times New Roman"/>
          <w:kern w:val="0"/>
          <w:sz w:val="24"/>
          <w:szCs w:val="24"/>
        </w:rPr>
        <w:t>侧袋账户的实施条件、实施程序、运作安排、投资安排、特定资产的处置变现和支付等对投资者权益有重大影响的事项详见招募说明书的规定。</w:t>
      </w:r>
    </w:p>
    <w:p w14:paraId="2D86F51F">
      <w:pPr>
        <w:tabs>
          <w:tab w:val="left" w:pos="3780"/>
        </w:tabs>
        <w:autoSpaceDE w:val="0"/>
        <w:autoSpaceDN w:val="0"/>
        <w:snapToGrid w:val="0"/>
        <w:spacing w:line="360" w:lineRule="auto"/>
        <w:ind w:firstLine="482" w:firstLineChars="201"/>
        <w:textAlignment w:val="bottom"/>
        <w:rPr>
          <w:rFonts w:ascii="Times New Roman" w:hAnsi="Times New Roman" w:eastAsia="宋体" w:cs="Times New Roman"/>
          <w:sz w:val="24"/>
          <w:szCs w:val="24"/>
        </w:rPr>
        <w:sectPr>
          <w:footerReference r:id="rId15" w:type="default"/>
          <w:pgSz w:w="11906" w:h="16838"/>
          <w:pgMar w:top="1440" w:right="1800" w:bottom="1440" w:left="1800" w:header="851" w:footer="992" w:gutter="0"/>
          <w:pgNumType w:start="1"/>
          <w:cols w:space="425" w:num="1"/>
          <w:docGrid w:type="lines" w:linePitch="312" w:charSpace="0"/>
        </w:sectPr>
      </w:pPr>
    </w:p>
    <w:p w14:paraId="3494F347">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5" w:name="_Toc471235850"/>
      <w:r>
        <w:rPr>
          <w:rFonts w:ascii="Times New Roman" w:hAnsi="Times New Roman" w:eastAsia="宋体" w:cs="Times New Roman"/>
          <w:kern w:val="0"/>
          <w:sz w:val="30"/>
          <w:lang w:val="zh-CN"/>
        </w:rPr>
        <w:t>第十三部分 基金的财产</w:t>
      </w:r>
      <w:bookmarkEnd w:id="15"/>
    </w:p>
    <w:p w14:paraId="4E287025">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105BE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一、基金资产总值</w:t>
      </w:r>
    </w:p>
    <w:p w14:paraId="050036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基金资产总值是指基金拥有的</w:t>
      </w:r>
      <w:r>
        <w:rPr>
          <w:rFonts w:hint="eastAsia" w:cs="宋体" w:asciiTheme="minorEastAsia" w:hAnsiTheme="minorEastAsia"/>
          <w:kern w:val="0"/>
          <w:sz w:val="24"/>
          <w:szCs w:val="24"/>
        </w:rPr>
        <w:t>目标ETF基金份额、</w:t>
      </w:r>
      <w:r>
        <w:rPr>
          <w:rFonts w:ascii="Times New Roman" w:hAnsi="Times New Roman" w:eastAsia="宋体" w:cs="Times New Roman"/>
          <w:kern w:val="0"/>
          <w:sz w:val="24"/>
          <w:szCs w:val="24"/>
        </w:rPr>
        <w:t>各类有价证券、银行存款本息、基金应收款项及其他资产的价值总和。</w:t>
      </w:r>
    </w:p>
    <w:p w14:paraId="2673E48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二、基金资产净值</w:t>
      </w:r>
    </w:p>
    <w:p w14:paraId="4B8F7FE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基金资产净值是指基金资产总值减去基金负债后的价值。</w:t>
      </w:r>
    </w:p>
    <w:p w14:paraId="004D6C5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三、基金财产的账户</w:t>
      </w:r>
    </w:p>
    <w:p w14:paraId="6BBDC9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14:paraId="42C699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四、基金财产的保管和处分</w:t>
      </w:r>
    </w:p>
    <w:p w14:paraId="4AF6DA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14:paraId="02EA059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14:paraId="526150DB">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6" w:type="default"/>
          <w:pgSz w:w="11906" w:h="16838"/>
          <w:pgMar w:top="1440" w:right="1800" w:bottom="1440" w:left="1800" w:header="851" w:footer="992" w:gutter="0"/>
          <w:pgNumType w:start="1"/>
          <w:cols w:space="425" w:num="1"/>
          <w:docGrid w:type="lines" w:linePitch="312" w:charSpace="0"/>
        </w:sectPr>
      </w:pPr>
    </w:p>
    <w:p w14:paraId="23A2555A">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6" w:name="_Toc471235851"/>
      <w:r>
        <w:rPr>
          <w:rFonts w:ascii="Times New Roman" w:hAnsi="Times New Roman" w:eastAsia="宋体" w:cs="Times New Roman"/>
          <w:kern w:val="0"/>
          <w:sz w:val="30"/>
          <w:lang w:val="zh-CN"/>
        </w:rPr>
        <w:t>第十四部分 基金资产估值</w:t>
      </w:r>
      <w:bookmarkEnd w:id="16"/>
    </w:p>
    <w:p w14:paraId="1C13FC20">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1C9AE97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一、估值日</w:t>
      </w:r>
    </w:p>
    <w:p w14:paraId="6024522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本基金的估值日为本基金相关的证券交易场所的交易日以及国家法律法规规定需要对外披露基金净值的非交易日。</w:t>
      </w:r>
    </w:p>
    <w:p w14:paraId="1E61B73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二、估值对象</w:t>
      </w:r>
    </w:p>
    <w:p w14:paraId="4AAF937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基金所拥有的</w:t>
      </w:r>
      <w:r>
        <w:rPr>
          <w:rFonts w:hint="eastAsia" w:cs="宋体" w:asciiTheme="minorEastAsia" w:hAnsiTheme="minorEastAsia"/>
          <w:kern w:val="0"/>
          <w:sz w:val="24"/>
          <w:szCs w:val="24"/>
        </w:rPr>
        <w:t>目标ETF基金份额、</w:t>
      </w:r>
      <w:r>
        <w:rPr>
          <w:rFonts w:ascii="Times New Roman" w:hAnsi="Times New Roman" w:eastAsia="宋体" w:cs="Times New Roman"/>
          <w:kern w:val="0"/>
          <w:sz w:val="24"/>
          <w:szCs w:val="24"/>
        </w:rPr>
        <w:t>股票（含存托凭证）、股指期货合约、国债期货合约、股票期权合约、债券和银行存款本息、应收款项、资产支持证券、其它投资等资产及负债。</w:t>
      </w:r>
    </w:p>
    <w:p w14:paraId="74E5FA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三、估值原则</w:t>
      </w:r>
    </w:p>
    <w:p w14:paraId="7298B0B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基金管理人在确定相关金融资产和金融负债的公允价值时，应符合《企业会计准则》、监管部门有关规定。</w:t>
      </w:r>
    </w:p>
    <w:p w14:paraId="454B619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14:paraId="68E24D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14:paraId="4C95564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14:paraId="056B5C2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（三）如经济环境发生重大变化或证券发行人发生影响证券价格的重大事件，使潜在估值调整对前一估值日的基金资产净值的影响在0.25%以上的，应对估值进行调整并确定公允价值。</w:t>
      </w:r>
    </w:p>
    <w:p w14:paraId="5C88B83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四、估值方法</w:t>
      </w:r>
    </w:p>
    <w:p w14:paraId="6F29A884">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1、本基金持有的目标ETF基金份额以其当日基金份额净值估值，当日无基金份额净值的，以最近工作日的基金份额净值估值。</w:t>
      </w:r>
    </w:p>
    <w:p w14:paraId="258C96B6">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9324874">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437139C8">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7C8EF218">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1C29D72D">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3A75323A">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577DBC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7</w:t>
      </w:r>
      <w:r>
        <w:rPr>
          <w:rFonts w:ascii="Times New Roman" w:hAnsi="Times New Roman" w:eastAsia="宋体" w:cs="Times New Roman"/>
          <w:kern w:val="0"/>
          <w:sz w:val="24"/>
          <w:szCs w:val="24"/>
        </w:rPr>
        <w:t>、处于未上市期间的有价证券应区分如下情况处理：</w:t>
      </w:r>
    </w:p>
    <w:p w14:paraId="1C444F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（1）送股、转增股、配股和公开增发的新股，按估值日在证券交易所挂牌的同一股票的估值方法估值；该日无交易的，以最近一日的市价（收盘价）估值；</w:t>
      </w:r>
    </w:p>
    <w:p w14:paraId="4C27359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（2）首次公开发行未上市的股票，采用估值技术确定公允价值，在估值技术难以可靠计量公允价值的情况下，按成本估值；</w:t>
      </w:r>
    </w:p>
    <w:p w14:paraId="23881D2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w:t>
      </w:r>
      <w:r>
        <w:rPr>
          <w:rFonts w:hint="eastAsia" w:cs="宋体" w:asciiTheme="minorEastAsia" w:hAnsiTheme="minorEastAsia"/>
          <w:kern w:val="0"/>
          <w:sz w:val="24"/>
          <w:szCs w:val="24"/>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5A62754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、本基金投资存托凭证的估值核算，依照境内上市交易的股票执行。</w:t>
      </w:r>
    </w:p>
    <w:p w14:paraId="3A7C5F7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、同一证券同时在两个或两个以上市场交易的，按证券所处的市场分别估值。</w:t>
      </w:r>
    </w:p>
    <w:p w14:paraId="25AF485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w:t>
      </w:r>
      <w:r>
        <w:rPr>
          <w:rFonts w:ascii="Times New Roman" w:hAnsi="Times New Roman" w:eastAsia="宋体" w:cs="Times New Roman"/>
          <w:kern w:val="0"/>
          <w:sz w:val="24"/>
          <w:szCs w:val="24"/>
        </w:rPr>
        <w:t>、本基金</w:t>
      </w:r>
      <w:r>
        <w:rPr>
          <w:rFonts w:hint="eastAsia" w:cs="宋体" w:asciiTheme="minorEastAsia" w:hAnsiTheme="minorEastAsia"/>
          <w:kern w:val="0"/>
          <w:sz w:val="24"/>
          <w:szCs w:val="24"/>
        </w:rPr>
        <w:t>参与</w:t>
      </w:r>
      <w:r>
        <w:rPr>
          <w:rFonts w:ascii="Times New Roman" w:hAnsi="Times New Roman" w:eastAsia="宋体" w:cs="Times New Roman"/>
          <w:kern w:val="0"/>
          <w:sz w:val="24"/>
          <w:szCs w:val="24"/>
        </w:rPr>
        <w:t>股指期货合约、国债期货合约</w:t>
      </w:r>
      <w:r>
        <w:rPr>
          <w:rFonts w:hint="eastAsia" w:ascii="Times New Roman" w:hAnsi="Times New Roman" w:eastAsia="宋体" w:cs="Times New Roman"/>
          <w:kern w:val="0"/>
          <w:sz w:val="24"/>
          <w:szCs w:val="24"/>
        </w:rPr>
        <w:t>交易</w:t>
      </w:r>
      <w:r>
        <w:rPr>
          <w:rFonts w:ascii="Times New Roman" w:hAnsi="Times New Roman" w:eastAsia="宋体" w:cs="Times New Roman"/>
          <w:kern w:val="0"/>
          <w:sz w:val="24"/>
          <w:szCs w:val="24"/>
        </w:rPr>
        <w:t>，一般以估值当日结算价进行估值，估值当日无结算价的，且最近交易日后经济环境未发生重大变化的，采用最近交易日结算价估值。</w:t>
      </w:r>
    </w:p>
    <w:p w14:paraId="1F3540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w:t>
      </w:r>
      <w:r>
        <w:rPr>
          <w:rFonts w:ascii="Times New Roman" w:hAnsi="Times New Roman" w:eastAsia="宋体" w:cs="Times New Roman"/>
          <w:kern w:val="0"/>
          <w:sz w:val="24"/>
          <w:szCs w:val="24"/>
        </w:rPr>
        <w:t>、本基金投资股票期权，根据相关法律法规以及监管部门的规定估值。</w:t>
      </w:r>
    </w:p>
    <w:p w14:paraId="1CB59BD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w:t>
      </w:r>
      <w:r>
        <w:rPr>
          <w:rFonts w:ascii="Times New Roman" w:hAnsi="Times New Roman" w:eastAsia="宋体" w:cs="Times New Roman"/>
          <w:kern w:val="0"/>
          <w:sz w:val="24"/>
          <w:szCs w:val="24"/>
        </w:rPr>
        <w:t>、本基金参与融资或转融通证券出借业务的，应参照行业协会的相关规定进行估值，确保估值的公允性。</w:t>
      </w:r>
    </w:p>
    <w:p w14:paraId="1773600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、汇率</w:t>
      </w:r>
    </w:p>
    <w:p w14:paraId="1C58FB3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本基金外币资产价值计算中，涉及主要货币对人民币汇率的，应当以基金估值日中国人民银行或其授权机构公布的人民币汇率中间价为准。</w:t>
      </w:r>
    </w:p>
    <w:p w14:paraId="18D4D5E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、如有确凿证据表明按上述方法进行估值不能客观反映其公允价值的，基金管理人可根据具体情况与基金托管人商定后，按最能反映公允价值的价格估值。</w:t>
      </w:r>
    </w:p>
    <w:p w14:paraId="37B121F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、当发生大额申购或赎回情形时，基金管理人可以采用摆动定价机制，以确保基金估值的公平性。具体处理原则与操作规范遵循相关法律法规以及监管部门、自律规则的规定。</w:t>
      </w:r>
    </w:p>
    <w:p w14:paraId="364075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、相关法律法规以及监管部门有强制规定的，从其规定。如有新增事项，按国家最新规定估值。</w:t>
      </w:r>
    </w:p>
    <w:p w14:paraId="0F81012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1C229FE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09B7FB1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五、估值程序</w:t>
      </w:r>
    </w:p>
    <w:p w14:paraId="4F52E2F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各类基金份额净值是按照每个工作日闭市后，各类基金份额的基金资产净值除以当日该类基金份额的余额数量计算，均精确到0.0001元，小数点后第5位四舍五入。基金管理人可以设立大额赎回情形下的净值精度应急调整机制。国家另有规定的，从其规定。</w:t>
      </w:r>
    </w:p>
    <w:p w14:paraId="15DB1B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基金管理人于每个工作日计算基金资产净值及各类基金份额净值，并按规定公告。</w:t>
      </w:r>
    </w:p>
    <w:p w14:paraId="412C1F3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应每个工作日对基金资产估值。但基金管理人根据法律法规或本基金合同的规定暂停估值时除外。基金管理人每个工作日对基金资产估值后，将各类基金份额净值结果发送基金托管人，经基金托管人复核无误后，由基金管理人按规定对外公布。</w:t>
      </w:r>
    </w:p>
    <w:p w14:paraId="334493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六、估值错误的处理</w:t>
      </w:r>
    </w:p>
    <w:p w14:paraId="6822CE6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基金管理人和基金托管人将采取必要、适当、合理的措施确保基金资产估值的准确性、及时性。当任一类基金份额净值小数点后4位以内(含第4位)发生估值错误时，视为该类基金份额净值错误。</w:t>
      </w:r>
    </w:p>
    <w:p w14:paraId="775D3D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本基金合同的当事人应按照以下约定处理：</w:t>
      </w:r>
    </w:p>
    <w:p w14:paraId="1105DA7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1、估值错误类型</w:t>
      </w:r>
      <w:r>
        <w:rPr>
          <w:rFonts w:ascii="Times New Roman" w:hAnsi="Times New Roman" w:eastAsia="宋体" w:cs="Times New Roman"/>
          <w:kern w:val="0"/>
          <w:sz w:val="24"/>
          <w:szCs w:val="24"/>
        </w:rPr>
        <w:tab/>
      </w:r>
    </w:p>
    <w:p w14:paraId="213267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14:paraId="2B5BD80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上述估值错误的主要类型包括但不限于：资料申报差错、数据传输差错、数据计算差错、系统故障差错、下达指令差错等。</w:t>
      </w:r>
    </w:p>
    <w:p w14:paraId="4CF9EE8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2、估值错误处理原则</w:t>
      </w:r>
    </w:p>
    <w:p w14:paraId="4B7FC0B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14:paraId="6C1F434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（2）估值错误的责任方对有关当事人的直接损失负责，不对间接损失负责，并且仅对估值错误的有关直接当事人负责，不对第三方负责。</w:t>
      </w:r>
    </w:p>
    <w:p w14:paraId="04BCD91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14:paraId="3086E46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（4）估值错误调整采用尽量恢复至假设未发生估值错误的正确情形的方式。</w:t>
      </w:r>
    </w:p>
    <w:p w14:paraId="6C5A3B6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3、估值错误处理程序</w:t>
      </w:r>
    </w:p>
    <w:p w14:paraId="61B2C9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估值错误被发现后，有关的当事人应当及时进行处理，处理的程序如下：</w:t>
      </w:r>
    </w:p>
    <w:p w14:paraId="3EA1AAC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（1）查明估值错误发生的原因，列明所有的当事人，并根据估值错误发生的原因确定估值错误的责任方；</w:t>
      </w:r>
    </w:p>
    <w:p w14:paraId="21CDC7D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（2）根据估值错误处理原则或当事人协商的方法对因估值错误造成的损失进行评估；</w:t>
      </w:r>
    </w:p>
    <w:p w14:paraId="3EF4F69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（3）根据估值错误处理原则或当事人协商的方法由估值错误的责任方进行更正和赔偿损失；</w:t>
      </w:r>
    </w:p>
    <w:p w14:paraId="0F381F3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（4）根据估值错误处理的方法，需要修改基金登记机构交易数据的，由基金登记机构进行更正，并就估值错误的更正向有关当事人进行确认。</w:t>
      </w:r>
    </w:p>
    <w:p w14:paraId="530BE11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4、基金份额净值估值错误处理的方法如下：</w:t>
      </w:r>
    </w:p>
    <w:p w14:paraId="69D2862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（1）基金份额净值计算出现错误时，基金管理人应当立即予以纠正，通报基金托管人，并采取合理的措施防止损失进一步扩大。</w:t>
      </w:r>
    </w:p>
    <w:p w14:paraId="089DC81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（2）错误偏差达到该类基金份额净值的0.25%时，基金管理人应当通报基金托管人并报中国证监会备案；错误偏差达到该类基金份额净值的0.5%时，基金管理人应当公告，并报中国证监会备案。</w:t>
      </w:r>
    </w:p>
    <w:p w14:paraId="6C34E699">
      <w:pPr>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（3）基金管理人和基金托管人由于各自技术系统设置而产生的净值计算尾差，以基金管理人计算结果为准。</w:t>
      </w:r>
    </w:p>
    <w:p w14:paraId="699ED21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（4）前述内容如法律法规或监管机关另有规定的，从其规定处理。如果行业另有通行做法，基金管理人、基金托管人应本着平等和保护基金份额持有人利益的原则进行协商。</w:t>
      </w:r>
    </w:p>
    <w:p w14:paraId="10839F9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七、暂停估值的情形</w:t>
      </w:r>
    </w:p>
    <w:p w14:paraId="61CB943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1、基金投资所涉及的证券、期货交易市场或外汇市场遇法定节假日或因其他原因暂停营业时；</w:t>
      </w:r>
    </w:p>
    <w:p w14:paraId="25721F4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2、因不可抗力致使基金管理人、基金托管人无法准确评估基金资产价值时；</w:t>
      </w:r>
    </w:p>
    <w:p w14:paraId="633FDE42">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3、</w:t>
      </w:r>
      <w:r>
        <w:rPr>
          <w:rFonts w:hint="eastAsia" w:cs="宋体" w:asciiTheme="minorEastAsia" w:hAnsiTheme="minorEastAsia"/>
          <w:kern w:val="0"/>
          <w:sz w:val="24"/>
          <w:szCs w:val="24"/>
        </w:rPr>
        <w:t>所投资的目标ETF暂停估值、暂停公告基金份额净值时；</w:t>
      </w:r>
    </w:p>
    <w:p w14:paraId="0084786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cs="宋体" w:asciiTheme="minorEastAsia" w:hAnsiTheme="minorEastAsia"/>
          <w:kern w:val="0"/>
          <w:sz w:val="24"/>
          <w:szCs w:val="24"/>
        </w:rPr>
        <w:t>4</w:t>
      </w:r>
      <w:r>
        <w:rPr>
          <w:rFonts w:hint="eastAsia" w:cs="宋体" w:asciiTheme="minorEastAsia" w:hAnsiTheme="minorEastAsia"/>
          <w:kern w:val="0"/>
          <w:sz w:val="24"/>
          <w:szCs w:val="24"/>
        </w:rPr>
        <w:t>、</w:t>
      </w:r>
      <w:r>
        <w:rPr>
          <w:rFonts w:ascii="Times New Roman" w:hAnsi="Times New Roman" w:eastAsia="宋体" w:cs="Times New Roman"/>
          <w:kern w:val="0"/>
          <w:sz w:val="24"/>
          <w:szCs w:val="24"/>
        </w:rPr>
        <w:t>当特定资产占前一估值日基金资产净值50%以上的，经与基金托管人协商确认后，基金管理人应当暂停估值；</w:t>
      </w:r>
    </w:p>
    <w:p w14:paraId="0B3068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5、法律法规规定、中国证监会和基金合同认定的其它情形。</w:t>
      </w:r>
    </w:p>
    <w:p w14:paraId="491AD6F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八、基金净值的确认</w:t>
      </w:r>
    </w:p>
    <w:p w14:paraId="174E58F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资产净值和各类基金份额净值由基金管理人负责计算，基金托管人负责进行复核。基金管理人应于每个工作日交易结束后计算当日的基金资产净值和各类基金份额净值并发送给基金托管人。基金托管人对净值计算结果复核确认后发送给基金管理人，由基金管理人对基金净值按约定予以公布。</w:t>
      </w:r>
    </w:p>
    <w:p w14:paraId="4EA2F9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九、特殊情况的处理</w:t>
      </w:r>
    </w:p>
    <w:p w14:paraId="507036B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1、基金管理人或基金托管人按估值方法的第1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项进行估值时，所造成的误差不作为基金资产估值错误处理。</w:t>
      </w:r>
    </w:p>
    <w:p w14:paraId="48BF045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由于不可抗力原因，或由于证券、期货交易所或登记结算公司及存款银行等第三方机构发送的数据错误等原因，基金管理人和基金托管人虽然已经采取必要、适当、合理的措施进行检查，但是未能发现该错误的，由此造成的基金资产估值错误，基金管理人和基金托管人免除赔偿责任。但基金管理人和基金托管人应当积极采取必要的措施消除或减轻由此造成的影响。</w:t>
      </w:r>
    </w:p>
    <w:p w14:paraId="6021DB4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十、实施侧袋机制期间的基金资产估值</w:t>
      </w:r>
    </w:p>
    <w:p w14:paraId="01635C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本基金实施侧袋机制的，应根据本部分的约定对主袋账户资产进行估值并披露主袋账户的</w:t>
      </w:r>
      <w:bookmarkStart w:id="17" w:name="_Hlk141694862"/>
      <w:r>
        <w:rPr>
          <w:rFonts w:ascii="Times New Roman" w:hAnsi="Times New Roman" w:eastAsia="宋体" w:cs="Times New Roman"/>
          <w:kern w:val="0"/>
          <w:sz w:val="24"/>
          <w:szCs w:val="24"/>
        </w:rPr>
        <w:t>基金净值信息</w:t>
      </w:r>
      <w:bookmarkEnd w:id="17"/>
      <w:r>
        <w:rPr>
          <w:rFonts w:ascii="Times New Roman" w:hAnsi="Times New Roman" w:eastAsia="宋体" w:cs="Times New Roman"/>
          <w:kern w:val="0"/>
          <w:sz w:val="24"/>
          <w:szCs w:val="24"/>
        </w:rPr>
        <w:t>，暂停披露侧袋账户基金净值信息。</w:t>
      </w:r>
    </w:p>
    <w:p w14:paraId="09FB7980">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7" w:type="default"/>
          <w:pgSz w:w="11906" w:h="16838"/>
          <w:pgMar w:top="1440" w:right="1800" w:bottom="1440" w:left="1800" w:header="851" w:footer="992" w:gutter="0"/>
          <w:pgNumType w:start="1"/>
          <w:cols w:space="425" w:num="1"/>
          <w:docGrid w:type="lines" w:linePitch="312" w:charSpace="0"/>
        </w:sectPr>
      </w:pPr>
    </w:p>
    <w:p w14:paraId="1608ECED">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18" w:name="_Toc471235852"/>
      <w:r>
        <w:rPr>
          <w:rFonts w:ascii="Times New Roman" w:hAnsi="Times New Roman" w:eastAsia="宋体" w:cs="Times New Roman"/>
          <w:kern w:val="0"/>
          <w:sz w:val="30"/>
          <w:lang w:val="zh-CN"/>
        </w:rPr>
        <w:t>第十五部分 基金费用与税收</w:t>
      </w:r>
      <w:bookmarkEnd w:id="18"/>
    </w:p>
    <w:p w14:paraId="18B2CF45">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787BA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一、基金费用的种类</w:t>
      </w:r>
    </w:p>
    <w:p w14:paraId="2C21DFD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1、基金管理人的管理费；</w:t>
      </w:r>
    </w:p>
    <w:p w14:paraId="38ACA0AA">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14:paraId="2293F11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3、C类基金份额的销售服务费；</w:t>
      </w:r>
    </w:p>
    <w:p w14:paraId="76A4AB72">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4、基金合同生效后与基金相关的信息披露费用，法律法规、中国证监会另有规定的除外；</w:t>
      </w:r>
    </w:p>
    <w:p w14:paraId="7302E6B6">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5、基金合同生效后与基金相关的会计师费、公证费、律师费、诉讼费和仲裁费；</w:t>
      </w:r>
    </w:p>
    <w:p w14:paraId="304185F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6、基金份额持有人大会费用；</w:t>
      </w:r>
    </w:p>
    <w:p w14:paraId="78BBE29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7、基金的证券、期货、期权交易费用；</w:t>
      </w:r>
    </w:p>
    <w:p w14:paraId="52BF09E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8、基金的银行汇划费用；</w:t>
      </w:r>
    </w:p>
    <w:p w14:paraId="4134D5B2">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9、账户开户费用、账户维护费用；</w:t>
      </w:r>
    </w:p>
    <w:p w14:paraId="606FFDFD">
      <w:pPr>
        <w:spacing w:line="360" w:lineRule="auto"/>
        <w:ind w:firstLine="480"/>
      </w:pPr>
      <w:r>
        <w:rPr>
          <w:rFonts w:ascii="Times New Roman" w:hAnsi="Times New Roman" w:eastAsia="宋体" w:cs="Times New Roman"/>
          <w:bCs/>
          <w:sz w:val="24"/>
          <w:szCs w:val="20"/>
        </w:rPr>
        <w:t>10、</w:t>
      </w:r>
      <w:r>
        <w:rPr>
          <w:rFonts w:hint="eastAsia" w:ascii="Times New Roman" w:hAnsi="Times New Roman" w:cs="Times New Roman"/>
          <w:bCs/>
          <w:sz w:val="24"/>
          <w:szCs w:val="20"/>
        </w:rPr>
        <w:t>基金投资目标ETF的相关费用；</w:t>
      </w:r>
    </w:p>
    <w:p w14:paraId="4A6341DE">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1</w:t>
      </w:r>
      <w:r>
        <w:rPr>
          <w:rFonts w:ascii="Times New Roman" w:hAnsi="Times New Roman" w:eastAsia="宋体" w:cs="Times New Roman"/>
          <w:bCs/>
          <w:sz w:val="24"/>
          <w:szCs w:val="20"/>
        </w:rPr>
        <w:t>、因投资港股通标的股票而产生的各项合理费用；</w:t>
      </w:r>
    </w:p>
    <w:p w14:paraId="29311BF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1</w:t>
      </w:r>
      <w:r>
        <w:rPr>
          <w:rFonts w:hint="eastAsia" w:ascii="Times New Roman" w:hAnsi="Times New Roman" w:eastAsia="宋体" w:cs="Times New Roman"/>
          <w:bCs/>
          <w:sz w:val="24"/>
          <w:szCs w:val="20"/>
        </w:rPr>
        <w:t>2</w:t>
      </w:r>
      <w:r>
        <w:rPr>
          <w:rFonts w:ascii="Times New Roman" w:hAnsi="Times New Roman" w:eastAsia="宋体" w:cs="Times New Roman"/>
          <w:bCs/>
          <w:sz w:val="24"/>
          <w:szCs w:val="20"/>
        </w:rPr>
        <w:t>、按照国家有关规定和基金合同约定，可以在基金财产中列支的其他费用。</w:t>
      </w:r>
    </w:p>
    <w:p w14:paraId="525495E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二、基金费用计提方法、计提标准和支付方式</w:t>
      </w:r>
    </w:p>
    <w:p w14:paraId="0699A81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1、基金管理人的管理费 </w:t>
      </w:r>
    </w:p>
    <w:p w14:paraId="11DC2523">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本基金的管理费按前一日基金资产净值的0.50%年费率计提。管理费的计算方法如下：</w:t>
      </w:r>
    </w:p>
    <w:p w14:paraId="72EB874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H＝E×0.50%÷当年</w:t>
      </w:r>
      <w:r>
        <w:rPr>
          <w:rFonts w:ascii="Times New Roman" w:hAnsi="Times New Roman" w:eastAsia="宋体" w:cs="Times New Roman"/>
          <w:bCs/>
          <w:sz w:val="24"/>
        </w:rPr>
        <w:t>实际</w:t>
      </w:r>
      <w:r>
        <w:rPr>
          <w:rFonts w:ascii="Times New Roman" w:hAnsi="Times New Roman" w:eastAsia="宋体" w:cs="Times New Roman"/>
          <w:bCs/>
          <w:sz w:val="24"/>
          <w:szCs w:val="20"/>
        </w:rPr>
        <w:t>天数</w:t>
      </w:r>
    </w:p>
    <w:p w14:paraId="3D89BA8D">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H为每日应计提的基金管理费</w:t>
      </w:r>
    </w:p>
    <w:p w14:paraId="3A2D2725">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E为前一日的基金资产净值</w:t>
      </w:r>
    </w:p>
    <w:p w14:paraId="1A6981B4">
      <w:pPr>
        <w:spacing w:line="360" w:lineRule="auto"/>
        <w:ind w:left="0" w:leftChars="0" w:firstLine="480" w:firstLineChars="0"/>
        <w:rPr>
          <w:rFonts w:hint="eastAsia" w:ascii="Times New Roman" w:hAnsi="Times New Roman" w:cs="Times New Roman"/>
          <w:bCs/>
          <w:sz w:val="24"/>
          <w:szCs w:val="20"/>
        </w:rPr>
      </w:pPr>
      <w:r>
        <w:rPr>
          <w:rFonts w:hint="eastAsia" w:ascii="Times New Roman" w:hAnsi="Times New Roman" w:cs="Times New Roman"/>
          <w:bCs/>
          <w:sz w:val="24"/>
          <w:szCs w:val="20"/>
        </w:rPr>
        <w:t>基金管理人对本基金投资组合中投资于目标ETF部分的基金资产净值不计提基金管理费。</w:t>
      </w:r>
    </w:p>
    <w:p w14:paraId="2D56AA38">
      <w:pPr>
        <w:spacing w:line="360" w:lineRule="auto"/>
        <w:ind w:left="0" w:leftChars="0" w:firstLine="480" w:firstLineChars="0"/>
        <w:rPr>
          <w:rFonts w:ascii="Times New Roman" w:hAnsi="Times New Roman" w:cs="Times New Roman"/>
          <w:bCs/>
          <w:sz w:val="24"/>
          <w:szCs w:val="20"/>
        </w:rPr>
      </w:pPr>
      <w:r>
        <w:rPr>
          <w:rFonts w:hint="eastAsia" w:ascii="Times New Roman" w:hAnsi="Times New Roman" w:cs="Times New Roman"/>
          <w:bCs/>
          <w:sz w:val="24"/>
          <w:szCs w:val="20"/>
        </w:rPr>
        <w:t>前一日的基金资产净值为已扣除本基金投资于目标ETF部分基金资产净值后的净额，金额为负时以零计。</w:t>
      </w:r>
    </w:p>
    <w:p w14:paraId="05D69B60">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基金管理费每日计提，逐日累计至每月月末，按月支付，经基金管理人与基金托管人双方核对无误后，基金托管人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于次月月初5个工作日内从基金财产中一次性支付给基金管理人。若遇法定节假日、公休假或不可抗力等，支付日期顺延。</w:t>
      </w:r>
    </w:p>
    <w:p w14:paraId="3036211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2、基金托管人的托管费</w:t>
      </w:r>
    </w:p>
    <w:p w14:paraId="65FE0EA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本基金的托管费按前一日基金资产净值的0.10%年费率计提。托管费的计算方法如下：</w:t>
      </w:r>
    </w:p>
    <w:p w14:paraId="672D76DC">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H＝E×0.10%÷当年</w:t>
      </w:r>
      <w:r>
        <w:rPr>
          <w:rFonts w:ascii="Times New Roman" w:hAnsi="Times New Roman" w:eastAsia="宋体" w:cs="Times New Roman"/>
          <w:bCs/>
          <w:sz w:val="24"/>
        </w:rPr>
        <w:t>实际</w:t>
      </w:r>
      <w:r>
        <w:rPr>
          <w:rFonts w:ascii="Times New Roman" w:hAnsi="Times New Roman" w:eastAsia="宋体" w:cs="Times New Roman"/>
          <w:bCs/>
          <w:sz w:val="24"/>
          <w:szCs w:val="20"/>
        </w:rPr>
        <w:t>天数</w:t>
      </w:r>
    </w:p>
    <w:p w14:paraId="4303621D">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H为每日应计提的基金托管费</w:t>
      </w:r>
    </w:p>
    <w:p w14:paraId="4DB6601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E为前一日的基金资产净值</w:t>
      </w:r>
    </w:p>
    <w:p w14:paraId="3DAB2EFD">
      <w:pPr>
        <w:spacing w:line="360" w:lineRule="auto"/>
        <w:ind w:firstLine="480"/>
        <w:rPr>
          <w:rFonts w:hint="eastAsia" w:ascii="Times New Roman" w:hAnsi="Times New Roman" w:cs="Times New Roman"/>
          <w:bCs/>
          <w:sz w:val="24"/>
          <w:szCs w:val="20"/>
        </w:rPr>
      </w:pPr>
      <w:r>
        <w:rPr>
          <w:rFonts w:hint="eastAsia" w:ascii="Times New Roman" w:hAnsi="Times New Roman" w:cs="Times New Roman"/>
          <w:bCs/>
          <w:sz w:val="24"/>
          <w:szCs w:val="20"/>
        </w:rPr>
        <w:t>基金托管人对本基金投资组合中投资于目标ETF部分的基金资产净值不计提基金托管费。</w:t>
      </w:r>
    </w:p>
    <w:p w14:paraId="41238DB5">
      <w:pPr>
        <w:spacing w:line="360" w:lineRule="auto"/>
        <w:ind w:firstLine="480"/>
        <w:rPr>
          <w:rFonts w:ascii="Times New Roman" w:hAnsi="Times New Roman" w:cs="Times New Roman"/>
          <w:bCs/>
          <w:sz w:val="24"/>
          <w:szCs w:val="20"/>
        </w:rPr>
      </w:pPr>
      <w:r>
        <w:rPr>
          <w:rFonts w:hint="eastAsia" w:ascii="Times New Roman" w:hAnsi="Times New Roman" w:cs="Times New Roman"/>
          <w:bCs/>
          <w:sz w:val="24"/>
          <w:szCs w:val="20"/>
        </w:rPr>
        <w:t>前一日的基金资产净值为已扣除本基金投资于目标ETF部分基金资产净值后的净额，金额为负时以零计。</w:t>
      </w:r>
    </w:p>
    <w:p w14:paraId="44A73050">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基金托管费每日计提，逐日累计至每月月末，按月支付，经基金管理人与基金托管人双方核对无误后，基金托管人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w:t>
      </w:r>
      <w:r>
        <w:rPr>
          <w:rFonts w:ascii="Times New Roman" w:hAnsi="Times New Roman" w:eastAsia="宋体" w:cs="Times New Roman"/>
          <w:bCs/>
          <w:sz w:val="24"/>
        </w:rPr>
        <w:t>付给基金托管人</w:t>
      </w:r>
      <w:r>
        <w:rPr>
          <w:rFonts w:ascii="Times New Roman" w:hAnsi="Times New Roman" w:eastAsia="宋体" w:cs="Times New Roman"/>
          <w:bCs/>
          <w:sz w:val="24"/>
          <w:szCs w:val="20"/>
        </w:rPr>
        <w:t>。若遇法定节假日、公休假或不可抗力等，支付日期顺延。</w:t>
      </w:r>
    </w:p>
    <w:p w14:paraId="12948FEA">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3、C类份额的销售服务费</w:t>
      </w:r>
    </w:p>
    <w:p w14:paraId="04F02A45">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本基金A类基金份额不收取销售服务费，C类基金份额的销售服务费年费率为0.30%。</w:t>
      </w:r>
    </w:p>
    <w:p w14:paraId="260B87F5">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本基金销售服务费按前一日C类基金资产净值的0.30%年费率计提。计算方法如下： </w:t>
      </w:r>
    </w:p>
    <w:p w14:paraId="75DD2CC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H＝E×0.30%÷当年</w:t>
      </w:r>
      <w:r>
        <w:rPr>
          <w:rFonts w:ascii="Times New Roman" w:hAnsi="Times New Roman" w:eastAsia="宋体" w:cs="Times New Roman"/>
          <w:bCs/>
          <w:sz w:val="24"/>
        </w:rPr>
        <w:t>实际</w:t>
      </w:r>
      <w:r>
        <w:rPr>
          <w:rFonts w:ascii="Times New Roman" w:hAnsi="Times New Roman" w:eastAsia="宋体" w:cs="Times New Roman"/>
          <w:bCs/>
          <w:sz w:val="24"/>
          <w:szCs w:val="20"/>
        </w:rPr>
        <w:t xml:space="preserve">天数 </w:t>
      </w:r>
    </w:p>
    <w:p w14:paraId="65D0D358">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H为C类基金份额每日应计提的销售服务费</w:t>
      </w:r>
    </w:p>
    <w:p w14:paraId="73D52F7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E为C类基金份额前一日基金资产净值</w:t>
      </w:r>
    </w:p>
    <w:p w14:paraId="3A451147">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基金销售服务费每日计提，逐日累计至每月月末，按月支付，经基金管理人与基金托管人双方核对无误后，基金托管人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于次月月初5个工作日内从基金财产中一次性支付</w:t>
      </w:r>
      <w:r>
        <w:rPr>
          <w:rFonts w:ascii="Times New Roman" w:hAnsi="Times New Roman" w:eastAsia="宋体" w:cs="Times New Roman"/>
          <w:bCs/>
          <w:sz w:val="24"/>
        </w:rPr>
        <w:t>给销售机构</w:t>
      </w:r>
      <w:r>
        <w:rPr>
          <w:rFonts w:ascii="Times New Roman" w:hAnsi="Times New Roman" w:eastAsia="宋体" w:cs="Times New Roman"/>
          <w:bCs/>
          <w:sz w:val="24"/>
          <w:szCs w:val="20"/>
        </w:rPr>
        <w:t>。若遇法定节假日、公休假或不可抗力等，支付日期顺延。</w:t>
      </w:r>
    </w:p>
    <w:p w14:paraId="7A2573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上述“一、基金费用的种类”中第4－1</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项费用，根据有关法规及相应协议规定，按费用实际支出金额列入当期费用，由基金托管人从基金财产中支付。</w:t>
      </w:r>
    </w:p>
    <w:p w14:paraId="011184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三、不列入基金费用的项目</w:t>
      </w:r>
    </w:p>
    <w:p w14:paraId="1962E70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下列费用不列入基金费用：</w:t>
      </w:r>
    </w:p>
    <w:p w14:paraId="649C6FE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1、基金管理人和基金托管人因未履行或未完全履行义务导致的费用支出或基金财产的损失；</w:t>
      </w:r>
    </w:p>
    <w:p w14:paraId="2AB9A9C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2、基金管理人和基金托管人处理与基金运作无关的事项发生的费用；</w:t>
      </w:r>
    </w:p>
    <w:p w14:paraId="31C466B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3、指数许可使用费</w:t>
      </w:r>
    </w:p>
    <w:p w14:paraId="73178D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本基金按照基金管理人与标的指数许可方所签订的指数使用许可协议中所规定的指数许可使用费计提方法支付指数许可使用费，该指数许可使用费由基金管理人承担，不得从基金财产中列支。</w:t>
      </w:r>
    </w:p>
    <w:p w14:paraId="5DB75CB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如果指数许可使用费的计算方法、费率、支付方式和费用承担方等发生调整，本基金将采用调整后的方法或费率计算指数许可使用费；</w:t>
      </w:r>
    </w:p>
    <w:p w14:paraId="23340C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4、《基金合同》生效前的相关费用</w:t>
      </w:r>
      <w:r>
        <w:rPr>
          <w:rFonts w:hint="eastAsia" w:ascii="宋体" w:hAnsi="宋体" w:eastAsia="宋体" w:cs="宋体"/>
          <w:sz w:val="24"/>
          <w:szCs w:val="24"/>
        </w:rPr>
        <w:t>根据《博时国证粮食产业指数型发起式证券投资基金基金合同》的约定执行</w:t>
      </w:r>
      <w:r>
        <w:rPr>
          <w:rFonts w:ascii="Times New Roman" w:hAnsi="Times New Roman" w:eastAsia="宋体" w:cs="Times New Roman"/>
          <w:kern w:val="0"/>
          <w:sz w:val="24"/>
          <w:szCs w:val="24"/>
        </w:rPr>
        <w:t>；</w:t>
      </w:r>
    </w:p>
    <w:p w14:paraId="735EB9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5、其他根据相关法律法规及中国证监会的有关规定不得列入基金费用的项目。</w:t>
      </w:r>
    </w:p>
    <w:p w14:paraId="3F016A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四、实施侧袋机制期间的基金费用</w:t>
      </w:r>
    </w:p>
    <w:p w14:paraId="7DB6DED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本基金实施侧袋机制的，与侧袋账户有关的费用可以从侧袋账户中列支，但应待侧袋账户资产变现后方可列支，有关费用可酌情收取或减免，但不得收取管理费，详见招募说明书的规定。</w:t>
      </w:r>
    </w:p>
    <w:p w14:paraId="465292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五、基金税收</w:t>
      </w:r>
    </w:p>
    <w:p w14:paraId="078781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基金运作过程中涉及的各纳税主体，其纳税义务按国家税收法律、法规执行。基金财产投资的相关税收，由基金份额持有人承担，基金管理人或者其他扣缴义务人按照国家有关税收征收的规定代扣代缴。</w:t>
      </w:r>
    </w:p>
    <w:p w14:paraId="4E65CB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本基金支付给基金管理人、基金托管人的各项费用均为含税价格，具体税率适用中国税务主管机关的规定。</w:t>
      </w:r>
    </w:p>
    <w:p w14:paraId="75F9E2DF">
      <w:pPr>
        <w:widowControl/>
        <w:ind w:firstLine="200"/>
        <w:rPr>
          <w:rFonts w:ascii="Times New Roman" w:hAnsi="Times New Roman" w:eastAsia="宋体" w:cs="Times New Roman"/>
          <w:kern w:val="0"/>
          <w:sz w:val="24"/>
          <w:szCs w:val="24"/>
        </w:rPr>
        <w:sectPr>
          <w:footerReference r:id="rId18" w:type="default"/>
          <w:pgSz w:w="11906" w:h="16838"/>
          <w:pgMar w:top="1440" w:right="1800" w:bottom="1440" w:left="1800" w:header="851" w:footer="992" w:gutter="0"/>
          <w:pgNumType w:start="1"/>
          <w:cols w:space="425" w:num="1"/>
          <w:docGrid w:type="lines" w:linePitch="312" w:charSpace="0"/>
        </w:sectPr>
      </w:pPr>
    </w:p>
    <w:p w14:paraId="3866A285">
      <w:pPr>
        <w:pStyle w:val="2"/>
        <w:spacing w:before="0" w:after="0" w:line="360" w:lineRule="auto"/>
        <w:ind w:firstLine="602" w:firstLineChars="200"/>
        <w:jc w:val="center"/>
        <w:rPr>
          <w:rFonts w:ascii="Times New Roman" w:hAnsi="Times New Roman" w:eastAsia="宋体" w:cs="Times New Roman"/>
          <w:kern w:val="0"/>
          <w:sz w:val="30"/>
        </w:rPr>
      </w:pPr>
      <w:bookmarkStart w:id="19" w:name="_Toc471235853"/>
      <w:r>
        <w:rPr>
          <w:rFonts w:ascii="Times New Roman" w:hAnsi="Times New Roman" w:eastAsia="宋体" w:cs="Times New Roman"/>
          <w:kern w:val="0"/>
          <w:sz w:val="30"/>
          <w:lang w:val="zh-CN"/>
        </w:rPr>
        <w:t>第十六部分</w:t>
      </w:r>
      <w:r>
        <w:rPr>
          <w:rFonts w:ascii="Times New Roman" w:hAnsi="Times New Roman" w:eastAsia="宋体" w:cs="Times New Roman"/>
          <w:kern w:val="0"/>
          <w:sz w:val="30"/>
        </w:rPr>
        <w:t xml:space="preserve"> </w:t>
      </w:r>
      <w:r>
        <w:rPr>
          <w:rFonts w:ascii="Times New Roman" w:hAnsi="Times New Roman" w:eastAsia="宋体" w:cs="Times New Roman"/>
          <w:kern w:val="0"/>
          <w:sz w:val="30"/>
          <w:lang w:val="zh-CN"/>
        </w:rPr>
        <w:t>基金的收益与分配</w:t>
      </w:r>
      <w:bookmarkEnd w:id="19"/>
    </w:p>
    <w:p w14:paraId="4F8854E1">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302CB8F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一、基金利润的构成</w:t>
      </w:r>
    </w:p>
    <w:p w14:paraId="21F4B81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基金利润指基金利息收入、投资收益、公允价值变动收益和其他收入扣除相关费用后的余额，基金已实现收益指基金利润减去公允价值变动收益后的余额。</w:t>
      </w:r>
    </w:p>
    <w:p w14:paraId="64BB58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二、基金可供分配利润</w:t>
      </w:r>
    </w:p>
    <w:p w14:paraId="0F96BA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基金可供分配利润指截至收益分配基准日基金未分配利润与未分配利润中已实现收益的孰低数。</w:t>
      </w:r>
    </w:p>
    <w:p w14:paraId="25A71E3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三、基金收益分配原则</w:t>
      </w:r>
    </w:p>
    <w:p w14:paraId="56F0395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1、由于本基金A类基金份额不收取销售服务费，而C类基金份额收取销售服务费，各基金份额类别对应的可供分配利润将有所不同，本基金同一类别的每一基金份额享有同等分配权；</w:t>
      </w:r>
    </w:p>
    <w:p w14:paraId="21970BC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1AA74C2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3、基金收益分配后各类基金份额净值不能低于面值，即基金收益分配基准日的各类基金份额净值减去每单位该类基金份额收益分配金额后不能低于面值；</w:t>
      </w:r>
    </w:p>
    <w:p w14:paraId="1ADA17F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4、法律法规或监管机关另有规定的，从其规定。</w:t>
      </w:r>
    </w:p>
    <w:p w14:paraId="68AFF2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3A4EDAF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四、收益分配方案</w:t>
      </w:r>
    </w:p>
    <w:p w14:paraId="3E5FF58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基金收益分配方案中应载明截至收益分配基准日的可供分配利润、基金收益分配对象、分配时间、分配数额及比例、分配方式等内容。</w:t>
      </w:r>
    </w:p>
    <w:p w14:paraId="723DC19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五、收益分配方案的确定、公告与实施</w:t>
      </w:r>
    </w:p>
    <w:p w14:paraId="10AEDAA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本基金收益分配方案由基金管理人拟定，并由基金托管人复核，按规定在规定媒介公告。</w:t>
      </w:r>
    </w:p>
    <w:p w14:paraId="091BEA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六、基金收益分配中发生的费用</w:t>
      </w:r>
    </w:p>
    <w:p w14:paraId="207F90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收益分配时所发生的银行转账或其他手续费用由投资者自行承担。当投资者的现金红利小于一定金额，不足以支付银行转账或其他手续费用时，基金登记机构可将基金份额持有人的现金红利自动转为相应类别的基金份额。红利再投资的计算方法，依照《业务规则》执行。</w:t>
      </w:r>
    </w:p>
    <w:p w14:paraId="7E0C5D1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七、实施侧袋机制期间的收益分配</w:t>
      </w:r>
    </w:p>
    <w:p w14:paraId="3CADDCC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本基金实施侧袋机制的，侧袋账户不进行收益分配，详见招募说明书的规定。</w:t>
      </w:r>
    </w:p>
    <w:p w14:paraId="61BE3310">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19" w:type="default"/>
          <w:pgSz w:w="11906" w:h="16838"/>
          <w:pgMar w:top="1440" w:right="1800" w:bottom="1440" w:left="1800" w:header="851" w:footer="992" w:gutter="0"/>
          <w:pgNumType w:start="1"/>
          <w:cols w:space="425" w:num="1"/>
          <w:docGrid w:type="lines" w:linePitch="312" w:charSpace="0"/>
        </w:sectPr>
      </w:pPr>
    </w:p>
    <w:p w14:paraId="54D09C55">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0" w:name="_Toc471235854"/>
      <w:r>
        <w:rPr>
          <w:rFonts w:ascii="Times New Roman" w:hAnsi="Times New Roman" w:eastAsia="宋体" w:cs="Times New Roman"/>
          <w:kern w:val="0"/>
          <w:sz w:val="30"/>
          <w:lang w:val="zh-CN"/>
        </w:rPr>
        <w:t>第十七部分 基金的会计与审计</w:t>
      </w:r>
      <w:bookmarkEnd w:id="20"/>
    </w:p>
    <w:p w14:paraId="71CE3918">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33E3C75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一、基金会计政策</w:t>
      </w:r>
    </w:p>
    <w:p w14:paraId="03BB037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1、基金管理人为本基金的基金会计责任方；</w:t>
      </w:r>
    </w:p>
    <w:p w14:paraId="6F9DFE1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2、基金的会计年度为公历年度的1月1日至12月31日；</w:t>
      </w:r>
    </w:p>
    <w:p w14:paraId="46BFA5E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3、基金核算以人民币为记账本位币，以人民币元为记账单位；</w:t>
      </w:r>
    </w:p>
    <w:p w14:paraId="1991C5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4、会计制度执行国家有关会计制度；</w:t>
      </w:r>
    </w:p>
    <w:p w14:paraId="237E3A4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5、本基金独立建账、独立核算；</w:t>
      </w:r>
    </w:p>
    <w:p w14:paraId="21F9423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6、基金管理人及基金托管人各自保留完整的会计账目、凭证并进行日常的会计核算，按照有关规定编制基金会计报表；</w:t>
      </w:r>
    </w:p>
    <w:p w14:paraId="4F5208C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7、基金托管人每月与基金管理人就基金的会计核算、报表编制等进行核对并以书面方式确认。</w:t>
      </w:r>
    </w:p>
    <w:p w14:paraId="2F305F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二、基金的年度审计</w:t>
      </w:r>
    </w:p>
    <w:p w14:paraId="3F17FDB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1、基金管理人聘请与基金管理人、基金托管人相互独立且符合《中华人民共和国证券法》规定的会计师事务所及其注册会计师对本基金的年度财务报表进行审计。</w:t>
      </w:r>
    </w:p>
    <w:p w14:paraId="79F07C9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2、会计师事务所更换经办注册会计师，应事先征得基金管理人同意。</w:t>
      </w:r>
    </w:p>
    <w:p w14:paraId="6C39AFF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3、基金管理人认为有充足理由更换会计师事务所，须通报基金托管人。更换会计师事务所需按规定在规定媒介公告。</w:t>
      </w:r>
    </w:p>
    <w:p w14:paraId="44FCAE51">
      <w:pPr>
        <w:ind w:firstLine="200"/>
        <w:rPr>
          <w:rFonts w:ascii="Times New Roman" w:hAnsi="Times New Roman" w:eastAsia="宋体" w:cs="Times New Roman"/>
        </w:rPr>
      </w:pPr>
    </w:p>
    <w:p w14:paraId="3400DB2A">
      <w:pPr>
        <w:widowControl/>
        <w:ind w:firstLine="200"/>
        <w:rPr>
          <w:rFonts w:ascii="Times New Roman" w:hAnsi="Times New Roman" w:eastAsia="宋体" w:cs="Times New Roman"/>
          <w:b/>
          <w:kern w:val="0"/>
          <w:sz w:val="30"/>
          <w:szCs w:val="30"/>
          <w:lang w:val="zh-CN"/>
        </w:rPr>
        <w:sectPr>
          <w:footerReference r:id="rId20" w:type="default"/>
          <w:pgSz w:w="11906" w:h="16838"/>
          <w:pgMar w:top="1440" w:right="1800" w:bottom="1440" w:left="1800" w:header="851" w:footer="992" w:gutter="0"/>
          <w:pgNumType w:start="1"/>
          <w:cols w:space="425" w:num="1"/>
          <w:docGrid w:type="lines" w:linePitch="312" w:charSpace="0"/>
        </w:sectPr>
      </w:pPr>
    </w:p>
    <w:p w14:paraId="5C562D4B">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1" w:name="_Toc471235855"/>
      <w:r>
        <w:rPr>
          <w:rFonts w:ascii="Times New Roman" w:hAnsi="Times New Roman" w:eastAsia="宋体" w:cs="Times New Roman"/>
          <w:kern w:val="0"/>
          <w:sz w:val="30"/>
          <w:lang w:val="zh-CN"/>
        </w:rPr>
        <w:t>第十八部分 基金的信息披露</w:t>
      </w:r>
      <w:bookmarkEnd w:id="21"/>
    </w:p>
    <w:p w14:paraId="14528C86">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52CF598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一、本基金的信息披露应符合《基金法》、《运作办法》、《信息披露办法》、《流动性风险管理规定》、《基金合同》及其他有关规定。相关法律法规关于信息披露的规定发生变化时，本基金从其最新规定。</w:t>
      </w:r>
    </w:p>
    <w:p w14:paraId="5A51EE5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二、信息披露义务人</w:t>
      </w:r>
    </w:p>
    <w:p w14:paraId="23F41BF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本基金信息披露义务人包括基金管理人、基金托管人、召集基金份额持有人大会的基金份额持有人等法律法规和中国证监会规定的自然人、法人和非法人组织。</w:t>
      </w:r>
    </w:p>
    <w:p w14:paraId="0682616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本基金信息披露义务人以保护基金份额持有人利益为根本出发点，按照法律法规和中国证监会的规定披露基金信息，并保证所披露信息的真实性、准确性、完整性、及时性、简明性和易得性。</w:t>
      </w:r>
    </w:p>
    <w:p w14:paraId="75572B4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信息披露义务人应当在中国证监会规定时间内，将应予披露的基金信息通过符合中国证监会规定条件的全国性报刊（以下简称“规定报刊”）和《信息披露办法》规定的互联网网站（以下简称“规定网站”，包括基金管理人网站、基金托管人网站、中国证监会基金电子披露网站）等媒介披露，并保证基金投资者能够按照《基金合同》约定的时间和方式查阅或者复制公开披露的信息资料。</w:t>
      </w:r>
    </w:p>
    <w:p w14:paraId="74CF74A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三、本基金信息披露义务人承诺公开披露的基金信息，不得有下列行为：</w:t>
      </w:r>
    </w:p>
    <w:p w14:paraId="2D9809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1、虚假记载、误导性陈述或者重大遗漏；</w:t>
      </w:r>
    </w:p>
    <w:p w14:paraId="4D15B7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2、对证券投资业绩进行预测；</w:t>
      </w:r>
    </w:p>
    <w:p w14:paraId="520AFF4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3、违规承诺收益或者承担损失；</w:t>
      </w:r>
    </w:p>
    <w:p w14:paraId="30C8486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4、诋毁其他基金管理人、基金托管人或者基金销售机构；</w:t>
      </w:r>
    </w:p>
    <w:p w14:paraId="7A0FD08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5、登载任何自然人、法人和非法人组织的祝贺性、恭维性或推荐性文字；</w:t>
      </w:r>
    </w:p>
    <w:p w14:paraId="50A88C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6、中国证监会禁止的其他行为。</w:t>
      </w:r>
    </w:p>
    <w:p w14:paraId="793BBD3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四、本基金公开披露的信息应采用中文文本。如同时采用外文文本的，基金信息披露义务人应保证不同文本的内容一致。不同文本之间发生歧义的，以中文文本为准。</w:t>
      </w:r>
    </w:p>
    <w:p w14:paraId="23099DB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本基金公开披露的信息采用阿拉伯数字；除特别说明外，货币单位为人民币元。</w:t>
      </w:r>
    </w:p>
    <w:p w14:paraId="0E88A32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五、公开披露的基金信息</w:t>
      </w:r>
    </w:p>
    <w:p w14:paraId="75A82E1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公开披露的基金信息包括：</w:t>
      </w:r>
    </w:p>
    <w:p w14:paraId="3F5B183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（一）基金招募说明书、基金产品资料概要、《基金合同》、基金托管协议</w:t>
      </w:r>
    </w:p>
    <w:p w14:paraId="1F2146E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1、《基金合同》是界定《基金合同》当事人的各项权利、义务关系，明确基金份额持有人大会召开的规则及具体程序，说明基金产品的特性等涉及基金投资者重大利益的事项的法律文件。</w:t>
      </w:r>
    </w:p>
    <w:p w14:paraId="3026E9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2、基金招募说明书应当最大限度地披露影响基金投资者决策的全部事项，说明基金申购和赎回安排、基金投资、基金产品特性、风险揭示、信息披露及基金份额持有人服务等内容。</w:t>
      </w:r>
    </w:p>
    <w:p w14:paraId="47786A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产品资料概要是基金招募说明书的摘要文件，用于向投资者提供简明的基金概要信息。基金管理人应当依照法律法规和中国证监会的规定编制、披露与更新基金产品资料概要。基金合同生效后，基金招募说明书、基金产品资料概要的信息发生重大变更的，基金管理人应当在三个工作日内，更新基金招募说明书和基金产品资料概要，并登载在规定网站上，其中基金产品资料概要还应当登载在基金销售机构网站或营业网点。除此之外，基金招募说明书、基金产品资料概要其他信息发生变更的，基金管理人至少每年更新一次。</w:t>
      </w:r>
    </w:p>
    <w:p w14:paraId="6BBE85D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基金终止运作的，除基金合同另有约定外，基金管理人可以不再更新基金招募说明书和基金产品资料概要。</w:t>
      </w:r>
    </w:p>
    <w:p w14:paraId="24662A9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3、基金托管协议是界定基金托管人和基金管理人在基金财产保管及基金运作监督等活动中的权利、义务关系的法律文件。</w:t>
      </w:r>
    </w:p>
    <w:p w14:paraId="0E1C0A8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二</w:t>
      </w:r>
      <w:r>
        <w:rPr>
          <w:rFonts w:ascii="Times New Roman" w:hAnsi="Times New Roman" w:eastAsia="宋体" w:cs="Times New Roman"/>
          <w:kern w:val="0"/>
          <w:sz w:val="24"/>
          <w:szCs w:val="24"/>
        </w:rPr>
        <w:t>）基金净值信息</w:t>
      </w:r>
    </w:p>
    <w:p w14:paraId="2AC7F77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《基金合同》生效后，在开始办理基金份额申购或者赎回前，基金管理人应当至少每周在规定网站公告一次各类基金份额净值和各类基金份额累计净值。</w:t>
      </w:r>
    </w:p>
    <w:p w14:paraId="4F3378C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在开始办理基金份额申购或者赎回后，基金管理人应当在不晚于每个开放日的次日，通过规定网站、基金销售机构网站或者营业网点披露开放日的各类基金份额净值和各类基金份额累计净值。</w:t>
      </w:r>
    </w:p>
    <w:p w14:paraId="127F5C4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基金管理人应当在不晚于半年度和年度最后一日的次日， 在规定网站公告半年度和年度最后一日各类基金份额净值和各类基金份额累计净值。</w:t>
      </w:r>
    </w:p>
    <w:p w14:paraId="1A43A98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）基金份额申购、赎回价格</w:t>
      </w:r>
    </w:p>
    <w:p w14:paraId="354976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基金管理人应当在《基金合同》、招募说明书等信息披露文件上载明基金份额申购、赎回价格的计算方式及有关申购、赎回费率，并保证投资者能够在基金销售机构网站或者营业网点查阅或者复制前述信息资料。</w:t>
      </w:r>
    </w:p>
    <w:p w14:paraId="224CF59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四</w:t>
      </w:r>
      <w:r>
        <w:rPr>
          <w:rFonts w:ascii="Times New Roman" w:hAnsi="Times New Roman" w:eastAsia="宋体" w:cs="Times New Roman"/>
          <w:kern w:val="0"/>
          <w:sz w:val="24"/>
          <w:szCs w:val="24"/>
        </w:rPr>
        <w:t>）基金定期报告，包括基金年度报告、基金中期报告和基金季度报告（含资产组合季度报告）</w:t>
      </w:r>
    </w:p>
    <w:p w14:paraId="400BB58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每年结束之日起三个月内，编制完成基金年度报告，将年度报告登载于规定网站上，并将年度报告提示性公告登载在规定报刊上。基金年度报告中的财务会计报告应当经过符合《中华人民共和国证券法》规定的会计师事务所审计。</w:t>
      </w:r>
    </w:p>
    <w:p w14:paraId="7B5F0E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基金管理人应当在上半年结束之日起两个月内，编制完成基金中期报告，将中期报告登载在规定网站上，并将中期报告提示性公告登载在规定报刊上。</w:t>
      </w:r>
    </w:p>
    <w:p w14:paraId="75E1F3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基金管理人应当在季度结束之日起15个工作日内，编制完成基金季度报告，将季度报告登载在规定网站上，并将季度报告提示性公告登载在规定报刊上。</w:t>
      </w:r>
    </w:p>
    <w:p w14:paraId="150A28F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14:paraId="06E8316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基金管理人应当在基金年度报告和中期报告中披露基金组合资产情况及其流动性风险分析等。</w:t>
      </w:r>
    </w:p>
    <w:p w14:paraId="4614DC2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五</w:t>
      </w:r>
      <w:r>
        <w:rPr>
          <w:rFonts w:ascii="Times New Roman" w:hAnsi="Times New Roman" w:eastAsia="宋体" w:cs="Times New Roman"/>
          <w:kern w:val="0"/>
          <w:sz w:val="24"/>
          <w:szCs w:val="24"/>
        </w:rPr>
        <w:t>）临时报告</w:t>
      </w:r>
    </w:p>
    <w:p w14:paraId="7FB9AE9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本基金发生重大事件，有关信息披露义务人应当按规定编制临时报告书，并登载在规定报刊和规定网站上。</w:t>
      </w:r>
    </w:p>
    <w:p w14:paraId="54A31EA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前款所称重大事件，是指可能对基金份额持有人权益或者基金份额的价格产生重大影响的下列事件：</w:t>
      </w:r>
    </w:p>
    <w:p w14:paraId="5A6590F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1、基金份额持有人大会的召开及决定的事项；</w:t>
      </w:r>
    </w:p>
    <w:p w14:paraId="623EAC4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2、《基金合同》终止、基金清算；</w:t>
      </w:r>
    </w:p>
    <w:p w14:paraId="264179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3、转换基金运作方式、基金合并；</w:t>
      </w:r>
    </w:p>
    <w:p w14:paraId="19E456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4、更换基金管理人、基金托管人；</w:t>
      </w:r>
    </w:p>
    <w:p w14:paraId="6967F7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5、基金管理人委托基金服务机构代为办理基金的份额登记、核算、估值等事项，基金托管人委托基金服务机构代为办理基金的核算、估值、复核等事项；</w:t>
      </w:r>
    </w:p>
    <w:p w14:paraId="7D6AE3D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6、基金管理人、基金托管人的法定名称、住所发生变更；</w:t>
      </w:r>
    </w:p>
    <w:p w14:paraId="1706672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7、基金管理人变更持有百分之五以上股权的股东、变更基金管理人的实际控制人；</w:t>
      </w:r>
    </w:p>
    <w:p w14:paraId="6492ED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8、基金管理人高级管理人员、基金经理和基金托管人专门基金托管部门负责人发生变动；</w:t>
      </w:r>
    </w:p>
    <w:p w14:paraId="2CBF509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、基金管理人的董事在最近12个月内变更超过百分之五十；</w:t>
      </w:r>
    </w:p>
    <w:p w14:paraId="7CA476A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0</w:t>
      </w:r>
      <w:r>
        <w:rPr>
          <w:rFonts w:ascii="Times New Roman" w:hAnsi="Times New Roman" w:eastAsia="宋体" w:cs="Times New Roman"/>
          <w:kern w:val="0"/>
          <w:sz w:val="24"/>
          <w:szCs w:val="24"/>
        </w:rPr>
        <w:t>、基金管理人、基金托管人专门基金托管部门的主要业务人员在最近12个月内变动超过百分之三十；</w:t>
      </w:r>
    </w:p>
    <w:p w14:paraId="0ECA8FF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 xml:space="preserve">、涉及基金管理业务、基金财产、基金托管业务的诉讼或仲裁； </w:t>
      </w:r>
    </w:p>
    <w:p w14:paraId="6594A23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、基金管理人或其高级管理人员、基金经理因基金管理业务相关行为受到重大行政处罚、刑事处罚，基金托管人或其专门基金托管部门负责人因基金托管业务相关行为受到重大行政处罚、刑事处罚；</w:t>
      </w:r>
    </w:p>
    <w:p w14:paraId="34094C2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基金管理人运用基金财产买卖基金管理人、基金托管人及其控股股东、实际控制人或者与其有重大利害关系的公司发行的证券或者承销期内承销的证券，或者从事其他重大关联交易事项，中国证监会另有规定的情形除外；</w:t>
      </w:r>
    </w:p>
    <w:p w14:paraId="2E20B13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、基金收益分配事项；</w:t>
      </w:r>
    </w:p>
    <w:p w14:paraId="7D149EB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、管理费、托管费、销售服务费、申购费、赎回费等费用计提标准、计提方式和费率发生变更；</w:t>
      </w:r>
    </w:p>
    <w:p w14:paraId="447F2F7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、任一类基金份额净值计价错误达该类基金份额净值百分之零点五；</w:t>
      </w:r>
    </w:p>
    <w:p w14:paraId="3A66F36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、基金改聘会计师事务所；</w:t>
      </w:r>
    </w:p>
    <w:p w14:paraId="08A53A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、更换基金登记机构；</w:t>
      </w:r>
    </w:p>
    <w:p w14:paraId="4138042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19</w:t>
      </w:r>
      <w:r>
        <w:rPr>
          <w:rFonts w:ascii="Times New Roman" w:hAnsi="Times New Roman" w:eastAsia="宋体" w:cs="Times New Roman"/>
          <w:kern w:val="0"/>
          <w:sz w:val="24"/>
          <w:szCs w:val="24"/>
        </w:rPr>
        <w:t>、本基金开始办理申购、赎回；</w:t>
      </w:r>
    </w:p>
    <w:p w14:paraId="68D57BE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0</w:t>
      </w:r>
      <w:r>
        <w:rPr>
          <w:rFonts w:ascii="Times New Roman" w:hAnsi="Times New Roman" w:eastAsia="宋体" w:cs="Times New Roman"/>
          <w:kern w:val="0"/>
          <w:sz w:val="24"/>
          <w:szCs w:val="24"/>
        </w:rPr>
        <w:t>、本基金发生巨额赎回并延期办理；</w:t>
      </w:r>
    </w:p>
    <w:p w14:paraId="3349FE4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1</w:t>
      </w:r>
      <w:r>
        <w:rPr>
          <w:rFonts w:ascii="Times New Roman" w:hAnsi="Times New Roman" w:eastAsia="宋体" w:cs="Times New Roman"/>
          <w:kern w:val="0"/>
          <w:sz w:val="24"/>
          <w:szCs w:val="24"/>
        </w:rPr>
        <w:t>、本基金连续发生巨额赎回并暂停接受赎回申请或延缓支付赎回款项；</w:t>
      </w:r>
    </w:p>
    <w:p w14:paraId="7CEE9FE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2</w:t>
      </w:r>
      <w:r>
        <w:rPr>
          <w:rFonts w:ascii="Times New Roman" w:hAnsi="Times New Roman" w:eastAsia="宋体" w:cs="Times New Roman"/>
          <w:kern w:val="0"/>
          <w:sz w:val="24"/>
          <w:szCs w:val="24"/>
        </w:rPr>
        <w:t>、本基金暂停接受申购、赎回申请或重新接受申购、赎回申请；</w:t>
      </w:r>
    </w:p>
    <w:p w14:paraId="3CDC02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、发生涉及基金申购、赎回事项调整或潜在影响投资者赎回等重大事项时；</w:t>
      </w:r>
    </w:p>
    <w:p w14:paraId="37FCE3B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、基金管理人采用摆动定价机制进行估值；</w:t>
      </w:r>
    </w:p>
    <w:p w14:paraId="3EC2F564">
      <w:pPr>
        <w:autoSpaceDE w:val="0"/>
        <w:autoSpaceDN w:val="0"/>
        <w:adjustRightInd w:val="0"/>
        <w:spacing w:line="360" w:lineRule="auto"/>
        <w:ind w:firstLine="480" w:firstLineChars="200"/>
        <w:rPr>
          <w:rFonts w:hint="eastAsia" w:cs="宋体" w:asciiTheme="minorEastAsia" w:hAnsiTheme="minorEastAsia"/>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w:t>
      </w:r>
      <w:r>
        <w:rPr>
          <w:rFonts w:hint="eastAsia" w:cs="宋体" w:asciiTheme="minorEastAsia" w:hAnsiTheme="minorEastAsia"/>
          <w:kern w:val="0"/>
          <w:sz w:val="24"/>
          <w:szCs w:val="24"/>
        </w:rPr>
        <w:t>变更目标</w:t>
      </w:r>
      <w:r>
        <w:rPr>
          <w:rFonts w:cs="宋体" w:asciiTheme="minorEastAsia" w:hAnsiTheme="minorEastAsia"/>
          <w:kern w:val="0"/>
          <w:sz w:val="24"/>
          <w:szCs w:val="24"/>
        </w:rPr>
        <w:t>ETF</w:t>
      </w:r>
      <w:r>
        <w:rPr>
          <w:rFonts w:hint="eastAsia" w:cs="宋体" w:asciiTheme="minorEastAsia" w:hAnsiTheme="minorEastAsia"/>
          <w:kern w:val="0"/>
          <w:sz w:val="24"/>
          <w:szCs w:val="24"/>
        </w:rPr>
        <w:t>；</w:t>
      </w:r>
    </w:p>
    <w:p w14:paraId="353D039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26、</w:t>
      </w:r>
      <w:r>
        <w:rPr>
          <w:rFonts w:ascii="Times New Roman" w:hAnsi="Times New Roman" w:eastAsia="宋体" w:cs="Times New Roman"/>
          <w:kern w:val="0"/>
          <w:sz w:val="24"/>
          <w:szCs w:val="24"/>
        </w:rPr>
        <w:t>调整基金份额类别的设置；</w:t>
      </w:r>
    </w:p>
    <w:p w14:paraId="4FB5B8D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7</w:t>
      </w:r>
      <w:r>
        <w:rPr>
          <w:rFonts w:ascii="Times New Roman" w:hAnsi="Times New Roman" w:eastAsia="宋体" w:cs="Times New Roman"/>
          <w:kern w:val="0"/>
          <w:sz w:val="24"/>
          <w:szCs w:val="24"/>
        </w:rPr>
        <w:t>、基金推出新业务或服务；</w:t>
      </w:r>
    </w:p>
    <w:p w14:paraId="1FE926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、《基金合同》生效三年后继续存续的，连续30个工作日、40个工作日及45个工作日出现基金份额持有人数量不满二百人或者基金资产净值低于五千万元情形的；</w:t>
      </w:r>
    </w:p>
    <w:p w14:paraId="04B8E21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w:t>
      </w: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、基金信息披露义务人认为可能对基金份额持有人权益或者基金份额的价格产生重大影响的其他事项或中国证监会规定的和基金合同约定的其他事项。</w:t>
      </w:r>
    </w:p>
    <w:p w14:paraId="02B63FA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六</w:t>
      </w:r>
      <w:r>
        <w:rPr>
          <w:rFonts w:ascii="Times New Roman" w:hAnsi="Times New Roman" w:eastAsia="宋体" w:cs="Times New Roman"/>
          <w:kern w:val="0"/>
          <w:sz w:val="24"/>
          <w:szCs w:val="24"/>
        </w:rPr>
        <w:t>）澄清公告</w:t>
      </w:r>
    </w:p>
    <w:p w14:paraId="66A8601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w:t>
      </w:r>
    </w:p>
    <w:p w14:paraId="7590F17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七</w:t>
      </w:r>
      <w:r>
        <w:rPr>
          <w:rFonts w:ascii="Times New Roman" w:hAnsi="Times New Roman" w:eastAsia="宋体" w:cs="Times New Roman"/>
          <w:kern w:val="0"/>
          <w:sz w:val="24"/>
          <w:szCs w:val="24"/>
        </w:rPr>
        <w:t>）清算报告</w:t>
      </w:r>
    </w:p>
    <w:p w14:paraId="09BDF7E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基金终止运作的，基金管理人应当依法组织基金财产清算小组对基金财产进行清算并作出清算报告。基金财产清算小组应当将清算报告登载在规定网站上，并将清算报告提示性公告登载在规定报刊上。</w:t>
      </w:r>
    </w:p>
    <w:p w14:paraId="480F60F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八）基金份额持有人大会决议</w:t>
      </w:r>
    </w:p>
    <w:p w14:paraId="6DB7F4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w:t>
      </w:r>
      <w:r>
        <w:rPr>
          <w:rFonts w:ascii="Times New Roman" w:hAnsi="Times New Roman" w:eastAsia="宋体" w:cs="Times New Roman"/>
          <w:kern w:val="0"/>
          <w:sz w:val="24"/>
          <w:szCs w:val="24"/>
        </w:rPr>
        <w:t>份额持有人大会决定的事项，应当依法报中国证监会备案，并予以公告。</w:t>
      </w:r>
    </w:p>
    <w:p w14:paraId="1797F7F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w:t>
      </w:r>
      <w:r>
        <w:rPr>
          <w:rFonts w:hint="eastAsia" w:ascii="Times New Roman" w:hAnsi="Times New Roman" w:eastAsia="宋体" w:cs="Times New Roman"/>
          <w:kern w:val="0"/>
          <w:sz w:val="24"/>
          <w:szCs w:val="24"/>
        </w:rPr>
        <w:t>九</w:t>
      </w:r>
      <w:r>
        <w:rPr>
          <w:rFonts w:ascii="Times New Roman" w:hAnsi="Times New Roman" w:eastAsia="宋体" w:cs="Times New Roman"/>
          <w:kern w:val="0"/>
          <w:sz w:val="24"/>
          <w:szCs w:val="24"/>
        </w:rPr>
        <w:t>）投资股指期货、国债期货、股票期权的信息披露</w:t>
      </w:r>
    </w:p>
    <w:p w14:paraId="37F027F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基金季度报告、基金中期报告、基金年度报告等定期报告和招募说明书（更新）等文件中披露股指期货、国债期货、股票期权交易情况，包括交易政策、持仓情况、损益情况、风险指标等，并充分揭示股指期货、国债期货、股票期权交易对基金总体风险的影响以及是否符合既定的投资政策和投资目标等。</w:t>
      </w:r>
    </w:p>
    <w:p w14:paraId="56A0C7A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（十）投资资产支持证券的信息披露</w:t>
      </w:r>
    </w:p>
    <w:p w14:paraId="34D149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在基金年度报告及中期报告中披露其持有的资产支持证券总额、资产支持证券市值占基金净资产的比例和报告期内所有的资产支持证券明细。基金管理人应在基金季度报告中披露其持有的资产支持证券总额、资产支持证券市值占基金净资产的比例和报告期末按市值占基金净资产比例大小排序的前10名资产支持证券明细。</w:t>
      </w:r>
    </w:p>
    <w:p w14:paraId="6E2CEEC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一</w:t>
      </w:r>
      <w:r>
        <w:rPr>
          <w:rFonts w:ascii="Times New Roman" w:hAnsi="Times New Roman" w:eastAsia="宋体" w:cs="Times New Roman"/>
          <w:kern w:val="0"/>
          <w:sz w:val="24"/>
          <w:szCs w:val="24"/>
        </w:rPr>
        <w:t>）投资港股通标的股票的信息披露</w:t>
      </w:r>
    </w:p>
    <w:p w14:paraId="3B8388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在季度报告、中期报告、年度报告等定期报告和招募说明书（更新）等文件中按届时有效的法律法规或监管机构的要求披露本基金参与港股通标的股票交易的相关情况。若中国证监会对公开募集证券投资基金投资港股通标的股票的信息披露另有规定的，从其规定。</w:t>
      </w:r>
    </w:p>
    <w:p w14:paraId="035D0F9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二</w:t>
      </w:r>
      <w:r>
        <w:rPr>
          <w:rFonts w:ascii="Times New Roman" w:hAnsi="Times New Roman" w:eastAsia="宋体" w:cs="Times New Roman"/>
          <w:kern w:val="0"/>
          <w:sz w:val="24"/>
          <w:szCs w:val="24"/>
        </w:rPr>
        <w:t>）投资非公开发行股票的信息披露</w:t>
      </w:r>
    </w:p>
    <w:p w14:paraId="484FC77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基金管理人应在基金投资非公开发行股票后两个交易日内，在中国证监会规定媒介披露所投资非公开发行股票的名称、数量、总成本、账面价值，以及总成本和账面价值占基金资产净值的比例、锁定期等信息。</w:t>
      </w:r>
    </w:p>
    <w:p w14:paraId="59E7528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三</w:t>
      </w:r>
      <w:r>
        <w:rPr>
          <w:rFonts w:ascii="Times New Roman" w:hAnsi="Times New Roman" w:eastAsia="宋体" w:cs="Times New Roman"/>
          <w:kern w:val="0"/>
          <w:sz w:val="24"/>
          <w:szCs w:val="24"/>
        </w:rPr>
        <w:t>）参与融资和转融通证券出借业务的信息披露</w:t>
      </w:r>
    </w:p>
    <w:p w14:paraId="10AD65F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参与融资和转融通证券出借业务的，基金管理人应当在季度报告、中期报告、年度报告等定期报告和招募说明书（更新）等文件中披露参与融资和转融通证券出借业务情况，包括投资策略、业务开展情况、损益情况、风险及其管理情况等。</w:t>
      </w:r>
    </w:p>
    <w:p w14:paraId="4465AAC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本基金参与转融通证券出借业务的，基金管理人应当在基金定期报告等文件中就报告期内发生的重大关联交易事项做详细说明。</w:t>
      </w:r>
    </w:p>
    <w:p w14:paraId="7D9953F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未来在法律法规允许的前提下，本基金可依据法律法规的相关规定参与融券业务，并相应履行信披义务。</w:t>
      </w:r>
    </w:p>
    <w:p w14:paraId="251AFF06">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四</w:t>
      </w:r>
      <w:r>
        <w:rPr>
          <w:rFonts w:ascii="Times New Roman" w:hAnsi="Times New Roman" w:eastAsia="宋体" w:cs="Times New Roman"/>
          <w:kern w:val="0"/>
          <w:sz w:val="24"/>
          <w:szCs w:val="24"/>
        </w:rPr>
        <w:t>）</w:t>
      </w:r>
      <w:r>
        <w:rPr>
          <w:rFonts w:hint="eastAsia" w:cs="宋体" w:asciiTheme="minorEastAsia" w:hAnsiTheme="minorEastAsia"/>
          <w:kern w:val="0"/>
          <w:sz w:val="24"/>
          <w:szCs w:val="24"/>
        </w:rPr>
        <w:t>投资目标ETF的信息披露</w:t>
      </w:r>
    </w:p>
    <w:p w14:paraId="17B6621F">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本基金在招募说明书（更新）及定期报告等文件中应当设立专门章节披露所持目标ETF以下情况，并揭示相关风险：</w:t>
      </w:r>
    </w:p>
    <w:p w14:paraId="4ADF0A0A">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1、投资策略、持仓情况、损益情况、净值披露时间等；</w:t>
      </w:r>
    </w:p>
    <w:p w14:paraId="6991061C">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2、交易及持有目标ETF产生的费用，包括申购费、赎回费、管理费、托管费等，招募说明书（更新）中应当列明计算方法并举例说明；</w:t>
      </w:r>
    </w:p>
    <w:p w14:paraId="7BA45043">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3、持有的目标ETF发生的重大影响事件，如转换运作方式、与其他基金合并、终止基金合同以及召开基金份额持有人大会等；</w:t>
      </w:r>
    </w:p>
    <w:p w14:paraId="69A8105A">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4、本基金投资于基金管理人以及基金管理人关联方所管理基金的情况。</w:t>
      </w:r>
    </w:p>
    <w:p w14:paraId="030E483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（十五）</w:t>
      </w:r>
      <w:r>
        <w:rPr>
          <w:rFonts w:ascii="Times New Roman" w:hAnsi="Times New Roman" w:eastAsia="宋体" w:cs="Times New Roman"/>
          <w:kern w:val="0"/>
          <w:sz w:val="24"/>
          <w:szCs w:val="24"/>
        </w:rPr>
        <w:t>实施侧袋机制期间的信息披露</w:t>
      </w:r>
    </w:p>
    <w:p w14:paraId="0D5F9A5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本基金实施侧袋机制的，相关信息披露义务人应当根据法律法规、基金合同和招募说明书的规定进行信息披露，详见招募说明书的规定。</w:t>
      </w:r>
    </w:p>
    <w:p w14:paraId="2F889AC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六</w:t>
      </w:r>
      <w:r>
        <w:rPr>
          <w:rFonts w:ascii="Times New Roman" w:hAnsi="Times New Roman" w:eastAsia="宋体" w:cs="Times New Roman"/>
          <w:kern w:val="0"/>
          <w:sz w:val="24"/>
          <w:szCs w:val="24"/>
        </w:rPr>
        <w:t>）发起资金认购份额报告</w:t>
      </w:r>
    </w:p>
    <w:p w14:paraId="2504C30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应当按照相关法律法规的规定，在基金合同生效公告、基金年度报告、中期报告、季度报告中分别披露基金管理人固有资金、基金管理人股东、基金管理人高级管理人员或基金经理等持有基金的份额、期限及期间的变动情况。</w:t>
      </w:r>
    </w:p>
    <w:p w14:paraId="748DDA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（十</w:t>
      </w:r>
      <w:r>
        <w:rPr>
          <w:rFonts w:hint="eastAsia" w:ascii="Times New Roman" w:hAnsi="Times New Roman" w:eastAsia="宋体" w:cs="Times New Roman"/>
          <w:kern w:val="0"/>
          <w:sz w:val="24"/>
          <w:szCs w:val="24"/>
        </w:rPr>
        <w:t>七</w:t>
      </w:r>
      <w:r>
        <w:rPr>
          <w:rFonts w:ascii="Times New Roman" w:hAnsi="Times New Roman" w:eastAsia="宋体" w:cs="Times New Roman"/>
          <w:kern w:val="0"/>
          <w:sz w:val="24"/>
          <w:szCs w:val="24"/>
        </w:rPr>
        <w:t>）中国证监会规定的其他信息</w:t>
      </w:r>
    </w:p>
    <w:p w14:paraId="217C22C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六、信息披露事务管理</w:t>
      </w:r>
    </w:p>
    <w:p w14:paraId="4AFC32A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基金管理人、基金托管人应当建立健全信息披露管理制度，指定专门部门及高级管理人员负责管理信息披露事务。</w:t>
      </w:r>
    </w:p>
    <w:p w14:paraId="1818B9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基金信息披露义务人公开披露基金信息，应当符合中国证监会相关基金信息披露内容与格式准则等法规的规定。</w:t>
      </w:r>
    </w:p>
    <w:p w14:paraId="2FC87D7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托管人应当按照相关法律法规、中国证监会的规定和《基金合同》的约定，对基金管理人编制的基金资产净值、各类基金份额净值、基金份额申购赎回价格、基金定期报告、更新的招募说明书、基金产品资料概要、基金清算报告等公开披露的相关基金信息进行复核、审查，并向基金管理人进行书面或电子确认。</w:t>
      </w:r>
    </w:p>
    <w:p w14:paraId="2B2CAEC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基金管理人、基金托管人应当在规定媒介中选择披露信息的媒介。</w:t>
      </w:r>
    </w:p>
    <w:p w14:paraId="3D5705E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基金管理人、基金托管人应当向中国证监会基金电子披露网站报送拟披露的基金信息，并保证相关报送信息的真实、准确、完整、及时。</w:t>
      </w:r>
    </w:p>
    <w:p w14:paraId="6D1DA03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基金管理人、基金托管人除依法在规定媒介上披露信息外，还可以根据需要在其他公共媒介披露信息，但是其他公共媒介不得早于规定媒介披露信息，并且在不同媒介上披露同一信息的内容应当一致。</w:t>
      </w:r>
    </w:p>
    <w:p w14:paraId="38EDF83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为基金信息披露义务人公开披露的基金信息出具审计报告、法律意见书的专业机构，应当制作工作底稿，并将相关档案至少保存到《基金合同》终止后10年。</w:t>
      </w:r>
    </w:p>
    <w:p w14:paraId="0541A42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七、信息披露文件的存放与查阅</w:t>
      </w:r>
    </w:p>
    <w:p w14:paraId="1EAB0D8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依法必须披露的信息发布后，基金管理人、基金托管人应当按照相关法律法规规定将信息置备于公司住所，以供社会公众查阅、复制。</w:t>
      </w:r>
    </w:p>
    <w:p w14:paraId="21E7A2B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八、暂停或延迟信息披露的情形</w:t>
      </w:r>
    </w:p>
    <w:p w14:paraId="00B81A4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1、不可抗力；</w:t>
      </w:r>
    </w:p>
    <w:p w14:paraId="7662D51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2、发生暂停估值的情形；</w:t>
      </w:r>
    </w:p>
    <w:p w14:paraId="25983B6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3、法律法规规定、中国证监会或基金合同认定的其他情形。</w:t>
      </w:r>
    </w:p>
    <w:p w14:paraId="5D2306C5">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7F39DEE">
      <w:pPr>
        <w:ind w:firstLine="200"/>
        <w:rPr>
          <w:rFonts w:ascii="Times New Roman" w:hAnsi="Times New Roman" w:eastAsia="宋体" w:cs="Times New Roman"/>
        </w:rPr>
        <w:sectPr>
          <w:footerReference r:id="rId21" w:type="default"/>
          <w:pgSz w:w="11906" w:h="16838"/>
          <w:pgMar w:top="1440" w:right="1800" w:bottom="1440" w:left="1800" w:header="851" w:footer="992" w:gutter="0"/>
          <w:pgNumType w:start="1"/>
          <w:cols w:space="425" w:num="1"/>
          <w:docGrid w:type="lines" w:linePitch="312" w:charSpace="0"/>
        </w:sectPr>
      </w:pPr>
    </w:p>
    <w:p w14:paraId="7A48ECBB">
      <w:pPr>
        <w:pStyle w:val="2"/>
        <w:spacing w:before="0" w:after="0" w:line="360" w:lineRule="auto"/>
        <w:ind w:firstLine="602" w:firstLineChars="200"/>
        <w:rPr>
          <w:rFonts w:ascii="Times New Roman" w:hAnsi="Times New Roman" w:eastAsia="宋体" w:cs="Times New Roman"/>
          <w:kern w:val="0"/>
          <w:sz w:val="30"/>
          <w:lang w:val="zh-CN"/>
        </w:rPr>
      </w:pPr>
      <w:bookmarkStart w:id="22" w:name="_Toc471235856"/>
      <w:r>
        <w:rPr>
          <w:rFonts w:ascii="Times New Roman" w:hAnsi="Times New Roman" w:eastAsia="宋体" w:cs="Times New Roman"/>
          <w:kern w:val="0"/>
          <w:sz w:val="30"/>
          <w:lang w:val="zh-CN"/>
        </w:rPr>
        <w:t>第十九部分 基金合同的变更、终止与基金财产的清算</w:t>
      </w:r>
      <w:bookmarkEnd w:id="22"/>
    </w:p>
    <w:p w14:paraId="5514F036">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820722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一、《基金合同》的变更</w:t>
      </w:r>
    </w:p>
    <w:p w14:paraId="3AE45E0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1780B84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2、关于《基金合同》变更的基金份额持有人大会决议自生效后方可执行，自决议生效后按规定在规定媒介公告。</w:t>
      </w:r>
    </w:p>
    <w:p w14:paraId="1046426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二、《基金合同》的终止事由</w:t>
      </w:r>
    </w:p>
    <w:p w14:paraId="348BD3B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有下列情形之一的，经履行相关程序后，《基金合同》应当终止：</w:t>
      </w:r>
    </w:p>
    <w:p w14:paraId="5EA367C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1、基金份额持有人大会决定终止的；</w:t>
      </w:r>
    </w:p>
    <w:p w14:paraId="1807670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2、基金管理人、基金托管人职责终止，在6个月内没有新基金管理人、新基金托管人承接的；</w:t>
      </w:r>
    </w:p>
    <w:p w14:paraId="3576F9C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3、《基金合同》约定的其他情形；</w:t>
      </w:r>
    </w:p>
    <w:p w14:paraId="566E15B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4、相关法律法规和中国证监会规定的其他情况。</w:t>
      </w:r>
    </w:p>
    <w:p w14:paraId="378F343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三、基金财产的清算</w:t>
      </w:r>
    </w:p>
    <w:p w14:paraId="37B7BA2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14:paraId="067F9DD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2、在基金财产清算小组接管基金财产之前，基金管理人和基金托管人应按照《基金合同》和托管协议的规定继续履行保护基金财产安全的职责。</w:t>
      </w:r>
    </w:p>
    <w:p w14:paraId="66F2FC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024768C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4、基金财产清算小组职责：基金财产清算小组负责基金财产的保管、清理、估价、变现和分配。基金财产清算小组可以依法进行必要的民事活动。</w:t>
      </w:r>
    </w:p>
    <w:p w14:paraId="7426305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5、在基金财产清算过程中，基金管理人和基金托管人应各自履行职责，继续忠实、勤勉、尽责地履行基金合同和托管协议规定的义务，维护基金份额持有人的合法权益。</w:t>
      </w:r>
    </w:p>
    <w:p w14:paraId="3EB2694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6、基金财产清算程序：</w:t>
      </w:r>
    </w:p>
    <w:p w14:paraId="0143EC4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（1）《基金合同》终止情形出现时，由基金财产清算小组统一接管基金；</w:t>
      </w:r>
    </w:p>
    <w:p w14:paraId="7885B0E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（2）对基金财产和债权债务进行清理和确认；</w:t>
      </w:r>
    </w:p>
    <w:p w14:paraId="36562AA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（3）对基金财产进行估值和变现；</w:t>
      </w:r>
    </w:p>
    <w:p w14:paraId="2F84DBA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（4）制作清算报告；</w:t>
      </w:r>
    </w:p>
    <w:p w14:paraId="5EDE0D9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（5）聘请会计师事务所对清算报告进行外部审计，聘请律师事务所对清算报告出具法律意见书；</w:t>
      </w:r>
    </w:p>
    <w:p w14:paraId="397D1FA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（6）将清算报告报中国证监会备案并公告；</w:t>
      </w:r>
    </w:p>
    <w:p w14:paraId="326F49E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（7）对基金剩余财产进行分配。</w:t>
      </w:r>
    </w:p>
    <w:p w14:paraId="0FB6E19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7、基金财产清算的期限为6个月，但因本基金所持证券的流动性受到限制而不能及时变现的，清算期限可相应顺延。</w:t>
      </w:r>
    </w:p>
    <w:p w14:paraId="7217B3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四、清算费用</w:t>
      </w:r>
    </w:p>
    <w:p w14:paraId="362884E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清算费用是指基金财产清算小组在进行基金清算过程中发生的所有合理费用，清算费用由基金财产清算小组优先从基金剩余财产中支付。</w:t>
      </w:r>
    </w:p>
    <w:p w14:paraId="5DFC8E0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五、基金财产清算剩余资产的分配</w:t>
      </w:r>
    </w:p>
    <w:p w14:paraId="77A474A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14:paraId="7F74BFF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六、基金财产清算的公告</w:t>
      </w:r>
    </w:p>
    <w:p w14:paraId="2339EC4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41DCEE0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七、基金财产清算账册及文件的保存</w:t>
      </w:r>
    </w:p>
    <w:p w14:paraId="7073D2B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基金财产清算账册及有关文件由基金托管人保存，保存期限不低于法律法规规定的最低期限。</w:t>
      </w:r>
    </w:p>
    <w:p w14:paraId="6C3207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八、基金合并</w:t>
      </w:r>
    </w:p>
    <w:p w14:paraId="656B75F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本基金与其他基金的合并应当按照法律法规规定的程序进行。</w:t>
      </w:r>
    </w:p>
    <w:p w14:paraId="1C724EE6">
      <w:pPr>
        <w:ind w:firstLine="200"/>
        <w:rPr>
          <w:rFonts w:ascii="Times New Roman" w:hAnsi="Times New Roman" w:eastAsia="宋体" w:cs="Times New Roman"/>
        </w:rPr>
        <w:sectPr>
          <w:footerReference r:id="rId22" w:type="default"/>
          <w:pgSz w:w="11906" w:h="16838"/>
          <w:pgMar w:top="1440" w:right="1800" w:bottom="1440" w:left="1800" w:header="851" w:footer="992" w:gutter="0"/>
          <w:pgNumType w:start="1"/>
          <w:cols w:space="425" w:num="1"/>
          <w:docGrid w:type="lines" w:linePitch="312" w:charSpace="0"/>
        </w:sectPr>
      </w:pPr>
    </w:p>
    <w:p w14:paraId="10D7B426">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3" w:name="_Toc471235857"/>
      <w:r>
        <w:rPr>
          <w:rFonts w:ascii="Times New Roman" w:hAnsi="Times New Roman" w:eastAsia="宋体" w:cs="Times New Roman"/>
          <w:kern w:val="0"/>
          <w:sz w:val="30"/>
          <w:lang w:val="zh-CN"/>
        </w:rPr>
        <w:t>第二十部分 违约责任</w:t>
      </w:r>
      <w:bookmarkEnd w:id="23"/>
    </w:p>
    <w:p w14:paraId="5481E908">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22874AA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管理人、基金托管人在履行各自职责的过程中，违反《基金法》等法律法规的规定或者《基金合同》约定，给基金财产或者基金份额持有人造成损害的，应当分别对各自的行为依法承担赔偿责任；因共同行为给基金财产或者基金份额持有人造成损害的，应当承担连带赔偿责任，对损失的赔偿，仅限于直接损失。</w:t>
      </w:r>
    </w:p>
    <w:p w14:paraId="689064F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但是发生下列情况的，当事人免责：</w:t>
      </w:r>
    </w:p>
    <w:p w14:paraId="474A063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1、不可抗力；</w:t>
      </w:r>
    </w:p>
    <w:p w14:paraId="5829869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2、基金管理人和/或基金托管人按照当时有效的法律法规或中国证监会的规定作为或不作为而造成的损失等；</w:t>
      </w:r>
    </w:p>
    <w:p w14:paraId="2655FA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3、基金管理人由于按照基金合同规定的投资原则行使或不行使其投资权而造成的损失等。</w:t>
      </w:r>
    </w:p>
    <w:p w14:paraId="3A57A3F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 xml:space="preserve">二、在发生一方或多方违约的情况下，在最大限度地保护基金份额持有人利益的前提下，《基金合同》能够继续履行的应当继续履行。非违约方当事人在职责范围内有义务及时采取必要的措施，防止损失的扩大。没有采取适当措施致使损失进一步扩大的，不得就扩大的损失要求赔偿。非违约方因防止损失扩大而支出的合理费用由违约方承担。 </w:t>
      </w:r>
    </w:p>
    <w:p w14:paraId="62EF137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由于基金管理人、基金托管人不可控制的因素导致业务出现差错，基金管理人和基金托管人虽然已经采取必要、适当、合理的措施进行检查，但是未能发现错误的，由此造成基金财产或投资人损失，基金管理人和基金托管人免除赔偿责任。但是基金管理人和基金托管人应积极采取必要的措施消除或减轻由此造成的影响。</w:t>
      </w:r>
    </w:p>
    <w:p w14:paraId="486C2D6C">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5DCCFEE4">
      <w:pPr>
        <w:autoSpaceDE w:val="0"/>
        <w:autoSpaceDN w:val="0"/>
        <w:adjustRightInd w:val="0"/>
        <w:spacing w:line="360" w:lineRule="auto"/>
        <w:ind w:firstLine="200"/>
        <w:rPr>
          <w:rFonts w:ascii="Times New Roman" w:hAnsi="Times New Roman" w:eastAsia="宋体" w:cs="Times New Roman"/>
          <w:kern w:val="0"/>
          <w:sz w:val="24"/>
          <w:szCs w:val="24"/>
        </w:rPr>
        <w:sectPr>
          <w:footerReference r:id="rId23" w:type="default"/>
          <w:pgSz w:w="11906" w:h="16838"/>
          <w:pgMar w:top="1440" w:right="1800" w:bottom="1440" w:left="1800" w:header="851" w:footer="992" w:gutter="0"/>
          <w:pgNumType w:start="1"/>
          <w:cols w:space="425" w:num="1"/>
          <w:docGrid w:type="lines" w:linePitch="312" w:charSpace="0"/>
        </w:sectPr>
      </w:pPr>
    </w:p>
    <w:p w14:paraId="7224E9A8">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4" w:name="_Toc471235858"/>
      <w:r>
        <w:rPr>
          <w:rFonts w:ascii="Times New Roman" w:hAnsi="Times New Roman" w:eastAsia="宋体" w:cs="Times New Roman"/>
          <w:kern w:val="0"/>
          <w:sz w:val="30"/>
          <w:lang w:val="zh-CN"/>
        </w:rPr>
        <w:t>第二十一部分 争议的处理和适用的法律</w:t>
      </w:r>
      <w:bookmarkEnd w:id="24"/>
    </w:p>
    <w:p w14:paraId="4AD958D1">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p>
    <w:p w14:paraId="039A2D26">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各方当事人同意，因《基金合同》而产生的或与《基金合同》有关的一切争议，如不愿或者不能通过协商、调解解决的，</w:t>
      </w:r>
      <w:r>
        <w:rPr>
          <w:rFonts w:hint="eastAsia" w:ascii="Times New Roman" w:hAnsi="Times New Roman" w:eastAsia="宋体" w:cs="Times New Roman"/>
          <w:b/>
          <w:i/>
          <w:kern w:val="0"/>
          <w:sz w:val="24"/>
          <w:szCs w:val="24"/>
          <w:lang w:eastAsia="zh-Hans"/>
        </w:rPr>
        <w:t>应</w:t>
      </w:r>
      <w:r>
        <w:rPr>
          <w:rFonts w:ascii="Times New Roman" w:hAnsi="Times New Roman" w:eastAsia="宋体" w:cs="Times New Roman"/>
          <w:b/>
          <w:i/>
          <w:kern w:val="0"/>
          <w:sz w:val="24"/>
          <w:szCs w:val="24"/>
        </w:rPr>
        <w:t>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780EFE7B">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争议处理期间，基金管理人、基金托管人应恪守基金管理人和基金托管人的职责，各自继续忠实、勤勉、尽责地履行基金合同和基金托管协议规定的义务，维护基金份额持有人的合法权益。</w:t>
      </w:r>
    </w:p>
    <w:p w14:paraId="46F2A951">
      <w:pPr>
        <w:autoSpaceDE w:val="0"/>
        <w:autoSpaceDN w:val="0"/>
        <w:adjustRightInd w:val="0"/>
        <w:spacing w:line="360" w:lineRule="auto"/>
        <w:ind w:firstLine="482" w:firstLineChars="200"/>
        <w:rPr>
          <w:rFonts w:ascii="Times New Roman" w:hAnsi="Times New Roman" w:eastAsia="宋体" w:cs="Times New Roman"/>
          <w:b/>
          <w:i/>
          <w:kern w:val="0"/>
          <w:sz w:val="24"/>
          <w:szCs w:val="24"/>
        </w:rPr>
      </w:pPr>
      <w:r>
        <w:rPr>
          <w:rFonts w:ascii="Times New Roman" w:hAnsi="Times New Roman" w:eastAsia="宋体" w:cs="Times New Roman"/>
          <w:b/>
          <w:i/>
          <w:kern w:val="0"/>
          <w:sz w:val="24"/>
          <w:szCs w:val="24"/>
        </w:rPr>
        <w:t>《基金合同》受中国法律（为本基金合同之目的，在此不包括香港、澳门特别行政区和台湾地区法律）管辖并从其解释。</w:t>
      </w:r>
    </w:p>
    <w:p w14:paraId="09C08EAA">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79CFD07F">
      <w:pPr>
        <w:autoSpaceDE w:val="0"/>
        <w:autoSpaceDN w:val="0"/>
        <w:adjustRightInd w:val="0"/>
        <w:spacing w:line="360" w:lineRule="auto"/>
        <w:ind w:firstLine="480" w:firstLineChars="200"/>
        <w:rPr>
          <w:rFonts w:ascii="Times New Roman" w:hAnsi="Times New Roman" w:eastAsia="宋体" w:cs="Times New Roman"/>
          <w:kern w:val="0"/>
          <w:sz w:val="24"/>
          <w:szCs w:val="24"/>
        </w:rPr>
        <w:sectPr>
          <w:footerReference r:id="rId24" w:type="default"/>
          <w:pgSz w:w="11906" w:h="16838"/>
          <w:pgMar w:top="1440" w:right="1800" w:bottom="1440" w:left="1800" w:header="851" w:footer="992" w:gutter="0"/>
          <w:pgNumType w:start="1"/>
          <w:cols w:space="425" w:num="1"/>
          <w:docGrid w:type="lines" w:linePitch="312" w:charSpace="0"/>
        </w:sectPr>
      </w:pPr>
    </w:p>
    <w:p w14:paraId="143975F7">
      <w:pPr>
        <w:pStyle w:val="2"/>
        <w:spacing w:before="0" w:after="0" w:line="360" w:lineRule="auto"/>
        <w:ind w:firstLine="602" w:firstLineChars="200"/>
        <w:jc w:val="center"/>
        <w:rPr>
          <w:rFonts w:ascii="Times New Roman" w:hAnsi="Times New Roman" w:eastAsia="宋体" w:cs="Times New Roman"/>
          <w:kern w:val="0"/>
          <w:sz w:val="30"/>
        </w:rPr>
      </w:pPr>
      <w:bookmarkStart w:id="25" w:name="_Toc471235859"/>
      <w:r>
        <w:rPr>
          <w:rFonts w:ascii="Times New Roman" w:hAnsi="Times New Roman" w:eastAsia="宋体" w:cs="Times New Roman"/>
          <w:kern w:val="0"/>
          <w:sz w:val="30"/>
          <w:lang w:val="zh-CN"/>
        </w:rPr>
        <w:t>第二十二部分</w:t>
      </w:r>
      <w:r>
        <w:rPr>
          <w:rFonts w:ascii="Times New Roman" w:hAnsi="Times New Roman" w:eastAsia="宋体" w:cs="Times New Roman"/>
          <w:kern w:val="0"/>
          <w:sz w:val="30"/>
        </w:rPr>
        <w:t xml:space="preserve"> </w:t>
      </w:r>
      <w:r>
        <w:rPr>
          <w:rFonts w:ascii="Times New Roman" w:hAnsi="Times New Roman" w:eastAsia="宋体" w:cs="Times New Roman"/>
          <w:kern w:val="0"/>
          <w:sz w:val="30"/>
          <w:lang w:val="zh-CN"/>
        </w:rPr>
        <w:t>基金合同的效力</w:t>
      </w:r>
      <w:bookmarkEnd w:id="25"/>
    </w:p>
    <w:p w14:paraId="7A253F1D">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42A64AC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《基金合同》是约定基金合同当事人之间权利义务关系的法律文件。</w:t>
      </w:r>
    </w:p>
    <w:p w14:paraId="26DED10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1、《基金合同》</w:t>
      </w:r>
      <w:r>
        <w:rPr>
          <w:rFonts w:hint="eastAsia" w:cs="宋体" w:asciiTheme="minorEastAsia" w:hAnsiTheme="minorEastAsia"/>
          <w:kern w:val="0"/>
          <w:sz w:val="24"/>
          <w:szCs w:val="24"/>
        </w:rPr>
        <w:t>由《博时国证粮食产业指数型发起式证券投资基金基金合同》修订而来。自</w:t>
      </w:r>
      <w:r>
        <w:rPr>
          <w:rFonts w:cs="宋体" w:asciiTheme="minorEastAsia" w:hAnsiTheme="minorEastAsia"/>
          <w:kern w:val="0"/>
          <w:sz w:val="24"/>
          <w:szCs w:val="24"/>
        </w:rPr>
        <w:t>2026年</w:t>
      </w:r>
      <w:r>
        <w:rPr>
          <w:rFonts w:hint="eastAsia" w:cs="宋体" w:asciiTheme="minorEastAsia" w:hAnsiTheme="minorEastAsia"/>
          <w:kern w:val="0"/>
          <w:sz w:val="24"/>
          <w:szCs w:val="24"/>
        </w:rPr>
        <w:t>6月</w:t>
      </w:r>
      <w:r>
        <w:rPr>
          <w:rFonts w:hint="eastAsia" w:cs="宋体" w:asciiTheme="minorEastAsia" w:hAnsiTheme="minorEastAsia"/>
          <w:kern w:val="0"/>
          <w:sz w:val="24"/>
          <w:szCs w:val="24"/>
          <w:lang w:val="en-US" w:eastAsia="zh-CN"/>
        </w:rPr>
        <w:t>3</w:t>
      </w:r>
      <w:r>
        <w:rPr>
          <w:rFonts w:hint="eastAsia" w:cs="宋体" w:asciiTheme="minorEastAsia" w:hAnsiTheme="minorEastAsia"/>
          <w:kern w:val="0"/>
          <w:sz w:val="24"/>
          <w:szCs w:val="24"/>
        </w:rPr>
        <w:t>日起，本基金合同生效，《博时国证粮食产业指数型发起式证券投资基金基金合同》失效。</w:t>
      </w:r>
    </w:p>
    <w:p w14:paraId="414C058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2、《基金合同》的有效期自</w:t>
      </w:r>
      <w:r>
        <w:rPr>
          <w:rFonts w:hint="eastAsia" w:cs="宋体" w:asciiTheme="minorEastAsia" w:hAnsiTheme="minorEastAsia"/>
          <w:kern w:val="0"/>
          <w:sz w:val="24"/>
          <w:szCs w:val="24"/>
        </w:rPr>
        <w:t>《博时国证粮食产业指数型发起式证券投资基金基金合同》</w:t>
      </w:r>
      <w:r>
        <w:rPr>
          <w:rFonts w:ascii="Times New Roman" w:hAnsi="Times New Roman" w:eastAsia="宋体" w:cs="Times New Roman"/>
          <w:kern w:val="0"/>
          <w:sz w:val="24"/>
          <w:szCs w:val="24"/>
        </w:rPr>
        <w:t>生效之日起至基金财产清算结果报中国证监会备案并公告之日止。</w:t>
      </w:r>
    </w:p>
    <w:p w14:paraId="113A2C8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3、《基金合同》自生效之日起对包括基金管理人、基金托管人和基金份额持有人在内的《基金合同》各方当事人具有同等的法律约束力。</w:t>
      </w:r>
    </w:p>
    <w:p w14:paraId="5EA1166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4、《基金合同》正本一式三份，除上报有关监管机构一式一份外，基金管理人、基金托管人各持有一份，每份具有同等的法律效力。</w:t>
      </w:r>
    </w:p>
    <w:p w14:paraId="27D2525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5、《基金合同》可印制成册，供投资者在基金管理人、基金托管人、销售机构的办公场所和营业场所查阅。</w:t>
      </w:r>
    </w:p>
    <w:p w14:paraId="7179E30B">
      <w:pPr>
        <w:ind w:firstLine="200"/>
        <w:rPr>
          <w:rFonts w:ascii="Times New Roman" w:hAnsi="Times New Roman" w:eastAsia="宋体" w:cs="Times New Roman"/>
        </w:rPr>
      </w:pPr>
    </w:p>
    <w:p w14:paraId="1027C46F">
      <w:pPr>
        <w:widowControl/>
        <w:ind w:firstLine="200"/>
        <w:rPr>
          <w:rFonts w:ascii="Times New Roman" w:hAnsi="Times New Roman" w:eastAsia="宋体" w:cs="Times New Roman"/>
          <w:b/>
          <w:kern w:val="0"/>
          <w:sz w:val="30"/>
          <w:szCs w:val="30"/>
          <w:lang w:val="zh-CN"/>
        </w:rPr>
        <w:sectPr>
          <w:footerReference r:id="rId25" w:type="default"/>
          <w:pgSz w:w="11906" w:h="16838"/>
          <w:pgMar w:top="1440" w:right="1800" w:bottom="1440" w:left="1800" w:header="851" w:footer="992" w:gutter="0"/>
          <w:pgNumType w:start="1"/>
          <w:cols w:space="425" w:num="1"/>
          <w:docGrid w:type="lines" w:linePitch="312" w:charSpace="0"/>
        </w:sectPr>
      </w:pPr>
    </w:p>
    <w:p w14:paraId="4CE87BC3">
      <w:pPr>
        <w:pStyle w:val="2"/>
        <w:spacing w:before="0" w:after="0" w:line="360" w:lineRule="auto"/>
        <w:ind w:firstLine="602" w:firstLineChars="200"/>
        <w:jc w:val="center"/>
        <w:rPr>
          <w:rFonts w:ascii="Times New Roman" w:hAnsi="Times New Roman" w:eastAsia="宋体" w:cs="Times New Roman"/>
          <w:kern w:val="0"/>
          <w:sz w:val="30"/>
          <w:lang w:val="zh-CN"/>
        </w:rPr>
      </w:pPr>
      <w:bookmarkStart w:id="26" w:name="_Toc471235860"/>
      <w:r>
        <w:rPr>
          <w:rFonts w:ascii="Times New Roman" w:hAnsi="Times New Roman" w:eastAsia="宋体" w:cs="Times New Roman"/>
          <w:kern w:val="0"/>
          <w:sz w:val="30"/>
          <w:lang w:val="zh-CN"/>
        </w:rPr>
        <w:t>第二十三部分 其他事项</w:t>
      </w:r>
      <w:bookmarkEnd w:id="26"/>
    </w:p>
    <w:p w14:paraId="13962E42">
      <w:pPr>
        <w:autoSpaceDE w:val="0"/>
        <w:autoSpaceDN w:val="0"/>
        <w:adjustRightInd w:val="0"/>
        <w:spacing w:line="360" w:lineRule="auto"/>
        <w:ind w:firstLine="480" w:firstLineChars="200"/>
        <w:rPr>
          <w:rFonts w:ascii="Times New Roman" w:hAnsi="Times New Roman" w:eastAsia="宋体" w:cs="Times New Roman"/>
          <w:kern w:val="0"/>
          <w:sz w:val="24"/>
          <w:szCs w:val="24"/>
        </w:rPr>
      </w:pPr>
    </w:p>
    <w:p w14:paraId="5281A48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《基金合同》如有未尽事宜，由《基金合同》当事人各方按有关法律法规协商解决。</w:t>
      </w:r>
    </w:p>
    <w:p w14:paraId="79BA1A59">
      <w:pPr>
        <w:widowControl/>
        <w:ind w:firstLine="200"/>
        <w:rPr>
          <w:rFonts w:ascii="Times New Roman" w:hAnsi="Times New Roman" w:eastAsia="宋体" w:cs="Times New Roman"/>
          <w:kern w:val="0"/>
          <w:sz w:val="24"/>
          <w:szCs w:val="24"/>
        </w:rPr>
        <w:sectPr>
          <w:footerReference r:id="rId26" w:type="default"/>
          <w:pgSz w:w="11906" w:h="16838"/>
          <w:pgMar w:top="1440" w:right="1800" w:bottom="1440" w:left="1800" w:header="851" w:footer="992" w:gutter="0"/>
          <w:pgNumType w:start="1"/>
          <w:cols w:space="425" w:num="1"/>
          <w:docGrid w:type="lines" w:linePitch="312" w:charSpace="0"/>
        </w:sectPr>
      </w:pPr>
    </w:p>
    <w:p w14:paraId="2F63DE6A">
      <w:pPr>
        <w:keepNext/>
        <w:keepLines/>
        <w:autoSpaceDE w:val="0"/>
        <w:autoSpaceDN w:val="0"/>
        <w:adjustRightInd w:val="0"/>
        <w:snapToGrid w:val="0"/>
        <w:spacing w:line="360" w:lineRule="auto"/>
        <w:ind w:firstLine="422" w:firstLineChars="150"/>
        <w:jc w:val="center"/>
        <w:textAlignment w:val="baseline"/>
        <w:outlineLvl w:val="0"/>
        <w:rPr>
          <w:rFonts w:ascii="Times New Roman" w:hAnsi="Times New Roman" w:eastAsia="宋体" w:cs="Times New Roman"/>
          <w:sz w:val="28"/>
          <w:szCs w:val="20"/>
        </w:rPr>
      </w:pPr>
      <w:bookmarkStart w:id="27" w:name="_Toc12499"/>
      <w:bookmarkStart w:id="28" w:name="_Toc15045"/>
      <w:bookmarkStart w:id="29" w:name="_Toc15664"/>
      <w:bookmarkStart w:id="30" w:name="_Toc21122"/>
      <w:bookmarkStart w:id="31" w:name="_Toc9054"/>
      <w:bookmarkStart w:id="32" w:name="_Toc1360"/>
      <w:bookmarkStart w:id="33" w:name="_Toc32355"/>
      <w:bookmarkStart w:id="34" w:name="_Toc141703905"/>
      <w:bookmarkStart w:id="35" w:name="_Toc5108"/>
      <w:bookmarkStart w:id="36" w:name="_Toc20098"/>
      <w:bookmarkStart w:id="37" w:name="_Toc7437"/>
      <w:bookmarkStart w:id="38" w:name="_Toc17263"/>
      <w:bookmarkStart w:id="39" w:name="_Toc471235861"/>
      <w:r>
        <w:rPr>
          <w:rFonts w:ascii="Times New Roman" w:hAnsi="Times New Roman" w:eastAsia="宋体" w:cs="Times New Roman"/>
          <w:b/>
          <w:kern w:val="0"/>
          <w:sz w:val="28"/>
          <w:lang w:val="zh-CN"/>
        </w:rPr>
        <w:t xml:space="preserve">第二十四部分  </w:t>
      </w:r>
      <w:bookmarkEnd w:id="27"/>
      <w:bookmarkEnd w:id="28"/>
      <w:bookmarkEnd w:id="29"/>
      <w:bookmarkEnd w:id="30"/>
      <w:bookmarkEnd w:id="31"/>
      <w:bookmarkEnd w:id="32"/>
      <w:bookmarkEnd w:id="33"/>
      <w:bookmarkEnd w:id="34"/>
      <w:bookmarkEnd w:id="35"/>
      <w:bookmarkEnd w:id="36"/>
      <w:bookmarkEnd w:id="37"/>
      <w:bookmarkEnd w:id="38"/>
      <w:r>
        <w:rPr>
          <w:rFonts w:ascii="Times New Roman" w:hAnsi="Times New Roman" w:eastAsia="宋体" w:cs="Times New Roman"/>
          <w:b/>
          <w:kern w:val="0"/>
          <w:sz w:val="28"/>
          <w:lang w:val="zh-CN"/>
        </w:rPr>
        <w:t>基金合同的内容摘要</w:t>
      </w:r>
      <w:bookmarkEnd w:id="39"/>
    </w:p>
    <w:p w14:paraId="1524B1B3">
      <w:pPr>
        <w:autoSpaceDE w:val="0"/>
        <w:autoSpaceDN w:val="0"/>
        <w:spacing w:line="360" w:lineRule="auto"/>
        <w:ind w:firstLine="480" w:firstLineChars="200"/>
        <w:textAlignment w:val="bottom"/>
        <w:rPr>
          <w:rFonts w:ascii="Times New Roman" w:hAnsi="Times New Roman" w:eastAsia="宋体" w:cs="Times New Roman"/>
          <w:bCs/>
          <w:sz w:val="24"/>
          <w:szCs w:val="20"/>
        </w:rPr>
      </w:pPr>
    </w:p>
    <w:p w14:paraId="4CF7B26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一、基金管理人、基金托管人及基金份额持有人的权利与义务</w:t>
      </w:r>
    </w:p>
    <w:p w14:paraId="320CB78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（一）基金管理人的权利与义务</w:t>
      </w:r>
    </w:p>
    <w:p w14:paraId="0E7D688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1、根据《基金法》、《运作办法》及其他有关规定，基金管理人的权利包括但不限于：</w:t>
      </w:r>
    </w:p>
    <w:p w14:paraId="29DC038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（1）依法募集资金；</w:t>
      </w:r>
    </w:p>
    <w:p w14:paraId="4AF63DB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（2）自《基金合同》生效之日起，根据法律法规和《基金合同》独立运用并管理基金财产；</w:t>
      </w:r>
    </w:p>
    <w:p w14:paraId="0E68FA7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（3）依照《基金合同》收取基金管理费以及法律法规规定或中国证监会批准的其他费用；</w:t>
      </w:r>
    </w:p>
    <w:p w14:paraId="303D188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（4）销售基金份额；</w:t>
      </w:r>
    </w:p>
    <w:p w14:paraId="6EA2416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（5）按照规定召集基金份额持有人大会；</w:t>
      </w:r>
    </w:p>
    <w:p w14:paraId="1995AF8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（6）依据《基金合同》及有关法律规定监督基金托管人，如认为基金托管人违反了《基金合同》及国家有关法律规定，应呈报中国证监会和其他监管部门，并采取必要措施保护基金投资者的利益；</w:t>
      </w:r>
    </w:p>
    <w:p w14:paraId="234D025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（7）在基金托管人更换时，提名新的基金托管人；</w:t>
      </w:r>
    </w:p>
    <w:p w14:paraId="6763A42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（8）选择、更换基金销售机构，对基金销售机构的相关行为进行监督和处理； </w:t>
      </w:r>
    </w:p>
    <w:p w14:paraId="20415F2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（9）担任或委托其他符合条件的机构担任基金登记机构办理基金登记业务并获得《基金合同》规定的费用； </w:t>
      </w:r>
    </w:p>
    <w:p w14:paraId="6513CA1E">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（10）依据《基金合同》及有关法律规定决定基金收益的分配方案；</w:t>
      </w:r>
      <w:r>
        <w:rPr>
          <w:rFonts w:hint="eastAsia" w:ascii="Times New Roman" w:hAnsi="Times New Roman" w:eastAsia="宋体" w:cs="Times New Roman"/>
          <w:kern w:val="0"/>
          <w:sz w:val="24"/>
          <w:szCs w:val="24"/>
        </w:rPr>
        <w:tab/>
      </w:r>
    </w:p>
    <w:p w14:paraId="5E6C2B3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 xml:space="preserve">（11）在《基金合同》约定的范围内，拒绝或暂停受理申购、赎回与转换申请； </w:t>
      </w:r>
    </w:p>
    <w:p w14:paraId="769168E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（12）依照法律法规为基金的利益对被投资公司行使股东权利，为基金的利益行使因基金财产投资于证券所产生的权利；</w:t>
      </w:r>
    </w:p>
    <w:p w14:paraId="6DC2353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（13）在法律法规允许的前提下，为基金的利益依法为基金进行融资及转融通证券出借业务；</w:t>
      </w:r>
    </w:p>
    <w:p w14:paraId="06089AC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（14）以基金管理人的名义，代表基金份额持有人的利益行使诉讼权利或者实施其他法律行为；</w:t>
      </w:r>
    </w:p>
    <w:p w14:paraId="379ACA9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（15）选择、更换律师事务所、会计师事务所、证券、期货经纪商或其他为基金提供服务的外部机构；</w:t>
      </w:r>
    </w:p>
    <w:p w14:paraId="29D6563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（16）在符合有关法律、法规的前提下，制订和调整有关基金申购、赎回、转换、定期定额投资和非交易过户等业务规则；</w:t>
      </w:r>
    </w:p>
    <w:p w14:paraId="7A67DB5D">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ascii="Times New Roman" w:hAnsi="Times New Roman" w:eastAsia="宋体" w:cs="Times New Roman"/>
          <w:kern w:val="0"/>
          <w:sz w:val="24"/>
          <w:szCs w:val="24"/>
        </w:rPr>
        <w:t>（17）</w:t>
      </w:r>
      <w:r>
        <w:rPr>
          <w:rFonts w:hint="eastAsia" w:cs="宋体" w:asciiTheme="minorEastAsia" w:hAnsiTheme="minorEastAsia"/>
          <w:kern w:val="0"/>
          <w:sz w:val="24"/>
          <w:szCs w:val="24"/>
        </w:rPr>
        <w:t>代表基金份额持有人的利益行使因基金财产投资于目标ETF所产生的权利，基金合同另有约定的除外；</w:t>
      </w:r>
    </w:p>
    <w:p w14:paraId="410D7A1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（18）</w:t>
      </w:r>
      <w:r>
        <w:rPr>
          <w:rFonts w:hint="eastAsia" w:ascii="Times New Roman" w:hAnsi="Times New Roman" w:eastAsia="宋体" w:cs="Times New Roman"/>
          <w:kern w:val="0"/>
          <w:sz w:val="24"/>
          <w:szCs w:val="24"/>
        </w:rPr>
        <w:t>法律法规及中国证监会规定的和《基金合同》约定的其他权利。</w:t>
      </w:r>
    </w:p>
    <w:p w14:paraId="0853625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2、根据《基金法》、《运作办法》及其他有关规定，基金管理人的义务包括但不限于：</w:t>
      </w:r>
    </w:p>
    <w:p w14:paraId="4A2878B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（1）依法募集资金，办理或者委托经中国证监会认定的其他机构代为办理基金份额的申购、赎回和登记事宜；</w:t>
      </w:r>
    </w:p>
    <w:p w14:paraId="6C9D99B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（2）办理基金备案手续；</w:t>
      </w:r>
    </w:p>
    <w:p w14:paraId="7ABD501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（3）自《基金合同》生效之日起，以诚实信用、谨慎勤勉的原则管理和运用基金财产；</w:t>
      </w:r>
    </w:p>
    <w:p w14:paraId="14E0525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（4）配备足够的具有专业资格的人员进行基金投资分析、决策，以专业化的经营方式管理和运作基金财产；</w:t>
      </w:r>
    </w:p>
    <w:p w14:paraId="04B35A7F">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（5）建立健全内部风险控制、监察与稽核、财务管理及人事管理等制度，保证所管理的基金财产和基金管理人的财产相互独立，对所管理的不同基金分别管理，分别记账，进行证券投资；</w:t>
      </w:r>
    </w:p>
    <w:p w14:paraId="0B907C7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（6）除依据《基金法》、《基金合同》及其他有关规定外，不得利用基金财产为自己及任何第三人谋取利益，不得委托第三人运作基金财产；</w:t>
      </w:r>
    </w:p>
    <w:p w14:paraId="5DBD12F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（7）依法接受基金托管人的监督；</w:t>
      </w:r>
    </w:p>
    <w:p w14:paraId="1B61E96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（8）采取适当合理的措施使计算基金份额申购、赎回和注销价格的方法符合《基金合同》等法律文件的规定，按有关规定计算并公告基金净值信息，确定基金份额申购、赎回的价格；</w:t>
      </w:r>
    </w:p>
    <w:p w14:paraId="010C13A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（9）进行基金会计核算并编制基金财务会计报告；</w:t>
      </w:r>
    </w:p>
    <w:p w14:paraId="02A1EC4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（10）编制季度报告、中期报告和年度报告；</w:t>
      </w:r>
    </w:p>
    <w:p w14:paraId="16DB8F8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（11）严格按照《基金法》、《基金合同》及其他有关规定，履行信息披露及报告义务；</w:t>
      </w:r>
    </w:p>
    <w:p w14:paraId="49B8A08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保守基金商业秘密，不泄露基金投资计划、投资意向等。除《基金法》、《基金合同》及其他有关规定另有规定外，在基金信息公开披露前应予保密，不向他人泄露，但因监管机构、司法机关等有权机关要求，或因审计、法律等外部专业顾问提供服务需要提供的情况除外；</w:t>
      </w:r>
    </w:p>
    <w:p w14:paraId="55FFEBD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（13）按《基金合同》的约定确定基金收益分配方案，及时向基金份额持有人分配基金收益；</w:t>
      </w:r>
    </w:p>
    <w:p w14:paraId="38373EB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（14）按规定受理申购与赎回申请，及时、足额支付赎回款项；</w:t>
      </w:r>
    </w:p>
    <w:p w14:paraId="525A384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（15）依据《基金法》、《基金合同》及其他有关规定召集基金份额持有人大会或配合基金托管人、基金份额持有人依法召集基金份额持有人大会；</w:t>
      </w:r>
    </w:p>
    <w:p w14:paraId="7C40E62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（16）按规定保存基金财产管理业务活动的会计账册、报表、记录和其他相关资料，保存期限不低于法律法规规定的最低期限；</w:t>
      </w:r>
    </w:p>
    <w:p w14:paraId="13C0D4F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14:paraId="7851AA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（18）组织并参加基金财产清算小组，参与基金财产的保管、清理、估价、变现和分配；</w:t>
      </w:r>
    </w:p>
    <w:p w14:paraId="255713D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（19）面临解散、依法被撤销或者被依法宣告破产时，及时报告中国证监会并通知基金托管人；</w:t>
      </w:r>
    </w:p>
    <w:p w14:paraId="4DF9BB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（20）因违反《基金合同》导致基金财产的损失或损害基金份额持有人合法权益时，应当承担赔偿责任，其赔偿责任不因其退任而免除；</w:t>
      </w:r>
    </w:p>
    <w:p w14:paraId="4B1A7B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（21）监督基金托管人按法律法规和《基金合同》规定履行自己的义务，基金托管人违反《基金合同》造成基金财产损失时，基金管理人应为基金份额持有人利益向基金托管人追偿；</w:t>
      </w:r>
    </w:p>
    <w:p w14:paraId="7DBD2578">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（22）当基金管理人将其义务委托第三方处理时，应当对第三方处理有关基金事务的行为承担责任；</w:t>
      </w:r>
    </w:p>
    <w:p w14:paraId="4BA2955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（23）以基金管理人名义，代表基金份额持有人利益行使诉讼权利或实施其他法律行为；</w:t>
      </w:r>
      <w:r>
        <w:rPr>
          <w:rFonts w:hint="eastAsia" w:ascii="Times New Roman" w:hAnsi="Times New Roman" w:eastAsia="宋体" w:cs="Times New Roman"/>
          <w:kern w:val="0"/>
          <w:sz w:val="24"/>
          <w:szCs w:val="24"/>
        </w:rPr>
        <w:tab/>
      </w:r>
    </w:p>
    <w:p w14:paraId="63B33DE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（24）执行生效的基金份额持有人大会的决议；</w:t>
      </w:r>
    </w:p>
    <w:p w14:paraId="1A3DD29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（25）建立并保存基金份额持有人名册；</w:t>
      </w:r>
    </w:p>
    <w:p w14:paraId="0F46F9F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（26）法律法规及中国证监会规定的和《基金合同》约定的其他义务。</w:t>
      </w:r>
    </w:p>
    <w:p w14:paraId="565C0C4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（二）基金托管人的权利与义务</w:t>
      </w:r>
    </w:p>
    <w:p w14:paraId="48865B0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1、根据《基金法》、《运作办法》及其他有关规定，基金托管人的权利包括但不限于：</w:t>
      </w:r>
    </w:p>
    <w:p w14:paraId="309D6F8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（1）自《基金合同》生效之日起，依法律法规和《基金合同》的规定安全保管基金财产；</w:t>
      </w:r>
    </w:p>
    <w:p w14:paraId="1DF2623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（2）依《基金合同》约定获得基金托管费以及法律法规规定或监管部门批准的其他费用；</w:t>
      </w:r>
    </w:p>
    <w:p w14:paraId="39BCE28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14:paraId="3390D4C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（4）根据相关市场规则，为基金开设托管账户、证券账户等投资所需账户，为基金办理证券、期货交易资金清算；</w:t>
      </w:r>
    </w:p>
    <w:p w14:paraId="284E1C2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（5）提议召开或召集基金份额持有人大会；</w:t>
      </w:r>
    </w:p>
    <w:p w14:paraId="1F4CA5A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（6）在基金管理人更换时，提名新的基金管理人；</w:t>
      </w:r>
    </w:p>
    <w:p w14:paraId="3296769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（7）法律法规及中国证监会规定的和《基金合同》约定的其他权利。</w:t>
      </w:r>
    </w:p>
    <w:p w14:paraId="1E0FCF5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2、根据《基金法》、《运作办法》及其他有关规定，基金托管人的义务包括但不限于：</w:t>
      </w:r>
    </w:p>
    <w:p w14:paraId="47D43AD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（1）以诚实信用、勤勉尽责的原则持有并安全保管基金财产；</w:t>
      </w:r>
    </w:p>
    <w:p w14:paraId="77FBFAD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（2）设立专门的基金托管部门，具有符合要求的营业场所，配备足够的、合格的熟悉基金托管业务的专职人员，负责基金财产托管事宜；</w:t>
      </w:r>
    </w:p>
    <w:p w14:paraId="54C04BC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14:paraId="4DA0BFD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（4）除依据《基金法》、《基金合同》及其他有关规定外，不得利用基金财产为自己及任何第三人谋取利益，不得委托第三人托管基金财产；</w:t>
      </w:r>
    </w:p>
    <w:p w14:paraId="63FAD5A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（5）保管由基金管理人代表基金签订的与基金有关的重大合同及有关凭证；</w:t>
      </w:r>
    </w:p>
    <w:p w14:paraId="6D6A8D8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（6）按规定开设基金财产的托管账户和证券账户等投资所需账户，按照《基金合同》的约定，根据基金管理人的投资指令，及时办理清算、交割事宜；</w:t>
      </w:r>
    </w:p>
    <w:p w14:paraId="417ECDD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保守基金商业秘密，除《基金法》、《基金合同》及其他有关规定另有规定外，在基金信息公开披露前予以保密，不得向他人泄露，但因监管机构、司法机关等有权机关要求，或因审计、法律等外部专业顾问提供服务需要提供的情况除外；</w:t>
      </w:r>
    </w:p>
    <w:p w14:paraId="7CFE5AD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（8）复核、审查基金管理人计算的基金资产净值、各类基金份额净值、基金份额申购、赎回价格；</w:t>
      </w:r>
    </w:p>
    <w:p w14:paraId="500C8B1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（9）办理与基金托管业务活动有关的信息披露事项；</w:t>
      </w:r>
    </w:p>
    <w:p w14:paraId="63FAB2A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14:paraId="36E46F3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（11）保存基金托管业务活动的记录、账册、报表和其他相关资料不低于法律法规规定的最低期限；</w:t>
      </w:r>
    </w:p>
    <w:p w14:paraId="55429E6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（12）保存基金份额持有人名册；</w:t>
      </w:r>
    </w:p>
    <w:p w14:paraId="42B4697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（13）按规定制作相关账册并与基金管理人核对；</w:t>
      </w:r>
    </w:p>
    <w:p w14:paraId="2BD07EB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（14）依据基金管理人的指令或有关规定向基金份额持有人支付基金收益和赎回款项；</w:t>
      </w:r>
    </w:p>
    <w:p w14:paraId="0427F63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（15）依据《基金法》、《基金合同》及其他有关规定，召集基金份额持有人大会或配合基金管理人、基金份额持有人依法召集基金份额持有人大会；</w:t>
      </w:r>
    </w:p>
    <w:p w14:paraId="1B32989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（16）按照法律法规和《基金合同》的规定监督基金管理人的投资运作；</w:t>
      </w:r>
    </w:p>
    <w:p w14:paraId="6CBAE7B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（17）参加基金财产清算小组，参与基金财产的保管、清理、估价、变现和分配；</w:t>
      </w:r>
    </w:p>
    <w:p w14:paraId="38045EC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（18）面临解散、依法被撤销或者被依法宣告破产时，及时报告中国证监会和银行业监督管理机构，并通知基金管理人；</w:t>
      </w:r>
    </w:p>
    <w:p w14:paraId="6BFD849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（19）因违反《基金合同》导致基金财产损失时，应承担赔偿责任，其赔偿责任不因其退任而免除；</w:t>
      </w:r>
    </w:p>
    <w:p w14:paraId="3418B51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（20）按规定监督基金管理人按法律法规和《基金合同》规定履行自己的义务，基金管理人因违反《基金合同》造成基金财产损失时，应为基金份额持有人利益向基金管理人追偿；</w:t>
      </w:r>
    </w:p>
    <w:p w14:paraId="482E95E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（21）执行生效的基金份额持有人大会的决议；</w:t>
      </w:r>
    </w:p>
    <w:p w14:paraId="4B517A9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（22）法律法规及中国证监会规定的和《基金合同》约定的其他义务。</w:t>
      </w:r>
    </w:p>
    <w:p w14:paraId="242BA6F2">
      <w:pPr>
        <w:autoSpaceDE w:val="0"/>
        <w:autoSpaceDN w:val="0"/>
        <w:adjustRightInd w:val="0"/>
        <w:spacing w:line="360" w:lineRule="auto"/>
        <w:ind w:firstLine="480" w:firstLineChars="200"/>
        <w:rPr>
          <w:rFonts w:ascii="Times New Roman" w:hAnsi="Times New Roman" w:eastAsia="宋体" w:cs="Times New Roman"/>
          <w:bCs/>
          <w:sz w:val="24"/>
          <w:szCs w:val="20"/>
          <w:lang w:eastAsia="zh-Hans"/>
        </w:rPr>
      </w:pPr>
      <w:r>
        <w:rPr>
          <w:rFonts w:ascii="Times New Roman" w:hAnsi="Times New Roman" w:eastAsia="宋体" w:cs="Times New Roman"/>
          <w:bCs/>
          <w:sz w:val="24"/>
          <w:szCs w:val="20"/>
        </w:rPr>
        <w:t>（三）基金份额持有人</w:t>
      </w:r>
    </w:p>
    <w:p w14:paraId="58F9E5C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投资者持有本基金基金份额的行为即视为对《基金合同》的承认和接受，基金投资者自依据《基金合同》取得基金份额，即成为本基金份额持有人和《基金合同》的当事人，直至其不再持有本基金的基金份额。基金份额持有人作为《基金合同》当事人并不以在《基金合同》上书面签章或签字为必要条件。</w:t>
      </w:r>
    </w:p>
    <w:p w14:paraId="6E9583F2">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除法律法规另有规定或本基金合同另有约定外，同一类别每份基金份额具有同等的合法权益。</w:t>
      </w:r>
    </w:p>
    <w:p w14:paraId="1F176DF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1、根据《基金法》、《运作办法》及其他有关规定，基金份额持有人的权利包括但不限于：</w:t>
      </w:r>
    </w:p>
    <w:p w14:paraId="2FC9D37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（1）分享基金财产收益；</w:t>
      </w:r>
    </w:p>
    <w:p w14:paraId="1FE6BBE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（2）参与分配清算后的剩余基金财产；</w:t>
      </w:r>
    </w:p>
    <w:p w14:paraId="77B136A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（3）依法转让或者申请赎回其持有的基金份额；</w:t>
      </w:r>
    </w:p>
    <w:p w14:paraId="5FF7760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（4）按照规定要求召开基金份额持有人大会或者召集基金份额持有人大会；</w:t>
      </w:r>
    </w:p>
    <w:p w14:paraId="5393E48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（5）出席或者委派代表出席</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ascii="Times New Roman" w:hAnsi="Times New Roman" w:eastAsia="宋体" w:cs="Times New Roman"/>
          <w:kern w:val="0"/>
          <w:sz w:val="24"/>
          <w:szCs w:val="24"/>
        </w:rPr>
        <w:t>基金份额持有人大会，对</w:t>
      </w:r>
      <w:r>
        <w:rPr>
          <w:rFonts w:hint="eastAsia" w:ascii="宋体" w:hAnsi="宋体" w:eastAsia="宋体" w:cs="宋体"/>
          <w:sz w:val="24"/>
          <w:szCs w:val="24"/>
        </w:rPr>
        <w:t>本基金或目标</w:t>
      </w:r>
      <w:r>
        <w:rPr>
          <w:rFonts w:ascii="宋体" w:hAnsi="宋体" w:eastAsia="宋体" w:cs="宋体"/>
          <w:sz w:val="24"/>
          <w:szCs w:val="24"/>
        </w:rPr>
        <w:t>ETF</w:t>
      </w:r>
      <w:r>
        <w:rPr>
          <w:rFonts w:hint="eastAsia" w:ascii="宋体" w:hAnsi="宋体" w:eastAsia="宋体" w:cs="宋体"/>
          <w:sz w:val="24"/>
          <w:szCs w:val="24"/>
        </w:rPr>
        <w:t>的</w:t>
      </w:r>
      <w:r>
        <w:rPr>
          <w:rFonts w:hint="eastAsia" w:ascii="Times New Roman" w:hAnsi="Times New Roman" w:eastAsia="宋体" w:cs="Times New Roman"/>
          <w:kern w:val="0"/>
          <w:sz w:val="24"/>
          <w:szCs w:val="24"/>
        </w:rPr>
        <w:t>基金份额持有人大会审议事项行使表决权；</w:t>
      </w:r>
    </w:p>
    <w:p w14:paraId="146D3C69">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（6）查阅或者复制公开披露的基金信息资料；</w:t>
      </w:r>
    </w:p>
    <w:p w14:paraId="7FF3555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（7）监督基金管理人的投资运作；</w:t>
      </w:r>
    </w:p>
    <w:p w14:paraId="6BB466F5">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（8）对基金管理人、基金托管人、基金服务机构损害其合法权益的行为依法提起诉讼或仲裁；</w:t>
      </w:r>
    </w:p>
    <w:p w14:paraId="71035C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（9）法律法规及中国证监会规定的和《基金合同》约定的其他权利。</w:t>
      </w:r>
    </w:p>
    <w:p w14:paraId="7BB274BC">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2、根据《基金法》、《运作办法》及其他有关规定，基金份额持有人的义务包括但不限于：</w:t>
      </w:r>
    </w:p>
    <w:p w14:paraId="1ADD9FE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（1）认真阅读并遵守《基金合同》、招募说明书等信息披露文件；</w:t>
      </w:r>
    </w:p>
    <w:p w14:paraId="224993E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（2）了解所投资基金产品，了解自身风险承受能力，自主判断基金的投资价值，自主做出投资决策，自行承担投资风险；</w:t>
      </w:r>
    </w:p>
    <w:p w14:paraId="2BED67B1">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（3）关注基金信息披露，及时行使权利和履行义务；</w:t>
      </w:r>
    </w:p>
    <w:p w14:paraId="3520E053">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（4）交纳基金申购款项及法律法规和《基金合同》所规定的费用；</w:t>
      </w:r>
    </w:p>
    <w:p w14:paraId="6AB2AD4B">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（5）在其持有的基金份额范围内，承担基金亏损或者《基金合同》终止的有限责任；</w:t>
      </w:r>
    </w:p>
    <w:p w14:paraId="408134D7">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（6）不从事任何有损基金及其他《基金合同》当事人合法权益的活动；</w:t>
      </w:r>
    </w:p>
    <w:p w14:paraId="7ABD1E60">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（7）执行生效的基金份额持有人大会的决议；</w:t>
      </w:r>
    </w:p>
    <w:p w14:paraId="619F944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（8）返还在基金交易过程中因任何原因获得的不当得利；</w:t>
      </w:r>
    </w:p>
    <w:p w14:paraId="729ABDCD">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（9）发起资金提供方持有认购的基金份额不少于3年，法律法规或监管机构另有规定的除外；</w:t>
      </w:r>
    </w:p>
    <w:p w14:paraId="1A8169D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（10）法律法规及中国证监会规定的和《基金合同》约定的其他义务。</w:t>
      </w:r>
    </w:p>
    <w:p w14:paraId="2F6FE09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二、基金份额持有人大会召集、议事及表决的程序和规则</w:t>
      </w:r>
    </w:p>
    <w:p w14:paraId="709D21F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由基金份额持有人组成，基金份额持有人的合法授权代表有权代表基金份额持有人出席会议并表决。除法律法规另有规定或本基金合同另有约定外，基金份额持有人持有的每一基金份额拥有平等的投票权。</w:t>
      </w:r>
    </w:p>
    <w:p w14:paraId="3DCEBAA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本基金份额持有人大会不设日常机构。</w:t>
      </w:r>
    </w:p>
    <w:p w14:paraId="5576527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（一）召开事由</w:t>
      </w:r>
    </w:p>
    <w:p w14:paraId="11EDB23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1、除法律法规和中国证监会另有规定或《基金合同》另有约定外，当出现或需要决定下列事由之一的，应当召开基金份额持有人大会：</w:t>
      </w:r>
    </w:p>
    <w:p w14:paraId="1EE6903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（1）终止《基金合同》；</w:t>
      </w:r>
    </w:p>
    <w:p w14:paraId="27AE354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（2）更换基金管理人；</w:t>
      </w:r>
    </w:p>
    <w:p w14:paraId="21BE948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（3）更换基金托管人；</w:t>
      </w:r>
    </w:p>
    <w:p w14:paraId="4887B4E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（4）转换基金运作方式；</w:t>
      </w:r>
    </w:p>
    <w:p w14:paraId="3285ED0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（5）调整基金管理人、基金托管人的报酬标准或提高销售服务费率；</w:t>
      </w:r>
    </w:p>
    <w:p w14:paraId="4820860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（6）变更基金类别；</w:t>
      </w:r>
    </w:p>
    <w:p w14:paraId="79374A7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（7）本基金与其他基金的合并；</w:t>
      </w:r>
    </w:p>
    <w:p w14:paraId="775663B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（8）变更基金投资目标、范围或策略；</w:t>
      </w:r>
    </w:p>
    <w:p w14:paraId="1DEB57F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（9）变更基金份额持有人大会程序；</w:t>
      </w:r>
    </w:p>
    <w:p w14:paraId="69E20D6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（10）基金管理人或基金托管人要求召开基金份额持有人大会；</w:t>
      </w:r>
    </w:p>
    <w:p w14:paraId="5191E5C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（11）单独或合计持有本基金总份额10%以上（含10%）基金份额的基金份额持有人（以基金管理人收到提议当日的基金份额计算，下同）就同一事项书面要求召开基金份额持有人大会；</w:t>
      </w:r>
    </w:p>
    <w:p w14:paraId="19F6DC5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（12）对基金合同当事人权利和义务产生重大影响的其他事项；</w:t>
      </w:r>
    </w:p>
    <w:p w14:paraId="44C40C1D">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ascii="Times New Roman" w:hAnsi="Times New Roman" w:eastAsia="宋体" w:cs="Times New Roman"/>
          <w:bCs/>
          <w:sz w:val="24"/>
          <w:szCs w:val="20"/>
        </w:rPr>
        <w:t>（13）</w:t>
      </w:r>
      <w:r>
        <w:rPr>
          <w:rFonts w:hint="eastAsia" w:cs="宋体" w:asciiTheme="minorEastAsia" w:hAnsiTheme="minorEastAsia"/>
          <w:kern w:val="0"/>
          <w:sz w:val="24"/>
          <w:szCs w:val="24"/>
        </w:rPr>
        <w:t>基金管理人代表本基金的基金份额持有人提议召开或召集目标</w:t>
      </w:r>
      <w:r>
        <w:rPr>
          <w:rFonts w:cs="宋体" w:asciiTheme="minorEastAsia" w:hAnsiTheme="minorEastAsia"/>
          <w:kern w:val="0"/>
          <w:sz w:val="24"/>
          <w:szCs w:val="24"/>
        </w:rPr>
        <w:t>ETF</w:t>
      </w:r>
      <w:r>
        <w:rPr>
          <w:rFonts w:hint="eastAsia" w:cs="宋体" w:asciiTheme="minorEastAsia" w:hAnsiTheme="minorEastAsia"/>
          <w:kern w:val="0"/>
          <w:sz w:val="24"/>
          <w:szCs w:val="24"/>
        </w:rPr>
        <w:t>基金份额持有人大会；</w:t>
      </w:r>
    </w:p>
    <w:p w14:paraId="5B4271D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cs="宋体" w:asciiTheme="minorEastAsia" w:hAnsiTheme="minorEastAsia"/>
          <w:kern w:val="0"/>
          <w:sz w:val="24"/>
          <w:szCs w:val="24"/>
        </w:rPr>
        <w:t>（14）</w:t>
      </w:r>
      <w:r>
        <w:rPr>
          <w:rFonts w:hint="eastAsia" w:ascii="Times New Roman" w:hAnsi="Times New Roman" w:eastAsia="宋体" w:cs="Times New Roman"/>
          <w:bCs/>
          <w:sz w:val="24"/>
          <w:szCs w:val="20"/>
        </w:rPr>
        <w:t>法律法规、《基金合同》或中国证监会规定的其他应当召开基金份额持有人大会的事项。</w:t>
      </w:r>
    </w:p>
    <w:p w14:paraId="27D5154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2、在法律法规规定和《基金合同》约定的范围内且对基金份额持有人利益无实质性不利影响的前提下，以下情况可由基金管理人和基金托管人协商后修改，不需召开基金份额持有人大会：</w:t>
      </w:r>
    </w:p>
    <w:p w14:paraId="05CAEFB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（1）法律法规要求增加的基金费用的收取；</w:t>
      </w:r>
    </w:p>
    <w:p w14:paraId="58E24D1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（2）调整本基金的申购费率、调低赎回费率、调低销售服务费率或变更收费方式，调整基金份额类别设置、对基金份额分类办法及规则进行调整；</w:t>
      </w:r>
    </w:p>
    <w:p w14:paraId="42569CF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（3）因相应的法律法规发生变动而应当对《基金合同》进行修改；</w:t>
      </w:r>
    </w:p>
    <w:p w14:paraId="33CF7AD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（4）对《基金合同》的修改对基金份额持有人利益无实质性不利影响或修改不涉及《基金合同》当事人权利义务关系发生重大变化；</w:t>
      </w:r>
    </w:p>
    <w:p w14:paraId="744FEB4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（5）基金管理人、登记机构、基金销售机构调整有关申购、赎回、转换、基金交易、非交易过户、转托管等业务规则；</w:t>
      </w:r>
    </w:p>
    <w:p w14:paraId="43E1490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（6）履行相关程序后，基金推出新业务或服务；</w:t>
      </w:r>
    </w:p>
    <w:p w14:paraId="067B9273">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ascii="Times New Roman" w:hAnsi="Times New Roman" w:eastAsia="宋体" w:cs="Times New Roman"/>
          <w:bCs/>
          <w:sz w:val="24"/>
          <w:szCs w:val="20"/>
        </w:rPr>
        <w:t>（7）</w:t>
      </w:r>
      <w:r>
        <w:rPr>
          <w:rFonts w:hint="eastAsia" w:cs="宋体" w:asciiTheme="minorEastAsia" w:hAnsiTheme="minorEastAsia"/>
          <w:kern w:val="0"/>
          <w:sz w:val="24"/>
          <w:szCs w:val="24"/>
        </w:rPr>
        <w:t>由于目标</w:t>
      </w:r>
      <w:r>
        <w:rPr>
          <w:rFonts w:cs="宋体" w:asciiTheme="minorEastAsia" w:hAnsiTheme="minorEastAsia"/>
          <w:kern w:val="0"/>
          <w:sz w:val="24"/>
          <w:szCs w:val="24"/>
        </w:rPr>
        <w:t>ETF</w:t>
      </w:r>
      <w:r>
        <w:rPr>
          <w:rFonts w:hint="eastAsia" w:cs="宋体" w:asciiTheme="minorEastAsia" w:hAnsiTheme="minorEastAsia"/>
          <w:kern w:val="0"/>
          <w:sz w:val="24"/>
          <w:szCs w:val="24"/>
        </w:rPr>
        <w:t>交易方式发生重大变更致使本基金的投资策略难以实现、目标</w:t>
      </w:r>
      <w:r>
        <w:rPr>
          <w:rFonts w:cs="宋体" w:asciiTheme="minorEastAsia" w:hAnsiTheme="minorEastAsia"/>
          <w:kern w:val="0"/>
          <w:sz w:val="24"/>
          <w:szCs w:val="24"/>
        </w:rPr>
        <w:t>ETF</w:t>
      </w:r>
      <w:r>
        <w:rPr>
          <w:rFonts w:hint="eastAsia" w:cs="宋体" w:asciiTheme="minorEastAsia" w:hAnsiTheme="minorEastAsia"/>
          <w:kern w:val="0"/>
          <w:sz w:val="24"/>
          <w:szCs w:val="24"/>
        </w:rPr>
        <w:t>终止上市或目标</w:t>
      </w:r>
      <w:r>
        <w:rPr>
          <w:rFonts w:cs="宋体" w:asciiTheme="minorEastAsia" w:hAnsiTheme="minorEastAsia"/>
          <w:kern w:val="0"/>
          <w:sz w:val="24"/>
          <w:szCs w:val="24"/>
        </w:rPr>
        <w:t>ETF</w:t>
      </w:r>
      <w:r>
        <w:rPr>
          <w:rFonts w:hint="eastAsia" w:cs="宋体" w:asciiTheme="minorEastAsia" w:hAnsiTheme="minorEastAsia"/>
          <w:kern w:val="0"/>
          <w:sz w:val="24"/>
          <w:szCs w:val="24"/>
        </w:rPr>
        <w:t>基金合同终止等情形时本基金变更为直接投资该标的指数的指数基金；</w:t>
      </w:r>
    </w:p>
    <w:p w14:paraId="7C52596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cs="宋体" w:asciiTheme="minorEastAsia" w:hAnsiTheme="minorEastAsia"/>
          <w:kern w:val="0"/>
          <w:sz w:val="24"/>
          <w:szCs w:val="24"/>
        </w:rPr>
        <w:t>（8）</w:t>
      </w:r>
      <w:r>
        <w:rPr>
          <w:rFonts w:hint="eastAsia" w:ascii="Times New Roman" w:hAnsi="Times New Roman" w:eastAsia="宋体" w:cs="Times New Roman"/>
          <w:bCs/>
          <w:sz w:val="24"/>
          <w:szCs w:val="20"/>
        </w:rPr>
        <w:t>按照法律法规和《基金合同》规定不需召开基金份额持有人大会的其他情形。</w:t>
      </w:r>
    </w:p>
    <w:p w14:paraId="02A433A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（二）会议召集人及召集方式</w:t>
      </w:r>
    </w:p>
    <w:p w14:paraId="23353B9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1、除法律法规规定或《基金合同》另有约定外，基金份额持有人大会由基金管理人召集。</w:t>
      </w:r>
    </w:p>
    <w:p w14:paraId="340813C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2、基金管理人未按规定召集或不能召集时，由基金托管人召集。</w:t>
      </w:r>
    </w:p>
    <w:p w14:paraId="6B2838B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14:paraId="5283ED4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14:paraId="758A398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14:paraId="63EBC1C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6、基金份额持有人会议的召集人负责选择确定开会时间、地点、方式和权益登记日。</w:t>
      </w:r>
    </w:p>
    <w:p w14:paraId="2B9B9DA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（三）召开基金份额持有人大会的通知时间、通知内容、通知方式</w:t>
      </w:r>
    </w:p>
    <w:p w14:paraId="1970536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1、召开基金份额持有人大会，召集人应于会议召开前30日，在规定媒介公告。基金份额持有人大会通知应至少载明以下内容：</w:t>
      </w:r>
    </w:p>
    <w:p w14:paraId="0A0D17C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（1）会议召开的时间、地点和会议形式；</w:t>
      </w:r>
    </w:p>
    <w:p w14:paraId="234B104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（2）会议拟审议的事项、议事程序和表决方式；</w:t>
      </w:r>
    </w:p>
    <w:p w14:paraId="5652625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（3）有权出席基金份额持有人大会的基金份额持有人的权益登记日；</w:t>
      </w:r>
    </w:p>
    <w:p w14:paraId="2F9E5E4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（4）授权委托证明的内容要求（包括但不限于代理人身份，代理权限和代理有效期限等）、送达时间和地点；</w:t>
      </w:r>
    </w:p>
    <w:p w14:paraId="20ACB24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（5）会务常设联系人姓名及联系电话；</w:t>
      </w:r>
    </w:p>
    <w:p w14:paraId="249C0C3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（6）出席会议者必须准备的文件和必须履行的手续；</w:t>
      </w:r>
    </w:p>
    <w:p w14:paraId="14116CB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（7）召集人需要通知的其他事项。</w:t>
      </w:r>
    </w:p>
    <w:p w14:paraId="7A05D9F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14:paraId="61924A2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14:paraId="786F78D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（四）基金份额持有人出席会议的方式</w:t>
      </w:r>
    </w:p>
    <w:p w14:paraId="29D9BA2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基金份额持有人大会可通过现场开会方式、通讯开会方式或法律法规、监管机构允许的其他方式召开，会议的召开方式由会议召集人确定。</w:t>
      </w:r>
    </w:p>
    <w:p w14:paraId="6905452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14:paraId="0247C89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14:paraId="7108E04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14:paraId="1BF5C56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通讯开会系指基金份额持有人将其对表决事项的投票以书面形式或基金份额持有人大会公告载明的其他方式在表决截止日以前送达至召集人指定的地址。通讯开会应以书面方式或基金份额持有人大会公告载明的其他方式进行表决。</w:t>
      </w:r>
    </w:p>
    <w:p w14:paraId="74979F2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在同时符合以下条件时，通讯开会的方式视为有效：</w:t>
      </w:r>
    </w:p>
    <w:p w14:paraId="6667B70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（1）会议召集人按《基金合同》约定公布会议通知后，在2个工作日内连续公布相关提示性公告；</w:t>
      </w:r>
    </w:p>
    <w:p w14:paraId="24CBF84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14:paraId="69E1CC8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三分之一以上（含三分之一）基金份额的持有人直接出具表决意见或授权他人代表出具表决意见；</w:t>
      </w:r>
    </w:p>
    <w:p w14:paraId="41B0882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14:paraId="44C8CA0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在不违反法律法规和监管机关规定的情况下，本基金的基金份额持有人亦可采用其他非书面方式授权其代理人出席基金份额持有人大会，授权方式可以采用书面、网络、电话、短信或其他方式，具体方式由会议召集人确定并在会议通知中列明。</w:t>
      </w:r>
    </w:p>
    <w:p w14:paraId="26EDB39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在会议召开方式上，本基金亦可采用其他非现场方式或者以现场方式与非现场方式相结合的方式召开基金份额持有人大会，会议程序比照现场开会和通讯方式开会的程序进行。基金份额持有人可以采用书面、网络、电话、短信或其他方式进行表决，具体方式由会议召集人确定并在会议通知中列明。</w:t>
      </w:r>
    </w:p>
    <w:p w14:paraId="4D92526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（五）议事内容与程序</w:t>
      </w:r>
    </w:p>
    <w:p w14:paraId="560DE57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1、议事内容及提案权</w:t>
      </w:r>
    </w:p>
    <w:p w14:paraId="6EC42B1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议事内容为关系基金份额持有人利益的重大事项，如《基金合同》的重大修改、决定终止《基金合同》、更换基金管理人、更换基金托管人、与其他基金合并、法律法规及《基金合同》规定的其他事项以及会议召集人认为需提交基金份额持有人大会讨论的其他事项。</w:t>
      </w:r>
    </w:p>
    <w:p w14:paraId="3B9B71B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基金份额持有人大会的召集人发出召集会议的通知后，对原有提案的修改应当在基金份额持有人大会召开前及时公告。</w:t>
      </w:r>
    </w:p>
    <w:p w14:paraId="0321F44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基金份额持有人大会不得对未事先公告的议事内容进行表决。</w:t>
      </w:r>
    </w:p>
    <w:p w14:paraId="1B0EFB1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2、议事程序</w:t>
      </w:r>
    </w:p>
    <w:p w14:paraId="5A08859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14:paraId="62BC8B7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在现场开会的方式下，首先由大会主持人按照下列第</w:t>
      </w:r>
      <w:r>
        <w:rPr>
          <w:rFonts w:ascii="Times New Roman" w:hAnsi="Times New Roman" w:eastAsia="宋体" w:cs="Times New Roman"/>
          <w:bCs/>
          <w:sz w:val="24"/>
          <w:szCs w:val="20"/>
        </w:rPr>
        <w:t>（</w:t>
      </w:r>
      <w:r>
        <w:rPr>
          <w:rFonts w:hint="eastAsia" w:ascii="Times New Roman" w:hAnsi="Times New Roman" w:eastAsia="宋体" w:cs="Times New Roman"/>
          <w:bCs/>
          <w:sz w:val="24"/>
          <w:szCs w:val="20"/>
        </w:rPr>
        <w:t>七</w:t>
      </w:r>
      <w:r>
        <w:rPr>
          <w:rFonts w:ascii="Times New Roman" w:hAnsi="Times New Roman" w:eastAsia="宋体" w:cs="Times New Roman"/>
          <w:bCs/>
          <w:sz w:val="24"/>
          <w:szCs w:val="20"/>
        </w:rPr>
        <w:t>）</w:t>
      </w:r>
      <w:r>
        <w:rPr>
          <w:rFonts w:hint="eastAsia" w:ascii="Times New Roman" w:hAnsi="Times New Roman" w:eastAsia="宋体" w:cs="Times New Roman"/>
          <w:bCs/>
          <w:sz w:val="24"/>
          <w:szCs w:val="20"/>
        </w:rPr>
        <w:t>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14:paraId="3EC258C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会议召集人应当制作出席会议人员的签名册。签名册载明参加会议人员姓名（或单位名称）、身份证明文件号码、持有或代表有表决权的基金份额、委托人姓名（或单位名称）和联系方式等事项。</w:t>
      </w:r>
    </w:p>
    <w:p w14:paraId="5E8B4D1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14:paraId="25E7D0F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在通讯开会的情况下，首先由召集人提前30日公布提案，在所通知的表决截止日期后2个工作日内在公证机关监督下由召集人统计全部有效表决，在公证机关监督下形成决议。</w:t>
      </w:r>
    </w:p>
    <w:p w14:paraId="3867E9D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（六）表决</w:t>
      </w:r>
    </w:p>
    <w:p w14:paraId="6F4C713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基金份额持有人所持每份基金份额有一票表决权。</w:t>
      </w:r>
    </w:p>
    <w:p w14:paraId="5EAC897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基金份额持有人大会决议分为一般决议和特别决议：</w:t>
      </w:r>
    </w:p>
    <w:p w14:paraId="4541E97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14:paraId="4DCC4A3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特别决议，特别决议应当经参加大会的基金份额持有人或其代理人所持表决权的三分之二以上（含三分之二）通过方可做出。除法律法规、监管机构另有规定或基金合同另有约定外，转换基金运作方式、更换基金管理人或者基金托管人、终止《基金合同》、本基金与其他基金合并以特别决议通过方为有效。</w:t>
      </w:r>
    </w:p>
    <w:p w14:paraId="786F2D6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基金份额持有人大会采取记名方式进行投票表决。</w:t>
      </w:r>
    </w:p>
    <w:p w14:paraId="5497637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采取通讯方式进行表决时，除非在计票时监督员及公证机关均认为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14:paraId="72C1605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基金份额持有人大会的各项提案或同一项提案内并列的各项议题应当分开审议、逐项表决。</w:t>
      </w:r>
    </w:p>
    <w:p w14:paraId="11C2B22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（七）计票</w:t>
      </w:r>
    </w:p>
    <w:p w14:paraId="2852F02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1、现场开会</w:t>
      </w:r>
    </w:p>
    <w:p w14:paraId="557F814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中选举三名基金份额持有人代表担任监票人。基金管理人或基金托管人不出席大会的，不影响计票的效力。</w:t>
      </w:r>
    </w:p>
    <w:p w14:paraId="6FF1EA4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（2）监票人应当在基金份额持有人表决后立即进行清点并由大会主持人当场公布计票结果。</w:t>
      </w:r>
    </w:p>
    <w:p w14:paraId="02ECA3F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14:paraId="78DDE79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（4）计票过程应由公证机关予以公证，基金管理人或基金托管人拒不出席大会的，不影响计票的效力。</w:t>
      </w:r>
    </w:p>
    <w:p w14:paraId="70297F3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2、通讯开会</w:t>
      </w:r>
    </w:p>
    <w:p w14:paraId="126BD27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14:paraId="1AFB1FC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（八）生效与公告</w:t>
      </w:r>
    </w:p>
    <w:p w14:paraId="3B02852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基金份额持有人大会的决议，召集人应当自通过之日起5日内报中国证监会备案。</w:t>
      </w:r>
    </w:p>
    <w:p w14:paraId="2D14C45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基金份额持有人大会的决议自表决通过之日起生效。</w:t>
      </w:r>
    </w:p>
    <w:p w14:paraId="156B94B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基金份额持有人大会决议自生效之日起按规定在规定媒介上公告。如果采用通讯方式进行表决，在公告基金份额持有人大会决议时，必须将公证书全文、公证机构、公证员姓名等一同公告。</w:t>
      </w:r>
    </w:p>
    <w:p w14:paraId="22EEFF2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基金管理人、基金托管人和基金份额持有人应当执行生效的基金份额持有人大会的决议。生效的基金份额持有人大会决议对全体基金份额持有人、基金管理人、基金托管人均有约束力。</w:t>
      </w:r>
    </w:p>
    <w:p w14:paraId="639599C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（九）实施侧袋机制期间基金份额持有人大会的特殊约定</w:t>
      </w:r>
    </w:p>
    <w:p w14:paraId="1E8D0B9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14:paraId="5EDABBB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1、基金份额持有人行使提议权、召集权、提名权所需单独或合计代表相关基金份额10%以上（含10%）；</w:t>
      </w:r>
    </w:p>
    <w:p w14:paraId="22EF334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2、现场开会的到会者在权益登记日代表的基金份额不少于本基金在权益登记日相关基金份额的二分之一（含二分之一）；</w:t>
      </w:r>
    </w:p>
    <w:p w14:paraId="5BBF19B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3、通讯开会的直接出具表决意见或授权他人代表出具表决意见的基金份额持有人所持有的基金份额不小于在权益登记日相关基金份额的二分之一（含二分之一）；</w:t>
      </w:r>
    </w:p>
    <w:p w14:paraId="6436AC0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当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14:paraId="3602DE5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5、现场开会由出席大会的基金份额持有人和代理人所持表决权的50%以上（含50%）选举产生一名基金份额持有人作为该次基金份额持有人大会的主持人；</w:t>
      </w:r>
    </w:p>
    <w:p w14:paraId="7E6D85B5">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6、一般决议须经参加大会的基金份额持有人或其代理人所持表决权的二分之一以上（含二分之一）通过；</w:t>
      </w:r>
    </w:p>
    <w:p w14:paraId="2064E94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7、特别决议应当经参加大会的基金份额持有人或其代理人所持表决权的三分之二以上（含三分之二）通过。</w:t>
      </w:r>
    </w:p>
    <w:p w14:paraId="1A6A67F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基金份额持有人大会审议事项涉及主袋账户和侧袋账户的，应分别由主袋账户、侧袋账户的基金份额持有人进行表决，同一主侧袋账户内的同一类别每份基金份额具有平等的表决权。表决事项未涉及侧袋账户的，侧袋账户份额无表决权。</w:t>
      </w:r>
    </w:p>
    <w:p w14:paraId="5880336E">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侧袋机制实施期间，关于基金份额持有人大会的相关规定以本节特殊约定内容为准，本节没有规定的适用上文相关约定。</w:t>
      </w:r>
    </w:p>
    <w:p w14:paraId="77A995AE">
      <w:pPr>
        <w:spacing w:line="360" w:lineRule="auto"/>
        <w:ind w:firstLine="480"/>
        <w:rPr>
          <w:rFonts w:cs="宋体"/>
          <w:sz w:val="24"/>
          <w:szCs w:val="24"/>
        </w:rPr>
      </w:pPr>
      <w:r>
        <w:rPr>
          <w:rFonts w:ascii="Times New Roman" w:hAnsi="Times New Roman" w:eastAsia="宋体" w:cs="Times New Roman"/>
          <w:bCs/>
          <w:sz w:val="24"/>
          <w:szCs w:val="20"/>
        </w:rPr>
        <w:t>（十）</w:t>
      </w:r>
      <w:r>
        <w:rPr>
          <w:rFonts w:hint="eastAsia" w:cs="宋体"/>
          <w:sz w:val="24"/>
          <w:szCs w:val="24"/>
        </w:rPr>
        <w:t>鉴于本基金是目标ETF的联接基金，本基金的基金份额持有人可以凭所持有的本基金份额出席或者委派代表出席目标ETF的基金份额持有人大会并参与表决，其持有的享有表决权的基金份额数和表决票数为：在目标ETF基金份额持有人大会的权益登记日，本基金持有目标ETF份额的总数乘以该持有人所持有的本基金份额占本基金总份额的比例，计算结果按照四舍五入的方法，保留到整数位。</w:t>
      </w:r>
    </w:p>
    <w:p w14:paraId="3FE03F21">
      <w:pPr>
        <w:spacing w:line="360" w:lineRule="auto"/>
        <w:ind w:left="181" w:leftChars="86" w:firstLine="480"/>
        <w:rPr>
          <w:rFonts w:cs="宋体"/>
          <w:sz w:val="24"/>
          <w:szCs w:val="24"/>
        </w:rPr>
      </w:pPr>
      <w:r>
        <w:rPr>
          <w:rFonts w:hint="eastAsia" w:cs="宋体"/>
          <w:sz w:val="24"/>
          <w:szCs w:val="24"/>
        </w:rPr>
        <w:t>本基金的基金管理人不应以本基金的名义代表本基金的全体基金份额持有人以目标ETF的基金份额持有人的身份行使表决权，但可接受本基金的特定基金份额持有人的委托以本基金的基金份额持有人代理人的身份出席目标ETF的基金份额持有人大会并参与表决。</w:t>
      </w:r>
    </w:p>
    <w:p w14:paraId="18E2A5D7">
      <w:pPr>
        <w:spacing w:line="360" w:lineRule="auto"/>
        <w:ind w:left="181" w:leftChars="86" w:firstLine="480"/>
        <w:jc w:val="left"/>
        <w:rPr>
          <w:rFonts w:hint="eastAsia" w:cs="宋体" w:asciiTheme="minorEastAsia" w:hAnsiTheme="minorEastAsia"/>
          <w:kern w:val="0"/>
          <w:sz w:val="24"/>
          <w:szCs w:val="24"/>
        </w:rPr>
      </w:pPr>
      <w:r>
        <w:rPr>
          <w:rFonts w:hint="eastAsia" w:cs="宋体"/>
          <w:sz w:val="24"/>
          <w:szCs w:val="24"/>
        </w:rPr>
        <w:t>本基金的基金管理人代表本基金的基金份额持有人提议召开或召集目标ETF的基金份额持有人大会的，须先遵照本基金基金合同的约定召开本基金的基金份额持有人大会，本基金的基金份额持有人大会决定提议召开或召集目标ETF的基金份额持有人大会的，由本基金基金管理人代表本基金的基金份额持有人提议召开或召集目标ETF的基金份额持有人大会。</w:t>
      </w:r>
    </w:p>
    <w:p w14:paraId="402CFAA0">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cs="宋体" w:asciiTheme="minorEastAsia" w:hAnsiTheme="minorEastAsia"/>
          <w:kern w:val="0"/>
          <w:sz w:val="24"/>
          <w:szCs w:val="24"/>
        </w:rPr>
        <w:t>（十一）</w:t>
      </w:r>
      <w:r>
        <w:rPr>
          <w:rFonts w:hint="eastAsia" w:ascii="Times New Roman" w:hAnsi="Times New Roman" w:eastAsia="宋体" w:cs="Times New Roman"/>
          <w:bCs/>
          <w:sz w:val="24"/>
          <w:szCs w:val="20"/>
        </w:rPr>
        <w:t>本部分关于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14:paraId="4640C00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三、基金收益分配原则</w:t>
      </w:r>
    </w:p>
    <w:p w14:paraId="2995D1B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1、由于本基金A类基金份额不收取销售服务费，而C类基金份额收取销售服务费，各基金份额类别对应的可供分配利润将有所不同，本基金同一类别的每一基金份额享有同等分配权；</w:t>
      </w:r>
    </w:p>
    <w:p w14:paraId="7A07FC3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本基金收益分配方式分两种：现金分红与红利再投资，投资者可选择现金红利或将现金红利自动转为相应类别的基金份额进行再投资，且基金份额持有人可对A类、C类基金份额分别选择不同的分红方式；若投资者不选择，本基金默认的收益分配方式是现金分红；</w:t>
      </w:r>
    </w:p>
    <w:p w14:paraId="7D6EDEA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3、基金收益分配后各类基金份额净值不能低于面值，即基金收益分配基准日的各类基金份额净值减去每单位该类基金份额收益分配金额后不能低于面值；</w:t>
      </w:r>
    </w:p>
    <w:p w14:paraId="0177D4B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4、法律法规或监管机关另有规定的，从其规定。</w:t>
      </w:r>
    </w:p>
    <w:p w14:paraId="070322E4">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在不违反法律法规及基金合同约定，并对基金份额持有人利益无实质不利影响的前提下，基金管理人经与基金托管人协商一致后，可对基金收益分配原则和支付方式进行调整，不需召开基金份额持有人大会。</w:t>
      </w:r>
    </w:p>
    <w:p w14:paraId="11496B9F">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四、与基金财产管理、运用有关费用的提取、支付方式与比例</w:t>
      </w:r>
    </w:p>
    <w:p w14:paraId="2570FC2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 xml:space="preserve">1、基金管理人的管理费 </w:t>
      </w:r>
    </w:p>
    <w:p w14:paraId="4FD44C9C">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本基金的管理费按前一日基金资产净值的0.50%年费率计提。管理费的计算方法如下：</w:t>
      </w:r>
    </w:p>
    <w:p w14:paraId="600BB823">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H＝E×0.50%÷当年实际天数</w:t>
      </w:r>
    </w:p>
    <w:p w14:paraId="30D81E3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H为每日应计提的基金管理费</w:t>
      </w:r>
    </w:p>
    <w:p w14:paraId="4C5971A6">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0F224C09">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基金管理人对本基金投资组合中投资于目标ETF部分的基金资产净值不计提基金管理费。</w:t>
      </w:r>
    </w:p>
    <w:p w14:paraId="2E3D7CE2">
      <w:pPr>
        <w:autoSpaceDE w:val="0"/>
        <w:autoSpaceDN w:val="0"/>
        <w:adjustRightInd w:val="0"/>
        <w:spacing w:line="360" w:lineRule="auto"/>
        <w:ind w:left="181" w:leftChars="86"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1E02A01D">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管理费每日计提，逐日累计至每月月末，按月支付，经基金管理人与基金托管人双方核对无误后，基金托管人按照与基金管理人协商一致的方式于次月月初5个工作日内从基金财产中一次性支付给基金管理人。若遇法定节假日、公休假或不可抗力等，支付日期顺延。</w:t>
      </w:r>
    </w:p>
    <w:p w14:paraId="3ACE11B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2、基金托管人的托管费</w:t>
      </w:r>
    </w:p>
    <w:p w14:paraId="5E7680DA">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本基金的托管费按前一日基金资产净值的0.10%年费率计提。托管费的计算方法如下：</w:t>
      </w:r>
    </w:p>
    <w:p w14:paraId="339543A9">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H＝E×0.10%÷当年实际天数</w:t>
      </w:r>
    </w:p>
    <w:p w14:paraId="216D96CB">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H为每日应计提的基金托管费</w:t>
      </w:r>
    </w:p>
    <w:p w14:paraId="20E6C3A8">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E为前一日的基金资产净值</w:t>
      </w:r>
    </w:p>
    <w:p w14:paraId="4BCFDCF1">
      <w:pPr>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基金托管人对本基金投资组合中投资于目标ETF部分的基金资产净值不计提基金托管费。</w:t>
      </w:r>
    </w:p>
    <w:p w14:paraId="0901E832">
      <w:pPr>
        <w:autoSpaceDE w:val="0"/>
        <w:autoSpaceDN w:val="0"/>
        <w:adjustRightInd w:val="0"/>
        <w:spacing w:line="360" w:lineRule="auto"/>
        <w:ind w:left="181" w:leftChars="86"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前一日的基金资产净值为已扣除本基金投资于目标ETF部分基金资产净值后的净额，金额为负时以零计。</w:t>
      </w:r>
    </w:p>
    <w:p w14:paraId="5F06C5C1">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基金托管费每日计提，逐日累计至每月月末，按月支付，经基金管理人与基金托管人双方核对无误后，基金托管人按照与基金管理人协商一致的方式于次月月初5个工作日内从基金财产中一次性支付给基金托管人。若遇法定节假日、公休假或不可抗力等，支付日期顺延。</w:t>
      </w:r>
    </w:p>
    <w:p w14:paraId="772572E7">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hint="eastAsia" w:ascii="Times New Roman" w:hAnsi="Times New Roman" w:eastAsia="宋体" w:cs="Times New Roman"/>
          <w:bCs/>
          <w:sz w:val="24"/>
          <w:szCs w:val="20"/>
        </w:rPr>
        <w:t>3、C类份额的销售服务费</w:t>
      </w:r>
    </w:p>
    <w:p w14:paraId="4D7F943B">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本基金A类基金份额不收取销售服务费，C类基金份额的销售服务费年费率为0.30%。</w:t>
      </w:r>
    </w:p>
    <w:p w14:paraId="556E738E">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 xml:space="preserve">本基金销售服务费按前一日C类基金资产净值的0.30%年费率计提。计算方法如下： </w:t>
      </w:r>
    </w:p>
    <w:p w14:paraId="4BEA3869">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H＝E×0.30%÷当年</w:t>
      </w:r>
      <w:r>
        <w:rPr>
          <w:rFonts w:ascii="Times New Roman" w:hAnsi="Times New Roman" w:eastAsia="宋体" w:cs="Times New Roman"/>
          <w:bCs/>
          <w:sz w:val="24"/>
        </w:rPr>
        <w:t>实际</w:t>
      </w:r>
      <w:r>
        <w:rPr>
          <w:rFonts w:ascii="Times New Roman" w:hAnsi="Times New Roman" w:eastAsia="宋体" w:cs="Times New Roman"/>
          <w:bCs/>
          <w:sz w:val="24"/>
          <w:szCs w:val="20"/>
        </w:rPr>
        <w:t xml:space="preserve">天数 </w:t>
      </w:r>
    </w:p>
    <w:p w14:paraId="27F51F8E">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H为C类基金份额每日应计提的销售服务费</w:t>
      </w:r>
    </w:p>
    <w:p w14:paraId="32625F3F">
      <w:pPr>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E为C类基金份额前一日基金资产净值</w:t>
      </w:r>
    </w:p>
    <w:p w14:paraId="2F079B42">
      <w:pPr>
        <w:autoSpaceDE w:val="0"/>
        <w:autoSpaceDN w:val="0"/>
        <w:adjustRightInd w:val="0"/>
        <w:spacing w:line="360" w:lineRule="auto"/>
        <w:ind w:firstLine="480" w:firstLineChars="200"/>
        <w:rPr>
          <w:rFonts w:ascii="Times New Roman" w:hAnsi="Times New Roman" w:eastAsia="宋体" w:cs="Times New Roman"/>
          <w:bCs/>
          <w:sz w:val="24"/>
          <w:szCs w:val="20"/>
        </w:rPr>
      </w:pPr>
      <w:r>
        <w:rPr>
          <w:rFonts w:ascii="Times New Roman" w:hAnsi="Times New Roman" w:eastAsia="宋体" w:cs="Times New Roman"/>
          <w:bCs/>
          <w:sz w:val="24"/>
          <w:szCs w:val="20"/>
        </w:rPr>
        <w:t>基金销售服务费每日计提，逐日累计至每月月末，按月支付，经基金管理人与基金托管人双方核对无误后，基金托管人</w:t>
      </w:r>
      <w:r>
        <w:rPr>
          <w:rFonts w:ascii="Times New Roman" w:hAnsi="Times New Roman" w:eastAsia="宋体" w:cs="Times New Roman"/>
          <w:bCs/>
          <w:sz w:val="24"/>
          <w:szCs w:val="24"/>
        </w:rPr>
        <w:t>按照</w:t>
      </w:r>
      <w:r>
        <w:rPr>
          <w:rFonts w:ascii="Times New Roman" w:hAnsi="Times New Roman" w:eastAsia="宋体" w:cs="Times New Roman"/>
          <w:sz w:val="24"/>
          <w:szCs w:val="24"/>
        </w:rPr>
        <w:t>与基金管理人协商</w:t>
      </w:r>
      <w:r>
        <w:rPr>
          <w:rFonts w:ascii="Times New Roman" w:hAnsi="Times New Roman" w:eastAsia="宋体" w:cs="Times New Roman"/>
          <w:sz w:val="24"/>
          <w:szCs w:val="20"/>
        </w:rPr>
        <w:t>一致的</w:t>
      </w:r>
      <w:r>
        <w:rPr>
          <w:rFonts w:ascii="Times New Roman" w:hAnsi="Times New Roman" w:eastAsia="宋体" w:cs="Times New Roman"/>
          <w:sz w:val="24"/>
          <w:szCs w:val="24"/>
        </w:rPr>
        <w:t>方式</w:t>
      </w:r>
      <w:r>
        <w:rPr>
          <w:rFonts w:ascii="Times New Roman" w:hAnsi="Times New Roman" w:eastAsia="宋体" w:cs="Times New Roman"/>
          <w:bCs/>
          <w:sz w:val="24"/>
          <w:szCs w:val="20"/>
        </w:rPr>
        <w:t>于次月月初5个工作日内从基金财产中一次性支付</w:t>
      </w:r>
      <w:r>
        <w:rPr>
          <w:rFonts w:ascii="Times New Roman" w:hAnsi="Times New Roman" w:eastAsia="宋体" w:cs="Times New Roman"/>
          <w:bCs/>
          <w:sz w:val="24"/>
        </w:rPr>
        <w:t>给销售机构</w:t>
      </w:r>
      <w:r>
        <w:rPr>
          <w:rFonts w:ascii="Times New Roman" w:hAnsi="Times New Roman" w:eastAsia="宋体" w:cs="Times New Roman"/>
          <w:bCs/>
          <w:sz w:val="24"/>
          <w:szCs w:val="20"/>
        </w:rPr>
        <w:t>。若遇法定节假日、公休假或不可抗力等，支付日期顺延。</w:t>
      </w:r>
    </w:p>
    <w:p w14:paraId="7A18B78F">
      <w:pPr>
        <w:adjustRightInd w:val="0"/>
        <w:snapToGri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bCs/>
          <w:sz w:val="24"/>
          <w:szCs w:val="20"/>
        </w:rPr>
        <w:t>上述“第十五部分 基金费用与税收”中“一、基金费用的种类”中第4－12项费用，根据有关法规及相应协议规定，按费用实际支出金额列入当期费用，由基金托管人从基金财产中支付。</w:t>
      </w:r>
    </w:p>
    <w:p w14:paraId="0CD11136">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五、基金财产的投资方向和投资限制</w:t>
      </w:r>
    </w:p>
    <w:p w14:paraId="26B4ED1F">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（一）投资范围</w:t>
      </w:r>
    </w:p>
    <w:p w14:paraId="0FECE15A">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本基金主要投资于目标ETF、标的指数成份股和备选成份股（含存托凭证）。</w:t>
      </w:r>
    </w:p>
    <w:p w14:paraId="04263025">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为更好地实现基金的投资目标，本基金可能会少量投资于依法发行上市的非成份股（包括主板、创业板及其他经中国证监会核准或注册上市的股票、存托凭证）、港股通标的股票、债券（包括国债、金融债、地方政府债、政府支持机构债券、企业债、公司债、可转换债券（含可分离交易可转债的纯债部分）、可交换债券、央行票据、短期融资券、超短期融资券、中期票据）、资产支持证券、衍生工具（包括股指期货、国债期货、股票期权）、债券回购、货币市场工具（包括银行存款、同业存单）以及法律法规或中国证监会允许基金投资的其他金融工具（但须符合中国证监会的相关规定）。</w:t>
      </w:r>
    </w:p>
    <w:p w14:paraId="761A63B1">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本基金可根据法律法规的规定参与融资及转融通证券出借业务。未来在法律法规允许的前提下，本基金可根据相关法律法规规定参与融券业务。</w:t>
      </w:r>
    </w:p>
    <w:p w14:paraId="42CAC95F">
      <w:pPr>
        <w:adjustRightInd w:val="0"/>
        <w:snapToGrid w:val="0"/>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本基金根据相关法律法规或中国证监会要求履行适当程序后，还可以投资于法律法规或中国证监会未来允许基金投资的其他金融工具。</w:t>
      </w:r>
    </w:p>
    <w:p w14:paraId="3A4B6758">
      <w:pPr>
        <w:adjustRightInd w:val="0"/>
        <w:snapToGrid w:val="0"/>
        <w:spacing w:line="360" w:lineRule="auto"/>
        <w:ind w:firstLine="480" w:firstLineChars="200"/>
        <w:rPr>
          <w:rFonts w:ascii="Times New Roman" w:hAnsi="Times New Roman" w:eastAsia="宋体" w:cs="Times New Roman"/>
          <w:sz w:val="24"/>
          <w:szCs w:val="24"/>
        </w:rPr>
      </w:pPr>
      <w:r>
        <w:rPr>
          <w:rFonts w:hint="eastAsia" w:ascii="Arial" w:hAnsi="Arial" w:eastAsia="宋体" w:cs="Arial"/>
          <w:sz w:val="24"/>
          <w:szCs w:val="24"/>
        </w:rPr>
        <w:t>本基金投资于目标ETF的资产比例不低于基金资产净值的90%，且不低于非现金基金资产的80%，</w:t>
      </w:r>
      <w:r>
        <w:rPr>
          <w:rFonts w:hint="eastAsia" w:ascii="Times New Roman" w:hAnsi="Times New Roman" w:eastAsia="宋体" w:cs="Times New Roman"/>
          <w:sz w:val="24"/>
          <w:szCs w:val="24"/>
        </w:rPr>
        <w:t>投资港股通标的股票的比例不超过本基金股票资产的10%；每个交易日日终在扣除股指期货、股票期权和国债期货合约需缴纳的交易保证金后，保持不低于基金资产净值5%的现金或者到期日在一年以内的政府债券，其中现金不包括结算备付金、存出保证金和应收申购款等；股指期货、股票期权、国债期货及其他金融工具的投资比例依照法律法规或监管机构的规定执行。</w:t>
      </w:r>
    </w:p>
    <w:p w14:paraId="277AEC78">
      <w:pPr>
        <w:adjustRightInd w:val="0"/>
        <w:snapToGri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sz w:val="24"/>
          <w:szCs w:val="24"/>
        </w:rPr>
        <w:t>若法律法规的相关规定发生变更或监管机构允许，本基金管理人在履行适当程序后，可对上述资产配置比例进行调整。</w:t>
      </w:r>
    </w:p>
    <w:p w14:paraId="49C779D7">
      <w:pPr>
        <w:adjustRightInd w:val="0"/>
        <w:snapToGri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（二）投资限制</w:t>
      </w:r>
    </w:p>
    <w:p w14:paraId="1DDE5347">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1、组合限制</w:t>
      </w:r>
    </w:p>
    <w:p w14:paraId="37657BB6">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基金的投资组合应遵循以下限制：</w:t>
      </w:r>
    </w:p>
    <w:p w14:paraId="4961A389">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w:t>
      </w:r>
      <w:r>
        <w:rPr>
          <w:rFonts w:hint="eastAsia" w:ascii="宋体" w:hAnsi="Times New Roman" w:eastAsia="宋体" w:cs="宋体"/>
          <w:kern w:val="0"/>
          <w:sz w:val="24"/>
          <w:szCs w:val="24"/>
        </w:rPr>
        <w:t>本基金投资于目标ETF的资产比例不低于基金资产净值的90%，且不低于非现金基金资产的80%，投资港股通标的股票的比例不超过本基金股票资产的10%</w:t>
      </w:r>
      <w:r>
        <w:rPr>
          <w:rFonts w:hint="eastAsia" w:ascii="Times New Roman" w:hAnsi="Times New Roman" w:eastAsia="宋体" w:cs="Times New Roman"/>
          <w:kern w:val="0"/>
          <w:sz w:val="24"/>
          <w:szCs w:val="24"/>
        </w:rPr>
        <w:t>；</w:t>
      </w:r>
    </w:p>
    <w:p w14:paraId="596A35B6">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每个交易日日终在扣除股指期货、股票期权和国债期货合约需缴纳的交易保证金后，保持不低于基金资产净值5%的现金或者到期日在一年以内的政府债券，其中现金不包括结算备付金、存出保证金和应收申购款等；</w:t>
      </w:r>
    </w:p>
    <w:p w14:paraId="12567BB0">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（3）本基金资产总值不得超过基金资产净值的140%；</w:t>
      </w:r>
    </w:p>
    <w:p w14:paraId="465D17E6">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（4）本基金投资于同一原始权益人的各类资产支持证券的比例，不得超过基金资产净值的10%；</w:t>
      </w:r>
    </w:p>
    <w:p w14:paraId="2669E30B">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（5）本基金持有的全部资产支持证券，其市值不得超过基金资产净值的20%；</w:t>
      </w:r>
    </w:p>
    <w:p w14:paraId="7A0A0705">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（6）本基金持有的同一(指同一信用级别)资产支持证券的比例，不得超过该资产支持证券规模的10%；</w:t>
      </w:r>
    </w:p>
    <w:p w14:paraId="4DEDCEFF">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（7）本基金管理人管理的全部基金投资于同一原始权益人的各类资产支持证券，不得超过其各类资产支持证券合计规模的10%；</w:t>
      </w:r>
    </w:p>
    <w:p w14:paraId="4268624B">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（8）本基金应投资于信用级别评级为BBB以上(含BBB)的资产支持证券。基金持有资产支持证券期间，如果其信用等级下降、不再符合投资标准，应在评级报告发布之日起3个月内予以全部卖出；</w:t>
      </w:r>
    </w:p>
    <w:p w14:paraId="6F0EDF2E">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（9）基金财产参与股票发行申购，本基金所申报的金额不超过本基金的总资产，本基金所申报的股票数量不超过拟发行股票公司本次发行股票的总量；</w:t>
      </w:r>
    </w:p>
    <w:p w14:paraId="36392842">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（10）本基金参与融资的，在任何交易日日终，本基金融资买入股票与其他有价证券市值之和，不得超过基金资产净值的95%；</w:t>
      </w:r>
    </w:p>
    <w:p w14:paraId="236C029E">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（11）本基金投资于股指期货和国债期货，还应遵循如下投资组合限制：</w:t>
      </w:r>
    </w:p>
    <w:p w14:paraId="16F85FE3">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1）在任何交易日日终，本基金持有的买入股指期货合约价值不超过基金资产净值的10%；在任何交易日日终，持有的买入国债期货合约价值，不得超过基金资产净值15%；</w:t>
      </w:r>
    </w:p>
    <w:p w14:paraId="6A011DE0">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2）在任何交易日日终，持有的卖出股指期货合约价值不超过基金持有的股票总市值的20%；在任何交易日日终，持有的卖出国债期货合约价值不得超过基金持有的债券总市值的30%；</w:t>
      </w:r>
    </w:p>
    <w:p w14:paraId="5C8611EA">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本基金所持有的股票市值和买入、卖出股指期货合约价值，合计（轧差计算）应当符合基金合同关于股票投资比例的有关约定；本基金所持有的债券（不含到期日在一年以内的政府债券）市值和买入、卖出国债期货合约价值，合计（轧差计算）应当符合基金合同关于债券投资比例的有关约定；</w:t>
      </w:r>
    </w:p>
    <w:p w14:paraId="0519F2FE">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本基金在任何交易日日终，持有的买入股指期货和国债期货合约价值与有价证券市值之和，不得超过基金资产净值的100%。其中，有价证券指股票、债券（不含到期日在一年以内的政府债券）、资产支持证券、买入返售金融资产（不含质押式回购）等；</w:t>
      </w:r>
    </w:p>
    <w:p w14:paraId="62CCA1EF">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本基金在任何交易日内交易（不包括平仓）的股指期货合约的成交金额不得超过上一交易日基金资产净值的20%；在任何交易日内交易（不包括平仓）的国债期货合约的成交金额不得超过上一交易日基金资产净值的30%；</w:t>
      </w:r>
    </w:p>
    <w:p w14:paraId="5ECD11FA">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（12）本基金投资于股票期权，还应遵循如下投资组合限制：</w:t>
      </w:r>
    </w:p>
    <w:p w14:paraId="0FD00289">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1）因未平仓的期权合约支付和收取的权利金总额不得超过基金资产净值的10%；</w:t>
      </w:r>
    </w:p>
    <w:p w14:paraId="431C3D9B">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2）开仓卖出认购期权的，应持有足额标的证券；开仓卖出认沽期权的，应持有合约行权所需的全额现金或交易所规则认可的可冲抵期权保证金的现金等价物；</w:t>
      </w:r>
    </w:p>
    <w:p w14:paraId="61C8B39D">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3）未平仓的期权合约面值不得超过基金资产净值的20%。其中，合约面值按照行权价乘以合约乘数计算；</w:t>
      </w:r>
    </w:p>
    <w:p w14:paraId="48DB4049">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（13）本基金参与转融通证券出借业务，需遵守下列投资限制：</w:t>
      </w:r>
    </w:p>
    <w:p w14:paraId="78106E74">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1）出借证券资产不得超过基金资产净值的30%，出借期限在10 个交易日以上的出借证券应纳入《流动性风险管理规定》所述流动性受限证券的范围；</w:t>
      </w:r>
    </w:p>
    <w:p w14:paraId="58EBB156">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2）参与出借业务的单只证券不得超过本基金持有该证券总量的50%；</w:t>
      </w:r>
    </w:p>
    <w:p w14:paraId="0CE85E72">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3）最近6个月内日均基金资产净值不得低于2亿元；</w:t>
      </w:r>
    </w:p>
    <w:p w14:paraId="47C8E045">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4）证券出借的平均剩余期限不得超过30天，平均剩余期限按照市值加权平均计算；</w:t>
      </w:r>
    </w:p>
    <w:p w14:paraId="6E27B5A8">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因证券市场波动、上市公司合并、基金规模变动等基金管理人之外的因素致使基金投资不符合上述规定的，基金管理人不得新增出借业务；</w:t>
      </w:r>
    </w:p>
    <w:p w14:paraId="25A34B89">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（14）本基金主动投资于流动性受限资产的市值合计不得超过本基金资产净值的15%；</w:t>
      </w:r>
    </w:p>
    <w:p w14:paraId="1989A044">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因证券市场波动、上市公司股票停牌、基金规模变动等基金管理人之外的因素致使基金不符合该比例限制的，基金管理人不得主动新增流动性受限资产的投资；</w:t>
      </w:r>
    </w:p>
    <w:p w14:paraId="65307E32">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（15）本基金与私募类证券资管产品及中国证监会认定的其他主体为交易对手开展逆回购交易的，可接受质押品的资质要求应当与基金合同约定的投资范围保持一致；</w:t>
      </w:r>
    </w:p>
    <w:p w14:paraId="09A0A76D">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（16）本基金投资存托凭证的比例限制依照境内上市交易的股票执行，与境内上市交易的股票合并计算；</w:t>
      </w:r>
    </w:p>
    <w:p w14:paraId="3F26ADE7">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（17）相关法律法规以及监管部门规定的和基金合同约定的其它投资比例限制。</w:t>
      </w:r>
    </w:p>
    <w:p w14:paraId="6228D3CB">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除上述第（1）、（2）、（8）、（13）、（14）、（15）项外，因证券、期货市场波动、证券发行人合并、基金规模变动、标的指数成份股调整、标的指数成份股流动性限制</w:t>
      </w:r>
      <w:r>
        <w:rPr>
          <w:rFonts w:hint="eastAsia" w:ascii="宋体" w:hAnsi="Times New Roman" w:eastAsia="宋体" w:cs="宋体"/>
          <w:kern w:val="0"/>
          <w:sz w:val="24"/>
          <w:szCs w:val="24"/>
        </w:rPr>
        <w:t>、目标ETF暂停申购/赎回或二级市场交易停牌</w:t>
      </w:r>
      <w:r>
        <w:rPr>
          <w:rFonts w:hint="eastAsia" w:ascii="Times New Roman" w:hAnsi="Times New Roman" w:eastAsia="宋体" w:cs="Times New Roman"/>
          <w:kern w:val="0"/>
          <w:sz w:val="24"/>
          <w:szCs w:val="24"/>
        </w:rPr>
        <w:t>等基金管理人之外的因素致使基金投资比例不符合上述规定投资比例的，基金管理人应当在10个交易日内进行调整，但中国证监会规定的特殊情形除外。</w:t>
      </w:r>
      <w:r>
        <w:rPr>
          <w:rFonts w:hint="eastAsia" w:ascii="宋体" w:hAnsi="Times New Roman" w:eastAsia="宋体" w:cs="宋体"/>
          <w:kern w:val="0"/>
          <w:sz w:val="24"/>
          <w:szCs w:val="24"/>
        </w:rPr>
        <w:t>因证券、期货市场波动、证券发行人合并、基金规模变动、标的指数成份股调整、标的指数成份股流动性限制、目标ETF暂停申购/赎回或二级市场交易停牌等基金管理人之外的因素致使基金投资比例不符合上述第（1）项规定的比例的，基金管理人应当在20个交易日内进行调整。</w:t>
      </w:r>
    </w:p>
    <w:p w14:paraId="7F08CDA8">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本基金合同生效之日起开始。</w:t>
      </w:r>
    </w:p>
    <w:p w14:paraId="5D7015E3">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法律法规或监管部门取消或变更上述限制，如适用于本基金，基金管理人在履行适当程序后，则本基金投资不再受相关限制，或以变更后的规定为准。</w:t>
      </w:r>
    </w:p>
    <w:p w14:paraId="321A0760">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2、禁止行为</w:t>
      </w:r>
    </w:p>
    <w:p w14:paraId="0E3F598B">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为维护基金份额持有人的合法权益，基金财产不得用于下列投资或者活动：</w:t>
      </w:r>
    </w:p>
    <w:p w14:paraId="556BE66E">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（1）承销证券；</w:t>
      </w:r>
    </w:p>
    <w:p w14:paraId="78F9F615">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（2）违反规定向他人贷款或者提供担保；</w:t>
      </w:r>
    </w:p>
    <w:p w14:paraId="056B8982">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（3）从事承担无限责任的投资；</w:t>
      </w:r>
    </w:p>
    <w:p w14:paraId="32FB47B0">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（4）买卖</w:t>
      </w:r>
      <w:r>
        <w:rPr>
          <w:rFonts w:hint="eastAsia" w:ascii="宋体" w:hAnsi="Times New Roman" w:eastAsia="宋体" w:cs="宋体"/>
          <w:kern w:val="0"/>
          <w:sz w:val="24"/>
          <w:szCs w:val="24"/>
        </w:rPr>
        <w:t>除目标ETF外的</w:t>
      </w:r>
      <w:r>
        <w:rPr>
          <w:rFonts w:hint="eastAsia" w:ascii="Times New Roman" w:hAnsi="Times New Roman" w:eastAsia="宋体" w:cs="Times New Roman"/>
          <w:kern w:val="0"/>
          <w:sz w:val="24"/>
          <w:szCs w:val="24"/>
        </w:rPr>
        <w:t>其他基金份额，但是中国证监会另有规定的除外；</w:t>
      </w:r>
    </w:p>
    <w:p w14:paraId="7C9A6DAD">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（5）向其基金管理人、基金托管人出资；</w:t>
      </w:r>
    </w:p>
    <w:p w14:paraId="32CF02D3">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（6）从事内幕交易、操纵证券交易价格及其他不正当的证券交易活动；</w:t>
      </w:r>
    </w:p>
    <w:p w14:paraId="58F5998D">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（7）法律、行政法规和中国证监会规定禁止的其他活动。</w:t>
      </w:r>
    </w:p>
    <w:p w14:paraId="225A0649">
      <w:pPr>
        <w:adjustRightInd w:val="0"/>
        <w:snapToGrid w:val="0"/>
        <w:spacing w:line="360" w:lineRule="auto"/>
        <w:ind w:firstLine="422" w:firstLineChars="176"/>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管理人运用基金财产买卖基金管理人、基金托管人及其控股股东、实际控制人或者与其有其他重大利害关系的公司发行的证券或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履行信息披露义务。重大关联交易应提交基金管理人董事会审议，并经过三分之二以上的独立董事通过。基金管理人董事会应至少每半年对关联交易事项进行审查。</w:t>
      </w:r>
    </w:p>
    <w:p w14:paraId="70E5653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法律、行政法规或监管部门变更或取消上述规定，在履行适当程序后，本基金可按变更后的规定执行或不受上述规定的限制。</w:t>
      </w:r>
    </w:p>
    <w:p w14:paraId="100AF656">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六、基金资产净值的计算方法和公告方式</w:t>
      </w:r>
    </w:p>
    <w:p w14:paraId="0038FCDA">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（一）估值方法</w:t>
      </w:r>
    </w:p>
    <w:p w14:paraId="5B48122F">
      <w:pPr>
        <w:autoSpaceDE w:val="0"/>
        <w:autoSpaceDN w:val="0"/>
        <w:adjustRightInd w:val="0"/>
        <w:spacing w:line="360" w:lineRule="auto"/>
        <w:ind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1、本基金持有的目标ETF基金份额以其当日基金份额净值估值，当日无基金份额净值的，以最近工作日的基金份额净值估值。</w:t>
      </w:r>
    </w:p>
    <w:p w14:paraId="570E6E3D">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2、交易所上市或挂牌转让的有价证券（包括股票等，本基金合同另有约定的除外），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14:paraId="544ACF3A">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3、对于已上市或已挂牌转让的不含权固定收益品种，选取估值日第三方估值基准服务机构提供的相应品种当日的估值全价进行估值。</w:t>
      </w:r>
    </w:p>
    <w:p w14:paraId="22317A1D">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4、对于已上市或已挂牌转让的含权固定收益品种，选取估值日第三方估值基准服务机构提供的相应品种当日的唯一估值全价或推荐估值全价进行估值。</w:t>
      </w:r>
    </w:p>
    <w:p w14:paraId="33C82E91">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对于含投资者回售权的固定收益品种，行使回售权的，在回售登记日至实际收款日期间选取第三方估值基准服务机构提供的相应品种的唯一估值全价或推荐估值全价。回售登记期截止日（含当日）后未行使回售权的，按照长待偿期所对应的价格进行估值。</w:t>
      </w:r>
    </w:p>
    <w:p w14:paraId="3FA5A8CC">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5、对于在交易所市场上市交易的公开发行的可转换债券等有活跃市场的含转股权的债券，实行全价交易的债券选取估值日收盘价作为估值全价；实行净价交易的债券选取估值日收盘价并加计每百元税前应计利息作为估值全价。</w:t>
      </w:r>
    </w:p>
    <w:p w14:paraId="0E75F88B">
      <w:pPr>
        <w:autoSpaceDE w:val="0"/>
        <w:autoSpaceDN w:val="0"/>
        <w:adjustRightInd w:val="0"/>
        <w:spacing w:line="360" w:lineRule="auto"/>
        <w:ind w:left="181" w:leftChars="86" w:firstLine="480" w:firstLineChars="200"/>
        <w:jc w:val="left"/>
        <w:rPr>
          <w:rFonts w:hint="eastAsia" w:cs="宋体" w:asciiTheme="minorEastAsia" w:hAnsiTheme="minorEastAsia"/>
          <w:kern w:val="0"/>
          <w:sz w:val="24"/>
          <w:szCs w:val="24"/>
        </w:rPr>
      </w:pPr>
      <w:r>
        <w:rPr>
          <w:rFonts w:hint="eastAsia" w:cs="宋体" w:asciiTheme="minorEastAsia" w:hAnsiTheme="minorEastAsia"/>
          <w:kern w:val="0"/>
          <w:sz w:val="24"/>
          <w:szCs w:val="24"/>
        </w:rPr>
        <w:t>6、对于未上市或未挂牌转让且不存在活跃市场的固定收益品种，应采用在当前情况下适用并且有足够可利用数据和其他信息支持的估值技术确定其公允价值。</w:t>
      </w:r>
    </w:p>
    <w:p w14:paraId="2AAB1978">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cs="宋体" w:asciiTheme="minorEastAsia" w:hAnsiTheme="minorEastAsia"/>
          <w:kern w:val="0"/>
          <w:sz w:val="24"/>
          <w:szCs w:val="24"/>
        </w:rPr>
        <w:t>7</w:t>
      </w:r>
      <w:r>
        <w:rPr>
          <w:rFonts w:ascii="Times New Roman" w:hAnsi="Times New Roman" w:eastAsia="宋体" w:cs="Times New Roman"/>
          <w:kern w:val="0"/>
          <w:sz w:val="24"/>
          <w:szCs w:val="24"/>
        </w:rPr>
        <w:t>、处于未上市期间的有价证券应区分如下情况处理：</w:t>
      </w:r>
    </w:p>
    <w:p w14:paraId="097E5497">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（1）送股、转增股、配股和公开增发的新股，按估值日在证券交易所挂牌的同一股票的估值方法估值；该日无交易的，以最近一日的市价（收盘价）估值；</w:t>
      </w:r>
    </w:p>
    <w:p w14:paraId="055DE696">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（2）首次公开发行未上市的股票，采用估值技术确定公允价值，在估值技术难以可靠计量公允价值的情况下，按成本估值；</w:t>
      </w:r>
    </w:p>
    <w:p w14:paraId="69B969E7">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（3）</w:t>
      </w:r>
      <w:r>
        <w:rPr>
          <w:rFonts w:hint="eastAsia" w:cs="宋体" w:asciiTheme="minorEastAsia" w:hAnsiTheme="minorEastAsia"/>
          <w:kern w:val="0"/>
          <w:sz w:val="24"/>
          <w:szCs w:val="24"/>
        </w:rPr>
        <w:t>在发行时明确一定期限限售期的股票，包括但不限于非公开发行股票、首次公开发行股票时公司股东公开发售股份、通过大宗交易取得的带限售期的股票等，不包括停牌、新发行未上市、回购交易中的质押券等流通受限股票，按监管机构或行业协会有关规定确定公允价值。</w:t>
      </w:r>
    </w:p>
    <w:p w14:paraId="0C2BC93E">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8</w:t>
      </w:r>
      <w:r>
        <w:rPr>
          <w:rFonts w:ascii="Times New Roman" w:hAnsi="Times New Roman" w:eastAsia="宋体" w:cs="Times New Roman"/>
          <w:kern w:val="0"/>
          <w:sz w:val="24"/>
          <w:szCs w:val="24"/>
        </w:rPr>
        <w:t>、本基金投资存托凭证的估值核算，依照境内上市交易的股票执行。</w:t>
      </w:r>
    </w:p>
    <w:p w14:paraId="1AA7F334">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9</w:t>
      </w:r>
      <w:r>
        <w:rPr>
          <w:rFonts w:ascii="Times New Roman" w:hAnsi="Times New Roman" w:eastAsia="宋体" w:cs="Times New Roman"/>
          <w:kern w:val="0"/>
          <w:sz w:val="24"/>
          <w:szCs w:val="24"/>
        </w:rPr>
        <w:t>、同一证券同时在两个或两个以上市场交易的，按证券所处的市场分别估值。</w:t>
      </w:r>
    </w:p>
    <w:p w14:paraId="038321F4">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10</w:t>
      </w:r>
      <w:r>
        <w:rPr>
          <w:rFonts w:ascii="Times New Roman" w:hAnsi="Times New Roman" w:eastAsia="宋体" w:cs="Times New Roman"/>
          <w:kern w:val="0"/>
          <w:sz w:val="24"/>
          <w:szCs w:val="24"/>
        </w:rPr>
        <w:t>、本基金</w:t>
      </w:r>
      <w:r>
        <w:rPr>
          <w:rFonts w:hint="eastAsia" w:cs="宋体" w:asciiTheme="minorEastAsia" w:hAnsiTheme="minorEastAsia"/>
          <w:kern w:val="0"/>
          <w:sz w:val="24"/>
          <w:szCs w:val="24"/>
        </w:rPr>
        <w:t>参与</w:t>
      </w:r>
      <w:r>
        <w:rPr>
          <w:rFonts w:ascii="Times New Roman" w:hAnsi="Times New Roman" w:eastAsia="宋体" w:cs="Times New Roman"/>
          <w:kern w:val="0"/>
          <w:sz w:val="24"/>
          <w:szCs w:val="24"/>
        </w:rPr>
        <w:t>股指期货合约、国债期货合约</w:t>
      </w:r>
      <w:r>
        <w:rPr>
          <w:rFonts w:hint="eastAsia" w:ascii="Times New Roman" w:hAnsi="Times New Roman" w:eastAsia="宋体" w:cs="Times New Roman"/>
          <w:kern w:val="0"/>
          <w:sz w:val="24"/>
          <w:szCs w:val="24"/>
        </w:rPr>
        <w:t>交易</w:t>
      </w:r>
      <w:r>
        <w:rPr>
          <w:rFonts w:ascii="Times New Roman" w:hAnsi="Times New Roman" w:eastAsia="宋体" w:cs="Times New Roman"/>
          <w:kern w:val="0"/>
          <w:sz w:val="24"/>
          <w:szCs w:val="24"/>
        </w:rPr>
        <w:t>，一般以估值当日结算价进行估值，估值当日无结算价的，且最近交易日后经济环境未发生重大变化的，采用最近交易日结算价估值。</w:t>
      </w:r>
    </w:p>
    <w:p w14:paraId="5E677567">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11</w:t>
      </w:r>
      <w:r>
        <w:rPr>
          <w:rFonts w:ascii="Times New Roman" w:hAnsi="Times New Roman" w:eastAsia="宋体" w:cs="Times New Roman"/>
          <w:kern w:val="0"/>
          <w:sz w:val="24"/>
          <w:szCs w:val="24"/>
        </w:rPr>
        <w:t>、本基金投资股票期权，根据相关法律法规以及监管部门的规定估值。</w:t>
      </w:r>
    </w:p>
    <w:p w14:paraId="0EEC8C49">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12</w:t>
      </w:r>
      <w:r>
        <w:rPr>
          <w:rFonts w:ascii="Times New Roman" w:hAnsi="Times New Roman" w:eastAsia="宋体" w:cs="Times New Roman"/>
          <w:kern w:val="0"/>
          <w:sz w:val="24"/>
          <w:szCs w:val="24"/>
        </w:rPr>
        <w:t>、本基金参与融资或转融通证券出借业务的，应参照行业协会的相关规定进行估值，确保估值的公允性。</w:t>
      </w:r>
    </w:p>
    <w:p w14:paraId="79552E6D">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3</w:t>
      </w:r>
      <w:r>
        <w:rPr>
          <w:rFonts w:ascii="Times New Roman" w:hAnsi="Times New Roman" w:eastAsia="宋体" w:cs="Times New Roman"/>
          <w:kern w:val="0"/>
          <w:sz w:val="24"/>
          <w:szCs w:val="24"/>
        </w:rPr>
        <w:t>、汇率</w:t>
      </w:r>
    </w:p>
    <w:p w14:paraId="0AE62DE0">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本基金外币资产价值计算中，涉及主要货币对人民币汇率的，应当以基金估值日中国人民银行或其授权机构公布的人民币汇率中间价为准。</w:t>
      </w:r>
    </w:p>
    <w:p w14:paraId="5978E13A">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4</w:t>
      </w:r>
      <w:r>
        <w:rPr>
          <w:rFonts w:ascii="Times New Roman" w:hAnsi="Times New Roman" w:eastAsia="宋体" w:cs="Times New Roman"/>
          <w:kern w:val="0"/>
          <w:sz w:val="24"/>
          <w:szCs w:val="24"/>
        </w:rPr>
        <w:t>、如有确凿证据表明按上述方法进行估值不能客观反映其公允价值的，基金管理人可根据具体情况与基金托管人商定后，按最能反映公允价值的价格估值。</w:t>
      </w:r>
    </w:p>
    <w:p w14:paraId="048623D6">
      <w:pPr>
        <w:autoSpaceDE w:val="0"/>
        <w:autoSpaceDN w:val="0"/>
        <w:adjustRightInd w:val="0"/>
        <w:spacing w:line="360" w:lineRule="auto"/>
        <w:ind w:left="181" w:leftChars="86"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5</w:t>
      </w:r>
      <w:r>
        <w:rPr>
          <w:rFonts w:ascii="Times New Roman" w:hAnsi="Times New Roman" w:eastAsia="宋体" w:cs="Times New Roman"/>
          <w:kern w:val="0"/>
          <w:sz w:val="24"/>
          <w:szCs w:val="24"/>
        </w:rPr>
        <w:t>、当发生大额申购或赎回情形时，基金管理人可以采用摆动定价机制，以确保基金估值的公平性。具体处理原则与操作规范遵循相关法律法规以及监管部门、自律规则的规定。</w:t>
      </w:r>
    </w:p>
    <w:p w14:paraId="2FD7DF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ascii="Times New Roman" w:hAnsi="Times New Roman" w:eastAsia="宋体" w:cs="Times New Roman"/>
          <w:kern w:val="0"/>
          <w:sz w:val="24"/>
          <w:szCs w:val="24"/>
        </w:rPr>
        <w:t>1</w:t>
      </w:r>
      <w:r>
        <w:rPr>
          <w:rFonts w:hint="eastAsia" w:ascii="Times New Roman" w:hAnsi="Times New Roman" w:eastAsia="宋体" w:cs="Times New Roman"/>
          <w:kern w:val="0"/>
          <w:sz w:val="24"/>
          <w:szCs w:val="24"/>
        </w:rPr>
        <w:t>6</w:t>
      </w:r>
      <w:r>
        <w:rPr>
          <w:rFonts w:ascii="Times New Roman" w:hAnsi="Times New Roman" w:eastAsia="宋体" w:cs="Times New Roman"/>
          <w:kern w:val="0"/>
          <w:sz w:val="24"/>
          <w:szCs w:val="24"/>
        </w:rPr>
        <w:t>、相关法律法规以及监管部门有强制规定的，从其规定。如有新增事项，按国家最新规定估值。</w:t>
      </w:r>
    </w:p>
    <w:p w14:paraId="0CF28F94">
      <w:pPr>
        <w:autoSpaceDE w:val="0"/>
        <w:autoSpaceDN w:val="0"/>
        <w:adjustRightInd w:val="0"/>
        <w:spacing w:line="360" w:lineRule="auto"/>
        <w:ind w:firstLine="480" w:firstLineChars="200"/>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如基金管理人或基金托管人发现基金估值违反基金合同订明的估值方法、程序及相关法律法规的规定或者未能充分维护基金份额持有人利益时，应立即通知对方，共同查明原因，双方协商解决。</w:t>
      </w:r>
    </w:p>
    <w:p w14:paraId="3E9A001A">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的计算结果对外予以公布。</w:t>
      </w:r>
    </w:p>
    <w:p w14:paraId="1A4B3D25">
      <w:pPr>
        <w:autoSpaceDE w:val="0"/>
        <w:autoSpaceDN w:val="0"/>
        <w:spacing w:line="360" w:lineRule="auto"/>
        <w:ind w:firstLine="480" w:firstLineChars="200"/>
        <w:textAlignment w:val="bottom"/>
        <w:rPr>
          <w:rFonts w:ascii="Times New Roman" w:hAnsi="Times New Roman" w:eastAsia="宋体" w:cs="Times New Roman"/>
          <w:sz w:val="24"/>
          <w:szCs w:val="24"/>
        </w:rPr>
      </w:pPr>
      <w:r>
        <w:rPr>
          <w:rFonts w:ascii="Times New Roman" w:hAnsi="Times New Roman" w:eastAsia="宋体" w:cs="Times New Roman"/>
          <w:sz w:val="24"/>
          <w:szCs w:val="24"/>
        </w:rPr>
        <w:t>（二）基金净值信息</w:t>
      </w:r>
    </w:p>
    <w:p w14:paraId="66FAF797">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基金管理人应当在不晚于每个开放日的次日，通过规定网站、基金销售机构网站或者营业网点披露开放日的各类基金份额净值和各类基金份额累计净值。</w:t>
      </w:r>
    </w:p>
    <w:p w14:paraId="296D01A4">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基金管理人应当在不晚于半年度和年度最后一日的次日， 在规定网站公告半年度和年度最后一日各类基金份额净值和各类基金份额累计净值。</w:t>
      </w:r>
    </w:p>
    <w:p w14:paraId="747B86B3">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七、基金合同的变更、终止与基金财产的清算</w:t>
      </w:r>
    </w:p>
    <w:p w14:paraId="0898A542">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（一）《基金合同》的变更</w:t>
      </w:r>
    </w:p>
    <w:p w14:paraId="3334CB0E">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14:paraId="3E1ED4D6">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2、关于《基金合同》变更的基金份额持有人大会决议自生效后方可执行，自决议生效后按规定在规定媒介公告。</w:t>
      </w:r>
    </w:p>
    <w:p w14:paraId="4E62BBAC">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（二）《基金合同》的终止事由</w:t>
      </w:r>
    </w:p>
    <w:p w14:paraId="166AE82E">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有下列情形之一的，经履行相关程序后，《基金合同》应当终止：</w:t>
      </w:r>
    </w:p>
    <w:p w14:paraId="2E332F2B">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1、基金份额持有人大会决定终止的；</w:t>
      </w:r>
    </w:p>
    <w:p w14:paraId="0D3F5CD4">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2、基金管理人、基金托管人职责终止，在6个月内没有新基金管理人、新基金托管人承接的；</w:t>
      </w:r>
    </w:p>
    <w:p w14:paraId="5FF5DFCB">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3、《基金合同》约定的其他情形；</w:t>
      </w:r>
    </w:p>
    <w:p w14:paraId="2A7E0A91">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4、相关法律法规和中国证监会规定的其他情况。</w:t>
      </w:r>
    </w:p>
    <w:p w14:paraId="3BDA91BC">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（三）基金财产的清算</w:t>
      </w:r>
    </w:p>
    <w:p w14:paraId="0526EA86">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1、基金财产清算小组：自出现《基金合同》终止事由之日起30个工作日内由基金管理人发起成立基金财产清算小组，基金管理人组织基金财产清算小组并在中国证监会的监督下进行基金清算。</w:t>
      </w:r>
    </w:p>
    <w:p w14:paraId="274545A8">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2、在基金财产清算小组接管基金财产之前，基金管理人和基金托管人应按照《基金合同》和托管协议的规定继续履行保护基金财产安全的职责。</w:t>
      </w:r>
    </w:p>
    <w:p w14:paraId="706056D0">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基金财产清算小组组成：基金财产清算小组成员由基金管理人、基金托管人、符合《中华人民共和国证券法》规定的注册会计师、律师以及中国证监会指定的人员组成。基金财产清算小组可以聘用必要的工作人员。</w:t>
      </w:r>
    </w:p>
    <w:p w14:paraId="25AEB7AE">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4、基金财产清算小组职责：基金财产清算小组负责基金财产的保管、清理、估价、变现和分配。基金财产清算小组可以依法进行必要的民事活动。</w:t>
      </w:r>
    </w:p>
    <w:p w14:paraId="28CC849C">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5、在基金财产清算过程中，基金管理人和基金托管人应各自履行职责，继续忠实、勤勉、尽责地履行基金合同和托管协议规定的义务，维护基金份额持有人的合法权益。</w:t>
      </w:r>
    </w:p>
    <w:p w14:paraId="34E80276">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6、基金财产清算程序：</w:t>
      </w:r>
    </w:p>
    <w:p w14:paraId="2B463853">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（1）《基金合同》终止情形出现时，由基金财产清算小组统一接管基金；</w:t>
      </w:r>
    </w:p>
    <w:p w14:paraId="70CDA80E">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（2）对基金财产和债权债务进行清理和确认；</w:t>
      </w:r>
    </w:p>
    <w:p w14:paraId="7F3572B0">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（3）对基金财产进行估值和变现；</w:t>
      </w:r>
    </w:p>
    <w:p w14:paraId="324B1173">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（4）制作清算报告；</w:t>
      </w:r>
    </w:p>
    <w:p w14:paraId="20DA5A85">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（5）聘请会计师事务所对清算报告进行外部审计，聘请律师事务所对清算报告出具法律意见书；</w:t>
      </w:r>
    </w:p>
    <w:p w14:paraId="5E58670D">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（6）将清算报告报中国证监会备案并公告；</w:t>
      </w:r>
    </w:p>
    <w:p w14:paraId="607BBA8A">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（7）对基金剩余财产进行分配。</w:t>
      </w:r>
    </w:p>
    <w:p w14:paraId="73CB0473">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7、基金财产清算的期限为6个月，但因本基金所持证券的流动性受到限制而不能及时变现的，清算期限可相应顺延。</w:t>
      </w:r>
    </w:p>
    <w:p w14:paraId="46F7215A">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（四）清算费用</w:t>
      </w:r>
    </w:p>
    <w:p w14:paraId="5C473657">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清算费用是指基金财产清算小组在进行基金清算过程中发生的所有合理费用，清算费用由基金财产清算小组优先从基金剩余财产中支付。</w:t>
      </w:r>
    </w:p>
    <w:p w14:paraId="23FAB393">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（五）基金财产清算剩余资产的分配</w:t>
      </w:r>
    </w:p>
    <w:p w14:paraId="234C0271">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依据基金财产清算的分配方案，将基金财产清算后的全部剩余资产扣除基金财产清算费用、交纳所欠税款并清偿基金债务后，按基金份额持有人持有的各类基金份额比例进行分配。</w:t>
      </w:r>
    </w:p>
    <w:p w14:paraId="2E5F7A01">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（六）基金财产清算的公告</w:t>
      </w:r>
    </w:p>
    <w:p w14:paraId="70D393CF">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14:paraId="6A5C1D34">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（七）基金财产清算账册及文件的保存</w:t>
      </w:r>
    </w:p>
    <w:p w14:paraId="7523B311">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hint="eastAsia" w:ascii="Times New Roman" w:hAnsi="Times New Roman" w:eastAsia="宋体" w:cs="Times New Roman"/>
          <w:kern w:val="0"/>
          <w:sz w:val="24"/>
          <w:szCs w:val="24"/>
        </w:rPr>
        <w:t>基金财产清算账册及有关文件由基金托管人保存，保存期限不低于法律法规规定的最低期限。</w:t>
      </w:r>
    </w:p>
    <w:p w14:paraId="0ED06448">
      <w:pPr>
        <w:autoSpaceDE w:val="0"/>
        <w:autoSpaceDN w:val="0"/>
        <w:spacing w:line="360" w:lineRule="auto"/>
        <w:ind w:firstLine="480" w:firstLineChars="200"/>
        <w:textAlignment w:val="bottom"/>
        <w:rPr>
          <w:rFonts w:ascii="Times New Roman" w:hAnsi="Times New Roman" w:eastAsia="宋体" w:cs="Times New Roman"/>
          <w:kern w:val="0"/>
          <w:sz w:val="24"/>
          <w:szCs w:val="24"/>
        </w:rPr>
      </w:pPr>
      <w:r>
        <w:rPr>
          <w:rFonts w:ascii="Times New Roman" w:hAnsi="Times New Roman" w:eastAsia="宋体" w:cs="Times New Roman"/>
          <w:kern w:val="0"/>
          <w:sz w:val="24"/>
          <w:szCs w:val="24"/>
        </w:rPr>
        <w:t>（八）基金合并</w:t>
      </w:r>
    </w:p>
    <w:p w14:paraId="74DF5E98">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hint="eastAsia" w:ascii="Times New Roman" w:hAnsi="Times New Roman" w:eastAsia="宋体" w:cs="Times New Roman"/>
          <w:kern w:val="0"/>
          <w:sz w:val="24"/>
          <w:szCs w:val="24"/>
        </w:rPr>
        <w:t>本基金与其他基金的合并应当按照法律法规规定的程序进行。</w:t>
      </w:r>
    </w:p>
    <w:p w14:paraId="472AF780">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八、争议的处理和适用的法律</w:t>
      </w:r>
    </w:p>
    <w:p w14:paraId="7B1C462A">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各方当事人同意，因《基金合同》而产生的或与《基金合同》有关的一切争议，如不愿或者不能通过协商、调解解决的，应将争议提交深圳国际仲裁院（深圳仲裁委员会），按照深圳国际仲裁院（深圳仲裁委员会）届时有效的仲裁规则进行仲裁。仲裁地点为深圳市。仲裁裁决是终局的，对各方当事人均有约束力。除非仲裁裁决另有规定，仲裁费用、律师费用由败诉方承担。</w:t>
      </w:r>
    </w:p>
    <w:p w14:paraId="13153B97">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争议处理期间，基金管理人、基金托管人应恪守基金管理人和基金托管人的职责，各自继续忠实、勤勉、尽责地履行基金合同和基金托管协议规定的义务，维护基金份额持有人的合法权益。</w:t>
      </w:r>
    </w:p>
    <w:p w14:paraId="2796A618">
      <w:pPr>
        <w:autoSpaceDE w:val="0"/>
        <w:autoSpaceDN w:val="0"/>
        <w:spacing w:line="360" w:lineRule="auto"/>
        <w:ind w:firstLine="482" w:firstLineChars="200"/>
        <w:textAlignment w:val="bottom"/>
        <w:rPr>
          <w:rFonts w:ascii="Times New Roman" w:hAnsi="Times New Roman" w:eastAsia="宋体" w:cs="Times New Roman"/>
          <w:b/>
          <w:bCs/>
          <w:i/>
          <w:sz w:val="24"/>
          <w:szCs w:val="20"/>
        </w:rPr>
      </w:pPr>
      <w:r>
        <w:rPr>
          <w:rFonts w:hint="eastAsia" w:ascii="Times New Roman" w:hAnsi="Times New Roman" w:eastAsia="宋体" w:cs="Times New Roman"/>
          <w:b/>
          <w:bCs/>
          <w:i/>
          <w:sz w:val="24"/>
          <w:szCs w:val="20"/>
        </w:rPr>
        <w:t>《基金合同》受中国法律（为本基金合同之目的，在此不包括香港、澳门特别行政区和台湾地区法律）管辖并从其解释。</w:t>
      </w:r>
    </w:p>
    <w:p w14:paraId="09057FC9">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九、基金合同的存放地和投资者取得基金合同的方式</w:t>
      </w:r>
    </w:p>
    <w:p w14:paraId="2F4CE840">
      <w:pPr>
        <w:autoSpaceDE w:val="0"/>
        <w:autoSpaceDN w:val="0"/>
        <w:spacing w:line="360" w:lineRule="auto"/>
        <w:ind w:firstLine="480" w:firstLineChars="200"/>
        <w:textAlignment w:val="bottom"/>
        <w:rPr>
          <w:rFonts w:ascii="Times New Roman" w:hAnsi="Times New Roman" w:eastAsia="宋体" w:cs="Times New Roman"/>
          <w:bCs/>
          <w:sz w:val="24"/>
          <w:szCs w:val="20"/>
        </w:rPr>
      </w:pPr>
      <w:r>
        <w:rPr>
          <w:rFonts w:ascii="Times New Roman" w:hAnsi="Times New Roman" w:eastAsia="宋体" w:cs="Times New Roman"/>
          <w:bCs/>
          <w:sz w:val="24"/>
          <w:szCs w:val="20"/>
        </w:rPr>
        <w:t>《基金合同》可印制成册，供投资者在基金管理人、基金托管人、销售机构的办公场所和营业场所查阅。</w:t>
      </w:r>
    </w:p>
    <w:sectPr>
      <w:footerReference r:id="rId27" w:type="default"/>
      <w:pgSz w:w="11906" w:h="16838"/>
      <w:pgMar w:top="1418" w:right="1701" w:bottom="1418" w:left="1701"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25843161"/>
    </w:sdtPr>
    <w:sdtContent>
      <w:p w14:paraId="1543B7E9">
        <w:pPr>
          <w:pStyle w:val="8"/>
          <w:jc w:val="center"/>
        </w:pPr>
        <w:r>
          <w:rPr>
            <w:rFonts w:hint="eastAsia"/>
          </w:rPr>
          <w:t>1-</w:t>
        </w:r>
        <w:r>
          <w:fldChar w:fldCharType="begin"/>
        </w:r>
        <w:r>
          <w:instrText xml:space="preserve">PAGE   \* MERGEFORMAT</w:instrText>
        </w:r>
        <w:r>
          <w:fldChar w:fldCharType="separate"/>
        </w:r>
        <w:r>
          <w:rPr>
            <w:lang w:val="zh-CN"/>
          </w:rPr>
          <w:t>3</w:t>
        </w:r>
        <w: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62290991"/>
    </w:sdtPr>
    <w:sdtContent>
      <w:p w14:paraId="4598541A">
        <w:pPr>
          <w:pStyle w:val="8"/>
          <w:jc w:val="center"/>
        </w:pPr>
        <w:r>
          <w:rPr>
            <w:rFonts w:hint="eastAsia"/>
          </w:rPr>
          <w:t>2-</w:t>
        </w:r>
        <w:r>
          <w:fldChar w:fldCharType="begin"/>
        </w:r>
        <w:r>
          <w:instrText xml:space="preserve">PAGE   \* MERGEFORMAT</w:instrText>
        </w:r>
        <w:r>
          <w:fldChar w:fldCharType="separate"/>
        </w:r>
        <w:r>
          <w:rPr>
            <w:lang w:val="zh-CN"/>
          </w:rPr>
          <w:t>6</w:t>
        </w:r>
        <w: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9583245"/>
    </w:sdtPr>
    <w:sdtContent>
      <w:p w14:paraId="04FEF26E">
        <w:pPr>
          <w:pStyle w:val="8"/>
          <w:jc w:val="center"/>
        </w:pPr>
        <w:r>
          <w:rPr>
            <w:rFonts w:hint="eastAsia"/>
          </w:rPr>
          <w:t>3-</w:t>
        </w:r>
        <w:r>
          <w:fldChar w:fldCharType="begin"/>
        </w:r>
        <w:r>
          <w:instrText xml:space="preserve">PAGE   \* MERGEFORMAT</w:instrText>
        </w:r>
        <w:r>
          <w:fldChar w:fldCharType="separate"/>
        </w:r>
        <w:r>
          <w:rPr>
            <w:lang w:val="zh-CN"/>
          </w:rPr>
          <w:t>2</w:t>
        </w:r>
        <w: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0433617"/>
    </w:sdtPr>
    <w:sdtContent>
      <w:p w14:paraId="427073DB">
        <w:pPr>
          <w:pStyle w:val="8"/>
          <w:jc w:val="center"/>
        </w:pPr>
        <w:r>
          <w:rPr>
            <w:rFonts w:hint="eastAsia"/>
          </w:rPr>
          <w:t>4-</w:t>
        </w:r>
        <w:r>
          <w:fldChar w:fldCharType="begin"/>
        </w:r>
        <w:r>
          <w:instrText xml:space="preserve">PAGE   \* MERGEFORMAT</w:instrText>
        </w:r>
        <w:r>
          <w:fldChar w:fldCharType="separate"/>
        </w:r>
        <w:r>
          <w:rPr>
            <w:lang w:val="zh-CN"/>
          </w:rPr>
          <w:t>2</w:t>
        </w:r>
        <w: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260878"/>
    </w:sdtPr>
    <w:sdtContent>
      <w:p w14:paraId="6E3A8E04">
        <w:pPr>
          <w:pStyle w:val="8"/>
          <w:jc w:val="center"/>
        </w:pPr>
        <w:r>
          <w:rPr>
            <w:rFonts w:hint="eastAsia"/>
          </w:rPr>
          <w:t>5-</w:t>
        </w:r>
        <w:r>
          <w:fldChar w:fldCharType="begin"/>
        </w:r>
        <w:r>
          <w:instrText xml:space="preserve">PAGE   \* MERGEFORMAT</w:instrText>
        </w:r>
        <w:r>
          <w:fldChar w:fldCharType="separate"/>
        </w:r>
        <w:r>
          <w:rPr>
            <w:lang w:val="zh-CN"/>
          </w:rPr>
          <w:t>2</w:t>
        </w:r>
        <w: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73984408"/>
    </w:sdtPr>
    <w:sdtContent>
      <w:p w14:paraId="426866DC">
        <w:pPr>
          <w:pStyle w:val="8"/>
          <w:jc w:val="center"/>
        </w:pPr>
        <w:r>
          <w:rPr>
            <w:rFonts w:hint="eastAsia"/>
          </w:rPr>
          <w:t>6-</w:t>
        </w:r>
        <w:r>
          <w:fldChar w:fldCharType="begin"/>
        </w:r>
        <w:r>
          <w:instrText xml:space="preserve">PAGE   \* MERGEFORMAT</w:instrText>
        </w:r>
        <w:r>
          <w:fldChar w:fldCharType="separate"/>
        </w:r>
        <w:r>
          <w:rPr>
            <w:lang w:val="zh-CN"/>
          </w:rPr>
          <w:t>9</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50527981"/>
    </w:sdtPr>
    <w:sdtContent>
      <w:p w14:paraId="60D03D3F">
        <w:pPr>
          <w:pStyle w:val="8"/>
          <w:jc w:val="center"/>
        </w:pPr>
        <w:r>
          <w:rPr>
            <w:rFonts w:hint="eastAsia"/>
          </w:rPr>
          <w:t>7-</w:t>
        </w:r>
        <w:r>
          <w:fldChar w:fldCharType="begin"/>
        </w:r>
        <w:r>
          <w:instrText xml:space="preserve">PAGE   \* MERGEFORMAT</w:instrText>
        </w:r>
        <w:r>
          <w:fldChar w:fldCharType="separate"/>
        </w:r>
        <w:r>
          <w:rPr>
            <w:lang w:val="zh-CN"/>
          </w:rPr>
          <w:t>8</w:t>
        </w:r>
        <w:r>
          <w:fldChar w:fldCharType="end"/>
        </w:r>
      </w:p>
    </w:sdtContent>
  </w:sdt>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792783646"/>
    </w:sdtPr>
    <w:sdtContent>
      <w:p w14:paraId="7DECE0D0">
        <w:pPr>
          <w:pStyle w:val="8"/>
          <w:jc w:val="center"/>
        </w:pPr>
        <w:r>
          <w:rPr>
            <w:rFonts w:hint="eastAsia"/>
          </w:rPr>
          <w:t>8-</w:t>
        </w:r>
        <w:r>
          <w:fldChar w:fldCharType="begin"/>
        </w:r>
        <w:r>
          <w:instrText xml:space="preserve">PAGE   \* MERGEFORMAT</w:instrText>
        </w:r>
        <w:r>
          <w:fldChar w:fldCharType="separate"/>
        </w:r>
        <w:r>
          <w:rPr>
            <w:lang w:val="zh-CN"/>
          </w:rPr>
          <w:t>9</w:t>
        </w:r>
        <w:r>
          <w:fldChar w:fldCharType="end"/>
        </w:r>
      </w:p>
    </w:sdtContent>
  </w:sdt>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7986414"/>
    </w:sdtPr>
    <w:sdtContent>
      <w:p w14:paraId="54C5B561">
        <w:pPr>
          <w:pStyle w:val="8"/>
          <w:jc w:val="center"/>
        </w:pPr>
        <w:r>
          <w:rPr>
            <w:rFonts w:hint="eastAsia"/>
          </w:rPr>
          <w:t>9-</w:t>
        </w:r>
        <w:r>
          <w:fldChar w:fldCharType="begin"/>
        </w:r>
        <w:r>
          <w:instrText xml:space="preserve">PAGE   \* MERGEFORMAT</w:instrText>
        </w:r>
        <w:r>
          <w:fldChar w:fldCharType="separate"/>
        </w:r>
        <w:r>
          <w:rPr>
            <w:lang w:val="zh-CN"/>
          </w:rPr>
          <w:t>3</w:t>
        </w:r>
        <w:r>
          <w:fldChar w:fldCharType="end"/>
        </w:r>
      </w:p>
    </w:sdtContent>
  </w:sdt>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99049421"/>
    </w:sdtPr>
    <w:sdtContent>
      <w:p w14:paraId="6D81181E">
        <w:pPr>
          <w:pStyle w:val="8"/>
          <w:jc w:val="center"/>
        </w:pPr>
        <w:r>
          <w:rPr>
            <w:rFonts w:hint="eastAsia"/>
          </w:rPr>
          <w:t>10-</w:t>
        </w:r>
        <w:r>
          <w:fldChar w:fldCharType="begin"/>
        </w:r>
        <w:r>
          <w:instrText xml:space="preserve">PAGE   \* MERGEFORMAT</w:instrText>
        </w:r>
        <w:r>
          <w:fldChar w:fldCharType="separate"/>
        </w:r>
        <w:r>
          <w:rPr>
            <w:lang w:val="zh-CN"/>
          </w:rPr>
          <w:t>1</w:t>
        </w:r>
        <w:r>
          <w:fldChar w:fldCharType="end"/>
        </w:r>
      </w:p>
    </w:sdtContent>
  </w:sdt>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91462335"/>
    </w:sdtPr>
    <w:sdtContent>
      <w:p w14:paraId="02442A79">
        <w:pPr>
          <w:pStyle w:val="8"/>
          <w:jc w:val="center"/>
        </w:pPr>
        <w:r>
          <w:rPr>
            <w:rFonts w:hint="eastAsia"/>
          </w:rPr>
          <w:t>11-</w:t>
        </w:r>
        <w:r>
          <w:fldChar w:fldCharType="begin"/>
        </w:r>
        <w:r>
          <w:instrText xml:space="preserve">PAGE   \* MERGEFORMAT</w:instrText>
        </w:r>
        <w:r>
          <w:fldChar w:fldCharType="separate"/>
        </w:r>
        <w:r>
          <w:rPr>
            <w:lang w:val="zh-CN"/>
          </w:rPr>
          <w:t>2</w:t>
        </w:r>
        <w:r>
          <w:fldChar w:fldCharType="end"/>
        </w:r>
      </w:p>
    </w:sdtContent>
  </w:sdt>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04427333"/>
    </w:sdtPr>
    <w:sdtContent>
      <w:p w14:paraId="41D0CFD4">
        <w:pPr>
          <w:pStyle w:val="8"/>
          <w:jc w:val="center"/>
        </w:pPr>
        <w:r>
          <w:rPr>
            <w:rFonts w:hint="eastAsia"/>
          </w:rPr>
          <w:t>1</w:t>
        </w:r>
        <w:r>
          <w:t>2</w:t>
        </w:r>
        <w:r>
          <w:rPr>
            <w:rFonts w:hint="eastAsia"/>
          </w:rPr>
          <w:t>-</w:t>
        </w:r>
        <w:r>
          <w:fldChar w:fldCharType="begin"/>
        </w:r>
        <w:r>
          <w:instrText xml:space="preserve">PAGE   \* MERGEFORMAT</w:instrText>
        </w:r>
        <w:r>
          <w:fldChar w:fldCharType="separate"/>
        </w:r>
        <w:r>
          <w:rPr>
            <w:lang w:val="zh-CN"/>
          </w:rPr>
          <w:t>8</w:t>
        </w:r>
        <w:r>
          <w:fldChar w:fldCharType="end"/>
        </w:r>
      </w:p>
    </w:sdtContent>
  </w:sdt>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46244562"/>
    </w:sdtPr>
    <w:sdtContent>
      <w:p w14:paraId="09D99704">
        <w:pPr>
          <w:pStyle w:val="8"/>
          <w:jc w:val="center"/>
        </w:pPr>
        <w:r>
          <w:rPr>
            <w:rFonts w:hint="eastAsia"/>
          </w:rPr>
          <w:t>13-</w:t>
        </w:r>
        <w:r>
          <w:fldChar w:fldCharType="begin"/>
        </w:r>
        <w:r>
          <w:instrText xml:space="preserve">PAGE   \* MERGEFORMAT</w:instrText>
        </w:r>
        <w:r>
          <w:fldChar w:fldCharType="separate"/>
        </w:r>
        <w:r>
          <w:rPr>
            <w:lang w:val="zh-CN"/>
          </w:rPr>
          <w:t>1</w:t>
        </w:r>
        <w:r>
          <w:fldChar w:fldCharType="end"/>
        </w:r>
      </w:p>
    </w:sdtContent>
  </w:sdt>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5131533"/>
    </w:sdtPr>
    <w:sdtContent>
      <w:p w14:paraId="69853734">
        <w:pPr>
          <w:pStyle w:val="8"/>
          <w:jc w:val="center"/>
        </w:pPr>
        <w:r>
          <w:rPr>
            <w:rFonts w:hint="eastAsia"/>
          </w:rPr>
          <w:t>14-</w:t>
        </w:r>
        <w:r>
          <w:fldChar w:fldCharType="begin"/>
        </w:r>
        <w:r>
          <w:instrText xml:space="preserve">PAGE   \* MERGEFORMAT</w:instrText>
        </w:r>
        <w:r>
          <w:fldChar w:fldCharType="separate"/>
        </w:r>
        <w:r>
          <w:rPr>
            <w:lang w:val="zh-CN"/>
          </w:rPr>
          <w:t>4</w:t>
        </w:r>
        <w:r>
          <w:fldChar w:fldCharType="end"/>
        </w:r>
      </w:p>
    </w:sdtContent>
  </w:sdt>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347577"/>
    </w:sdtPr>
    <w:sdtContent>
      <w:p w14:paraId="6939FF25">
        <w:pPr>
          <w:pStyle w:val="8"/>
          <w:jc w:val="center"/>
        </w:pPr>
        <w:r>
          <w:rPr>
            <w:rFonts w:hint="eastAsia"/>
          </w:rPr>
          <w:t>15-</w:t>
        </w:r>
        <w:r>
          <w:fldChar w:fldCharType="begin"/>
        </w:r>
        <w:r>
          <w:instrText xml:space="preserve">PAGE   \* MERGEFORMAT</w:instrText>
        </w:r>
        <w:r>
          <w:fldChar w:fldCharType="separate"/>
        </w:r>
        <w:r>
          <w:rPr>
            <w:lang w:val="zh-CN"/>
          </w:rPr>
          <w:t>3</w:t>
        </w:r>
        <w:r>
          <w:fldChar w:fldCharType="end"/>
        </w:r>
      </w:p>
    </w:sdtContent>
  </w:sdt>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45931259"/>
    </w:sdtPr>
    <w:sdtContent>
      <w:p w14:paraId="4F0E9FF9">
        <w:pPr>
          <w:pStyle w:val="8"/>
          <w:jc w:val="center"/>
        </w:pPr>
        <w:r>
          <w:rPr>
            <w:rFonts w:hint="eastAsia"/>
          </w:rPr>
          <w:t>16-</w:t>
        </w:r>
        <w:r>
          <w:fldChar w:fldCharType="begin"/>
        </w:r>
        <w:r>
          <w:instrText xml:space="preserve">PAGE   \* MERGEFORMAT</w:instrText>
        </w:r>
        <w:r>
          <w:fldChar w:fldCharType="separate"/>
        </w:r>
        <w:r>
          <w:rPr>
            <w:lang w:val="zh-CN"/>
          </w:rPr>
          <w:t>2</w:t>
        </w:r>
        <w:r>
          <w:fldChar w:fldCharType="end"/>
        </w:r>
      </w:p>
    </w:sdtContent>
  </w:sdt>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08570845"/>
    </w:sdtPr>
    <w:sdtContent>
      <w:p w14:paraId="6B99751B">
        <w:pPr>
          <w:pStyle w:val="8"/>
          <w:jc w:val="center"/>
        </w:pPr>
        <w:r>
          <w:rPr>
            <w:rFonts w:hint="eastAsia"/>
          </w:rPr>
          <w:t>17-</w:t>
        </w:r>
        <w:r>
          <w:fldChar w:fldCharType="begin"/>
        </w:r>
        <w:r>
          <w:instrText xml:space="preserve">PAGE   \* MERGEFORMAT</w:instrText>
        </w:r>
        <w:r>
          <w:fldChar w:fldCharType="separate"/>
        </w:r>
        <w:r>
          <w:rPr>
            <w:lang w:val="zh-CN"/>
          </w:rPr>
          <w:t>1</w:t>
        </w:r>
        <w:r>
          <w:fldChar w:fldCharType="end"/>
        </w:r>
      </w:p>
    </w:sdtContent>
  </w:sdt>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68794555"/>
    </w:sdtPr>
    <w:sdtContent>
      <w:p w14:paraId="07DCE376">
        <w:pPr>
          <w:pStyle w:val="8"/>
          <w:jc w:val="center"/>
        </w:pPr>
        <w:r>
          <w:rPr>
            <w:rFonts w:hint="eastAsia"/>
          </w:rPr>
          <w:t>18-</w:t>
        </w:r>
        <w:r>
          <w:fldChar w:fldCharType="begin"/>
        </w:r>
        <w:r>
          <w:instrText xml:space="preserve">PAGE   \* MERGEFORMAT</w:instrText>
        </w:r>
        <w:r>
          <w:fldChar w:fldCharType="separate"/>
        </w:r>
        <w:r>
          <w:rPr>
            <w:lang w:val="zh-CN"/>
          </w:rPr>
          <w:t>8</w:t>
        </w:r>
        <w:r>
          <w:fldChar w:fldCharType="end"/>
        </w:r>
      </w:p>
    </w:sdtContent>
  </w:sdt>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20523463"/>
    </w:sdtPr>
    <w:sdtContent>
      <w:p w14:paraId="12C324EF">
        <w:pPr>
          <w:pStyle w:val="8"/>
          <w:jc w:val="center"/>
        </w:pPr>
        <w:r>
          <w:t>19</w:t>
        </w:r>
        <w:r>
          <w:rPr>
            <w:rFonts w:hint="eastAsia"/>
          </w:rPr>
          <w:t>-</w:t>
        </w:r>
        <w:r>
          <w:fldChar w:fldCharType="begin"/>
        </w:r>
        <w:r>
          <w:instrText xml:space="preserve">PAGE   \* MERGEFORMAT</w:instrText>
        </w:r>
        <w:r>
          <w:fldChar w:fldCharType="separate"/>
        </w:r>
        <w:r>
          <w:rPr>
            <w:lang w:val="zh-CN"/>
          </w:rPr>
          <w:t>3</w:t>
        </w:r>
        <w:r>
          <w:fldChar w:fldCharType="end"/>
        </w:r>
      </w:p>
    </w:sdtContent>
  </w:sdt>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3985813"/>
    </w:sdtPr>
    <w:sdtContent>
      <w:p w14:paraId="34286FD3">
        <w:pPr>
          <w:pStyle w:val="8"/>
          <w:jc w:val="center"/>
        </w:pPr>
        <w:r>
          <w:rPr>
            <w:rFonts w:hint="eastAsia"/>
          </w:rPr>
          <w:t>20-</w:t>
        </w:r>
        <w:r>
          <w:fldChar w:fldCharType="begin"/>
        </w:r>
        <w:r>
          <w:instrText xml:space="preserve">PAGE   \* MERGEFORMAT</w:instrText>
        </w:r>
        <w:r>
          <w:fldChar w:fldCharType="separate"/>
        </w:r>
        <w:r>
          <w:rPr>
            <w:lang w:val="zh-CN"/>
          </w:rPr>
          <w:t>1</w:t>
        </w:r>
        <w:r>
          <w:fldChar w:fldCharType="end"/>
        </w:r>
      </w:p>
    </w:sdtContent>
  </w:sdt>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68052798"/>
    </w:sdtPr>
    <w:sdtContent>
      <w:p w14:paraId="3C1C2EF8">
        <w:pPr>
          <w:pStyle w:val="8"/>
          <w:jc w:val="center"/>
        </w:pPr>
        <w:r>
          <w:rPr>
            <w:rFonts w:hint="eastAsia"/>
          </w:rPr>
          <w:t>21-</w:t>
        </w:r>
        <w:r>
          <w:fldChar w:fldCharType="begin"/>
        </w:r>
        <w:r>
          <w:instrText xml:space="preserve">PAGE   \* MERGEFORMAT</w:instrText>
        </w:r>
        <w:r>
          <w:fldChar w:fldCharType="separate"/>
        </w:r>
        <w:r>
          <w:rPr>
            <w:lang w:val="zh-CN"/>
          </w:rPr>
          <w:t>1</w:t>
        </w:r>
        <w:r>
          <w:fldChar w:fldCharType="end"/>
        </w:r>
      </w:p>
    </w:sdtContent>
  </w:sdt>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265269233"/>
    </w:sdtPr>
    <w:sdtContent>
      <w:p w14:paraId="396C69D1">
        <w:pPr>
          <w:pStyle w:val="8"/>
          <w:jc w:val="center"/>
        </w:pPr>
        <w:r>
          <w:rPr>
            <w:rFonts w:hint="eastAsia"/>
          </w:rPr>
          <w:t>22-</w:t>
        </w:r>
        <w:r>
          <w:fldChar w:fldCharType="begin"/>
        </w:r>
        <w:r>
          <w:instrText xml:space="preserve">PAGE   \* MERGEFORMAT</w:instrText>
        </w:r>
        <w:r>
          <w:fldChar w:fldCharType="separate"/>
        </w:r>
        <w:r>
          <w:rPr>
            <w:lang w:val="zh-CN"/>
          </w:rPr>
          <w:t>1</w:t>
        </w:r>
        <w:r>
          <w:fldChar w:fldCharType="end"/>
        </w:r>
      </w:p>
    </w:sdtContent>
  </w:sdt>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967383"/>
    </w:sdtPr>
    <w:sdtContent>
      <w:p w14:paraId="42654DBE">
        <w:pPr>
          <w:pStyle w:val="8"/>
          <w:jc w:val="center"/>
        </w:pPr>
        <w:r>
          <w:rPr>
            <w:rFonts w:hint="eastAsia"/>
          </w:rPr>
          <w:t>23-</w:t>
        </w:r>
        <w:r>
          <w:fldChar w:fldCharType="begin"/>
        </w:r>
        <w:r>
          <w:instrText xml:space="preserve">PAGE   \* MERGEFORMAT</w:instrText>
        </w:r>
        <w:r>
          <w:fldChar w:fldCharType="separate"/>
        </w:r>
        <w:r>
          <w:rPr>
            <w:lang w:val="zh-CN"/>
          </w:rPr>
          <w:t>1</w:t>
        </w:r>
        <w:r>
          <w:fldChar w:fldCharType="end"/>
        </w:r>
      </w:p>
    </w:sdtContent>
  </w:sdt>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E4C739">
    <w:pPr>
      <w:pStyle w:val="8"/>
      <w:jc w:val="cen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C18FC6">
    <w:pPr>
      <w:pStyle w:val="9"/>
      <w:jc w:val="right"/>
    </w:pPr>
    <w:r>
      <w:rPr>
        <w:rFonts w:hint="eastAsia" w:cs="宋体" w:asciiTheme="minorEastAsia" w:hAnsiTheme="minorEastAsia"/>
        <w:kern w:val="0"/>
      </w:rPr>
      <w:t>基金合同</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1"/>
  <w:bordersDoNotSurroundFooter w:val="1"/>
  <w:hideSpellingErrors/>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354"/>
    <w:rsid w:val="00002EC5"/>
    <w:rsid w:val="00004AC4"/>
    <w:rsid w:val="00005022"/>
    <w:rsid w:val="00011814"/>
    <w:rsid w:val="0001426E"/>
    <w:rsid w:val="0001635D"/>
    <w:rsid w:val="00020300"/>
    <w:rsid w:val="00021AFA"/>
    <w:rsid w:val="00023973"/>
    <w:rsid w:val="00027D99"/>
    <w:rsid w:val="00030AD7"/>
    <w:rsid w:val="00031665"/>
    <w:rsid w:val="00031F7F"/>
    <w:rsid w:val="000333DE"/>
    <w:rsid w:val="00037EBD"/>
    <w:rsid w:val="00040DD9"/>
    <w:rsid w:val="00042FB4"/>
    <w:rsid w:val="0004450A"/>
    <w:rsid w:val="0004547B"/>
    <w:rsid w:val="0005107F"/>
    <w:rsid w:val="0005175B"/>
    <w:rsid w:val="0005302E"/>
    <w:rsid w:val="0005379E"/>
    <w:rsid w:val="00053B6E"/>
    <w:rsid w:val="00054EBA"/>
    <w:rsid w:val="000555E5"/>
    <w:rsid w:val="000559FA"/>
    <w:rsid w:val="000608B2"/>
    <w:rsid w:val="00061A24"/>
    <w:rsid w:val="00061C9D"/>
    <w:rsid w:val="00062F5A"/>
    <w:rsid w:val="00063003"/>
    <w:rsid w:val="00063D94"/>
    <w:rsid w:val="00064252"/>
    <w:rsid w:val="00064B9C"/>
    <w:rsid w:val="00066B06"/>
    <w:rsid w:val="0006727F"/>
    <w:rsid w:val="00067C4F"/>
    <w:rsid w:val="000703EA"/>
    <w:rsid w:val="00070C54"/>
    <w:rsid w:val="000725BE"/>
    <w:rsid w:val="000726B6"/>
    <w:rsid w:val="00073543"/>
    <w:rsid w:val="00074D26"/>
    <w:rsid w:val="0007593D"/>
    <w:rsid w:val="0008060D"/>
    <w:rsid w:val="0008175C"/>
    <w:rsid w:val="000846E1"/>
    <w:rsid w:val="0008477A"/>
    <w:rsid w:val="0008552F"/>
    <w:rsid w:val="00085AE6"/>
    <w:rsid w:val="00092A1C"/>
    <w:rsid w:val="000961DA"/>
    <w:rsid w:val="000A4452"/>
    <w:rsid w:val="000A462F"/>
    <w:rsid w:val="000A5700"/>
    <w:rsid w:val="000A6055"/>
    <w:rsid w:val="000A729C"/>
    <w:rsid w:val="000A7F4A"/>
    <w:rsid w:val="000B1BDF"/>
    <w:rsid w:val="000B2A7A"/>
    <w:rsid w:val="000B43D2"/>
    <w:rsid w:val="000C19E4"/>
    <w:rsid w:val="000C430D"/>
    <w:rsid w:val="000C63C2"/>
    <w:rsid w:val="000C6EF7"/>
    <w:rsid w:val="000D04B1"/>
    <w:rsid w:val="000D1ACD"/>
    <w:rsid w:val="000D1B4E"/>
    <w:rsid w:val="000D24DD"/>
    <w:rsid w:val="000D567F"/>
    <w:rsid w:val="000E3430"/>
    <w:rsid w:val="000E443E"/>
    <w:rsid w:val="000E4712"/>
    <w:rsid w:val="000E5B26"/>
    <w:rsid w:val="000E5B84"/>
    <w:rsid w:val="000F070E"/>
    <w:rsid w:val="000F1E27"/>
    <w:rsid w:val="000F354F"/>
    <w:rsid w:val="000F3BA8"/>
    <w:rsid w:val="000F6900"/>
    <w:rsid w:val="000F6A1E"/>
    <w:rsid w:val="000F6EA4"/>
    <w:rsid w:val="0010162C"/>
    <w:rsid w:val="001018D7"/>
    <w:rsid w:val="00105DBF"/>
    <w:rsid w:val="001064C7"/>
    <w:rsid w:val="00106F14"/>
    <w:rsid w:val="001127CC"/>
    <w:rsid w:val="00113A3E"/>
    <w:rsid w:val="00113C12"/>
    <w:rsid w:val="00114B3D"/>
    <w:rsid w:val="0011579F"/>
    <w:rsid w:val="001200E0"/>
    <w:rsid w:val="00120A0C"/>
    <w:rsid w:val="00123CAF"/>
    <w:rsid w:val="00124DF9"/>
    <w:rsid w:val="001267FB"/>
    <w:rsid w:val="0012750B"/>
    <w:rsid w:val="0012797D"/>
    <w:rsid w:val="001314CF"/>
    <w:rsid w:val="00134B00"/>
    <w:rsid w:val="00135B29"/>
    <w:rsid w:val="001404C3"/>
    <w:rsid w:val="00142C8C"/>
    <w:rsid w:val="00144211"/>
    <w:rsid w:val="001446FC"/>
    <w:rsid w:val="001469CD"/>
    <w:rsid w:val="00152E5B"/>
    <w:rsid w:val="0015460A"/>
    <w:rsid w:val="00154D4F"/>
    <w:rsid w:val="00161AE7"/>
    <w:rsid w:val="00162F46"/>
    <w:rsid w:val="001641AA"/>
    <w:rsid w:val="00166D93"/>
    <w:rsid w:val="00170D80"/>
    <w:rsid w:val="0017369C"/>
    <w:rsid w:val="00173D6C"/>
    <w:rsid w:val="00182C58"/>
    <w:rsid w:val="00184465"/>
    <w:rsid w:val="001908A0"/>
    <w:rsid w:val="00192708"/>
    <w:rsid w:val="00192B71"/>
    <w:rsid w:val="00195F0F"/>
    <w:rsid w:val="001A10BE"/>
    <w:rsid w:val="001A2915"/>
    <w:rsid w:val="001A5109"/>
    <w:rsid w:val="001A5683"/>
    <w:rsid w:val="001A7BCE"/>
    <w:rsid w:val="001B14CE"/>
    <w:rsid w:val="001B238A"/>
    <w:rsid w:val="001B39F2"/>
    <w:rsid w:val="001B5878"/>
    <w:rsid w:val="001B653B"/>
    <w:rsid w:val="001D016B"/>
    <w:rsid w:val="001D226C"/>
    <w:rsid w:val="001D2338"/>
    <w:rsid w:val="001D54C4"/>
    <w:rsid w:val="001D670B"/>
    <w:rsid w:val="001E28B2"/>
    <w:rsid w:val="001E32EF"/>
    <w:rsid w:val="001F672D"/>
    <w:rsid w:val="001F7D19"/>
    <w:rsid w:val="00200E2C"/>
    <w:rsid w:val="00202CE6"/>
    <w:rsid w:val="00207932"/>
    <w:rsid w:val="00210080"/>
    <w:rsid w:val="00213061"/>
    <w:rsid w:val="002158D4"/>
    <w:rsid w:val="002168E4"/>
    <w:rsid w:val="00222E4A"/>
    <w:rsid w:val="002230E4"/>
    <w:rsid w:val="002258CE"/>
    <w:rsid w:val="00236299"/>
    <w:rsid w:val="0024041F"/>
    <w:rsid w:val="002404A5"/>
    <w:rsid w:val="00243FD2"/>
    <w:rsid w:val="00245A98"/>
    <w:rsid w:val="00245DEC"/>
    <w:rsid w:val="00246F2E"/>
    <w:rsid w:val="00250289"/>
    <w:rsid w:val="00257782"/>
    <w:rsid w:val="00260CBC"/>
    <w:rsid w:val="00261E0E"/>
    <w:rsid w:val="00263FBE"/>
    <w:rsid w:val="00265CBF"/>
    <w:rsid w:val="0026764E"/>
    <w:rsid w:val="00272948"/>
    <w:rsid w:val="00274747"/>
    <w:rsid w:val="00280C7E"/>
    <w:rsid w:val="00281E34"/>
    <w:rsid w:val="0028533D"/>
    <w:rsid w:val="00290D9D"/>
    <w:rsid w:val="00291354"/>
    <w:rsid w:val="00291370"/>
    <w:rsid w:val="00291F48"/>
    <w:rsid w:val="0029514F"/>
    <w:rsid w:val="002964E7"/>
    <w:rsid w:val="00297747"/>
    <w:rsid w:val="002A1AEE"/>
    <w:rsid w:val="002A6464"/>
    <w:rsid w:val="002A6611"/>
    <w:rsid w:val="002A6781"/>
    <w:rsid w:val="002B06F0"/>
    <w:rsid w:val="002B1D1D"/>
    <w:rsid w:val="002B3979"/>
    <w:rsid w:val="002B401C"/>
    <w:rsid w:val="002C5FAC"/>
    <w:rsid w:val="002C671E"/>
    <w:rsid w:val="002D0009"/>
    <w:rsid w:val="002D13CA"/>
    <w:rsid w:val="002D3017"/>
    <w:rsid w:val="002D3573"/>
    <w:rsid w:val="002D3620"/>
    <w:rsid w:val="002D5E92"/>
    <w:rsid w:val="002D7C64"/>
    <w:rsid w:val="002E065C"/>
    <w:rsid w:val="002E0A90"/>
    <w:rsid w:val="002E12F8"/>
    <w:rsid w:val="002E18AF"/>
    <w:rsid w:val="002E2B6D"/>
    <w:rsid w:val="002F37B7"/>
    <w:rsid w:val="002F48AD"/>
    <w:rsid w:val="002F4A45"/>
    <w:rsid w:val="00300EAB"/>
    <w:rsid w:val="00301F2F"/>
    <w:rsid w:val="00302AB0"/>
    <w:rsid w:val="00303FFE"/>
    <w:rsid w:val="00314AFA"/>
    <w:rsid w:val="0032097D"/>
    <w:rsid w:val="00320D56"/>
    <w:rsid w:val="00324A95"/>
    <w:rsid w:val="003310CE"/>
    <w:rsid w:val="00331BA0"/>
    <w:rsid w:val="00332C6C"/>
    <w:rsid w:val="00333A10"/>
    <w:rsid w:val="00334BD6"/>
    <w:rsid w:val="00337F17"/>
    <w:rsid w:val="00347D9E"/>
    <w:rsid w:val="00355146"/>
    <w:rsid w:val="00371CE4"/>
    <w:rsid w:val="00372A6E"/>
    <w:rsid w:val="00373B49"/>
    <w:rsid w:val="00374092"/>
    <w:rsid w:val="00374515"/>
    <w:rsid w:val="003757A4"/>
    <w:rsid w:val="003758E2"/>
    <w:rsid w:val="00377456"/>
    <w:rsid w:val="003809E2"/>
    <w:rsid w:val="00381923"/>
    <w:rsid w:val="003922CC"/>
    <w:rsid w:val="0039686E"/>
    <w:rsid w:val="003A1FE8"/>
    <w:rsid w:val="003A21DC"/>
    <w:rsid w:val="003A39CE"/>
    <w:rsid w:val="003B065C"/>
    <w:rsid w:val="003B3DB7"/>
    <w:rsid w:val="003B4874"/>
    <w:rsid w:val="003B6026"/>
    <w:rsid w:val="003C03B9"/>
    <w:rsid w:val="003C11C8"/>
    <w:rsid w:val="003C275E"/>
    <w:rsid w:val="003D094C"/>
    <w:rsid w:val="003D2420"/>
    <w:rsid w:val="003D2B38"/>
    <w:rsid w:val="003D3441"/>
    <w:rsid w:val="003D4A6F"/>
    <w:rsid w:val="003D7D21"/>
    <w:rsid w:val="003E066B"/>
    <w:rsid w:val="003E1D86"/>
    <w:rsid w:val="003E1E53"/>
    <w:rsid w:val="003E3444"/>
    <w:rsid w:val="003E41BB"/>
    <w:rsid w:val="003E510C"/>
    <w:rsid w:val="003F0EAB"/>
    <w:rsid w:val="003F4B12"/>
    <w:rsid w:val="003F5D1F"/>
    <w:rsid w:val="0040039C"/>
    <w:rsid w:val="00405452"/>
    <w:rsid w:val="00405602"/>
    <w:rsid w:val="00406B6B"/>
    <w:rsid w:val="00416B8A"/>
    <w:rsid w:val="0042228F"/>
    <w:rsid w:val="004234BA"/>
    <w:rsid w:val="00424A77"/>
    <w:rsid w:val="004263E5"/>
    <w:rsid w:val="004339FE"/>
    <w:rsid w:val="00435580"/>
    <w:rsid w:val="00435F87"/>
    <w:rsid w:val="004404CF"/>
    <w:rsid w:val="00441694"/>
    <w:rsid w:val="00442EFA"/>
    <w:rsid w:val="0045101E"/>
    <w:rsid w:val="0045288B"/>
    <w:rsid w:val="004540EB"/>
    <w:rsid w:val="00454237"/>
    <w:rsid w:val="00456E0D"/>
    <w:rsid w:val="004637B3"/>
    <w:rsid w:val="00464046"/>
    <w:rsid w:val="004651EC"/>
    <w:rsid w:val="004671AA"/>
    <w:rsid w:val="00475028"/>
    <w:rsid w:val="00476F04"/>
    <w:rsid w:val="00480886"/>
    <w:rsid w:val="00480BC2"/>
    <w:rsid w:val="00481C96"/>
    <w:rsid w:val="00483451"/>
    <w:rsid w:val="00484B1C"/>
    <w:rsid w:val="004850F4"/>
    <w:rsid w:val="00485F47"/>
    <w:rsid w:val="00486AA5"/>
    <w:rsid w:val="00487889"/>
    <w:rsid w:val="00491EC6"/>
    <w:rsid w:val="004A27BB"/>
    <w:rsid w:val="004A46F8"/>
    <w:rsid w:val="004A6974"/>
    <w:rsid w:val="004B0D30"/>
    <w:rsid w:val="004B48AF"/>
    <w:rsid w:val="004B6E91"/>
    <w:rsid w:val="004C0C16"/>
    <w:rsid w:val="004C2C35"/>
    <w:rsid w:val="004C3705"/>
    <w:rsid w:val="004C56BD"/>
    <w:rsid w:val="004C5C4C"/>
    <w:rsid w:val="004C5DD7"/>
    <w:rsid w:val="004D68D2"/>
    <w:rsid w:val="004D697B"/>
    <w:rsid w:val="004E40DB"/>
    <w:rsid w:val="004E4AB5"/>
    <w:rsid w:val="004E57A8"/>
    <w:rsid w:val="004F236C"/>
    <w:rsid w:val="004F2625"/>
    <w:rsid w:val="004F42D0"/>
    <w:rsid w:val="004F7C16"/>
    <w:rsid w:val="005031CC"/>
    <w:rsid w:val="00506444"/>
    <w:rsid w:val="00507ED1"/>
    <w:rsid w:val="00510009"/>
    <w:rsid w:val="005123F1"/>
    <w:rsid w:val="0051320C"/>
    <w:rsid w:val="0051349D"/>
    <w:rsid w:val="00515FA1"/>
    <w:rsid w:val="00520081"/>
    <w:rsid w:val="00525C89"/>
    <w:rsid w:val="005275AD"/>
    <w:rsid w:val="00532163"/>
    <w:rsid w:val="00532326"/>
    <w:rsid w:val="00541154"/>
    <w:rsid w:val="00543B2D"/>
    <w:rsid w:val="00543FEF"/>
    <w:rsid w:val="00553DFA"/>
    <w:rsid w:val="00554979"/>
    <w:rsid w:val="00556F0E"/>
    <w:rsid w:val="005577DE"/>
    <w:rsid w:val="0056149A"/>
    <w:rsid w:val="0056593D"/>
    <w:rsid w:val="00565F31"/>
    <w:rsid w:val="00570E03"/>
    <w:rsid w:val="00572BD9"/>
    <w:rsid w:val="00590246"/>
    <w:rsid w:val="005919E1"/>
    <w:rsid w:val="005923A8"/>
    <w:rsid w:val="0059336D"/>
    <w:rsid w:val="00595938"/>
    <w:rsid w:val="00597464"/>
    <w:rsid w:val="005A02CD"/>
    <w:rsid w:val="005A15D3"/>
    <w:rsid w:val="005A4464"/>
    <w:rsid w:val="005A7403"/>
    <w:rsid w:val="005A7829"/>
    <w:rsid w:val="005B7192"/>
    <w:rsid w:val="005C5859"/>
    <w:rsid w:val="005D6898"/>
    <w:rsid w:val="005E0704"/>
    <w:rsid w:val="005E1BEE"/>
    <w:rsid w:val="005E23C3"/>
    <w:rsid w:val="005E3708"/>
    <w:rsid w:val="005E3D05"/>
    <w:rsid w:val="005E47F4"/>
    <w:rsid w:val="005E5E98"/>
    <w:rsid w:val="005E6A3C"/>
    <w:rsid w:val="005E7DC7"/>
    <w:rsid w:val="005F02B7"/>
    <w:rsid w:val="005F08E0"/>
    <w:rsid w:val="005F3CA5"/>
    <w:rsid w:val="00600EC0"/>
    <w:rsid w:val="00602F16"/>
    <w:rsid w:val="00603E31"/>
    <w:rsid w:val="00605E5D"/>
    <w:rsid w:val="00610D19"/>
    <w:rsid w:val="00612610"/>
    <w:rsid w:val="00617718"/>
    <w:rsid w:val="00624EAC"/>
    <w:rsid w:val="00631243"/>
    <w:rsid w:val="00634987"/>
    <w:rsid w:val="00636D17"/>
    <w:rsid w:val="00640399"/>
    <w:rsid w:val="00641FE2"/>
    <w:rsid w:val="00642A8B"/>
    <w:rsid w:val="006502F2"/>
    <w:rsid w:val="00652F9B"/>
    <w:rsid w:val="006540E9"/>
    <w:rsid w:val="00656E74"/>
    <w:rsid w:val="006677E8"/>
    <w:rsid w:val="00671794"/>
    <w:rsid w:val="006728E3"/>
    <w:rsid w:val="00674913"/>
    <w:rsid w:val="00674977"/>
    <w:rsid w:val="006752EB"/>
    <w:rsid w:val="006800FF"/>
    <w:rsid w:val="006827CE"/>
    <w:rsid w:val="00682C8F"/>
    <w:rsid w:val="00685EDC"/>
    <w:rsid w:val="00692F18"/>
    <w:rsid w:val="006940EB"/>
    <w:rsid w:val="00695423"/>
    <w:rsid w:val="00695EB2"/>
    <w:rsid w:val="0069783E"/>
    <w:rsid w:val="006A33A3"/>
    <w:rsid w:val="006A4C5C"/>
    <w:rsid w:val="006A7C12"/>
    <w:rsid w:val="006B4D9E"/>
    <w:rsid w:val="006B53D4"/>
    <w:rsid w:val="006C0ECD"/>
    <w:rsid w:val="006D211F"/>
    <w:rsid w:val="006E190B"/>
    <w:rsid w:val="006E1D78"/>
    <w:rsid w:val="006E3D2C"/>
    <w:rsid w:val="006F1388"/>
    <w:rsid w:val="006F35D3"/>
    <w:rsid w:val="006F4193"/>
    <w:rsid w:val="006F640B"/>
    <w:rsid w:val="006F699D"/>
    <w:rsid w:val="006F7839"/>
    <w:rsid w:val="0070058E"/>
    <w:rsid w:val="007014B8"/>
    <w:rsid w:val="00701828"/>
    <w:rsid w:val="00707ABA"/>
    <w:rsid w:val="0071182B"/>
    <w:rsid w:val="0071405C"/>
    <w:rsid w:val="00715221"/>
    <w:rsid w:val="00722235"/>
    <w:rsid w:val="007222A3"/>
    <w:rsid w:val="00723A67"/>
    <w:rsid w:val="00726299"/>
    <w:rsid w:val="00726770"/>
    <w:rsid w:val="00726903"/>
    <w:rsid w:val="00726A5D"/>
    <w:rsid w:val="0073189E"/>
    <w:rsid w:val="00731A54"/>
    <w:rsid w:val="00732EEF"/>
    <w:rsid w:val="00734CF7"/>
    <w:rsid w:val="00735D22"/>
    <w:rsid w:val="0073650A"/>
    <w:rsid w:val="0073691D"/>
    <w:rsid w:val="007369E6"/>
    <w:rsid w:val="00747B0A"/>
    <w:rsid w:val="00750084"/>
    <w:rsid w:val="00751CE3"/>
    <w:rsid w:val="00753B28"/>
    <w:rsid w:val="00757A96"/>
    <w:rsid w:val="00763E6E"/>
    <w:rsid w:val="00764F1B"/>
    <w:rsid w:val="0076687E"/>
    <w:rsid w:val="00775B59"/>
    <w:rsid w:val="00776CBD"/>
    <w:rsid w:val="00776D60"/>
    <w:rsid w:val="00782928"/>
    <w:rsid w:val="0078321C"/>
    <w:rsid w:val="007853B1"/>
    <w:rsid w:val="00785EE3"/>
    <w:rsid w:val="0078673D"/>
    <w:rsid w:val="0078701F"/>
    <w:rsid w:val="007871E0"/>
    <w:rsid w:val="0078725F"/>
    <w:rsid w:val="00790A51"/>
    <w:rsid w:val="00794227"/>
    <w:rsid w:val="007946BD"/>
    <w:rsid w:val="00795B19"/>
    <w:rsid w:val="007A0280"/>
    <w:rsid w:val="007A0BBA"/>
    <w:rsid w:val="007A1520"/>
    <w:rsid w:val="007A2570"/>
    <w:rsid w:val="007A39E4"/>
    <w:rsid w:val="007B16CF"/>
    <w:rsid w:val="007B28D0"/>
    <w:rsid w:val="007B66E5"/>
    <w:rsid w:val="007B7193"/>
    <w:rsid w:val="007C14AF"/>
    <w:rsid w:val="007C240B"/>
    <w:rsid w:val="007C2D8C"/>
    <w:rsid w:val="007C4954"/>
    <w:rsid w:val="007C5D8D"/>
    <w:rsid w:val="007C60C1"/>
    <w:rsid w:val="007C6215"/>
    <w:rsid w:val="007D0780"/>
    <w:rsid w:val="007D0B8A"/>
    <w:rsid w:val="007D2474"/>
    <w:rsid w:val="007D6087"/>
    <w:rsid w:val="007D6AE1"/>
    <w:rsid w:val="007D78DD"/>
    <w:rsid w:val="007E4B24"/>
    <w:rsid w:val="007F0001"/>
    <w:rsid w:val="007F0EB6"/>
    <w:rsid w:val="007F2EF8"/>
    <w:rsid w:val="007F351F"/>
    <w:rsid w:val="007F3B92"/>
    <w:rsid w:val="00801678"/>
    <w:rsid w:val="008026E6"/>
    <w:rsid w:val="00802D2F"/>
    <w:rsid w:val="00803E3E"/>
    <w:rsid w:val="00804962"/>
    <w:rsid w:val="00810FBA"/>
    <w:rsid w:val="00811808"/>
    <w:rsid w:val="00813D26"/>
    <w:rsid w:val="00814EE7"/>
    <w:rsid w:val="008154B2"/>
    <w:rsid w:val="00817CAA"/>
    <w:rsid w:val="00822223"/>
    <w:rsid w:val="0083140E"/>
    <w:rsid w:val="0083209D"/>
    <w:rsid w:val="0083477B"/>
    <w:rsid w:val="00836E77"/>
    <w:rsid w:val="0083785A"/>
    <w:rsid w:val="008423BF"/>
    <w:rsid w:val="00845B66"/>
    <w:rsid w:val="00845BEC"/>
    <w:rsid w:val="0085191A"/>
    <w:rsid w:val="00851E92"/>
    <w:rsid w:val="008525FB"/>
    <w:rsid w:val="00854A1E"/>
    <w:rsid w:val="00857D6F"/>
    <w:rsid w:val="00860CCA"/>
    <w:rsid w:val="0086121E"/>
    <w:rsid w:val="00861DE6"/>
    <w:rsid w:val="0086312B"/>
    <w:rsid w:val="00863F8D"/>
    <w:rsid w:val="00864B44"/>
    <w:rsid w:val="00865550"/>
    <w:rsid w:val="00874A8C"/>
    <w:rsid w:val="00875CF0"/>
    <w:rsid w:val="0087665D"/>
    <w:rsid w:val="0087690F"/>
    <w:rsid w:val="008776F2"/>
    <w:rsid w:val="008808E2"/>
    <w:rsid w:val="00884417"/>
    <w:rsid w:val="00885516"/>
    <w:rsid w:val="008867F7"/>
    <w:rsid w:val="008869DB"/>
    <w:rsid w:val="00890722"/>
    <w:rsid w:val="00891A23"/>
    <w:rsid w:val="00892107"/>
    <w:rsid w:val="008935AA"/>
    <w:rsid w:val="00893AE9"/>
    <w:rsid w:val="00897E73"/>
    <w:rsid w:val="008A1BDC"/>
    <w:rsid w:val="008A2548"/>
    <w:rsid w:val="008A28FB"/>
    <w:rsid w:val="008A6756"/>
    <w:rsid w:val="008A7473"/>
    <w:rsid w:val="008B491B"/>
    <w:rsid w:val="008B708F"/>
    <w:rsid w:val="008B7D1F"/>
    <w:rsid w:val="008C0A7B"/>
    <w:rsid w:val="008C3C54"/>
    <w:rsid w:val="008D11E2"/>
    <w:rsid w:val="008D142D"/>
    <w:rsid w:val="008D1E33"/>
    <w:rsid w:val="008D4D6A"/>
    <w:rsid w:val="008D6F25"/>
    <w:rsid w:val="008E22C3"/>
    <w:rsid w:val="008E236B"/>
    <w:rsid w:val="008E2888"/>
    <w:rsid w:val="008E34A0"/>
    <w:rsid w:val="008E3961"/>
    <w:rsid w:val="008E4633"/>
    <w:rsid w:val="008E6C69"/>
    <w:rsid w:val="008F2051"/>
    <w:rsid w:val="008F2BD0"/>
    <w:rsid w:val="008F42A7"/>
    <w:rsid w:val="0090021E"/>
    <w:rsid w:val="00903478"/>
    <w:rsid w:val="009059D4"/>
    <w:rsid w:val="009079B0"/>
    <w:rsid w:val="0091506D"/>
    <w:rsid w:val="00916193"/>
    <w:rsid w:val="0091688B"/>
    <w:rsid w:val="0091726A"/>
    <w:rsid w:val="00917315"/>
    <w:rsid w:val="00921332"/>
    <w:rsid w:val="0092449B"/>
    <w:rsid w:val="0092628B"/>
    <w:rsid w:val="00935C58"/>
    <w:rsid w:val="009366FE"/>
    <w:rsid w:val="0094452B"/>
    <w:rsid w:val="00945035"/>
    <w:rsid w:val="00945F24"/>
    <w:rsid w:val="0094693C"/>
    <w:rsid w:val="00947E41"/>
    <w:rsid w:val="00950C3F"/>
    <w:rsid w:val="0095293A"/>
    <w:rsid w:val="009564CF"/>
    <w:rsid w:val="009571EA"/>
    <w:rsid w:val="00957504"/>
    <w:rsid w:val="00957E36"/>
    <w:rsid w:val="009605B5"/>
    <w:rsid w:val="0096178B"/>
    <w:rsid w:val="00962F97"/>
    <w:rsid w:val="00964FEF"/>
    <w:rsid w:val="00967ADA"/>
    <w:rsid w:val="00971C2D"/>
    <w:rsid w:val="0097565F"/>
    <w:rsid w:val="00983480"/>
    <w:rsid w:val="00985454"/>
    <w:rsid w:val="00987B8F"/>
    <w:rsid w:val="0099314C"/>
    <w:rsid w:val="00994D15"/>
    <w:rsid w:val="0099530B"/>
    <w:rsid w:val="009955F6"/>
    <w:rsid w:val="009968B0"/>
    <w:rsid w:val="009A3C21"/>
    <w:rsid w:val="009A3FB5"/>
    <w:rsid w:val="009B126F"/>
    <w:rsid w:val="009B14E7"/>
    <w:rsid w:val="009B2981"/>
    <w:rsid w:val="009B34CD"/>
    <w:rsid w:val="009B459B"/>
    <w:rsid w:val="009B6550"/>
    <w:rsid w:val="009C04AD"/>
    <w:rsid w:val="009C15EA"/>
    <w:rsid w:val="009C69EC"/>
    <w:rsid w:val="009C6B1C"/>
    <w:rsid w:val="009C6BBC"/>
    <w:rsid w:val="009E46EF"/>
    <w:rsid w:val="009E7E12"/>
    <w:rsid w:val="009F1214"/>
    <w:rsid w:val="009F58A5"/>
    <w:rsid w:val="009F664A"/>
    <w:rsid w:val="00A0063F"/>
    <w:rsid w:val="00A015D2"/>
    <w:rsid w:val="00A04D4D"/>
    <w:rsid w:val="00A12716"/>
    <w:rsid w:val="00A13B31"/>
    <w:rsid w:val="00A15283"/>
    <w:rsid w:val="00A16178"/>
    <w:rsid w:val="00A24D6A"/>
    <w:rsid w:val="00A2758C"/>
    <w:rsid w:val="00A311AF"/>
    <w:rsid w:val="00A311F8"/>
    <w:rsid w:val="00A326F7"/>
    <w:rsid w:val="00A359AA"/>
    <w:rsid w:val="00A40120"/>
    <w:rsid w:val="00A51BE0"/>
    <w:rsid w:val="00A51CAE"/>
    <w:rsid w:val="00A52E2C"/>
    <w:rsid w:val="00A54F5F"/>
    <w:rsid w:val="00A55CC7"/>
    <w:rsid w:val="00A60C7A"/>
    <w:rsid w:val="00A64061"/>
    <w:rsid w:val="00A719A5"/>
    <w:rsid w:val="00A7673A"/>
    <w:rsid w:val="00A84B0D"/>
    <w:rsid w:val="00A85E71"/>
    <w:rsid w:val="00A921BF"/>
    <w:rsid w:val="00A9358E"/>
    <w:rsid w:val="00A96ADA"/>
    <w:rsid w:val="00AA0972"/>
    <w:rsid w:val="00AA0DA5"/>
    <w:rsid w:val="00AA12C8"/>
    <w:rsid w:val="00AA1B45"/>
    <w:rsid w:val="00AA1BC1"/>
    <w:rsid w:val="00AA2447"/>
    <w:rsid w:val="00AA3EA4"/>
    <w:rsid w:val="00AA49C4"/>
    <w:rsid w:val="00AA6408"/>
    <w:rsid w:val="00AB34B0"/>
    <w:rsid w:val="00AC53C5"/>
    <w:rsid w:val="00AC769B"/>
    <w:rsid w:val="00AD4CE5"/>
    <w:rsid w:val="00AD4E84"/>
    <w:rsid w:val="00AD515D"/>
    <w:rsid w:val="00AD5FBE"/>
    <w:rsid w:val="00AE4043"/>
    <w:rsid w:val="00AF1D77"/>
    <w:rsid w:val="00AF3A8F"/>
    <w:rsid w:val="00AF4CAF"/>
    <w:rsid w:val="00AF5931"/>
    <w:rsid w:val="00AF6572"/>
    <w:rsid w:val="00B006C6"/>
    <w:rsid w:val="00B009C0"/>
    <w:rsid w:val="00B021AE"/>
    <w:rsid w:val="00B025E4"/>
    <w:rsid w:val="00B02D28"/>
    <w:rsid w:val="00B03020"/>
    <w:rsid w:val="00B04319"/>
    <w:rsid w:val="00B0518C"/>
    <w:rsid w:val="00B06423"/>
    <w:rsid w:val="00B06CE2"/>
    <w:rsid w:val="00B0773F"/>
    <w:rsid w:val="00B1203E"/>
    <w:rsid w:val="00B1378A"/>
    <w:rsid w:val="00B13DD2"/>
    <w:rsid w:val="00B174D5"/>
    <w:rsid w:val="00B251D2"/>
    <w:rsid w:val="00B25E6E"/>
    <w:rsid w:val="00B26C5D"/>
    <w:rsid w:val="00B330C3"/>
    <w:rsid w:val="00B33EDA"/>
    <w:rsid w:val="00B36E00"/>
    <w:rsid w:val="00B36EC1"/>
    <w:rsid w:val="00B423F1"/>
    <w:rsid w:val="00B43279"/>
    <w:rsid w:val="00B43D8F"/>
    <w:rsid w:val="00B4486E"/>
    <w:rsid w:val="00B46685"/>
    <w:rsid w:val="00B46E5F"/>
    <w:rsid w:val="00B55689"/>
    <w:rsid w:val="00B5721A"/>
    <w:rsid w:val="00B605B2"/>
    <w:rsid w:val="00B63AA8"/>
    <w:rsid w:val="00B63EDB"/>
    <w:rsid w:val="00B64129"/>
    <w:rsid w:val="00B760EF"/>
    <w:rsid w:val="00B83B4A"/>
    <w:rsid w:val="00B843D5"/>
    <w:rsid w:val="00B8671F"/>
    <w:rsid w:val="00B909DE"/>
    <w:rsid w:val="00B924EC"/>
    <w:rsid w:val="00B926F4"/>
    <w:rsid w:val="00B92C9A"/>
    <w:rsid w:val="00B956DC"/>
    <w:rsid w:val="00B971E5"/>
    <w:rsid w:val="00B976D6"/>
    <w:rsid w:val="00BA2C31"/>
    <w:rsid w:val="00BA3862"/>
    <w:rsid w:val="00BA3F14"/>
    <w:rsid w:val="00BA47EB"/>
    <w:rsid w:val="00BA4DF4"/>
    <w:rsid w:val="00BA6009"/>
    <w:rsid w:val="00BA7B64"/>
    <w:rsid w:val="00BB46A6"/>
    <w:rsid w:val="00BB4FA1"/>
    <w:rsid w:val="00BB74A3"/>
    <w:rsid w:val="00BB7CE4"/>
    <w:rsid w:val="00BC08B1"/>
    <w:rsid w:val="00BC1998"/>
    <w:rsid w:val="00BC6A28"/>
    <w:rsid w:val="00BC7660"/>
    <w:rsid w:val="00BC7BD0"/>
    <w:rsid w:val="00BD2F17"/>
    <w:rsid w:val="00BD5E98"/>
    <w:rsid w:val="00BD61A0"/>
    <w:rsid w:val="00BD7D39"/>
    <w:rsid w:val="00BE14BF"/>
    <w:rsid w:val="00BE3337"/>
    <w:rsid w:val="00BE3DFF"/>
    <w:rsid w:val="00BE5604"/>
    <w:rsid w:val="00BE5A5D"/>
    <w:rsid w:val="00BE693D"/>
    <w:rsid w:val="00BF0D22"/>
    <w:rsid w:val="00BF6FD2"/>
    <w:rsid w:val="00C01420"/>
    <w:rsid w:val="00C01E25"/>
    <w:rsid w:val="00C02969"/>
    <w:rsid w:val="00C07B0E"/>
    <w:rsid w:val="00C13BE4"/>
    <w:rsid w:val="00C13E4F"/>
    <w:rsid w:val="00C14043"/>
    <w:rsid w:val="00C2021F"/>
    <w:rsid w:val="00C214EB"/>
    <w:rsid w:val="00C311EA"/>
    <w:rsid w:val="00C31477"/>
    <w:rsid w:val="00C31B0E"/>
    <w:rsid w:val="00C321BD"/>
    <w:rsid w:val="00C32443"/>
    <w:rsid w:val="00C336B6"/>
    <w:rsid w:val="00C34F4F"/>
    <w:rsid w:val="00C350FE"/>
    <w:rsid w:val="00C370FC"/>
    <w:rsid w:val="00C37D6F"/>
    <w:rsid w:val="00C4162A"/>
    <w:rsid w:val="00C51313"/>
    <w:rsid w:val="00C54019"/>
    <w:rsid w:val="00C5413A"/>
    <w:rsid w:val="00C61CEF"/>
    <w:rsid w:val="00C653C7"/>
    <w:rsid w:val="00C65926"/>
    <w:rsid w:val="00C65DC8"/>
    <w:rsid w:val="00C66CE4"/>
    <w:rsid w:val="00C762B9"/>
    <w:rsid w:val="00C7636F"/>
    <w:rsid w:val="00C77908"/>
    <w:rsid w:val="00C8024D"/>
    <w:rsid w:val="00C80414"/>
    <w:rsid w:val="00C80F4B"/>
    <w:rsid w:val="00C8561E"/>
    <w:rsid w:val="00C86B78"/>
    <w:rsid w:val="00C958EF"/>
    <w:rsid w:val="00CA39BA"/>
    <w:rsid w:val="00CA3B1F"/>
    <w:rsid w:val="00CA6C5C"/>
    <w:rsid w:val="00CA7B56"/>
    <w:rsid w:val="00CB1352"/>
    <w:rsid w:val="00CB1AA1"/>
    <w:rsid w:val="00CB2E07"/>
    <w:rsid w:val="00CB42B2"/>
    <w:rsid w:val="00CB519A"/>
    <w:rsid w:val="00CB6BD2"/>
    <w:rsid w:val="00CB6C71"/>
    <w:rsid w:val="00CB6F45"/>
    <w:rsid w:val="00CC670F"/>
    <w:rsid w:val="00CD2333"/>
    <w:rsid w:val="00CD47A4"/>
    <w:rsid w:val="00CD6730"/>
    <w:rsid w:val="00CE086A"/>
    <w:rsid w:val="00CE246B"/>
    <w:rsid w:val="00CE2725"/>
    <w:rsid w:val="00CE368D"/>
    <w:rsid w:val="00CE5E4C"/>
    <w:rsid w:val="00CE5F5D"/>
    <w:rsid w:val="00CE6832"/>
    <w:rsid w:val="00CE781A"/>
    <w:rsid w:val="00CF3031"/>
    <w:rsid w:val="00CF43E8"/>
    <w:rsid w:val="00CF5B39"/>
    <w:rsid w:val="00CF6AF6"/>
    <w:rsid w:val="00CF70C0"/>
    <w:rsid w:val="00D00395"/>
    <w:rsid w:val="00D0089D"/>
    <w:rsid w:val="00D01A0E"/>
    <w:rsid w:val="00D03CB1"/>
    <w:rsid w:val="00D04EC9"/>
    <w:rsid w:val="00D1278A"/>
    <w:rsid w:val="00D148B6"/>
    <w:rsid w:val="00D15C32"/>
    <w:rsid w:val="00D16616"/>
    <w:rsid w:val="00D20D23"/>
    <w:rsid w:val="00D211FE"/>
    <w:rsid w:val="00D25CA8"/>
    <w:rsid w:val="00D3031C"/>
    <w:rsid w:val="00D3038B"/>
    <w:rsid w:val="00D31387"/>
    <w:rsid w:val="00D33253"/>
    <w:rsid w:val="00D33EC9"/>
    <w:rsid w:val="00D34156"/>
    <w:rsid w:val="00D35213"/>
    <w:rsid w:val="00D355D3"/>
    <w:rsid w:val="00D3563B"/>
    <w:rsid w:val="00D35AD4"/>
    <w:rsid w:val="00D413AB"/>
    <w:rsid w:val="00D41E70"/>
    <w:rsid w:val="00D42DDE"/>
    <w:rsid w:val="00D45A97"/>
    <w:rsid w:val="00D46A24"/>
    <w:rsid w:val="00D50DDD"/>
    <w:rsid w:val="00D512BB"/>
    <w:rsid w:val="00D5266E"/>
    <w:rsid w:val="00D56B8B"/>
    <w:rsid w:val="00D60CEC"/>
    <w:rsid w:val="00D64170"/>
    <w:rsid w:val="00D64673"/>
    <w:rsid w:val="00D65459"/>
    <w:rsid w:val="00D65DEA"/>
    <w:rsid w:val="00D672B9"/>
    <w:rsid w:val="00D815D3"/>
    <w:rsid w:val="00D82A58"/>
    <w:rsid w:val="00D853F6"/>
    <w:rsid w:val="00D87B0E"/>
    <w:rsid w:val="00D91D9F"/>
    <w:rsid w:val="00D933DD"/>
    <w:rsid w:val="00D93450"/>
    <w:rsid w:val="00D934BF"/>
    <w:rsid w:val="00D9389B"/>
    <w:rsid w:val="00D93B29"/>
    <w:rsid w:val="00D962C2"/>
    <w:rsid w:val="00D97483"/>
    <w:rsid w:val="00DA13CC"/>
    <w:rsid w:val="00DA2BB1"/>
    <w:rsid w:val="00DA3EF3"/>
    <w:rsid w:val="00DA4D6A"/>
    <w:rsid w:val="00DA5A24"/>
    <w:rsid w:val="00DA6426"/>
    <w:rsid w:val="00DA75BD"/>
    <w:rsid w:val="00DB0750"/>
    <w:rsid w:val="00DB69D5"/>
    <w:rsid w:val="00DB750C"/>
    <w:rsid w:val="00DC11A5"/>
    <w:rsid w:val="00DC3127"/>
    <w:rsid w:val="00DC34AC"/>
    <w:rsid w:val="00DC5594"/>
    <w:rsid w:val="00DC7BE0"/>
    <w:rsid w:val="00DD6805"/>
    <w:rsid w:val="00DD685B"/>
    <w:rsid w:val="00DE1759"/>
    <w:rsid w:val="00DE1ACD"/>
    <w:rsid w:val="00DE1C7A"/>
    <w:rsid w:val="00DE33CF"/>
    <w:rsid w:val="00DE53CD"/>
    <w:rsid w:val="00DE6433"/>
    <w:rsid w:val="00DE6468"/>
    <w:rsid w:val="00DF1D74"/>
    <w:rsid w:val="00DF2016"/>
    <w:rsid w:val="00E00EBB"/>
    <w:rsid w:val="00E01367"/>
    <w:rsid w:val="00E025DE"/>
    <w:rsid w:val="00E044ED"/>
    <w:rsid w:val="00E05136"/>
    <w:rsid w:val="00E06473"/>
    <w:rsid w:val="00E07E31"/>
    <w:rsid w:val="00E10A9E"/>
    <w:rsid w:val="00E10F90"/>
    <w:rsid w:val="00E11419"/>
    <w:rsid w:val="00E11F09"/>
    <w:rsid w:val="00E14C93"/>
    <w:rsid w:val="00E20815"/>
    <w:rsid w:val="00E21283"/>
    <w:rsid w:val="00E22CF3"/>
    <w:rsid w:val="00E2300C"/>
    <w:rsid w:val="00E237AB"/>
    <w:rsid w:val="00E244EF"/>
    <w:rsid w:val="00E25A51"/>
    <w:rsid w:val="00E276B9"/>
    <w:rsid w:val="00E30495"/>
    <w:rsid w:val="00E3336A"/>
    <w:rsid w:val="00E336F4"/>
    <w:rsid w:val="00E3401A"/>
    <w:rsid w:val="00E35EB7"/>
    <w:rsid w:val="00E56E81"/>
    <w:rsid w:val="00E577CB"/>
    <w:rsid w:val="00E610E2"/>
    <w:rsid w:val="00E62F7F"/>
    <w:rsid w:val="00E65E4B"/>
    <w:rsid w:val="00E65F69"/>
    <w:rsid w:val="00E702E2"/>
    <w:rsid w:val="00E745D3"/>
    <w:rsid w:val="00E753B0"/>
    <w:rsid w:val="00E82766"/>
    <w:rsid w:val="00E82D9B"/>
    <w:rsid w:val="00E84A90"/>
    <w:rsid w:val="00E97D3F"/>
    <w:rsid w:val="00EB04F6"/>
    <w:rsid w:val="00EB0F6F"/>
    <w:rsid w:val="00EB29D3"/>
    <w:rsid w:val="00EB5014"/>
    <w:rsid w:val="00EB506A"/>
    <w:rsid w:val="00EB71C3"/>
    <w:rsid w:val="00EC03C8"/>
    <w:rsid w:val="00EC0722"/>
    <w:rsid w:val="00EC0CA6"/>
    <w:rsid w:val="00EC12C5"/>
    <w:rsid w:val="00EC2E8B"/>
    <w:rsid w:val="00EC4B5E"/>
    <w:rsid w:val="00EC57D1"/>
    <w:rsid w:val="00ED2419"/>
    <w:rsid w:val="00ED3A46"/>
    <w:rsid w:val="00ED7D3E"/>
    <w:rsid w:val="00EF0052"/>
    <w:rsid w:val="00EF28CB"/>
    <w:rsid w:val="00EF31E7"/>
    <w:rsid w:val="00EF4646"/>
    <w:rsid w:val="00EF5EB4"/>
    <w:rsid w:val="00F01A07"/>
    <w:rsid w:val="00F0326A"/>
    <w:rsid w:val="00F033B7"/>
    <w:rsid w:val="00F04B2E"/>
    <w:rsid w:val="00F06569"/>
    <w:rsid w:val="00F0676C"/>
    <w:rsid w:val="00F14537"/>
    <w:rsid w:val="00F16B5D"/>
    <w:rsid w:val="00F1746F"/>
    <w:rsid w:val="00F20C5A"/>
    <w:rsid w:val="00F2382F"/>
    <w:rsid w:val="00F2595B"/>
    <w:rsid w:val="00F2736D"/>
    <w:rsid w:val="00F30B51"/>
    <w:rsid w:val="00F31BB5"/>
    <w:rsid w:val="00F42D55"/>
    <w:rsid w:val="00F47B92"/>
    <w:rsid w:val="00F50759"/>
    <w:rsid w:val="00F51552"/>
    <w:rsid w:val="00F51DA2"/>
    <w:rsid w:val="00F53B41"/>
    <w:rsid w:val="00F53F21"/>
    <w:rsid w:val="00F57D76"/>
    <w:rsid w:val="00F62F58"/>
    <w:rsid w:val="00F63E55"/>
    <w:rsid w:val="00F6413C"/>
    <w:rsid w:val="00F70523"/>
    <w:rsid w:val="00F70A5E"/>
    <w:rsid w:val="00F762BB"/>
    <w:rsid w:val="00F81A9C"/>
    <w:rsid w:val="00F8299B"/>
    <w:rsid w:val="00F844E9"/>
    <w:rsid w:val="00F85467"/>
    <w:rsid w:val="00F9192C"/>
    <w:rsid w:val="00F977B4"/>
    <w:rsid w:val="00FA1ABB"/>
    <w:rsid w:val="00FA4B9C"/>
    <w:rsid w:val="00FA66AC"/>
    <w:rsid w:val="00FB178E"/>
    <w:rsid w:val="00FB363F"/>
    <w:rsid w:val="00FB3C1F"/>
    <w:rsid w:val="00FB59E7"/>
    <w:rsid w:val="00FB6F94"/>
    <w:rsid w:val="00FC003B"/>
    <w:rsid w:val="00FC1F76"/>
    <w:rsid w:val="00FC42C4"/>
    <w:rsid w:val="00FC4CB8"/>
    <w:rsid w:val="00FC6902"/>
    <w:rsid w:val="00FD1C0E"/>
    <w:rsid w:val="00FD4023"/>
    <w:rsid w:val="00FD5B77"/>
    <w:rsid w:val="00FD60D1"/>
    <w:rsid w:val="00FD66BC"/>
    <w:rsid w:val="00FD7C76"/>
    <w:rsid w:val="00FE196F"/>
    <w:rsid w:val="00FE1D33"/>
    <w:rsid w:val="00FE30CA"/>
    <w:rsid w:val="00FE636F"/>
    <w:rsid w:val="00FE74D0"/>
    <w:rsid w:val="00FE7C0C"/>
    <w:rsid w:val="00FF18E5"/>
    <w:rsid w:val="00FF20E8"/>
    <w:rsid w:val="00FF2526"/>
    <w:rsid w:val="00FF4CD2"/>
    <w:rsid w:val="01520022"/>
    <w:rsid w:val="015C15C8"/>
    <w:rsid w:val="0186240D"/>
    <w:rsid w:val="01CE040B"/>
    <w:rsid w:val="01D92217"/>
    <w:rsid w:val="02497CA0"/>
    <w:rsid w:val="024C0ED1"/>
    <w:rsid w:val="029C57D8"/>
    <w:rsid w:val="029F2ED9"/>
    <w:rsid w:val="02C5045E"/>
    <w:rsid w:val="02EA3359"/>
    <w:rsid w:val="03533C82"/>
    <w:rsid w:val="036916A9"/>
    <w:rsid w:val="036F35B2"/>
    <w:rsid w:val="03E50FF2"/>
    <w:rsid w:val="042033D6"/>
    <w:rsid w:val="04385C4C"/>
    <w:rsid w:val="0464640A"/>
    <w:rsid w:val="046E4946"/>
    <w:rsid w:val="049B5B0A"/>
    <w:rsid w:val="04F12429"/>
    <w:rsid w:val="051F4750"/>
    <w:rsid w:val="05B22CC4"/>
    <w:rsid w:val="05D4049D"/>
    <w:rsid w:val="06402FC4"/>
    <w:rsid w:val="064D26E6"/>
    <w:rsid w:val="06690105"/>
    <w:rsid w:val="06B70A90"/>
    <w:rsid w:val="07027D7B"/>
    <w:rsid w:val="07DA3804"/>
    <w:rsid w:val="08D55229"/>
    <w:rsid w:val="093830AD"/>
    <w:rsid w:val="0944042D"/>
    <w:rsid w:val="09A65F67"/>
    <w:rsid w:val="0A220AAD"/>
    <w:rsid w:val="0A8E4561"/>
    <w:rsid w:val="0ACF1ECA"/>
    <w:rsid w:val="0AF8308E"/>
    <w:rsid w:val="0B005F1C"/>
    <w:rsid w:val="0B021001"/>
    <w:rsid w:val="0B095527"/>
    <w:rsid w:val="0B5965AB"/>
    <w:rsid w:val="0BEF4520"/>
    <w:rsid w:val="0C4452AF"/>
    <w:rsid w:val="0C8F6628"/>
    <w:rsid w:val="0CF74D52"/>
    <w:rsid w:val="0DB40989"/>
    <w:rsid w:val="0DBE56D0"/>
    <w:rsid w:val="0E033F8B"/>
    <w:rsid w:val="0E1C2936"/>
    <w:rsid w:val="0E751E70"/>
    <w:rsid w:val="0EC6754C"/>
    <w:rsid w:val="0F0071D6"/>
    <w:rsid w:val="0F037F40"/>
    <w:rsid w:val="0F3E048F"/>
    <w:rsid w:val="104A18C6"/>
    <w:rsid w:val="10F93FE9"/>
    <w:rsid w:val="111D51F7"/>
    <w:rsid w:val="116B5E0B"/>
    <w:rsid w:val="11DF2FE2"/>
    <w:rsid w:val="121421B7"/>
    <w:rsid w:val="1215360D"/>
    <w:rsid w:val="12313CE5"/>
    <w:rsid w:val="12531C9B"/>
    <w:rsid w:val="1270704D"/>
    <w:rsid w:val="127C6BC4"/>
    <w:rsid w:val="12CE4E68"/>
    <w:rsid w:val="1394392D"/>
    <w:rsid w:val="14066CD8"/>
    <w:rsid w:val="14206D94"/>
    <w:rsid w:val="14457ECD"/>
    <w:rsid w:val="149363ED"/>
    <w:rsid w:val="14CF7E31"/>
    <w:rsid w:val="14F121A2"/>
    <w:rsid w:val="150A4645"/>
    <w:rsid w:val="15614F9C"/>
    <w:rsid w:val="15DA1D3A"/>
    <w:rsid w:val="162177DE"/>
    <w:rsid w:val="162F5EE2"/>
    <w:rsid w:val="1651127E"/>
    <w:rsid w:val="16870D8E"/>
    <w:rsid w:val="168A7695"/>
    <w:rsid w:val="16E54F9E"/>
    <w:rsid w:val="170BAA33"/>
    <w:rsid w:val="174540BD"/>
    <w:rsid w:val="177B2407"/>
    <w:rsid w:val="17B42173"/>
    <w:rsid w:val="17F4515B"/>
    <w:rsid w:val="18633210"/>
    <w:rsid w:val="18743D16"/>
    <w:rsid w:val="191C0649"/>
    <w:rsid w:val="194A0A34"/>
    <w:rsid w:val="19ED2D17"/>
    <w:rsid w:val="1A317F88"/>
    <w:rsid w:val="1A4B52AF"/>
    <w:rsid w:val="1AF175F8"/>
    <w:rsid w:val="1B2557CC"/>
    <w:rsid w:val="1B822DAD"/>
    <w:rsid w:val="1BE53E44"/>
    <w:rsid w:val="1BFA781C"/>
    <w:rsid w:val="1C7A0F4E"/>
    <w:rsid w:val="1D0A73B1"/>
    <w:rsid w:val="1D222DD5"/>
    <w:rsid w:val="1D34607E"/>
    <w:rsid w:val="1D3C0E85"/>
    <w:rsid w:val="1D634724"/>
    <w:rsid w:val="1D8202F5"/>
    <w:rsid w:val="1D987178"/>
    <w:rsid w:val="1DD94587"/>
    <w:rsid w:val="1E385D53"/>
    <w:rsid w:val="1E4516B7"/>
    <w:rsid w:val="1EC16A83"/>
    <w:rsid w:val="1F6B1615"/>
    <w:rsid w:val="1FEE8EB9"/>
    <w:rsid w:val="20D17D63"/>
    <w:rsid w:val="2117534C"/>
    <w:rsid w:val="21452025"/>
    <w:rsid w:val="215A33B7"/>
    <w:rsid w:val="219A04FA"/>
    <w:rsid w:val="21E77118"/>
    <w:rsid w:val="22422E41"/>
    <w:rsid w:val="22F304C6"/>
    <w:rsid w:val="2379093F"/>
    <w:rsid w:val="23843752"/>
    <w:rsid w:val="23EA577B"/>
    <w:rsid w:val="24A948B4"/>
    <w:rsid w:val="25354E8F"/>
    <w:rsid w:val="25444AB3"/>
    <w:rsid w:val="256065E1"/>
    <w:rsid w:val="2581534B"/>
    <w:rsid w:val="25F63F83"/>
    <w:rsid w:val="26AE6283"/>
    <w:rsid w:val="26F27C71"/>
    <w:rsid w:val="270F17A0"/>
    <w:rsid w:val="276F0EA7"/>
    <w:rsid w:val="27921D79"/>
    <w:rsid w:val="27C62A72"/>
    <w:rsid w:val="27E22DFD"/>
    <w:rsid w:val="28CE49A4"/>
    <w:rsid w:val="28E26223"/>
    <w:rsid w:val="28F151B9"/>
    <w:rsid w:val="292C05B7"/>
    <w:rsid w:val="29CB291D"/>
    <w:rsid w:val="2A0C1188"/>
    <w:rsid w:val="2A8320CC"/>
    <w:rsid w:val="2B122C35"/>
    <w:rsid w:val="2B455A0D"/>
    <w:rsid w:val="2B7B1A56"/>
    <w:rsid w:val="2BEA5CC9"/>
    <w:rsid w:val="2CB745EA"/>
    <w:rsid w:val="2CB8206C"/>
    <w:rsid w:val="2D5D05FB"/>
    <w:rsid w:val="2D5D3849"/>
    <w:rsid w:val="2DA11FE9"/>
    <w:rsid w:val="2DF02AE0"/>
    <w:rsid w:val="2E6C2F97"/>
    <w:rsid w:val="2F2D0876"/>
    <w:rsid w:val="2F552934"/>
    <w:rsid w:val="2F8A538D"/>
    <w:rsid w:val="30180474"/>
    <w:rsid w:val="30401638"/>
    <w:rsid w:val="30B976E9"/>
    <w:rsid w:val="30CD1CAF"/>
    <w:rsid w:val="312C253A"/>
    <w:rsid w:val="315F185A"/>
    <w:rsid w:val="32265FD5"/>
    <w:rsid w:val="322850C0"/>
    <w:rsid w:val="32366270"/>
    <w:rsid w:val="323C48F6"/>
    <w:rsid w:val="32C40510"/>
    <w:rsid w:val="33406722"/>
    <w:rsid w:val="33B466E1"/>
    <w:rsid w:val="34083F6D"/>
    <w:rsid w:val="34546879"/>
    <w:rsid w:val="3474109D"/>
    <w:rsid w:val="34D90A42"/>
    <w:rsid w:val="34DA2F1B"/>
    <w:rsid w:val="34EC41DF"/>
    <w:rsid w:val="35100566"/>
    <w:rsid w:val="353E2A70"/>
    <w:rsid w:val="35653EA9"/>
    <w:rsid w:val="35946F77"/>
    <w:rsid w:val="35A93699"/>
    <w:rsid w:val="36113FC2"/>
    <w:rsid w:val="369D7429"/>
    <w:rsid w:val="36AA5AEC"/>
    <w:rsid w:val="373D6078"/>
    <w:rsid w:val="375C2CDF"/>
    <w:rsid w:val="38D62332"/>
    <w:rsid w:val="38DF66DE"/>
    <w:rsid w:val="38F7193E"/>
    <w:rsid w:val="39630450"/>
    <w:rsid w:val="39957106"/>
    <w:rsid w:val="39D92CA5"/>
    <w:rsid w:val="3A392571"/>
    <w:rsid w:val="3A4321FC"/>
    <w:rsid w:val="3A751FF8"/>
    <w:rsid w:val="3A782F7C"/>
    <w:rsid w:val="3A79517B"/>
    <w:rsid w:val="3AD60D98"/>
    <w:rsid w:val="3B7D6FA7"/>
    <w:rsid w:val="3BA578CC"/>
    <w:rsid w:val="3BCA3823"/>
    <w:rsid w:val="3C127B13"/>
    <w:rsid w:val="3C345451"/>
    <w:rsid w:val="3C3818D8"/>
    <w:rsid w:val="3CBC5735"/>
    <w:rsid w:val="3CE861F9"/>
    <w:rsid w:val="3D084016"/>
    <w:rsid w:val="3D7F5473"/>
    <w:rsid w:val="3D9B4DA3"/>
    <w:rsid w:val="3DDD580C"/>
    <w:rsid w:val="3DFF581B"/>
    <w:rsid w:val="3E0953D7"/>
    <w:rsid w:val="3E1E1071"/>
    <w:rsid w:val="3E2D113F"/>
    <w:rsid w:val="3E3068D7"/>
    <w:rsid w:val="3E9A1443"/>
    <w:rsid w:val="3EB31FEC"/>
    <w:rsid w:val="3EBD28FC"/>
    <w:rsid w:val="3ECB5495"/>
    <w:rsid w:val="3F4150D3"/>
    <w:rsid w:val="3F6339E8"/>
    <w:rsid w:val="3F694589"/>
    <w:rsid w:val="3FA6219D"/>
    <w:rsid w:val="3FA75226"/>
    <w:rsid w:val="3FBD2FC1"/>
    <w:rsid w:val="3FF2259C"/>
    <w:rsid w:val="4057269D"/>
    <w:rsid w:val="406571D2"/>
    <w:rsid w:val="40D62F6B"/>
    <w:rsid w:val="41686388"/>
    <w:rsid w:val="41736037"/>
    <w:rsid w:val="41B676E4"/>
    <w:rsid w:val="42124EF1"/>
    <w:rsid w:val="42343F31"/>
    <w:rsid w:val="426F528B"/>
    <w:rsid w:val="42BC538A"/>
    <w:rsid w:val="43536B83"/>
    <w:rsid w:val="43757DB5"/>
    <w:rsid w:val="43896F34"/>
    <w:rsid w:val="441D1ACF"/>
    <w:rsid w:val="445043F4"/>
    <w:rsid w:val="448E371D"/>
    <w:rsid w:val="44CE18F2"/>
    <w:rsid w:val="4523357B"/>
    <w:rsid w:val="454A6CBD"/>
    <w:rsid w:val="45F303D0"/>
    <w:rsid w:val="469A2C93"/>
    <w:rsid w:val="46BF5B6B"/>
    <w:rsid w:val="470D43A0"/>
    <w:rsid w:val="476C21BB"/>
    <w:rsid w:val="47B50564"/>
    <w:rsid w:val="47EF4992"/>
    <w:rsid w:val="482A12F4"/>
    <w:rsid w:val="48734F6C"/>
    <w:rsid w:val="48744BEB"/>
    <w:rsid w:val="48C74968"/>
    <w:rsid w:val="494B4AD5"/>
    <w:rsid w:val="499B5CD3"/>
    <w:rsid w:val="4A0230F9"/>
    <w:rsid w:val="4A061AFF"/>
    <w:rsid w:val="4A614797"/>
    <w:rsid w:val="4AC46A3A"/>
    <w:rsid w:val="4B3C1B7C"/>
    <w:rsid w:val="4C0D4452"/>
    <w:rsid w:val="4D7814A6"/>
    <w:rsid w:val="4DAF3F4C"/>
    <w:rsid w:val="4DC67E79"/>
    <w:rsid w:val="4DFC3C7E"/>
    <w:rsid w:val="4E1409B4"/>
    <w:rsid w:val="4E2528C4"/>
    <w:rsid w:val="4E443439"/>
    <w:rsid w:val="4E9466CA"/>
    <w:rsid w:val="4EBB39A2"/>
    <w:rsid w:val="4EF34216"/>
    <w:rsid w:val="4F7A6843"/>
    <w:rsid w:val="5013777C"/>
    <w:rsid w:val="50587360"/>
    <w:rsid w:val="509129BD"/>
    <w:rsid w:val="50E7594A"/>
    <w:rsid w:val="5121482B"/>
    <w:rsid w:val="513656C9"/>
    <w:rsid w:val="51555F7E"/>
    <w:rsid w:val="51694C1F"/>
    <w:rsid w:val="51F223CA"/>
    <w:rsid w:val="5215053D"/>
    <w:rsid w:val="52686D40"/>
    <w:rsid w:val="52A90634"/>
    <w:rsid w:val="52AE1A33"/>
    <w:rsid w:val="52CE44E6"/>
    <w:rsid w:val="533352A7"/>
    <w:rsid w:val="53516CBE"/>
    <w:rsid w:val="536611E1"/>
    <w:rsid w:val="53F371F8"/>
    <w:rsid w:val="545622E7"/>
    <w:rsid w:val="55951476"/>
    <w:rsid w:val="55A63B7C"/>
    <w:rsid w:val="561D5ED7"/>
    <w:rsid w:val="563441A1"/>
    <w:rsid w:val="564451BE"/>
    <w:rsid w:val="56BF34E2"/>
    <w:rsid w:val="56C31EE8"/>
    <w:rsid w:val="56E064A7"/>
    <w:rsid w:val="57316C99"/>
    <w:rsid w:val="57376624"/>
    <w:rsid w:val="578876A8"/>
    <w:rsid w:val="579334BA"/>
    <w:rsid w:val="57BE5435"/>
    <w:rsid w:val="582B57B9"/>
    <w:rsid w:val="58A54999"/>
    <w:rsid w:val="59E42D8A"/>
    <w:rsid w:val="59F55223"/>
    <w:rsid w:val="59FB712C"/>
    <w:rsid w:val="5A36413C"/>
    <w:rsid w:val="5AD67D94"/>
    <w:rsid w:val="5AFC7FD4"/>
    <w:rsid w:val="5B220213"/>
    <w:rsid w:val="5B2D30D3"/>
    <w:rsid w:val="5BA0525E"/>
    <w:rsid w:val="5BA23FE5"/>
    <w:rsid w:val="5BA31A66"/>
    <w:rsid w:val="5BA85EEE"/>
    <w:rsid w:val="5BB302D6"/>
    <w:rsid w:val="5BD678C9"/>
    <w:rsid w:val="5C743A6C"/>
    <w:rsid w:val="5CA26954"/>
    <w:rsid w:val="5CE65575"/>
    <w:rsid w:val="5D472117"/>
    <w:rsid w:val="5D8579FD"/>
    <w:rsid w:val="5D967917"/>
    <w:rsid w:val="5DC21A60"/>
    <w:rsid w:val="5DDF0D43"/>
    <w:rsid w:val="5E097C56"/>
    <w:rsid w:val="5E910E34"/>
    <w:rsid w:val="5EC8350D"/>
    <w:rsid w:val="5EE44E48"/>
    <w:rsid w:val="5EE57FA4"/>
    <w:rsid w:val="5EEA486F"/>
    <w:rsid w:val="5EEA4D46"/>
    <w:rsid w:val="5EF9755F"/>
    <w:rsid w:val="5F311452"/>
    <w:rsid w:val="5F75272C"/>
    <w:rsid w:val="5FE21E4C"/>
    <w:rsid w:val="605E48A8"/>
    <w:rsid w:val="60A31B19"/>
    <w:rsid w:val="60E76D8A"/>
    <w:rsid w:val="618A6593"/>
    <w:rsid w:val="619C01E2"/>
    <w:rsid w:val="61AE32D0"/>
    <w:rsid w:val="6206395E"/>
    <w:rsid w:val="6232692C"/>
    <w:rsid w:val="627B391D"/>
    <w:rsid w:val="63357580"/>
    <w:rsid w:val="63810C4D"/>
    <w:rsid w:val="64043764"/>
    <w:rsid w:val="648A6F00"/>
    <w:rsid w:val="64F1787F"/>
    <w:rsid w:val="65235DFA"/>
    <w:rsid w:val="662462DF"/>
    <w:rsid w:val="66437557"/>
    <w:rsid w:val="66B01DDF"/>
    <w:rsid w:val="66BC011A"/>
    <w:rsid w:val="672D16D2"/>
    <w:rsid w:val="67352362"/>
    <w:rsid w:val="67806F5E"/>
    <w:rsid w:val="67BDBFF8"/>
    <w:rsid w:val="68AF1BCF"/>
    <w:rsid w:val="68D6620B"/>
    <w:rsid w:val="696D2620"/>
    <w:rsid w:val="69743C15"/>
    <w:rsid w:val="69756114"/>
    <w:rsid w:val="697C5FE6"/>
    <w:rsid w:val="69D3530C"/>
    <w:rsid w:val="6A333F49"/>
    <w:rsid w:val="6B4F341C"/>
    <w:rsid w:val="6BEE421F"/>
    <w:rsid w:val="6C3D25C6"/>
    <w:rsid w:val="6C7B5108"/>
    <w:rsid w:val="6C824E8D"/>
    <w:rsid w:val="6C9D4811"/>
    <w:rsid w:val="6CAD6BDB"/>
    <w:rsid w:val="6CF97BC9"/>
    <w:rsid w:val="6D9677E2"/>
    <w:rsid w:val="6DC53F7D"/>
    <w:rsid w:val="6E3F2B3B"/>
    <w:rsid w:val="6E401570"/>
    <w:rsid w:val="6E5E2D1F"/>
    <w:rsid w:val="6ED616E4"/>
    <w:rsid w:val="6F364741"/>
    <w:rsid w:val="6F87013E"/>
    <w:rsid w:val="6F9A0528"/>
    <w:rsid w:val="6FF199EE"/>
    <w:rsid w:val="6FFFF4FD"/>
    <w:rsid w:val="70210600"/>
    <w:rsid w:val="702D331A"/>
    <w:rsid w:val="703D35B4"/>
    <w:rsid w:val="705C05E6"/>
    <w:rsid w:val="71072C7D"/>
    <w:rsid w:val="71E6486A"/>
    <w:rsid w:val="71F8388A"/>
    <w:rsid w:val="72745046"/>
    <w:rsid w:val="72F434FA"/>
    <w:rsid w:val="73A338C6"/>
    <w:rsid w:val="74B56C06"/>
    <w:rsid w:val="75A3688F"/>
    <w:rsid w:val="75AE4C20"/>
    <w:rsid w:val="75D62561"/>
    <w:rsid w:val="75DA21F8"/>
    <w:rsid w:val="763B79A7"/>
    <w:rsid w:val="76486FD4"/>
    <w:rsid w:val="76695353"/>
    <w:rsid w:val="76DF13E9"/>
    <w:rsid w:val="779F1B4C"/>
    <w:rsid w:val="77BD6F9C"/>
    <w:rsid w:val="77F5BE57"/>
    <w:rsid w:val="77FEC754"/>
    <w:rsid w:val="78387B4C"/>
    <w:rsid w:val="78D93F4E"/>
    <w:rsid w:val="793F465E"/>
    <w:rsid w:val="79450F83"/>
    <w:rsid w:val="79750201"/>
    <w:rsid w:val="7A556BC2"/>
    <w:rsid w:val="7A812F09"/>
    <w:rsid w:val="7AB93063"/>
    <w:rsid w:val="7ABC1A6A"/>
    <w:rsid w:val="7AC7367E"/>
    <w:rsid w:val="7AEF309B"/>
    <w:rsid w:val="7B1A2F5E"/>
    <w:rsid w:val="7B8E5E9A"/>
    <w:rsid w:val="7BAF47F9"/>
    <w:rsid w:val="7BDF44E9"/>
    <w:rsid w:val="7BED19A8"/>
    <w:rsid w:val="7BFE5513"/>
    <w:rsid w:val="7C38005C"/>
    <w:rsid w:val="7C417667"/>
    <w:rsid w:val="7C9E7B4B"/>
    <w:rsid w:val="7CC5329A"/>
    <w:rsid w:val="7D06612B"/>
    <w:rsid w:val="7D3103E4"/>
    <w:rsid w:val="7DDE3280"/>
    <w:rsid w:val="7DE26685"/>
    <w:rsid w:val="7DEF60A9"/>
    <w:rsid w:val="7E086F28"/>
    <w:rsid w:val="7E2E26A8"/>
    <w:rsid w:val="7E7F82B8"/>
    <w:rsid w:val="7E9755BD"/>
    <w:rsid w:val="7EBC63B3"/>
    <w:rsid w:val="7EBF32C9"/>
    <w:rsid w:val="7EF511DA"/>
    <w:rsid w:val="7F0710F4"/>
    <w:rsid w:val="7F27C6F3"/>
    <w:rsid w:val="7F526DA5"/>
    <w:rsid w:val="7F6F781F"/>
    <w:rsid w:val="7F764C2B"/>
    <w:rsid w:val="7F7F1DAC"/>
    <w:rsid w:val="7F885BCB"/>
    <w:rsid w:val="7FAC74FE"/>
    <w:rsid w:val="7FE205A8"/>
    <w:rsid w:val="7FF5B4BA"/>
    <w:rsid w:val="7FFEB597"/>
    <w:rsid w:val="AFFDFD77"/>
    <w:rsid w:val="B75F7C49"/>
    <w:rsid w:val="BDFED2BE"/>
    <w:rsid w:val="BF3FD4CC"/>
    <w:rsid w:val="BFF7A3C8"/>
    <w:rsid w:val="CD6FE07A"/>
    <w:rsid w:val="CE6F6E5C"/>
    <w:rsid w:val="D9D61BFE"/>
    <w:rsid w:val="DFFF4BE1"/>
    <w:rsid w:val="E3DE7538"/>
    <w:rsid w:val="EBD70576"/>
    <w:rsid w:val="EF8F6260"/>
    <w:rsid w:val="EFFEA947"/>
    <w:rsid w:val="F3D9C921"/>
    <w:rsid w:val="F3FDDA31"/>
    <w:rsid w:val="F5E6805D"/>
    <w:rsid w:val="F7D4A9DB"/>
    <w:rsid w:val="F9BFFEF1"/>
    <w:rsid w:val="FBBFF893"/>
    <w:rsid w:val="FBDC563C"/>
    <w:rsid w:val="FCFC10C0"/>
    <w:rsid w:val="FF7D6EB4"/>
    <w:rsid w:val="FFDF214D"/>
    <w:rsid w:val="FFEB7C55"/>
    <w:rsid w:val="FFF7CEA0"/>
    <w:rsid w:val="FFFF95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20"/>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1"/>
    <w:unhideWhenUsed/>
    <w:qFormat/>
    <w:uiPriority w:val="9"/>
    <w:pPr>
      <w:keepNext/>
      <w:keepLines/>
      <w:spacing w:before="260" w:after="260"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5">
    <w:name w:val="annotation text"/>
    <w:basedOn w:val="1"/>
    <w:link w:val="26"/>
    <w:unhideWhenUsed/>
    <w:qFormat/>
    <w:uiPriority w:val="99"/>
    <w:pPr>
      <w:jc w:val="left"/>
    </w:pPr>
  </w:style>
  <w:style w:type="paragraph" w:styleId="6">
    <w:name w:val="toc 3"/>
    <w:basedOn w:val="1"/>
    <w:next w:val="1"/>
    <w:unhideWhenUsed/>
    <w:qFormat/>
    <w:uiPriority w:val="39"/>
    <w:pPr>
      <w:widowControl/>
      <w:spacing w:after="100" w:line="276" w:lineRule="auto"/>
      <w:ind w:left="440"/>
      <w:jc w:val="left"/>
    </w:pPr>
    <w:rPr>
      <w:kern w:val="0"/>
      <w:sz w:val="22"/>
    </w:rPr>
  </w:style>
  <w:style w:type="paragraph" w:styleId="7">
    <w:name w:val="Balloon Text"/>
    <w:basedOn w:val="1"/>
    <w:link w:val="24"/>
    <w:unhideWhenUsed/>
    <w:qFormat/>
    <w:uiPriority w:val="99"/>
    <w:rPr>
      <w:sz w:val="18"/>
      <w:szCs w:val="18"/>
    </w:rPr>
  </w:style>
  <w:style w:type="paragraph" w:styleId="8">
    <w:name w:val="footer"/>
    <w:basedOn w:val="1"/>
    <w:link w:val="23"/>
    <w:unhideWhenUsed/>
    <w:qFormat/>
    <w:uiPriority w:val="99"/>
    <w:pPr>
      <w:tabs>
        <w:tab w:val="center" w:pos="4153"/>
        <w:tab w:val="right" w:pos="8306"/>
      </w:tabs>
      <w:snapToGrid w:val="0"/>
      <w:jc w:val="left"/>
    </w:pPr>
    <w:rPr>
      <w:sz w:val="18"/>
      <w:szCs w:val="18"/>
    </w:rPr>
  </w:style>
  <w:style w:type="paragraph" w:styleId="9">
    <w:name w:val="header"/>
    <w:basedOn w:val="1"/>
    <w:link w:val="22"/>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unhideWhenUsed/>
    <w:qFormat/>
    <w:uiPriority w:val="39"/>
    <w:pPr>
      <w:widowControl/>
      <w:tabs>
        <w:tab w:val="right" w:leader="dot" w:pos="8296"/>
      </w:tabs>
      <w:spacing w:after="100" w:line="276" w:lineRule="auto"/>
      <w:jc w:val="left"/>
    </w:pPr>
    <w:rPr>
      <w:rFonts w:ascii="Times New Roman" w:hAnsi="Times New Roman" w:eastAsia="宋体" w:cs="Times New Roman"/>
      <w:kern w:val="0"/>
      <w:sz w:val="22"/>
      <w:lang w:val="zh-CN"/>
    </w:rPr>
  </w:style>
  <w:style w:type="paragraph" w:styleId="11">
    <w:name w:val="toc 2"/>
    <w:basedOn w:val="1"/>
    <w:next w:val="1"/>
    <w:unhideWhenUsed/>
    <w:qFormat/>
    <w:uiPriority w:val="39"/>
    <w:pPr>
      <w:widowControl/>
      <w:spacing w:after="100" w:line="276" w:lineRule="auto"/>
      <w:ind w:left="220"/>
      <w:jc w:val="left"/>
    </w:pPr>
    <w:rPr>
      <w:kern w:val="0"/>
      <w:sz w:val="22"/>
    </w:rPr>
  </w:style>
  <w:style w:type="paragraph" w:styleId="12">
    <w:name w:val="Normal (Web)"/>
    <w:basedOn w:val="1"/>
    <w:semiHidden/>
    <w:unhideWhenUsed/>
    <w:qFormat/>
    <w:uiPriority w:val="99"/>
    <w:pPr>
      <w:spacing w:beforeAutospacing="1" w:afterAutospacing="1"/>
      <w:jc w:val="left"/>
    </w:pPr>
    <w:rPr>
      <w:rFonts w:cs="Times New Roman"/>
      <w:kern w:val="0"/>
      <w:sz w:val="24"/>
    </w:rPr>
  </w:style>
  <w:style w:type="paragraph" w:styleId="13">
    <w:name w:val="annotation subject"/>
    <w:basedOn w:val="5"/>
    <w:next w:val="5"/>
    <w:link w:val="27"/>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unhideWhenUsed/>
    <w:qFormat/>
    <w:uiPriority w:val="99"/>
    <w:rPr>
      <w:color w:val="0000FF" w:themeColor="hyperlink"/>
      <w:u w:val="single"/>
      <w14:textFill>
        <w14:solidFill>
          <w14:schemeClr w14:val="hlink"/>
        </w14:solidFill>
      </w14:textFill>
    </w:rPr>
  </w:style>
  <w:style w:type="character" w:styleId="18">
    <w:name w:val="annotation reference"/>
    <w:basedOn w:val="16"/>
    <w:unhideWhenUsed/>
    <w:qFormat/>
    <w:uiPriority w:val="0"/>
    <w:rPr>
      <w:sz w:val="21"/>
      <w:szCs w:val="21"/>
    </w:rPr>
  </w:style>
  <w:style w:type="character" w:customStyle="1" w:styleId="19">
    <w:name w:val="标题 1 字符"/>
    <w:basedOn w:val="16"/>
    <w:link w:val="2"/>
    <w:qFormat/>
    <w:uiPriority w:val="0"/>
    <w:rPr>
      <w:b/>
      <w:bCs/>
      <w:kern w:val="44"/>
      <w:sz w:val="44"/>
      <w:szCs w:val="44"/>
    </w:rPr>
  </w:style>
  <w:style w:type="character" w:customStyle="1" w:styleId="20">
    <w:name w:val="标题 2 字符"/>
    <w:basedOn w:val="16"/>
    <w:link w:val="3"/>
    <w:qFormat/>
    <w:uiPriority w:val="9"/>
    <w:rPr>
      <w:rFonts w:asciiTheme="majorHAnsi" w:hAnsiTheme="majorHAnsi" w:eastAsiaTheme="majorEastAsia" w:cstheme="majorBidi"/>
      <w:b/>
      <w:bCs/>
      <w:sz w:val="32"/>
      <w:szCs w:val="32"/>
    </w:rPr>
  </w:style>
  <w:style w:type="character" w:customStyle="1" w:styleId="21">
    <w:name w:val="标题 3 字符"/>
    <w:basedOn w:val="16"/>
    <w:link w:val="4"/>
    <w:qFormat/>
    <w:uiPriority w:val="9"/>
    <w:rPr>
      <w:b/>
      <w:bCs/>
      <w:sz w:val="32"/>
      <w:szCs w:val="32"/>
    </w:rPr>
  </w:style>
  <w:style w:type="character" w:customStyle="1" w:styleId="22">
    <w:name w:val="页眉 字符"/>
    <w:basedOn w:val="16"/>
    <w:link w:val="9"/>
    <w:qFormat/>
    <w:uiPriority w:val="99"/>
    <w:rPr>
      <w:sz w:val="18"/>
      <w:szCs w:val="18"/>
    </w:rPr>
  </w:style>
  <w:style w:type="character" w:customStyle="1" w:styleId="23">
    <w:name w:val="页脚 字符"/>
    <w:basedOn w:val="16"/>
    <w:link w:val="8"/>
    <w:qFormat/>
    <w:uiPriority w:val="99"/>
    <w:rPr>
      <w:sz w:val="18"/>
      <w:szCs w:val="18"/>
    </w:rPr>
  </w:style>
  <w:style w:type="character" w:customStyle="1" w:styleId="24">
    <w:name w:val="批注框文本 字符"/>
    <w:basedOn w:val="16"/>
    <w:link w:val="7"/>
    <w:semiHidden/>
    <w:qFormat/>
    <w:uiPriority w:val="99"/>
    <w:rPr>
      <w:sz w:val="18"/>
      <w:szCs w:val="18"/>
    </w:rPr>
  </w:style>
  <w:style w:type="paragraph" w:customStyle="1" w:styleId="25">
    <w:name w:val="修订1"/>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6">
    <w:name w:val="批注文字 字符"/>
    <w:basedOn w:val="16"/>
    <w:link w:val="5"/>
    <w:qFormat/>
    <w:uiPriority w:val="99"/>
  </w:style>
  <w:style w:type="character" w:customStyle="1" w:styleId="27">
    <w:name w:val="批注主题 字符"/>
    <w:basedOn w:val="26"/>
    <w:link w:val="13"/>
    <w:semiHidden/>
    <w:qFormat/>
    <w:uiPriority w:val="99"/>
    <w:rPr>
      <w:b/>
      <w:bCs/>
    </w:rPr>
  </w:style>
  <w:style w:type="paragraph" w:customStyle="1" w:styleId="28">
    <w:name w:val="列出段落1"/>
    <w:basedOn w:val="1"/>
    <w:qFormat/>
    <w:uiPriority w:val="34"/>
    <w:pPr>
      <w:ind w:firstLine="420" w:firstLineChars="200"/>
    </w:pPr>
  </w:style>
  <w:style w:type="paragraph" w:customStyle="1" w:styleId="29">
    <w:name w:val="TOC 标题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0">
    <w:name w:val="修订11"/>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1">
    <w:name w:val="TOC 标题11"/>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styleId="32">
    <w:name w:val="List Paragraph"/>
    <w:basedOn w:val="1"/>
    <w:qFormat/>
    <w:uiPriority w:val="34"/>
    <w:pPr>
      <w:ind w:firstLine="420" w:firstLineChars="200"/>
    </w:pPr>
  </w:style>
  <w:style w:type="paragraph" w:customStyle="1" w:styleId="33">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4">
    <w:name w:val="修订3"/>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5">
    <w:name w:val="修订4"/>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6">
    <w:name w:val="修订5"/>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7">
    <w:name w:val="修订6"/>
    <w:hidden/>
    <w:semiHidden/>
    <w:qFormat/>
    <w:uiPriority w:val="99"/>
    <w:rPr>
      <w:rFonts w:asciiTheme="minorHAnsi" w:hAnsiTheme="minorHAnsi" w:eastAsiaTheme="minorEastAsia" w:cstheme="minorBidi"/>
      <w:kern w:val="2"/>
      <w:sz w:val="21"/>
      <w:szCs w:val="22"/>
      <w:lang w:val="en-US" w:eastAsia="zh-CN" w:bidi="ar-SA"/>
    </w:rPr>
  </w:style>
  <w:style w:type="paragraph" w:customStyle="1" w:styleId="38">
    <w:name w:val="修订7"/>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39">
    <w:name w:val="修订8"/>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40">
    <w:name w:val="Revision"/>
    <w:hidden/>
    <w:semiHidden/>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0" Type="http://schemas.openxmlformats.org/officeDocument/2006/relationships/fontTable" Target="fontTable.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theme" Target="theme/theme1.xml"/><Relationship Id="rId27" Type="http://schemas.openxmlformats.org/officeDocument/2006/relationships/footer" Target="footer24.xml"/><Relationship Id="rId26" Type="http://schemas.openxmlformats.org/officeDocument/2006/relationships/footer" Target="footer23.xml"/><Relationship Id="rId25" Type="http://schemas.openxmlformats.org/officeDocument/2006/relationships/footer" Target="footer22.xml"/><Relationship Id="rId24" Type="http://schemas.openxmlformats.org/officeDocument/2006/relationships/footer" Target="footer21.xml"/><Relationship Id="rId23" Type="http://schemas.openxmlformats.org/officeDocument/2006/relationships/footer" Target="footer20.xml"/><Relationship Id="rId22" Type="http://schemas.openxmlformats.org/officeDocument/2006/relationships/footer" Target="footer19.xml"/><Relationship Id="rId21" Type="http://schemas.openxmlformats.org/officeDocument/2006/relationships/footer" Target="footer18.xml"/><Relationship Id="rId20" Type="http://schemas.openxmlformats.org/officeDocument/2006/relationships/footer" Target="footer17.xml"/><Relationship Id="rId2" Type="http://schemas.openxmlformats.org/officeDocument/2006/relationships/settings" Target="settings.xml"/><Relationship Id="rId19" Type="http://schemas.openxmlformats.org/officeDocument/2006/relationships/footer" Target="footer16.xml"/><Relationship Id="rId18" Type="http://schemas.openxmlformats.org/officeDocument/2006/relationships/footer" Target="footer15.xml"/><Relationship Id="rId17" Type="http://schemas.openxmlformats.org/officeDocument/2006/relationships/footer" Target="footer14.xml"/><Relationship Id="rId16" Type="http://schemas.openxmlformats.org/officeDocument/2006/relationships/footer" Target="footer13.xml"/><Relationship Id="rId15" Type="http://schemas.openxmlformats.org/officeDocument/2006/relationships/footer" Target="footer12.xml"/><Relationship Id="rId14" Type="http://schemas.openxmlformats.org/officeDocument/2006/relationships/footer" Target="footer11.xml"/><Relationship Id="rId13" Type="http://schemas.openxmlformats.org/officeDocument/2006/relationships/footer" Target="footer10.xml"/><Relationship Id="rId12" Type="http://schemas.openxmlformats.org/officeDocument/2006/relationships/footer" Target="footer9.xml"/><Relationship Id="rId11" Type="http://schemas.openxmlformats.org/officeDocument/2006/relationships/footer" Target="footer8.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8F15A7-78B9-4C9D-8EB0-781AD3DD328D}">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115</Pages>
  <Words>43205</Words>
  <Characters>43639</Characters>
  <Lines>1818</Lines>
  <Paragraphs>1638</Paragraphs>
  <TotalTime>0</TotalTime>
  <ScaleCrop>false</ScaleCrop>
  <LinksUpToDate>false</LinksUpToDate>
  <CharactersWithSpaces>85206</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2023-08-03T05:31:00Z</dcterms:created>
  <dc:creator>汤玲</dc:creator>
  <cp:lastModifiedBy>qlx</cp:lastModifiedBy>
  <cp:lastPrinted>2022-01-18T06:43:00Z</cp:lastPrinted>
  <dcterms:modified xsi:type="dcterms:W3CDTF">2026-05-28T05:06:13Z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070B20BB08EE4C18B3B8F070887AAA3D</vt:lpwstr>
  </property>
</Properties>
</file>