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3CE62">
      <w:pPr>
        <w:spacing w:line="360" w:lineRule="auto"/>
        <w:jc w:val="center"/>
        <w:rPr>
          <w:b/>
        </w:rPr>
      </w:pPr>
      <w:bookmarkStart w:id="0" w:name="_Toc361324840"/>
    </w:p>
    <w:p w14:paraId="0BB15EB2">
      <w:pPr>
        <w:spacing w:line="360" w:lineRule="auto"/>
        <w:jc w:val="center"/>
        <w:rPr>
          <w:b/>
        </w:rPr>
      </w:pPr>
    </w:p>
    <w:p w14:paraId="2E8A8504">
      <w:pPr>
        <w:spacing w:line="360" w:lineRule="auto"/>
        <w:jc w:val="center"/>
        <w:rPr>
          <w:b/>
        </w:rPr>
      </w:pPr>
    </w:p>
    <w:p w14:paraId="131DC6B1">
      <w:pPr>
        <w:spacing w:line="360" w:lineRule="auto"/>
        <w:jc w:val="center"/>
        <w:rPr>
          <w:b/>
        </w:rPr>
      </w:pPr>
    </w:p>
    <w:p w14:paraId="785C3EC7">
      <w:pPr>
        <w:spacing w:line="360" w:lineRule="auto"/>
        <w:jc w:val="center"/>
        <w:rPr>
          <w:b/>
          <w:sz w:val="36"/>
          <w:szCs w:val="36"/>
        </w:rPr>
      </w:pPr>
      <w:r>
        <w:rPr>
          <w:b/>
          <w:sz w:val="36"/>
          <w:szCs w:val="36"/>
        </w:rPr>
        <w:t>博时招商蛇口产业园封闭式基础设施证券投资基金</w:t>
      </w:r>
      <w:bookmarkEnd w:id="0"/>
    </w:p>
    <w:p w14:paraId="05E14744">
      <w:pPr>
        <w:spacing w:line="360" w:lineRule="auto"/>
        <w:jc w:val="center"/>
        <w:rPr>
          <w:b/>
          <w:sz w:val="36"/>
          <w:szCs w:val="36"/>
        </w:rPr>
      </w:pPr>
      <w:bookmarkStart w:id="1" w:name="_Toc361324841"/>
      <w:r>
        <w:rPr>
          <w:b/>
          <w:sz w:val="36"/>
          <w:szCs w:val="36"/>
        </w:rPr>
        <w:t>2026年中期报告</w:t>
      </w:r>
      <w:bookmarkEnd w:id="1"/>
    </w:p>
    <w:p w14:paraId="2E77AFA1">
      <w:pPr>
        <w:spacing w:line="360" w:lineRule="auto"/>
        <w:jc w:val="center"/>
        <w:rPr>
          <w:b/>
          <w:sz w:val="36"/>
          <w:szCs w:val="36"/>
        </w:rPr>
      </w:pPr>
      <w:r>
        <w:rPr>
          <w:b/>
          <w:sz w:val="36"/>
          <w:szCs w:val="36"/>
        </w:rPr>
        <w:t>2026年6月30日</w:t>
      </w:r>
    </w:p>
    <w:p w14:paraId="4099889B">
      <w:pPr>
        <w:spacing w:line="360" w:lineRule="auto"/>
        <w:jc w:val="center"/>
        <w:rPr>
          <w:b/>
        </w:rPr>
      </w:pPr>
    </w:p>
    <w:p w14:paraId="5D1A8955">
      <w:pPr>
        <w:spacing w:line="360" w:lineRule="auto"/>
        <w:jc w:val="center"/>
        <w:rPr>
          <w:b/>
        </w:rPr>
      </w:pPr>
    </w:p>
    <w:p w14:paraId="66F14567">
      <w:pPr>
        <w:spacing w:line="360" w:lineRule="auto"/>
        <w:jc w:val="center"/>
        <w:rPr>
          <w:b/>
        </w:rPr>
      </w:pPr>
    </w:p>
    <w:p w14:paraId="5E1378B7">
      <w:pPr>
        <w:spacing w:line="360" w:lineRule="auto"/>
        <w:jc w:val="center"/>
        <w:rPr>
          <w:b/>
        </w:rPr>
      </w:pPr>
    </w:p>
    <w:p w14:paraId="2C0AE178">
      <w:pPr>
        <w:spacing w:line="360" w:lineRule="auto"/>
        <w:jc w:val="center"/>
        <w:rPr>
          <w:b/>
        </w:rPr>
      </w:pPr>
    </w:p>
    <w:p w14:paraId="38787C08">
      <w:pPr>
        <w:spacing w:line="360" w:lineRule="auto"/>
        <w:jc w:val="center"/>
        <w:rPr>
          <w:b/>
        </w:rPr>
      </w:pPr>
    </w:p>
    <w:p w14:paraId="013B04AB">
      <w:pPr>
        <w:spacing w:line="360" w:lineRule="auto"/>
        <w:jc w:val="center"/>
        <w:rPr>
          <w:b/>
        </w:rPr>
      </w:pPr>
    </w:p>
    <w:p w14:paraId="502ECBB8">
      <w:pPr>
        <w:spacing w:line="360" w:lineRule="auto"/>
        <w:jc w:val="center"/>
        <w:rPr>
          <w:b/>
        </w:rPr>
      </w:pPr>
    </w:p>
    <w:p w14:paraId="2E4A2325">
      <w:pPr>
        <w:spacing w:line="360" w:lineRule="auto"/>
        <w:jc w:val="center"/>
        <w:rPr>
          <w:b/>
        </w:rPr>
      </w:pPr>
    </w:p>
    <w:p w14:paraId="6D330473">
      <w:pPr>
        <w:spacing w:line="360" w:lineRule="auto"/>
        <w:jc w:val="center"/>
        <w:rPr>
          <w:b/>
        </w:rPr>
      </w:pPr>
    </w:p>
    <w:p w14:paraId="593EB0F4">
      <w:pPr>
        <w:spacing w:line="360" w:lineRule="auto"/>
        <w:jc w:val="center"/>
        <w:rPr>
          <w:b/>
        </w:rPr>
      </w:pPr>
    </w:p>
    <w:p w14:paraId="5517602C">
      <w:pPr>
        <w:spacing w:line="360" w:lineRule="auto"/>
        <w:jc w:val="center"/>
        <w:rPr>
          <w:b/>
        </w:rPr>
      </w:pPr>
    </w:p>
    <w:p w14:paraId="7CD16886">
      <w:pPr>
        <w:spacing w:line="360" w:lineRule="auto"/>
        <w:jc w:val="center"/>
        <w:rPr>
          <w:b/>
        </w:rPr>
      </w:pPr>
    </w:p>
    <w:p w14:paraId="08A3D624">
      <w:pPr>
        <w:spacing w:line="360" w:lineRule="auto"/>
        <w:jc w:val="center"/>
        <w:rPr>
          <w:b/>
        </w:rPr>
      </w:pPr>
    </w:p>
    <w:p w14:paraId="105AE77E">
      <w:pPr>
        <w:spacing w:line="360" w:lineRule="auto"/>
        <w:jc w:val="center"/>
        <w:rPr>
          <w:b/>
        </w:rPr>
      </w:pPr>
    </w:p>
    <w:p w14:paraId="71A953A7">
      <w:pPr>
        <w:spacing w:line="360" w:lineRule="auto"/>
        <w:rPr>
          <w:b/>
        </w:rPr>
      </w:pPr>
    </w:p>
    <w:p w14:paraId="07FB2A34">
      <w:pPr>
        <w:spacing w:line="360" w:lineRule="auto"/>
        <w:jc w:val="center"/>
        <w:rPr>
          <w:b/>
        </w:rPr>
      </w:pPr>
      <w:r>
        <w:rPr>
          <w:b/>
        </w:rPr>
        <w:t>基金管理人：博时基金管理有限公司</w:t>
      </w:r>
    </w:p>
    <w:p w14:paraId="498EBC2C">
      <w:pPr>
        <w:spacing w:line="360" w:lineRule="auto"/>
        <w:jc w:val="center"/>
        <w:rPr>
          <w:b/>
        </w:rPr>
      </w:pPr>
      <w:r>
        <w:rPr>
          <w:b/>
        </w:rPr>
        <w:t>基金托管人：招商银行股份有限公司</w:t>
      </w:r>
    </w:p>
    <w:p w14:paraId="40B975C8">
      <w:pPr>
        <w:spacing w:line="360" w:lineRule="auto"/>
        <w:jc w:val="center"/>
        <w:rPr>
          <w:b/>
        </w:rPr>
        <w:sectPr>
          <w:headerReference r:id="rId3" w:type="default"/>
          <w:pgSz w:w="11926" w:h="15840"/>
          <w:pgMar w:top="1418" w:right="1418" w:bottom="851" w:left="1418" w:header="851" w:footer="992" w:gutter="0"/>
          <w:pgBorders>
            <w:top w:val="none" w:sz="0" w:space="0"/>
            <w:left w:val="none" w:sz="0" w:space="0"/>
            <w:bottom w:val="none" w:sz="0" w:space="0"/>
            <w:right w:val="none" w:sz="0" w:space="0"/>
          </w:pgBorders>
          <w:cols w:space="720" w:num="1"/>
        </w:sectPr>
      </w:pPr>
      <w:r>
        <w:rPr>
          <w:b/>
        </w:rPr>
        <w:t>送出日期：二〇二六年八月二十七日</w:t>
      </w:r>
    </w:p>
    <w:p w14:paraId="37A9D2CD">
      <w:pPr>
        <w:pStyle w:val="2"/>
        <w:spacing w:before="312" w:beforeLines="100" w:after="312" w:afterLines="100" w:line="360" w:lineRule="auto"/>
        <w:jc w:val="center"/>
        <w:rPr>
          <w:b w:val="0"/>
          <w:bCs w:val="0"/>
          <w:sz w:val="21"/>
          <w:szCs w:val="21"/>
        </w:rPr>
      </w:pPr>
      <w:bookmarkStart w:id="2" w:name="_Toc361324842"/>
      <w:bookmarkStart w:id="3" w:name="_Toc64625354"/>
      <w:bookmarkStart w:id="4" w:name="_Toc9387"/>
      <w:bookmarkStart w:id="5" w:name="_Toc98602952"/>
      <w:bookmarkStart w:id="6" w:name="_Toc225498243"/>
      <w:bookmarkStart w:id="7" w:name="_Toc98602619"/>
      <w:bookmarkStart w:id="8" w:name="_Toc98511588"/>
      <w:bookmarkStart w:id="9" w:name="_Toc98601271"/>
      <w:bookmarkStart w:id="10" w:name="_Toc64625355"/>
      <w:bookmarkStart w:id="11" w:name="_Toc98512344"/>
      <w:bookmarkStart w:id="12" w:name="_Toc98508925"/>
      <w:bookmarkStart w:id="13" w:name="_Toc361324843"/>
      <w:r>
        <w:rPr>
          <w:sz w:val="21"/>
          <w:szCs w:val="21"/>
        </w:rPr>
        <w:t>§1  重要提示及目录</w:t>
      </w:r>
      <w:bookmarkEnd w:id="2"/>
      <w:bookmarkEnd w:id="3"/>
      <w:bookmarkEnd w:id="4"/>
      <w:bookmarkEnd w:id="5"/>
      <w:bookmarkEnd w:id="6"/>
      <w:bookmarkEnd w:id="7"/>
    </w:p>
    <w:p w14:paraId="0908E216">
      <w:pPr>
        <w:pStyle w:val="3"/>
        <w:spacing w:before="0" w:after="0"/>
        <w:rPr>
          <w:rFonts w:ascii="Times New Roman" w:hAnsi="Times New Roman" w:cs="Times New Roman"/>
          <w:kern w:val="0"/>
          <w:sz w:val="21"/>
          <w:szCs w:val="21"/>
        </w:rPr>
      </w:pPr>
      <w:bookmarkStart w:id="14" w:name="_Toc98602953"/>
      <w:bookmarkStart w:id="15" w:name="_Toc12745"/>
      <w:bookmarkStart w:id="16" w:name="_Toc98602620"/>
      <w:r>
        <w:rPr>
          <w:rFonts w:ascii="Times New Roman" w:hAnsi="Times New Roman" w:cs="Times New Roman"/>
          <w:kern w:val="0"/>
          <w:sz w:val="21"/>
          <w:szCs w:val="21"/>
        </w:rPr>
        <w:t>1.1 重要提示</w:t>
      </w:r>
      <w:bookmarkEnd w:id="8"/>
      <w:bookmarkEnd w:id="9"/>
      <w:bookmarkEnd w:id="10"/>
      <w:bookmarkEnd w:id="11"/>
      <w:bookmarkEnd w:id="12"/>
      <w:bookmarkEnd w:id="13"/>
      <w:bookmarkEnd w:id="14"/>
      <w:bookmarkEnd w:id="15"/>
      <w:bookmarkEnd w:id="16"/>
    </w:p>
    <w:p w14:paraId="41CC4F41">
      <w:pPr>
        <w:spacing w:line="360" w:lineRule="auto"/>
        <w:ind w:firstLine="420" w:firstLineChars="200"/>
      </w:pPr>
      <w:r>
        <w:t>基金管理人的董事会、董事保证本报告所载资料不存在虚假记载、误导性陈述或重大遗漏，并对其内容的真实性、准确性和完整性承担个别及连带的法律责任。本</w:t>
      </w:r>
      <w:r>
        <w:rPr>
          <w:rFonts w:hint="eastAsia"/>
        </w:rPr>
        <w:t>中期</w:t>
      </w:r>
      <w:r>
        <w:t>报告已经三分之二以上独立董事签字同意，并由董事长签发。</w:t>
      </w:r>
    </w:p>
    <w:p w14:paraId="4E420FB3">
      <w:pPr>
        <w:spacing w:line="360" w:lineRule="auto"/>
        <w:ind w:firstLine="420" w:firstLineChars="200"/>
      </w:pPr>
      <w:r>
        <w:t>基金托管人招商银行股份有限公司根据本基金合同规定，于2026年8月25日复核了本报告中的财务指标、收益分配情况、财务会计报告和投资组合报告等内容，保证复核内容不存在虚假记载、误导性陈述或重大遗漏。</w:t>
      </w:r>
    </w:p>
    <w:p w14:paraId="47F0C583">
      <w:pPr>
        <w:spacing w:line="360" w:lineRule="auto"/>
        <w:ind w:firstLine="420" w:firstLineChars="200"/>
      </w:pPr>
      <w:r>
        <w:t>运营管理机构已对中期报告中的相关披露事项进行确认，不存在异议。确保相关披露内容的真实性、准确性和完整性。</w:t>
      </w:r>
    </w:p>
    <w:p w14:paraId="0199C627">
      <w:pPr>
        <w:spacing w:line="360" w:lineRule="auto"/>
        <w:ind w:firstLine="420" w:firstLineChars="200"/>
      </w:pPr>
      <w:r>
        <w:t>基金管理人承诺以诚实信用、勤勉尽责的原则管理和运用不动产基金资产，但不保证不动产基金一定盈利。</w:t>
      </w:r>
    </w:p>
    <w:p w14:paraId="6B40780F">
      <w:pPr>
        <w:spacing w:line="360" w:lineRule="auto"/>
        <w:ind w:firstLine="420" w:firstLineChars="200"/>
      </w:pPr>
      <w:r>
        <w:t>不动产基金的过往业绩并不代表其未来表现。投资有风险，投资者在作出投资决策前应仔细阅读本不动产基金的招募说明书及其更新。</w:t>
      </w:r>
    </w:p>
    <w:p w14:paraId="330210A4">
      <w:pPr>
        <w:spacing w:line="360" w:lineRule="auto"/>
        <w:ind w:firstLine="420" w:firstLineChars="200"/>
      </w:pPr>
      <w:r>
        <w:t>本报告中的财务资料未经审计。</w:t>
      </w:r>
    </w:p>
    <w:p w14:paraId="34D610C7">
      <w:pPr>
        <w:spacing w:line="360" w:lineRule="auto"/>
        <w:ind w:firstLine="420" w:firstLineChars="200"/>
      </w:pPr>
      <w:r>
        <w:t>本报告期自2026年1月1日起至6月30日止。</w:t>
      </w:r>
    </w:p>
    <w:p w14:paraId="134E7145">
      <w:pPr>
        <w:widowControl/>
        <w:spacing w:line="360" w:lineRule="auto"/>
        <w:jc w:val="left"/>
      </w:pPr>
      <w:r>
        <w:br w:type="page"/>
      </w:r>
    </w:p>
    <w:p w14:paraId="435C28C7">
      <w:pPr>
        <w:pStyle w:val="3"/>
        <w:spacing w:before="0" w:after="0"/>
        <w:rPr>
          <w:rFonts w:ascii="Times New Roman" w:hAnsi="Times New Roman" w:cs="Times New Roman"/>
          <w:kern w:val="0"/>
          <w:sz w:val="21"/>
          <w:szCs w:val="21"/>
        </w:rPr>
      </w:pPr>
      <w:bookmarkStart w:id="17" w:name="_Toc24332"/>
      <w:bookmarkStart w:id="18" w:name="_Toc98602954"/>
      <w:bookmarkStart w:id="19" w:name="_Toc245193808"/>
      <w:r>
        <w:rPr>
          <w:rFonts w:ascii="Times New Roman" w:hAnsi="Times New Roman" w:cs="Times New Roman"/>
          <w:kern w:val="0"/>
          <w:sz w:val="21"/>
          <w:szCs w:val="21"/>
        </w:rPr>
        <w:t>1.2目录</w:t>
      </w:r>
      <w:bookmarkEnd w:id="17"/>
      <w:bookmarkEnd w:id="18"/>
      <w:bookmarkEnd w:id="19"/>
      <w:r>
        <w:rPr>
          <w:rFonts w:ascii="Times New Roman" w:hAnsi="Times New Roman" w:cs="Times New Roman"/>
          <w:kern w:val="0"/>
          <w:sz w:val="21"/>
          <w:szCs w:val="21"/>
        </w:rPr>
        <w:t xml:space="preserve"> </w:t>
      </w:r>
      <w:bookmarkStart w:id="20" w:name="_Toc64625357"/>
      <w:bookmarkStart w:id="21" w:name="_Toc98602955"/>
    </w:p>
    <w:p w14:paraId="260CEBD1">
      <w:pPr>
        <w:pStyle w:val="27"/>
        <w:tabs>
          <w:tab w:val="right" w:leader="dot" w:pos="8312"/>
          <w:tab w:val="clear" w:pos="9072"/>
        </w:tabs>
      </w:pPr>
      <w:r>
        <w:rPr>
          <w:b/>
          <w:sz w:val="30"/>
        </w:rPr>
        <w:fldChar w:fldCharType="begin"/>
      </w:r>
      <w:r>
        <w:rPr>
          <w:b/>
          <w:sz w:val="30"/>
        </w:rPr>
        <w:instrText xml:space="preserve"> TOC \o "1-2" \h \z \u </w:instrText>
      </w:r>
      <w:r>
        <w:rPr>
          <w:b/>
          <w:sz w:val="30"/>
        </w:rPr>
        <w:fldChar w:fldCharType="separate"/>
      </w:r>
      <w:r>
        <w:fldChar w:fldCharType="begin"/>
      </w:r>
      <w:r>
        <w:instrText xml:space="preserve"> HYPERLINK \l _Toc9387 </w:instrText>
      </w:r>
      <w:r>
        <w:fldChar w:fldCharType="separate"/>
      </w:r>
      <w:r>
        <w:rPr>
          <w:szCs w:val="21"/>
        </w:rPr>
        <w:t>§1  重要提示及目录</w:t>
      </w:r>
      <w:r>
        <w:tab/>
      </w:r>
      <w:r>
        <w:fldChar w:fldCharType="begin"/>
      </w:r>
      <w:r>
        <w:instrText xml:space="preserve"> PAGEREF _Toc9387 \h </w:instrText>
      </w:r>
      <w:r>
        <w:fldChar w:fldCharType="separate"/>
      </w:r>
      <w:r>
        <w:t>2</w:t>
      </w:r>
      <w:r>
        <w:fldChar w:fldCharType="end"/>
      </w:r>
      <w:r>
        <w:fldChar w:fldCharType="end"/>
      </w:r>
    </w:p>
    <w:p w14:paraId="2C486552">
      <w:pPr>
        <w:pStyle w:val="33"/>
        <w:tabs>
          <w:tab w:val="right" w:leader="dot" w:pos="8312"/>
          <w:tab w:val="clear" w:pos="9072"/>
        </w:tabs>
      </w:pPr>
      <w:r>
        <w:fldChar w:fldCharType="begin"/>
      </w:r>
      <w:r>
        <w:instrText xml:space="preserve"> HYPERLINK \l _Toc12745 </w:instrText>
      </w:r>
      <w:r>
        <w:fldChar w:fldCharType="separate"/>
      </w:r>
      <w:r>
        <w:rPr>
          <w:rFonts w:ascii="Times New Roman" w:hAnsi="Times New Roman" w:cs="Times New Roman"/>
          <w:kern w:val="0"/>
          <w:szCs w:val="21"/>
        </w:rPr>
        <w:t>1.1 重要提示</w:t>
      </w:r>
      <w:r>
        <w:tab/>
      </w:r>
      <w:r>
        <w:fldChar w:fldCharType="begin"/>
      </w:r>
      <w:r>
        <w:instrText xml:space="preserve"> PAGEREF _Toc12745 \h </w:instrText>
      </w:r>
      <w:r>
        <w:fldChar w:fldCharType="separate"/>
      </w:r>
      <w:r>
        <w:t>2</w:t>
      </w:r>
      <w:r>
        <w:fldChar w:fldCharType="end"/>
      </w:r>
      <w:r>
        <w:fldChar w:fldCharType="end"/>
      </w:r>
    </w:p>
    <w:p w14:paraId="62479B35">
      <w:pPr>
        <w:pStyle w:val="33"/>
        <w:tabs>
          <w:tab w:val="right" w:leader="dot" w:pos="8312"/>
          <w:tab w:val="clear" w:pos="9072"/>
        </w:tabs>
      </w:pPr>
      <w:r>
        <w:fldChar w:fldCharType="begin"/>
      </w:r>
      <w:r>
        <w:instrText xml:space="preserve"> HYPERLINK \l _Toc24332 </w:instrText>
      </w:r>
      <w:r>
        <w:fldChar w:fldCharType="separate"/>
      </w:r>
      <w:r>
        <w:rPr>
          <w:rFonts w:ascii="Times New Roman" w:hAnsi="Times New Roman" w:cs="Times New Roman"/>
          <w:kern w:val="0"/>
          <w:szCs w:val="21"/>
        </w:rPr>
        <w:t>1.2目录</w:t>
      </w:r>
      <w:r>
        <w:tab/>
      </w:r>
      <w:r>
        <w:fldChar w:fldCharType="begin"/>
      </w:r>
      <w:r>
        <w:instrText xml:space="preserve"> PAGEREF _Toc24332 \h </w:instrText>
      </w:r>
      <w:r>
        <w:fldChar w:fldCharType="separate"/>
      </w:r>
      <w:r>
        <w:t>3</w:t>
      </w:r>
      <w:r>
        <w:fldChar w:fldCharType="end"/>
      </w:r>
      <w:r>
        <w:fldChar w:fldCharType="end"/>
      </w:r>
    </w:p>
    <w:p w14:paraId="27C7E600">
      <w:pPr>
        <w:pStyle w:val="27"/>
        <w:tabs>
          <w:tab w:val="right" w:leader="dot" w:pos="8312"/>
          <w:tab w:val="clear" w:pos="9072"/>
        </w:tabs>
      </w:pPr>
      <w:r>
        <w:fldChar w:fldCharType="begin"/>
      </w:r>
      <w:r>
        <w:instrText xml:space="preserve"> HYPERLINK \l _Toc28830 </w:instrText>
      </w:r>
      <w:r>
        <w:fldChar w:fldCharType="separate"/>
      </w:r>
      <w:r>
        <w:rPr>
          <w:kern w:val="0"/>
          <w:szCs w:val="21"/>
        </w:rPr>
        <w:t xml:space="preserve">§2  </w:t>
      </w:r>
      <w:r>
        <w:rPr>
          <w:rFonts w:hint="eastAsia"/>
          <w:kern w:val="0"/>
          <w:szCs w:val="21"/>
        </w:rPr>
        <w:t>不动产</w:t>
      </w:r>
      <w:r>
        <w:rPr>
          <w:kern w:val="0"/>
          <w:szCs w:val="21"/>
        </w:rPr>
        <w:t>基金简介</w:t>
      </w:r>
      <w:r>
        <w:tab/>
      </w:r>
      <w:r>
        <w:fldChar w:fldCharType="begin"/>
      </w:r>
      <w:r>
        <w:instrText xml:space="preserve"> PAGEREF _Toc28830 \h </w:instrText>
      </w:r>
      <w:r>
        <w:fldChar w:fldCharType="separate"/>
      </w:r>
      <w:r>
        <w:t>5</w:t>
      </w:r>
      <w:r>
        <w:fldChar w:fldCharType="end"/>
      </w:r>
      <w:r>
        <w:fldChar w:fldCharType="end"/>
      </w:r>
    </w:p>
    <w:p w14:paraId="1222AA59">
      <w:pPr>
        <w:pStyle w:val="33"/>
        <w:tabs>
          <w:tab w:val="right" w:leader="dot" w:pos="8312"/>
          <w:tab w:val="clear" w:pos="9072"/>
        </w:tabs>
      </w:pPr>
      <w:r>
        <w:fldChar w:fldCharType="begin"/>
      </w:r>
      <w:r>
        <w:instrText xml:space="preserve"> HYPERLINK \l _Toc27206 </w:instrText>
      </w:r>
      <w:r>
        <w:fldChar w:fldCharType="separate"/>
      </w:r>
      <w:r>
        <w:rPr>
          <w:rFonts w:ascii="Times New Roman" w:hAnsi="Times New Roman" w:cs="Times New Roman"/>
          <w:kern w:val="0"/>
          <w:szCs w:val="21"/>
        </w:rPr>
        <w:t xml:space="preserve">2.1 </w:t>
      </w:r>
      <w:r>
        <w:rPr>
          <w:rFonts w:hint="eastAsia" w:ascii="Times New Roman" w:hAnsi="Times New Roman" w:cs="Times New Roman"/>
          <w:kern w:val="0"/>
          <w:szCs w:val="21"/>
        </w:rPr>
        <w:t>不动产</w:t>
      </w:r>
      <w:r>
        <w:rPr>
          <w:rFonts w:ascii="Times New Roman" w:hAnsi="Times New Roman" w:cs="Times New Roman"/>
          <w:kern w:val="0"/>
          <w:szCs w:val="21"/>
        </w:rPr>
        <w:t>基金产品基本情况</w:t>
      </w:r>
      <w:r>
        <w:tab/>
      </w:r>
      <w:r>
        <w:fldChar w:fldCharType="begin"/>
      </w:r>
      <w:r>
        <w:instrText xml:space="preserve"> PAGEREF _Toc27206 \h </w:instrText>
      </w:r>
      <w:r>
        <w:fldChar w:fldCharType="separate"/>
      </w:r>
      <w:r>
        <w:t>5</w:t>
      </w:r>
      <w:r>
        <w:fldChar w:fldCharType="end"/>
      </w:r>
      <w:r>
        <w:fldChar w:fldCharType="end"/>
      </w:r>
    </w:p>
    <w:p w14:paraId="1DB910A8">
      <w:pPr>
        <w:pStyle w:val="33"/>
        <w:tabs>
          <w:tab w:val="right" w:leader="dot" w:pos="8312"/>
          <w:tab w:val="clear" w:pos="9072"/>
        </w:tabs>
      </w:pPr>
      <w:r>
        <w:fldChar w:fldCharType="begin"/>
      </w:r>
      <w:r>
        <w:instrText xml:space="preserve"> HYPERLINK \l _Toc17127 </w:instrText>
      </w:r>
      <w:r>
        <w:fldChar w:fldCharType="separate"/>
      </w:r>
      <w:r>
        <w:rPr>
          <w:rFonts w:ascii="Times New Roman" w:hAnsi="Times New Roman" w:cs="Times New Roman"/>
          <w:kern w:val="0"/>
          <w:szCs w:val="21"/>
        </w:rPr>
        <w:t xml:space="preserve">2.2 </w:t>
      </w:r>
      <w:r>
        <w:rPr>
          <w:rFonts w:hint="eastAsia" w:ascii="Times New Roman" w:hAnsi="Times New Roman" w:cs="Times New Roman"/>
          <w:kern w:val="0"/>
          <w:szCs w:val="21"/>
        </w:rPr>
        <w:t>不动产</w:t>
      </w:r>
      <w:r>
        <w:rPr>
          <w:rFonts w:ascii="Times New Roman" w:hAnsi="Times New Roman" w:cs="Times New Roman"/>
          <w:kern w:val="0"/>
          <w:szCs w:val="21"/>
        </w:rPr>
        <w:t>项目基本情况说明</w:t>
      </w:r>
      <w:r>
        <w:tab/>
      </w:r>
      <w:r>
        <w:fldChar w:fldCharType="begin"/>
      </w:r>
      <w:r>
        <w:instrText xml:space="preserve"> PAGEREF _Toc17127 \h </w:instrText>
      </w:r>
      <w:r>
        <w:fldChar w:fldCharType="separate"/>
      </w:r>
      <w:r>
        <w:t>8</w:t>
      </w:r>
      <w:r>
        <w:fldChar w:fldCharType="end"/>
      </w:r>
      <w:r>
        <w:fldChar w:fldCharType="end"/>
      </w:r>
    </w:p>
    <w:p w14:paraId="5F024C90">
      <w:pPr>
        <w:pStyle w:val="33"/>
        <w:tabs>
          <w:tab w:val="right" w:leader="dot" w:pos="8312"/>
          <w:tab w:val="clear" w:pos="9072"/>
        </w:tabs>
      </w:pPr>
      <w:r>
        <w:fldChar w:fldCharType="begin"/>
      </w:r>
      <w:r>
        <w:instrText xml:space="preserve"> HYPERLINK \l _Toc13862 </w:instrText>
      </w:r>
      <w:r>
        <w:fldChar w:fldCharType="separate"/>
      </w:r>
      <w:r>
        <w:rPr>
          <w:rFonts w:ascii="Times New Roman" w:hAnsi="Times New Roman" w:cs="Times New Roman"/>
          <w:kern w:val="0"/>
          <w:szCs w:val="21"/>
        </w:rPr>
        <w:t xml:space="preserve">2.3  </w:t>
      </w:r>
      <w:r>
        <w:rPr>
          <w:rFonts w:hint="eastAsia" w:ascii="Times New Roman" w:hAnsi="Times New Roman" w:cs="Times New Roman"/>
          <w:kern w:val="0"/>
          <w:szCs w:val="21"/>
        </w:rPr>
        <w:t>不动产</w:t>
      </w:r>
      <w:r>
        <w:rPr>
          <w:rFonts w:ascii="Times New Roman" w:hAnsi="Times New Roman" w:cs="Times New Roman"/>
          <w:kern w:val="0"/>
          <w:szCs w:val="21"/>
        </w:rPr>
        <w:t>基金扩募情况</w:t>
      </w:r>
      <w:r>
        <w:tab/>
      </w:r>
      <w:r>
        <w:fldChar w:fldCharType="begin"/>
      </w:r>
      <w:r>
        <w:instrText xml:space="preserve"> PAGEREF _Toc13862 \h </w:instrText>
      </w:r>
      <w:r>
        <w:fldChar w:fldCharType="separate"/>
      </w:r>
      <w:r>
        <w:t>9</w:t>
      </w:r>
      <w:r>
        <w:fldChar w:fldCharType="end"/>
      </w:r>
      <w:r>
        <w:fldChar w:fldCharType="end"/>
      </w:r>
    </w:p>
    <w:p w14:paraId="4C9C16E2">
      <w:pPr>
        <w:pStyle w:val="33"/>
        <w:tabs>
          <w:tab w:val="right" w:leader="dot" w:pos="8312"/>
          <w:tab w:val="clear" w:pos="9072"/>
        </w:tabs>
      </w:pPr>
      <w:r>
        <w:fldChar w:fldCharType="begin"/>
      </w:r>
      <w:r>
        <w:instrText xml:space="preserve"> HYPERLINK \l _Toc15162 </w:instrText>
      </w:r>
      <w:r>
        <w:fldChar w:fldCharType="separate"/>
      </w:r>
      <w:r>
        <w:rPr>
          <w:rFonts w:ascii="Times New Roman" w:hAnsi="Times New Roman" w:cs="Times New Roman"/>
          <w:kern w:val="0"/>
          <w:szCs w:val="21"/>
        </w:rPr>
        <w:t>2.4  基金管理人和运营管理机构</w:t>
      </w:r>
      <w:r>
        <w:tab/>
      </w:r>
      <w:r>
        <w:fldChar w:fldCharType="begin"/>
      </w:r>
      <w:r>
        <w:instrText xml:space="preserve"> PAGEREF _Toc15162 \h </w:instrText>
      </w:r>
      <w:r>
        <w:fldChar w:fldCharType="separate"/>
      </w:r>
      <w:r>
        <w:t>9</w:t>
      </w:r>
      <w:r>
        <w:fldChar w:fldCharType="end"/>
      </w:r>
      <w:r>
        <w:fldChar w:fldCharType="end"/>
      </w:r>
    </w:p>
    <w:p w14:paraId="36297F8E">
      <w:pPr>
        <w:pStyle w:val="33"/>
        <w:tabs>
          <w:tab w:val="right" w:leader="dot" w:pos="8312"/>
          <w:tab w:val="clear" w:pos="9072"/>
        </w:tabs>
      </w:pPr>
      <w:r>
        <w:fldChar w:fldCharType="begin"/>
      </w:r>
      <w:r>
        <w:instrText xml:space="preserve"> HYPERLINK \l _Toc19708 </w:instrText>
      </w:r>
      <w:r>
        <w:fldChar w:fldCharType="separate"/>
      </w:r>
      <w:r>
        <w:rPr>
          <w:rFonts w:ascii="Times New Roman" w:hAnsi="Times New Roman" w:cs="Times New Roman"/>
          <w:kern w:val="0"/>
          <w:szCs w:val="21"/>
        </w:rPr>
        <w:t>2.5  基金托管人、资产支持证券管理人、资产支持证券托管人</w:t>
      </w:r>
      <w:r>
        <w:tab/>
      </w:r>
      <w:r>
        <w:fldChar w:fldCharType="begin"/>
      </w:r>
      <w:r>
        <w:instrText xml:space="preserve"> PAGEREF _Toc19708 \h </w:instrText>
      </w:r>
      <w:r>
        <w:fldChar w:fldCharType="separate"/>
      </w:r>
      <w:r>
        <w:t>10</w:t>
      </w:r>
      <w:r>
        <w:fldChar w:fldCharType="end"/>
      </w:r>
      <w:r>
        <w:fldChar w:fldCharType="end"/>
      </w:r>
    </w:p>
    <w:p w14:paraId="16F2E1C9">
      <w:pPr>
        <w:pStyle w:val="33"/>
        <w:tabs>
          <w:tab w:val="right" w:leader="dot" w:pos="8312"/>
          <w:tab w:val="clear" w:pos="9072"/>
        </w:tabs>
      </w:pPr>
      <w:r>
        <w:fldChar w:fldCharType="begin"/>
      </w:r>
      <w:r>
        <w:instrText xml:space="preserve"> HYPERLINK \l _Toc15466 </w:instrText>
      </w:r>
      <w:r>
        <w:fldChar w:fldCharType="separate"/>
      </w:r>
      <w:r>
        <w:rPr>
          <w:rFonts w:ascii="Times New Roman" w:hAnsi="Times New Roman" w:cs="Times New Roman"/>
          <w:kern w:val="0"/>
          <w:szCs w:val="21"/>
        </w:rPr>
        <w:t>2.6  会计师事务所、资产评估机构、律师事务所、财务顾问等专业机构</w:t>
      </w:r>
      <w:r>
        <w:tab/>
      </w:r>
      <w:r>
        <w:fldChar w:fldCharType="begin"/>
      </w:r>
      <w:r>
        <w:instrText xml:space="preserve"> PAGEREF _Toc15466 \h </w:instrText>
      </w:r>
      <w:r>
        <w:fldChar w:fldCharType="separate"/>
      </w:r>
      <w:r>
        <w:t>10</w:t>
      </w:r>
      <w:r>
        <w:fldChar w:fldCharType="end"/>
      </w:r>
      <w:r>
        <w:fldChar w:fldCharType="end"/>
      </w:r>
    </w:p>
    <w:p w14:paraId="7915D4D5">
      <w:pPr>
        <w:pStyle w:val="33"/>
        <w:tabs>
          <w:tab w:val="right" w:leader="dot" w:pos="8312"/>
          <w:tab w:val="clear" w:pos="9072"/>
        </w:tabs>
      </w:pPr>
      <w:r>
        <w:fldChar w:fldCharType="begin"/>
      </w:r>
      <w:r>
        <w:instrText xml:space="preserve"> HYPERLINK \l _Toc10478 </w:instrText>
      </w:r>
      <w:r>
        <w:fldChar w:fldCharType="separate"/>
      </w:r>
      <w:r>
        <w:rPr>
          <w:rFonts w:ascii="Times New Roman" w:hAnsi="Times New Roman" w:cs="Times New Roman"/>
          <w:kern w:val="0"/>
          <w:szCs w:val="21"/>
        </w:rPr>
        <w:t>2.7  信息披露方式</w:t>
      </w:r>
      <w:r>
        <w:tab/>
      </w:r>
      <w:r>
        <w:fldChar w:fldCharType="begin"/>
      </w:r>
      <w:r>
        <w:instrText xml:space="preserve"> PAGEREF _Toc10478 \h </w:instrText>
      </w:r>
      <w:r>
        <w:fldChar w:fldCharType="separate"/>
      </w:r>
      <w:r>
        <w:t>10</w:t>
      </w:r>
      <w:r>
        <w:fldChar w:fldCharType="end"/>
      </w:r>
      <w:r>
        <w:fldChar w:fldCharType="end"/>
      </w:r>
    </w:p>
    <w:p w14:paraId="623F0E08">
      <w:pPr>
        <w:pStyle w:val="27"/>
        <w:tabs>
          <w:tab w:val="right" w:leader="dot" w:pos="8312"/>
          <w:tab w:val="clear" w:pos="9072"/>
        </w:tabs>
      </w:pPr>
      <w:r>
        <w:fldChar w:fldCharType="begin"/>
      </w:r>
      <w:r>
        <w:instrText xml:space="preserve"> HYPERLINK \l _Toc30755 </w:instrText>
      </w:r>
      <w:r>
        <w:fldChar w:fldCharType="separate"/>
      </w:r>
      <w:r>
        <w:rPr>
          <w:kern w:val="0"/>
          <w:szCs w:val="21"/>
        </w:rPr>
        <w:t>§3 主要财务指标和</w:t>
      </w:r>
      <w:r>
        <w:rPr>
          <w:rFonts w:hint="eastAsia"/>
          <w:kern w:val="0"/>
          <w:szCs w:val="21"/>
        </w:rPr>
        <w:t>不动产</w:t>
      </w:r>
      <w:r>
        <w:rPr>
          <w:kern w:val="0"/>
          <w:szCs w:val="21"/>
        </w:rPr>
        <w:t>基金运作情况</w:t>
      </w:r>
      <w:r>
        <w:tab/>
      </w:r>
      <w:r>
        <w:fldChar w:fldCharType="begin"/>
      </w:r>
      <w:r>
        <w:instrText xml:space="preserve"> PAGEREF _Toc30755 \h </w:instrText>
      </w:r>
      <w:r>
        <w:fldChar w:fldCharType="separate"/>
      </w:r>
      <w:r>
        <w:t>11</w:t>
      </w:r>
      <w:r>
        <w:fldChar w:fldCharType="end"/>
      </w:r>
      <w:r>
        <w:fldChar w:fldCharType="end"/>
      </w:r>
    </w:p>
    <w:p w14:paraId="654ACCF0">
      <w:pPr>
        <w:pStyle w:val="33"/>
        <w:tabs>
          <w:tab w:val="right" w:leader="dot" w:pos="8312"/>
          <w:tab w:val="clear" w:pos="9072"/>
        </w:tabs>
      </w:pPr>
      <w:r>
        <w:fldChar w:fldCharType="begin"/>
      </w:r>
      <w:r>
        <w:instrText xml:space="preserve"> HYPERLINK \l _Toc15537 </w:instrText>
      </w:r>
      <w:r>
        <w:fldChar w:fldCharType="separate"/>
      </w:r>
      <w:r>
        <w:rPr>
          <w:rFonts w:ascii="Times New Roman" w:hAnsi="Times New Roman" w:cs="Times New Roman"/>
          <w:kern w:val="0"/>
          <w:szCs w:val="21"/>
        </w:rPr>
        <w:t>3.1 主要会计数据和财务指标</w:t>
      </w:r>
      <w:r>
        <w:tab/>
      </w:r>
      <w:r>
        <w:fldChar w:fldCharType="begin"/>
      </w:r>
      <w:r>
        <w:instrText xml:space="preserve"> PAGEREF _Toc15537 \h </w:instrText>
      </w:r>
      <w:r>
        <w:fldChar w:fldCharType="separate"/>
      </w:r>
      <w:r>
        <w:t>11</w:t>
      </w:r>
      <w:r>
        <w:fldChar w:fldCharType="end"/>
      </w:r>
      <w:r>
        <w:fldChar w:fldCharType="end"/>
      </w:r>
    </w:p>
    <w:p w14:paraId="0F218479">
      <w:pPr>
        <w:pStyle w:val="33"/>
        <w:tabs>
          <w:tab w:val="right" w:leader="dot" w:pos="8312"/>
          <w:tab w:val="clear" w:pos="9072"/>
        </w:tabs>
      </w:pPr>
      <w:r>
        <w:fldChar w:fldCharType="begin"/>
      </w:r>
      <w:r>
        <w:instrText xml:space="preserve"> HYPERLINK \l _Toc18229 </w:instrText>
      </w:r>
      <w:r>
        <w:fldChar w:fldCharType="separate"/>
      </w:r>
      <w:r>
        <w:rPr>
          <w:rFonts w:ascii="Times New Roman" w:hAnsi="Times New Roman" w:cs="Times New Roman"/>
          <w:kern w:val="0"/>
          <w:szCs w:val="21"/>
        </w:rPr>
        <w:t>3.2 其他财务指标</w:t>
      </w:r>
      <w:r>
        <w:tab/>
      </w:r>
      <w:r>
        <w:fldChar w:fldCharType="begin"/>
      </w:r>
      <w:r>
        <w:instrText xml:space="preserve"> PAGEREF _Toc18229 \h </w:instrText>
      </w:r>
      <w:r>
        <w:fldChar w:fldCharType="separate"/>
      </w:r>
      <w:r>
        <w:t>11</w:t>
      </w:r>
      <w:r>
        <w:fldChar w:fldCharType="end"/>
      </w:r>
      <w:r>
        <w:fldChar w:fldCharType="end"/>
      </w:r>
    </w:p>
    <w:p w14:paraId="74061A5D">
      <w:pPr>
        <w:pStyle w:val="33"/>
        <w:tabs>
          <w:tab w:val="right" w:leader="dot" w:pos="8312"/>
          <w:tab w:val="clear" w:pos="9072"/>
        </w:tabs>
      </w:pPr>
      <w:r>
        <w:fldChar w:fldCharType="begin"/>
      </w:r>
      <w:r>
        <w:instrText xml:space="preserve"> HYPERLINK \l _Toc4883 </w:instrText>
      </w:r>
      <w:r>
        <w:fldChar w:fldCharType="separate"/>
      </w:r>
      <w:r>
        <w:rPr>
          <w:rFonts w:ascii="Times New Roman" w:hAnsi="Times New Roman" w:cs="Times New Roman"/>
          <w:kern w:val="0"/>
          <w:szCs w:val="21"/>
        </w:rPr>
        <w:t xml:space="preserve">3.3 </w:t>
      </w:r>
      <w:r>
        <w:rPr>
          <w:rFonts w:hint="eastAsia" w:ascii="Times New Roman" w:hAnsi="Times New Roman" w:cs="Times New Roman"/>
          <w:kern w:val="0"/>
          <w:szCs w:val="21"/>
        </w:rPr>
        <w:t>不动产</w:t>
      </w:r>
      <w:r>
        <w:rPr>
          <w:rFonts w:ascii="Times New Roman" w:hAnsi="Times New Roman" w:cs="Times New Roman"/>
          <w:kern w:val="0"/>
          <w:szCs w:val="21"/>
        </w:rPr>
        <w:t>基金收益分配情况</w:t>
      </w:r>
      <w:r>
        <w:tab/>
      </w:r>
      <w:r>
        <w:fldChar w:fldCharType="begin"/>
      </w:r>
      <w:r>
        <w:instrText xml:space="preserve"> PAGEREF _Toc4883 \h </w:instrText>
      </w:r>
      <w:r>
        <w:fldChar w:fldCharType="separate"/>
      </w:r>
      <w:r>
        <w:t>11</w:t>
      </w:r>
      <w:r>
        <w:fldChar w:fldCharType="end"/>
      </w:r>
      <w:r>
        <w:fldChar w:fldCharType="end"/>
      </w:r>
    </w:p>
    <w:p w14:paraId="7954DE89">
      <w:pPr>
        <w:pStyle w:val="33"/>
        <w:tabs>
          <w:tab w:val="right" w:leader="dot" w:pos="8312"/>
          <w:tab w:val="clear" w:pos="9072"/>
        </w:tabs>
      </w:pPr>
      <w:r>
        <w:fldChar w:fldCharType="begin"/>
      </w:r>
      <w:r>
        <w:instrText xml:space="preserve"> HYPERLINK \l _Toc20839 </w:instrText>
      </w:r>
      <w:r>
        <w:fldChar w:fldCharType="separate"/>
      </w:r>
      <w:r>
        <w:rPr>
          <w:rFonts w:ascii="Times New Roman" w:hAnsi="Times New Roman" w:cs="Times New Roman"/>
          <w:kern w:val="0"/>
          <w:szCs w:val="21"/>
        </w:rPr>
        <w:t>3.4  报告期内</w:t>
      </w:r>
      <w:r>
        <w:rPr>
          <w:rFonts w:hint="eastAsia" w:ascii="Times New Roman" w:hAnsi="Times New Roman" w:cs="Times New Roman"/>
          <w:kern w:val="0"/>
          <w:szCs w:val="21"/>
        </w:rPr>
        <w:t>不动产</w:t>
      </w:r>
      <w:r>
        <w:rPr>
          <w:rFonts w:ascii="Times New Roman" w:hAnsi="Times New Roman" w:cs="Times New Roman"/>
          <w:kern w:val="0"/>
          <w:szCs w:val="21"/>
        </w:rPr>
        <w:t>基金费用收取情况的说明</w:t>
      </w:r>
      <w:r>
        <w:tab/>
      </w:r>
      <w:r>
        <w:fldChar w:fldCharType="begin"/>
      </w:r>
      <w:r>
        <w:instrText xml:space="preserve"> PAGEREF _Toc20839 \h </w:instrText>
      </w:r>
      <w:r>
        <w:fldChar w:fldCharType="separate"/>
      </w:r>
      <w:r>
        <w:t>13</w:t>
      </w:r>
      <w:r>
        <w:fldChar w:fldCharType="end"/>
      </w:r>
      <w:r>
        <w:fldChar w:fldCharType="end"/>
      </w:r>
    </w:p>
    <w:p w14:paraId="5D4A2EF5">
      <w:pPr>
        <w:pStyle w:val="33"/>
        <w:tabs>
          <w:tab w:val="right" w:leader="dot" w:pos="8312"/>
          <w:tab w:val="clear" w:pos="9072"/>
        </w:tabs>
      </w:pPr>
      <w:r>
        <w:fldChar w:fldCharType="begin"/>
      </w:r>
      <w:r>
        <w:instrText xml:space="preserve"> HYPERLINK \l _Toc17425 </w:instrText>
      </w:r>
      <w:r>
        <w:fldChar w:fldCharType="separate"/>
      </w:r>
      <w:r>
        <w:rPr>
          <w:rFonts w:ascii="Times New Roman" w:hAnsi="Times New Roman" w:cs="Times New Roman"/>
          <w:kern w:val="0"/>
          <w:szCs w:val="21"/>
        </w:rPr>
        <w:t>3.5  报告期内进行</w:t>
      </w:r>
      <w:r>
        <w:rPr>
          <w:rFonts w:hint="eastAsia" w:ascii="Times New Roman" w:hAnsi="Times New Roman" w:cs="Times New Roman"/>
          <w:kern w:val="0"/>
          <w:szCs w:val="21"/>
        </w:rPr>
        <w:t>不动产</w:t>
      </w:r>
      <w:r>
        <w:rPr>
          <w:rFonts w:ascii="Times New Roman" w:hAnsi="Times New Roman" w:cs="Times New Roman"/>
          <w:kern w:val="0"/>
          <w:szCs w:val="21"/>
        </w:rPr>
        <w:t>项目重大改造或者扩建的情况</w:t>
      </w:r>
      <w:r>
        <w:tab/>
      </w:r>
      <w:r>
        <w:fldChar w:fldCharType="begin"/>
      </w:r>
      <w:r>
        <w:instrText xml:space="preserve"> PAGEREF _Toc17425 \h </w:instrText>
      </w:r>
      <w:r>
        <w:fldChar w:fldCharType="separate"/>
      </w:r>
      <w:r>
        <w:t>13</w:t>
      </w:r>
      <w:r>
        <w:fldChar w:fldCharType="end"/>
      </w:r>
      <w:r>
        <w:fldChar w:fldCharType="end"/>
      </w:r>
    </w:p>
    <w:p w14:paraId="59A11E33">
      <w:pPr>
        <w:pStyle w:val="33"/>
        <w:tabs>
          <w:tab w:val="right" w:leader="dot" w:pos="8312"/>
          <w:tab w:val="clear" w:pos="9072"/>
        </w:tabs>
      </w:pPr>
      <w:r>
        <w:fldChar w:fldCharType="begin"/>
      </w:r>
      <w:r>
        <w:instrText xml:space="preserve"> HYPERLINK \l _Toc26834 </w:instrText>
      </w:r>
      <w:r>
        <w:fldChar w:fldCharType="separate"/>
      </w:r>
      <w:r>
        <w:rPr>
          <w:rFonts w:ascii="Times New Roman" w:hAnsi="Times New Roman" w:cs="Times New Roman"/>
          <w:kern w:val="0"/>
          <w:szCs w:val="21"/>
        </w:rPr>
        <w:t>3.6  报告期内完成</w:t>
      </w:r>
      <w:r>
        <w:rPr>
          <w:rFonts w:hint="eastAsia" w:ascii="Times New Roman" w:hAnsi="Times New Roman" w:cs="Times New Roman"/>
          <w:kern w:val="0"/>
          <w:szCs w:val="21"/>
        </w:rPr>
        <w:t>不动产</w:t>
      </w:r>
      <w:r>
        <w:rPr>
          <w:rFonts w:ascii="Times New Roman" w:hAnsi="Times New Roman" w:cs="Times New Roman"/>
          <w:kern w:val="0"/>
          <w:szCs w:val="21"/>
        </w:rPr>
        <w:t>基金购入、出售</w:t>
      </w:r>
      <w:r>
        <w:rPr>
          <w:rFonts w:hint="eastAsia" w:ascii="Times New Roman" w:hAnsi="Times New Roman" w:cs="Times New Roman"/>
          <w:kern w:val="0"/>
          <w:szCs w:val="21"/>
        </w:rPr>
        <w:t>不动产</w:t>
      </w:r>
      <w:r>
        <w:rPr>
          <w:rFonts w:ascii="Times New Roman" w:hAnsi="Times New Roman" w:cs="Times New Roman"/>
          <w:kern w:val="0"/>
          <w:szCs w:val="21"/>
        </w:rPr>
        <w:t>项目交割审计的情况</w:t>
      </w:r>
      <w:r>
        <w:tab/>
      </w:r>
      <w:r>
        <w:fldChar w:fldCharType="begin"/>
      </w:r>
      <w:r>
        <w:instrText xml:space="preserve"> PAGEREF _Toc26834 \h </w:instrText>
      </w:r>
      <w:r>
        <w:fldChar w:fldCharType="separate"/>
      </w:r>
      <w:r>
        <w:t>14</w:t>
      </w:r>
      <w:r>
        <w:fldChar w:fldCharType="end"/>
      </w:r>
      <w:r>
        <w:fldChar w:fldCharType="end"/>
      </w:r>
    </w:p>
    <w:p w14:paraId="1F5387E8">
      <w:pPr>
        <w:pStyle w:val="33"/>
        <w:tabs>
          <w:tab w:val="right" w:leader="dot" w:pos="8312"/>
          <w:tab w:val="clear" w:pos="9072"/>
        </w:tabs>
      </w:pPr>
      <w:r>
        <w:fldChar w:fldCharType="begin"/>
      </w:r>
      <w:r>
        <w:instrText xml:space="preserve"> HYPERLINK \l _Toc13121 </w:instrText>
      </w:r>
      <w:r>
        <w:fldChar w:fldCharType="separate"/>
      </w:r>
      <w:r>
        <w:rPr>
          <w:rFonts w:ascii="Times New Roman" w:hAnsi="Times New Roman" w:cs="Times New Roman"/>
          <w:kern w:val="0"/>
          <w:szCs w:val="21"/>
        </w:rPr>
        <w:t>3.7  报告期内发生的关联交易</w:t>
      </w:r>
      <w:r>
        <w:tab/>
      </w:r>
      <w:r>
        <w:fldChar w:fldCharType="begin"/>
      </w:r>
      <w:r>
        <w:instrText xml:space="preserve"> PAGEREF _Toc13121 \h </w:instrText>
      </w:r>
      <w:r>
        <w:fldChar w:fldCharType="separate"/>
      </w:r>
      <w:r>
        <w:t>14</w:t>
      </w:r>
      <w:r>
        <w:fldChar w:fldCharType="end"/>
      </w:r>
      <w:r>
        <w:fldChar w:fldCharType="end"/>
      </w:r>
    </w:p>
    <w:p w14:paraId="44D1B301">
      <w:pPr>
        <w:pStyle w:val="33"/>
        <w:tabs>
          <w:tab w:val="right" w:leader="dot" w:pos="8312"/>
          <w:tab w:val="clear" w:pos="9072"/>
        </w:tabs>
      </w:pPr>
      <w:r>
        <w:fldChar w:fldCharType="begin"/>
      </w:r>
      <w:r>
        <w:instrText xml:space="preserve"> HYPERLINK \l _Toc23821 </w:instrText>
      </w:r>
      <w:r>
        <w:fldChar w:fldCharType="separate"/>
      </w:r>
      <w:r>
        <w:rPr>
          <w:rFonts w:ascii="Times New Roman" w:hAnsi="Times New Roman" w:cs="Times New Roman"/>
          <w:kern w:val="0"/>
          <w:szCs w:val="21"/>
        </w:rPr>
        <w:t>3.8  报告期内与</w:t>
      </w:r>
      <w:r>
        <w:rPr>
          <w:rFonts w:hint="eastAsia" w:ascii="Times New Roman" w:hAnsi="Times New Roman" w:cs="Times New Roman"/>
          <w:kern w:val="0"/>
          <w:szCs w:val="21"/>
        </w:rPr>
        <w:t>不动产</w:t>
      </w:r>
      <w:r>
        <w:rPr>
          <w:rFonts w:ascii="Times New Roman" w:hAnsi="Times New Roman" w:cs="Times New Roman"/>
          <w:kern w:val="0"/>
          <w:szCs w:val="21"/>
        </w:rPr>
        <w:t>项目相关的资产减值计提情况</w:t>
      </w:r>
      <w:r>
        <w:tab/>
      </w:r>
      <w:r>
        <w:fldChar w:fldCharType="begin"/>
      </w:r>
      <w:r>
        <w:instrText xml:space="preserve"> PAGEREF _Toc23821 \h </w:instrText>
      </w:r>
      <w:r>
        <w:fldChar w:fldCharType="separate"/>
      </w:r>
      <w:r>
        <w:t>14</w:t>
      </w:r>
      <w:r>
        <w:fldChar w:fldCharType="end"/>
      </w:r>
      <w:r>
        <w:fldChar w:fldCharType="end"/>
      </w:r>
    </w:p>
    <w:p w14:paraId="5640456E">
      <w:pPr>
        <w:pStyle w:val="33"/>
        <w:tabs>
          <w:tab w:val="right" w:leader="dot" w:pos="8312"/>
          <w:tab w:val="clear" w:pos="9072"/>
        </w:tabs>
      </w:pPr>
      <w:r>
        <w:fldChar w:fldCharType="begin"/>
      </w:r>
      <w:r>
        <w:instrText xml:space="preserve"> HYPERLINK \l _Toc27348 </w:instrText>
      </w:r>
      <w:r>
        <w:fldChar w:fldCharType="separate"/>
      </w:r>
      <w:r>
        <w:rPr>
          <w:rFonts w:ascii="Times New Roman" w:hAnsi="Times New Roman" w:cs="Times New Roman"/>
          <w:kern w:val="0"/>
          <w:szCs w:val="21"/>
        </w:rPr>
        <w:t>3.9  报告期内其他</w:t>
      </w:r>
      <w:r>
        <w:rPr>
          <w:rFonts w:hint="eastAsia" w:ascii="Times New Roman" w:hAnsi="Times New Roman" w:cs="Times New Roman"/>
          <w:kern w:val="0"/>
          <w:szCs w:val="21"/>
        </w:rPr>
        <w:t>不动产</w:t>
      </w:r>
      <w:r>
        <w:rPr>
          <w:rFonts w:ascii="Times New Roman" w:hAnsi="Times New Roman" w:cs="Times New Roman"/>
          <w:kern w:val="0"/>
          <w:szCs w:val="21"/>
        </w:rPr>
        <w:t>基金资产减值计提情况</w:t>
      </w:r>
      <w:r>
        <w:tab/>
      </w:r>
      <w:r>
        <w:fldChar w:fldCharType="begin"/>
      </w:r>
      <w:r>
        <w:instrText xml:space="preserve"> PAGEREF _Toc27348 \h </w:instrText>
      </w:r>
      <w:r>
        <w:fldChar w:fldCharType="separate"/>
      </w:r>
      <w:r>
        <w:t>14</w:t>
      </w:r>
      <w:r>
        <w:fldChar w:fldCharType="end"/>
      </w:r>
      <w:r>
        <w:fldChar w:fldCharType="end"/>
      </w:r>
    </w:p>
    <w:p w14:paraId="4A73B368">
      <w:pPr>
        <w:pStyle w:val="33"/>
        <w:tabs>
          <w:tab w:val="right" w:leader="dot" w:pos="8312"/>
          <w:tab w:val="clear" w:pos="9072"/>
        </w:tabs>
      </w:pPr>
      <w:r>
        <w:fldChar w:fldCharType="begin"/>
      </w:r>
      <w:r>
        <w:instrText xml:space="preserve"> HYPERLINK \l _Toc27820 </w:instrText>
      </w:r>
      <w:r>
        <w:fldChar w:fldCharType="separate"/>
      </w:r>
      <w:r>
        <w:rPr>
          <w:rFonts w:ascii="Times New Roman" w:hAnsi="Times New Roman" w:cs="Times New Roman"/>
          <w:kern w:val="0"/>
          <w:szCs w:val="21"/>
        </w:rPr>
        <w:t>3.10  报告期内</w:t>
      </w:r>
      <w:r>
        <w:rPr>
          <w:rFonts w:hint="eastAsia" w:ascii="Times New Roman" w:hAnsi="Times New Roman" w:cs="Times New Roman"/>
          <w:kern w:val="0"/>
          <w:szCs w:val="21"/>
        </w:rPr>
        <w:t>不动产</w:t>
      </w:r>
      <w:r>
        <w:rPr>
          <w:rFonts w:ascii="Times New Roman" w:hAnsi="Times New Roman" w:cs="Times New Roman"/>
          <w:kern w:val="0"/>
          <w:szCs w:val="21"/>
        </w:rPr>
        <w:t>基金业务参与人作出承诺及承诺履行相关情况</w:t>
      </w:r>
      <w:r>
        <w:tab/>
      </w:r>
      <w:r>
        <w:fldChar w:fldCharType="begin"/>
      </w:r>
      <w:r>
        <w:instrText xml:space="preserve"> PAGEREF _Toc27820 \h </w:instrText>
      </w:r>
      <w:r>
        <w:fldChar w:fldCharType="separate"/>
      </w:r>
      <w:r>
        <w:t>14</w:t>
      </w:r>
      <w:r>
        <w:fldChar w:fldCharType="end"/>
      </w:r>
      <w:r>
        <w:fldChar w:fldCharType="end"/>
      </w:r>
    </w:p>
    <w:p w14:paraId="50E75D87">
      <w:pPr>
        <w:pStyle w:val="27"/>
        <w:tabs>
          <w:tab w:val="right" w:leader="dot" w:pos="8312"/>
          <w:tab w:val="clear" w:pos="9072"/>
        </w:tabs>
      </w:pPr>
      <w:r>
        <w:fldChar w:fldCharType="begin"/>
      </w:r>
      <w:r>
        <w:instrText xml:space="preserve"> HYPERLINK \l _Toc16266 </w:instrText>
      </w:r>
      <w:r>
        <w:fldChar w:fldCharType="separate"/>
      </w:r>
      <w:r>
        <w:rPr>
          <w:kern w:val="0"/>
          <w:szCs w:val="21"/>
        </w:rPr>
        <w:t xml:space="preserve">§4  </w:t>
      </w:r>
      <w:r>
        <w:rPr>
          <w:rFonts w:hint="eastAsia"/>
          <w:kern w:val="0"/>
          <w:szCs w:val="21"/>
        </w:rPr>
        <w:t>不动产</w:t>
      </w:r>
      <w:r>
        <w:rPr>
          <w:kern w:val="0"/>
          <w:szCs w:val="21"/>
        </w:rPr>
        <w:t>项目基本情况</w:t>
      </w:r>
      <w:r>
        <w:tab/>
      </w:r>
      <w:r>
        <w:fldChar w:fldCharType="begin"/>
      </w:r>
      <w:r>
        <w:instrText xml:space="preserve"> PAGEREF _Toc16266 \h </w:instrText>
      </w:r>
      <w:r>
        <w:fldChar w:fldCharType="separate"/>
      </w:r>
      <w:r>
        <w:t>15</w:t>
      </w:r>
      <w:r>
        <w:fldChar w:fldCharType="end"/>
      </w:r>
      <w:r>
        <w:fldChar w:fldCharType="end"/>
      </w:r>
    </w:p>
    <w:p w14:paraId="238986C5">
      <w:pPr>
        <w:pStyle w:val="33"/>
        <w:tabs>
          <w:tab w:val="right" w:leader="dot" w:pos="8312"/>
          <w:tab w:val="clear" w:pos="9072"/>
        </w:tabs>
      </w:pPr>
      <w:r>
        <w:fldChar w:fldCharType="begin"/>
      </w:r>
      <w:r>
        <w:instrText xml:space="preserve"> HYPERLINK \l _Toc28653 </w:instrText>
      </w:r>
      <w:r>
        <w:fldChar w:fldCharType="separate"/>
      </w:r>
      <w:r>
        <w:rPr>
          <w:rFonts w:ascii="Times New Roman" w:hAnsi="Times New Roman" w:cs="Times New Roman"/>
          <w:kern w:val="0"/>
          <w:szCs w:val="21"/>
        </w:rPr>
        <w:t>4.1  报告期内</w:t>
      </w:r>
      <w:r>
        <w:rPr>
          <w:rFonts w:hint="eastAsia" w:ascii="Times New Roman" w:hAnsi="Times New Roman" w:cs="Times New Roman"/>
          <w:kern w:val="0"/>
          <w:szCs w:val="21"/>
        </w:rPr>
        <w:t>不动产</w:t>
      </w:r>
      <w:r>
        <w:rPr>
          <w:rFonts w:ascii="Times New Roman" w:hAnsi="Times New Roman" w:cs="Times New Roman"/>
          <w:kern w:val="0"/>
          <w:szCs w:val="21"/>
        </w:rPr>
        <w:t>项目的运营情况</w:t>
      </w:r>
      <w:r>
        <w:tab/>
      </w:r>
      <w:r>
        <w:fldChar w:fldCharType="begin"/>
      </w:r>
      <w:r>
        <w:instrText xml:space="preserve"> PAGEREF _Toc28653 \h </w:instrText>
      </w:r>
      <w:r>
        <w:fldChar w:fldCharType="separate"/>
      </w:r>
      <w:r>
        <w:t>15</w:t>
      </w:r>
      <w:r>
        <w:fldChar w:fldCharType="end"/>
      </w:r>
      <w:r>
        <w:fldChar w:fldCharType="end"/>
      </w:r>
    </w:p>
    <w:p w14:paraId="1DFA46BD">
      <w:pPr>
        <w:pStyle w:val="33"/>
        <w:tabs>
          <w:tab w:val="right" w:leader="dot" w:pos="8312"/>
          <w:tab w:val="clear" w:pos="9072"/>
        </w:tabs>
      </w:pPr>
      <w:r>
        <w:fldChar w:fldCharType="begin"/>
      </w:r>
      <w:r>
        <w:instrText xml:space="preserve"> HYPERLINK \l _Toc3392 </w:instrText>
      </w:r>
      <w:r>
        <w:fldChar w:fldCharType="separate"/>
      </w:r>
      <w:r>
        <w:rPr>
          <w:rFonts w:ascii="Times New Roman" w:hAnsi="Times New Roman" w:cs="Times New Roman"/>
          <w:kern w:val="0"/>
          <w:szCs w:val="21"/>
        </w:rPr>
        <w:t xml:space="preserve">4.2  </w:t>
      </w:r>
      <w:r>
        <w:rPr>
          <w:rFonts w:hint="eastAsia" w:ascii="Times New Roman" w:hAnsi="Times New Roman" w:cs="Times New Roman"/>
          <w:kern w:val="0"/>
          <w:szCs w:val="21"/>
        </w:rPr>
        <w:t>不动产</w:t>
      </w:r>
      <w:r>
        <w:rPr>
          <w:rFonts w:ascii="Times New Roman" w:hAnsi="Times New Roman" w:cs="Times New Roman"/>
          <w:kern w:val="0"/>
          <w:szCs w:val="21"/>
        </w:rPr>
        <w:t>项目所属行业情况</w:t>
      </w:r>
      <w:r>
        <w:tab/>
      </w:r>
      <w:r>
        <w:fldChar w:fldCharType="begin"/>
      </w:r>
      <w:r>
        <w:instrText xml:space="preserve"> PAGEREF _Toc3392 \h </w:instrText>
      </w:r>
      <w:r>
        <w:fldChar w:fldCharType="separate"/>
      </w:r>
      <w:r>
        <w:t>19</w:t>
      </w:r>
      <w:r>
        <w:fldChar w:fldCharType="end"/>
      </w:r>
      <w:r>
        <w:fldChar w:fldCharType="end"/>
      </w:r>
    </w:p>
    <w:p w14:paraId="2FE30D98">
      <w:pPr>
        <w:pStyle w:val="33"/>
        <w:tabs>
          <w:tab w:val="right" w:leader="dot" w:pos="8312"/>
          <w:tab w:val="clear" w:pos="9072"/>
        </w:tabs>
      </w:pPr>
      <w:r>
        <w:fldChar w:fldCharType="begin"/>
      </w:r>
      <w:r>
        <w:instrText xml:space="preserve"> HYPERLINK \l _Toc28031 </w:instrText>
      </w:r>
      <w:r>
        <w:fldChar w:fldCharType="separate"/>
      </w:r>
      <w:r>
        <w:rPr>
          <w:rFonts w:ascii="Times New Roman" w:hAnsi="Times New Roman" w:cs="Times New Roman"/>
          <w:kern w:val="0"/>
          <w:szCs w:val="21"/>
        </w:rPr>
        <w:t xml:space="preserve">4.3  </w:t>
      </w:r>
      <w:r>
        <w:rPr>
          <w:rFonts w:hint="eastAsia" w:ascii="Times New Roman" w:hAnsi="Times New Roman" w:cs="Times New Roman"/>
          <w:kern w:val="0"/>
          <w:szCs w:val="21"/>
        </w:rPr>
        <w:t>不动产</w:t>
      </w:r>
      <w:r>
        <w:rPr>
          <w:rFonts w:ascii="Times New Roman" w:hAnsi="Times New Roman" w:cs="Times New Roman"/>
          <w:kern w:val="0"/>
          <w:szCs w:val="21"/>
        </w:rPr>
        <w:t>项目运营相关财务信息</w:t>
      </w:r>
      <w:r>
        <w:tab/>
      </w:r>
      <w:r>
        <w:fldChar w:fldCharType="begin"/>
      </w:r>
      <w:r>
        <w:instrText xml:space="preserve"> PAGEREF _Toc28031 \h </w:instrText>
      </w:r>
      <w:r>
        <w:fldChar w:fldCharType="separate"/>
      </w:r>
      <w:r>
        <w:t>26</w:t>
      </w:r>
      <w:r>
        <w:fldChar w:fldCharType="end"/>
      </w:r>
      <w:r>
        <w:fldChar w:fldCharType="end"/>
      </w:r>
    </w:p>
    <w:p w14:paraId="7C50DAC8">
      <w:pPr>
        <w:pStyle w:val="33"/>
        <w:tabs>
          <w:tab w:val="right" w:leader="dot" w:pos="8312"/>
          <w:tab w:val="clear" w:pos="9072"/>
        </w:tabs>
      </w:pPr>
      <w:r>
        <w:fldChar w:fldCharType="begin"/>
      </w:r>
      <w:r>
        <w:instrText xml:space="preserve"> HYPERLINK \l _Toc6410 </w:instrText>
      </w:r>
      <w:r>
        <w:fldChar w:fldCharType="separate"/>
      </w:r>
      <w:r>
        <w:rPr>
          <w:rFonts w:ascii="Times New Roman" w:hAnsi="Times New Roman" w:cs="Times New Roman"/>
          <w:kern w:val="0"/>
          <w:szCs w:val="21"/>
        </w:rPr>
        <w:t>4.4 项目公司经营现金流</w:t>
      </w:r>
      <w:r>
        <w:tab/>
      </w:r>
      <w:r>
        <w:fldChar w:fldCharType="begin"/>
      </w:r>
      <w:r>
        <w:instrText xml:space="preserve"> PAGEREF _Toc6410 \h </w:instrText>
      </w:r>
      <w:r>
        <w:fldChar w:fldCharType="separate"/>
      </w:r>
      <w:r>
        <w:t>30</w:t>
      </w:r>
      <w:r>
        <w:fldChar w:fldCharType="end"/>
      </w:r>
      <w:r>
        <w:fldChar w:fldCharType="end"/>
      </w:r>
    </w:p>
    <w:p w14:paraId="736C15D3">
      <w:pPr>
        <w:pStyle w:val="33"/>
        <w:tabs>
          <w:tab w:val="right" w:leader="dot" w:pos="8312"/>
          <w:tab w:val="clear" w:pos="9072"/>
        </w:tabs>
      </w:pPr>
      <w:r>
        <w:fldChar w:fldCharType="begin"/>
      </w:r>
      <w:r>
        <w:instrText xml:space="preserve"> HYPERLINK \l _Toc4805 </w:instrText>
      </w:r>
      <w:r>
        <w:fldChar w:fldCharType="separate"/>
      </w:r>
      <w:r>
        <w:rPr>
          <w:rFonts w:ascii="Times New Roman" w:hAnsi="Times New Roman" w:cs="Times New Roman"/>
          <w:kern w:val="0"/>
          <w:szCs w:val="21"/>
        </w:rPr>
        <w:t>4.5 项目公司对外借入款项情况</w:t>
      </w:r>
      <w:r>
        <w:tab/>
      </w:r>
      <w:r>
        <w:fldChar w:fldCharType="begin"/>
      </w:r>
      <w:r>
        <w:instrText xml:space="preserve"> PAGEREF _Toc4805 \h </w:instrText>
      </w:r>
      <w:r>
        <w:fldChar w:fldCharType="separate"/>
      </w:r>
      <w:r>
        <w:t>31</w:t>
      </w:r>
      <w:r>
        <w:fldChar w:fldCharType="end"/>
      </w:r>
      <w:r>
        <w:fldChar w:fldCharType="end"/>
      </w:r>
    </w:p>
    <w:p w14:paraId="277B591F">
      <w:pPr>
        <w:pStyle w:val="33"/>
        <w:tabs>
          <w:tab w:val="right" w:leader="dot" w:pos="8312"/>
          <w:tab w:val="clear" w:pos="9072"/>
        </w:tabs>
      </w:pPr>
      <w:r>
        <w:fldChar w:fldCharType="begin"/>
      </w:r>
      <w:r>
        <w:instrText xml:space="preserve"> HYPERLINK \l _Toc19696 </w:instrText>
      </w:r>
      <w:r>
        <w:fldChar w:fldCharType="separate"/>
      </w:r>
      <w:r>
        <w:rPr>
          <w:rFonts w:ascii="Times New Roman" w:hAnsi="Times New Roman" w:cs="Times New Roman"/>
          <w:kern w:val="0"/>
          <w:szCs w:val="21"/>
        </w:rPr>
        <w:t xml:space="preserve">4.6 </w:t>
      </w:r>
      <w:r>
        <w:rPr>
          <w:rFonts w:hint="eastAsia" w:ascii="Times New Roman" w:hAnsi="Times New Roman" w:cs="Times New Roman"/>
          <w:kern w:val="0"/>
          <w:szCs w:val="21"/>
        </w:rPr>
        <w:t>不动产</w:t>
      </w:r>
      <w:r>
        <w:rPr>
          <w:rFonts w:ascii="Times New Roman" w:hAnsi="Times New Roman" w:cs="Times New Roman"/>
          <w:kern w:val="0"/>
          <w:szCs w:val="21"/>
        </w:rPr>
        <w:t>项目投资情况</w:t>
      </w:r>
      <w:r>
        <w:tab/>
      </w:r>
      <w:r>
        <w:fldChar w:fldCharType="begin"/>
      </w:r>
      <w:r>
        <w:instrText xml:space="preserve"> PAGEREF _Toc19696 \h </w:instrText>
      </w:r>
      <w:r>
        <w:fldChar w:fldCharType="separate"/>
      </w:r>
      <w:r>
        <w:t>32</w:t>
      </w:r>
      <w:r>
        <w:fldChar w:fldCharType="end"/>
      </w:r>
      <w:r>
        <w:fldChar w:fldCharType="end"/>
      </w:r>
    </w:p>
    <w:p w14:paraId="6CE7AA39">
      <w:pPr>
        <w:pStyle w:val="33"/>
        <w:tabs>
          <w:tab w:val="right" w:leader="dot" w:pos="8312"/>
          <w:tab w:val="clear" w:pos="9072"/>
        </w:tabs>
      </w:pPr>
      <w:r>
        <w:fldChar w:fldCharType="begin"/>
      </w:r>
      <w:r>
        <w:instrText xml:space="preserve"> HYPERLINK \l _Toc4876 </w:instrText>
      </w:r>
      <w:r>
        <w:fldChar w:fldCharType="separate"/>
      </w:r>
      <w:r>
        <w:rPr>
          <w:rFonts w:ascii="Times New Roman" w:hAnsi="Times New Roman" w:cs="Times New Roman"/>
          <w:kern w:val="0"/>
          <w:szCs w:val="21"/>
        </w:rPr>
        <w:t>4.7 抵押、查封、扣押、冻结等他项权利限制的情况</w:t>
      </w:r>
      <w:r>
        <w:tab/>
      </w:r>
      <w:r>
        <w:fldChar w:fldCharType="begin"/>
      </w:r>
      <w:r>
        <w:instrText xml:space="preserve"> PAGEREF _Toc4876 \h </w:instrText>
      </w:r>
      <w:r>
        <w:fldChar w:fldCharType="separate"/>
      </w:r>
      <w:r>
        <w:t>32</w:t>
      </w:r>
      <w:r>
        <w:fldChar w:fldCharType="end"/>
      </w:r>
      <w:r>
        <w:fldChar w:fldCharType="end"/>
      </w:r>
    </w:p>
    <w:p w14:paraId="0B23D0F1">
      <w:pPr>
        <w:pStyle w:val="33"/>
        <w:tabs>
          <w:tab w:val="right" w:leader="dot" w:pos="8312"/>
          <w:tab w:val="clear" w:pos="9072"/>
        </w:tabs>
      </w:pPr>
      <w:r>
        <w:fldChar w:fldCharType="begin"/>
      </w:r>
      <w:r>
        <w:instrText xml:space="preserve"> HYPERLINK \l _Toc25291 </w:instrText>
      </w:r>
      <w:r>
        <w:fldChar w:fldCharType="separate"/>
      </w:r>
      <w:r>
        <w:rPr>
          <w:rFonts w:ascii="Times New Roman" w:hAnsi="Times New Roman" w:cs="Times New Roman"/>
          <w:kern w:val="0"/>
          <w:szCs w:val="21"/>
        </w:rPr>
        <w:t xml:space="preserve">4.8 </w:t>
      </w:r>
      <w:r>
        <w:rPr>
          <w:rFonts w:hint="eastAsia" w:ascii="Times New Roman" w:hAnsi="Times New Roman" w:cs="Times New Roman"/>
          <w:szCs w:val="21"/>
        </w:rPr>
        <w:t>不动产</w:t>
      </w:r>
      <w:r>
        <w:rPr>
          <w:rFonts w:ascii="Times New Roman" w:hAnsi="Times New Roman" w:cs="Times New Roman"/>
          <w:szCs w:val="21"/>
        </w:rPr>
        <w:t>项目相关保险的情况</w:t>
      </w:r>
      <w:r>
        <w:tab/>
      </w:r>
      <w:r>
        <w:fldChar w:fldCharType="begin"/>
      </w:r>
      <w:r>
        <w:instrText xml:space="preserve"> PAGEREF _Toc25291 \h </w:instrText>
      </w:r>
      <w:r>
        <w:fldChar w:fldCharType="separate"/>
      </w:r>
      <w:r>
        <w:t>33</w:t>
      </w:r>
      <w:r>
        <w:fldChar w:fldCharType="end"/>
      </w:r>
      <w:r>
        <w:fldChar w:fldCharType="end"/>
      </w:r>
    </w:p>
    <w:p w14:paraId="6F34435B">
      <w:pPr>
        <w:pStyle w:val="33"/>
        <w:tabs>
          <w:tab w:val="right" w:leader="dot" w:pos="8312"/>
          <w:tab w:val="clear" w:pos="9072"/>
        </w:tabs>
      </w:pPr>
      <w:r>
        <w:fldChar w:fldCharType="begin"/>
      </w:r>
      <w:r>
        <w:instrText xml:space="preserve"> HYPERLINK \l _Toc19848 </w:instrText>
      </w:r>
      <w:r>
        <w:fldChar w:fldCharType="separate"/>
      </w:r>
      <w:r>
        <w:rPr>
          <w:rFonts w:ascii="Times New Roman" w:hAnsi="Times New Roman" w:cs="Times New Roman"/>
          <w:kern w:val="0"/>
          <w:szCs w:val="21"/>
        </w:rPr>
        <w:t>4.9  重要</w:t>
      </w:r>
      <w:r>
        <w:rPr>
          <w:rFonts w:hint="eastAsia" w:ascii="Times New Roman" w:hAnsi="Times New Roman" w:cs="Times New Roman"/>
          <w:kern w:val="0"/>
          <w:szCs w:val="21"/>
        </w:rPr>
        <w:t>不动产</w:t>
      </w:r>
      <w:r>
        <w:rPr>
          <w:rFonts w:ascii="Times New Roman" w:hAnsi="Times New Roman" w:cs="Times New Roman"/>
          <w:kern w:val="0"/>
          <w:szCs w:val="21"/>
        </w:rPr>
        <w:t>项目生产经营状况、外部环境已经或者预计发生重大变化分析</w:t>
      </w:r>
      <w:r>
        <w:tab/>
      </w:r>
      <w:r>
        <w:fldChar w:fldCharType="begin"/>
      </w:r>
      <w:r>
        <w:instrText xml:space="preserve"> PAGEREF _Toc19848 \h </w:instrText>
      </w:r>
      <w:r>
        <w:fldChar w:fldCharType="separate"/>
      </w:r>
      <w:r>
        <w:t>33</w:t>
      </w:r>
      <w:r>
        <w:fldChar w:fldCharType="end"/>
      </w:r>
      <w:r>
        <w:fldChar w:fldCharType="end"/>
      </w:r>
    </w:p>
    <w:p w14:paraId="135F37CE">
      <w:pPr>
        <w:pStyle w:val="33"/>
        <w:tabs>
          <w:tab w:val="right" w:leader="dot" w:pos="8312"/>
          <w:tab w:val="clear" w:pos="9072"/>
        </w:tabs>
      </w:pPr>
      <w:r>
        <w:fldChar w:fldCharType="begin"/>
      </w:r>
      <w:r>
        <w:instrText xml:space="preserve"> HYPERLINK \l _Toc32469 </w:instrText>
      </w:r>
      <w:r>
        <w:fldChar w:fldCharType="separate"/>
      </w:r>
      <w:r>
        <w:rPr>
          <w:rFonts w:ascii="Times New Roman" w:hAnsi="Times New Roman" w:cs="Times New Roman"/>
          <w:kern w:val="0"/>
          <w:szCs w:val="21"/>
        </w:rPr>
        <w:t>4.10</w:t>
      </w:r>
      <w:r>
        <w:rPr>
          <w:rFonts w:ascii="Times New Roman" w:hAnsi="Times New Roman" w:cs="Times New Roman"/>
          <w:szCs w:val="21"/>
        </w:rPr>
        <w:t xml:space="preserve"> 其他需要说明的情况</w:t>
      </w:r>
      <w:r>
        <w:tab/>
      </w:r>
      <w:r>
        <w:fldChar w:fldCharType="begin"/>
      </w:r>
      <w:r>
        <w:instrText xml:space="preserve"> PAGEREF _Toc32469 \h </w:instrText>
      </w:r>
      <w:r>
        <w:fldChar w:fldCharType="separate"/>
      </w:r>
      <w:r>
        <w:t>33</w:t>
      </w:r>
      <w:r>
        <w:fldChar w:fldCharType="end"/>
      </w:r>
      <w:r>
        <w:fldChar w:fldCharType="end"/>
      </w:r>
    </w:p>
    <w:p w14:paraId="7CA59FC2">
      <w:pPr>
        <w:pStyle w:val="27"/>
        <w:tabs>
          <w:tab w:val="right" w:leader="dot" w:pos="8312"/>
          <w:tab w:val="clear" w:pos="9072"/>
        </w:tabs>
      </w:pPr>
      <w:r>
        <w:fldChar w:fldCharType="begin"/>
      </w:r>
      <w:r>
        <w:instrText xml:space="preserve"> HYPERLINK \l _Toc22545 </w:instrText>
      </w:r>
      <w:r>
        <w:fldChar w:fldCharType="separate"/>
      </w:r>
      <w:r>
        <w:rPr>
          <w:kern w:val="0"/>
          <w:szCs w:val="21"/>
        </w:rPr>
        <w:t>§5  除</w:t>
      </w:r>
      <w:r>
        <w:rPr>
          <w:rFonts w:hint="eastAsia"/>
          <w:kern w:val="0"/>
          <w:szCs w:val="21"/>
        </w:rPr>
        <w:t>不动产</w:t>
      </w:r>
      <w:r>
        <w:rPr>
          <w:kern w:val="0"/>
          <w:szCs w:val="21"/>
        </w:rPr>
        <w:t>资产支持证券之外的投资组合报告</w:t>
      </w:r>
      <w:r>
        <w:tab/>
      </w:r>
      <w:r>
        <w:fldChar w:fldCharType="begin"/>
      </w:r>
      <w:r>
        <w:instrText xml:space="preserve"> PAGEREF _Toc22545 \h </w:instrText>
      </w:r>
      <w:r>
        <w:fldChar w:fldCharType="separate"/>
      </w:r>
      <w:r>
        <w:t>33</w:t>
      </w:r>
      <w:r>
        <w:fldChar w:fldCharType="end"/>
      </w:r>
      <w:r>
        <w:fldChar w:fldCharType="end"/>
      </w:r>
    </w:p>
    <w:p w14:paraId="649DE489">
      <w:pPr>
        <w:pStyle w:val="33"/>
        <w:tabs>
          <w:tab w:val="right" w:leader="dot" w:pos="8312"/>
          <w:tab w:val="clear" w:pos="9072"/>
        </w:tabs>
      </w:pPr>
      <w:r>
        <w:fldChar w:fldCharType="begin"/>
      </w:r>
      <w:r>
        <w:instrText xml:space="preserve"> HYPERLINK \l _Toc32742 </w:instrText>
      </w:r>
      <w:r>
        <w:fldChar w:fldCharType="separate"/>
      </w:r>
      <w:r>
        <w:rPr>
          <w:rFonts w:ascii="Times New Roman" w:hAnsi="Times New Roman" w:cs="Times New Roman"/>
          <w:kern w:val="0"/>
          <w:szCs w:val="21"/>
        </w:rPr>
        <w:t>5.1 报告期末</w:t>
      </w:r>
      <w:r>
        <w:rPr>
          <w:rFonts w:hint="eastAsia" w:ascii="Times New Roman" w:hAnsi="Times New Roman" w:cs="Times New Roman"/>
          <w:kern w:val="0"/>
          <w:szCs w:val="21"/>
        </w:rPr>
        <w:t>不动产</w:t>
      </w:r>
      <w:r>
        <w:rPr>
          <w:rFonts w:ascii="Times New Roman" w:hAnsi="Times New Roman" w:cs="Times New Roman"/>
          <w:kern w:val="0"/>
          <w:szCs w:val="21"/>
        </w:rPr>
        <w:t>基金资产组合情况</w:t>
      </w:r>
      <w:r>
        <w:tab/>
      </w:r>
      <w:r>
        <w:fldChar w:fldCharType="begin"/>
      </w:r>
      <w:r>
        <w:instrText xml:space="preserve"> PAGEREF _Toc32742 \h </w:instrText>
      </w:r>
      <w:r>
        <w:fldChar w:fldCharType="separate"/>
      </w:r>
      <w:r>
        <w:t>33</w:t>
      </w:r>
      <w:r>
        <w:fldChar w:fldCharType="end"/>
      </w:r>
      <w:r>
        <w:fldChar w:fldCharType="end"/>
      </w:r>
    </w:p>
    <w:p w14:paraId="6D1F1841">
      <w:pPr>
        <w:pStyle w:val="33"/>
        <w:tabs>
          <w:tab w:val="right" w:leader="dot" w:pos="8312"/>
          <w:tab w:val="clear" w:pos="9072"/>
        </w:tabs>
      </w:pPr>
      <w:r>
        <w:fldChar w:fldCharType="begin"/>
      </w:r>
      <w:r>
        <w:instrText xml:space="preserve"> HYPERLINK \l _Toc15609 </w:instrText>
      </w:r>
      <w:r>
        <w:fldChar w:fldCharType="separate"/>
      </w:r>
      <w:r>
        <w:rPr>
          <w:rFonts w:ascii="Times New Roman" w:hAnsi="Times New Roman" w:cs="Times New Roman"/>
          <w:kern w:val="0"/>
          <w:szCs w:val="21"/>
        </w:rPr>
        <w:t xml:space="preserve">5.2 </w:t>
      </w:r>
      <w:r>
        <w:rPr>
          <w:rFonts w:ascii="Times New Roman" w:hAnsi="Times New Roman" w:cs="Times New Roman"/>
          <w:bCs w:val="0"/>
          <w:szCs w:val="21"/>
        </w:rPr>
        <w:t>投资组合报告附注</w:t>
      </w:r>
      <w:r>
        <w:tab/>
      </w:r>
      <w:r>
        <w:fldChar w:fldCharType="begin"/>
      </w:r>
      <w:r>
        <w:instrText xml:space="preserve"> PAGEREF _Toc15609 \h </w:instrText>
      </w:r>
      <w:r>
        <w:fldChar w:fldCharType="separate"/>
      </w:r>
      <w:r>
        <w:t>34</w:t>
      </w:r>
      <w:r>
        <w:fldChar w:fldCharType="end"/>
      </w:r>
      <w:r>
        <w:fldChar w:fldCharType="end"/>
      </w:r>
    </w:p>
    <w:p w14:paraId="4F162D5A">
      <w:pPr>
        <w:pStyle w:val="33"/>
        <w:tabs>
          <w:tab w:val="right" w:leader="dot" w:pos="8312"/>
          <w:tab w:val="clear" w:pos="9072"/>
        </w:tabs>
      </w:pPr>
      <w:r>
        <w:fldChar w:fldCharType="begin"/>
      </w:r>
      <w:r>
        <w:instrText xml:space="preserve"> HYPERLINK \l _Toc14970 </w:instrText>
      </w:r>
      <w:r>
        <w:fldChar w:fldCharType="separate"/>
      </w:r>
      <w:r>
        <w:rPr>
          <w:rFonts w:ascii="Times New Roman" w:hAnsi="Times New Roman" w:cs="Times New Roman"/>
          <w:kern w:val="0"/>
          <w:szCs w:val="21"/>
        </w:rPr>
        <w:t>5.3</w:t>
      </w:r>
      <w:r>
        <w:rPr>
          <w:rFonts w:ascii="Times New Roman" w:hAnsi="Times New Roman" w:cs="Times New Roman"/>
          <w:szCs w:val="21"/>
        </w:rPr>
        <w:t xml:space="preserve"> 报告期内</w:t>
      </w:r>
      <w:r>
        <w:rPr>
          <w:rFonts w:hint="eastAsia" w:ascii="Times New Roman" w:hAnsi="Times New Roman" w:cs="Times New Roman"/>
          <w:szCs w:val="21"/>
        </w:rPr>
        <w:t>不动产</w:t>
      </w:r>
      <w:r>
        <w:rPr>
          <w:rFonts w:ascii="Times New Roman" w:hAnsi="Times New Roman" w:cs="Times New Roman"/>
          <w:szCs w:val="21"/>
        </w:rPr>
        <w:t>基金估值程序等事项的说明</w:t>
      </w:r>
      <w:r>
        <w:tab/>
      </w:r>
      <w:r>
        <w:fldChar w:fldCharType="begin"/>
      </w:r>
      <w:r>
        <w:instrText xml:space="preserve"> PAGEREF _Toc14970 \h </w:instrText>
      </w:r>
      <w:r>
        <w:fldChar w:fldCharType="separate"/>
      </w:r>
      <w:r>
        <w:t>34</w:t>
      </w:r>
      <w:r>
        <w:fldChar w:fldCharType="end"/>
      </w:r>
      <w:r>
        <w:fldChar w:fldCharType="end"/>
      </w:r>
    </w:p>
    <w:p w14:paraId="7CC0DCFF">
      <w:pPr>
        <w:pStyle w:val="27"/>
        <w:tabs>
          <w:tab w:val="right" w:leader="dot" w:pos="8312"/>
          <w:tab w:val="clear" w:pos="9072"/>
        </w:tabs>
      </w:pPr>
      <w:r>
        <w:fldChar w:fldCharType="begin"/>
      </w:r>
      <w:r>
        <w:instrText xml:space="preserve"> HYPERLINK \l _Toc27768 </w:instrText>
      </w:r>
      <w:r>
        <w:fldChar w:fldCharType="separate"/>
      </w:r>
      <w:r>
        <w:rPr>
          <w:kern w:val="0"/>
          <w:szCs w:val="21"/>
        </w:rPr>
        <w:t>§6  管理人报告</w:t>
      </w:r>
      <w:r>
        <w:tab/>
      </w:r>
      <w:r>
        <w:fldChar w:fldCharType="begin"/>
      </w:r>
      <w:r>
        <w:instrText xml:space="preserve"> PAGEREF _Toc27768 \h </w:instrText>
      </w:r>
      <w:r>
        <w:fldChar w:fldCharType="separate"/>
      </w:r>
      <w:r>
        <w:t>34</w:t>
      </w:r>
      <w:r>
        <w:fldChar w:fldCharType="end"/>
      </w:r>
      <w:r>
        <w:fldChar w:fldCharType="end"/>
      </w:r>
    </w:p>
    <w:p w14:paraId="36C3E9BC">
      <w:pPr>
        <w:pStyle w:val="33"/>
        <w:tabs>
          <w:tab w:val="right" w:leader="dot" w:pos="8312"/>
          <w:tab w:val="clear" w:pos="9072"/>
        </w:tabs>
      </w:pPr>
      <w:r>
        <w:fldChar w:fldCharType="begin"/>
      </w:r>
      <w:r>
        <w:instrText xml:space="preserve"> HYPERLINK \l _Toc15595 </w:instrText>
      </w:r>
      <w:r>
        <w:fldChar w:fldCharType="separate"/>
      </w:r>
      <w:r>
        <w:rPr>
          <w:rFonts w:ascii="Times New Roman" w:hAnsi="Times New Roman" w:cs="Times New Roman"/>
          <w:kern w:val="0"/>
          <w:szCs w:val="21"/>
        </w:rPr>
        <w:t>6.1 基金管理人及主要负责人员情况</w:t>
      </w:r>
      <w:r>
        <w:tab/>
      </w:r>
      <w:r>
        <w:fldChar w:fldCharType="begin"/>
      </w:r>
      <w:r>
        <w:instrText xml:space="preserve"> PAGEREF _Toc15595 \h </w:instrText>
      </w:r>
      <w:r>
        <w:fldChar w:fldCharType="separate"/>
      </w:r>
      <w:r>
        <w:t>34</w:t>
      </w:r>
      <w:r>
        <w:fldChar w:fldCharType="end"/>
      </w:r>
      <w:r>
        <w:fldChar w:fldCharType="end"/>
      </w:r>
    </w:p>
    <w:p w14:paraId="2D871FD5">
      <w:pPr>
        <w:pStyle w:val="33"/>
        <w:tabs>
          <w:tab w:val="right" w:leader="dot" w:pos="8312"/>
          <w:tab w:val="clear" w:pos="9072"/>
        </w:tabs>
      </w:pPr>
      <w:r>
        <w:fldChar w:fldCharType="begin"/>
      </w:r>
      <w:r>
        <w:instrText xml:space="preserve"> HYPERLINK \l _Toc9849 </w:instrText>
      </w:r>
      <w:r>
        <w:fldChar w:fldCharType="separate"/>
      </w:r>
      <w:r>
        <w:rPr>
          <w:rFonts w:ascii="Times New Roman" w:hAnsi="Times New Roman" w:cs="Times New Roman"/>
          <w:kern w:val="0"/>
          <w:szCs w:val="21"/>
        </w:rPr>
        <w:t>6.2 管理人在报告期内对</w:t>
      </w:r>
      <w:r>
        <w:rPr>
          <w:rFonts w:hint="eastAsia" w:ascii="Times New Roman" w:hAnsi="Times New Roman" w:cs="Times New Roman"/>
          <w:kern w:val="0"/>
          <w:szCs w:val="21"/>
        </w:rPr>
        <w:t>不动产</w:t>
      </w:r>
      <w:r>
        <w:rPr>
          <w:rFonts w:ascii="Times New Roman" w:hAnsi="Times New Roman" w:cs="Times New Roman"/>
          <w:kern w:val="0"/>
          <w:szCs w:val="21"/>
        </w:rPr>
        <w:t>基金的投资运作决策和主动管理情况</w:t>
      </w:r>
      <w:r>
        <w:tab/>
      </w:r>
      <w:r>
        <w:fldChar w:fldCharType="begin"/>
      </w:r>
      <w:r>
        <w:instrText xml:space="preserve"> PAGEREF _Toc9849 \h </w:instrText>
      </w:r>
      <w:r>
        <w:fldChar w:fldCharType="separate"/>
      </w:r>
      <w:r>
        <w:t>37</w:t>
      </w:r>
      <w:r>
        <w:fldChar w:fldCharType="end"/>
      </w:r>
      <w:r>
        <w:fldChar w:fldCharType="end"/>
      </w:r>
    </w:p>
    <w:p w14:paraId="4D048D5E">
      <w:pPr>
        <w:pStyle w:val="33"/>
        <w:tabs>
          <w:tab w:val="right" w:leader="dot" w:pos="8312"/>
          <w:tab w:val="clear" w:pos="9072"/>
        </w:tabs>
      </w:pPr>
      <w:r>
        <w:fldChar w:fldCharType="begin"/>
      </w:r>
      <w:r>
        <w:instrText xml:space="preserve"> HYPERLINK \l _Toc28300 </w:instrText>
      </w:r>
      <w:r>
        <w:fldChar w:fldCharType="separate"/>
      </w:r>
      <w:r>
        <w:rPr>
          <w:rFonts w:ascii="Times New Roman" w:hAnsi="Times New Roman" w:cs="Times New Roman"/>
          <w:kern w:val="0"/>
          <w:szCs w:val="21"/>
        </w:rPr>
        <w:t>6.3  管理人在报告期内对</w:t>
      </w:r>
      <w:r>
        <w:rPr>
          <w:rFonts w:hint="eastAsia" w:ascii="Times New Roman" w:hAnsi="Times New Roman" w:cs="Times New Roman"/>
          <w:kern w:val="0"/>
          <w:szCs w:val="21"/>
        </w:rPr>
        <w:t>不动产</w:t>
      </w:r>
      <w:r>
        <w:rPr>
          <w:rFonts w:ascii="Times New Roman" w:hAnsi="Times New Roman" w:cs="Times New Roman"/>
          <w:kern w:val="0"/>
          <w:szCs w:val="21"/>
        </w:rPr>
        <w:t>基金的运营管理职责的落实情况</w:t>
      </w:r>
      <w:r>
        <w:tab/>
      </w:r>
      <w:r>
        <w:fldChar w:fldCharType="begin"/>
      </w:r>
      <w:r>
        <w:instrText xml:space="preserve"> PAGEREF _Toc28300 \h </w:instrText>
      </w:r>
      <w:r>
        <w:fldChar w:fldCharType="separate"/>
      </w:r>
      <w:r>
        <w:t>39</w:t>
      </w:r>
      <w:r>
        <w:fldChar w:fldCharType="end"/>
      </w:r>
      <w:r>
        <w:fldChar w:fldCharType="end"/>
      </w:r>
    </w:p>
    <w:p w14:paraId="7FA5F467">
      <w:pPr>
        <w:pStyle w:val="33"/>
        <w:tabs>
          <w:tab w:val="right" w:leader="dot" w:pos="8312"/>
          <w:tab w:val="clear" w:pos="9072"/>
        </w:tabs>
      </w:pPr>
      <w:r>
        <w:fldChar w:fldCharType="begin"/>
      </w:r>
      <w:r>
        <w:instrText xml:space="preserve"> HYPERLINK \l _Toc1999 </w:instrText>
      </w:r>
      <w:r>
        <w:fldChar w:fldCharType="separate"/>
      </w:r>
      <w:r>
        <w:rPr>
          <w:rFonts w:ascii="Times New Roman" w:hAnsi="Times New Roman" w:cs="Times New Roman"/>
          <w:kern w:val="0"/>
          <w:szCs w:val="21"/>
        </w:rPr>
        <w:t>6.4  管理人在报告期内的信息披露工作开展情况</w:t>
      </w:r>
      <w:r>
        <w:tab/>
      </w:r>
      <w:r>
        <w:fldChar w:fldCharType="begin"/>
      </w:r>
      <w:r>
        <w:instrText xml:space="preserve"> PAGEREF _Toc1999 \h </w:instrText>
      </w:r>
      <w:r>
        <w:fldChar w:fldCharType="separate"/>
      </w:r>
      <w:r>
        <w:t>39</w:t>
      </w:r>
      <w:r>
        <w:fldChar w:fldCharType="end"/>
      </w:r>
      <w:r>
        <w:fldChar w:fldCharType="end"/>
      </w:r>
    </w:p>
    <w:p w14:paraId="0ED7B792">
      <w:pPr>
        <w:pStyle w:val="27"/>
        <w:tabs>
          <w:tab w:val="right" w:leader="dot" w:pos="8312"/>
          <w:tab w:val="clear" w:pos="9072"/>
        </w:tabs>
      </w:pPr>
      <w:r>
        <w:fldChar w:fldCharType="begin"/>
      </w:r>
      <w:r>
        <w:instrText xml:space="preserve"> HYPERLINK \l _Toc10371 </w:instrText>
      </w:r>
      <w:r>
        <w:fldChar w:fldCharType="separate"/>
      </w:r>
      <w:r>
        <w:rPr>
          <w:kern w:val="0"/>
          <w:szCs w:val="21"/>
        </w:rPr>
        <w:t>§7  运营管理机构报告</w:t>
      </w:r>
      <w:r>
        <w:tab/>
      </w:r>
      <w:r>
        <w:fldChar w:fldCharType="begin"/>
      </w:r>
      <w:r>
        <w:instrText xml:space="preserve"> PAGEREF _Toc10371 \h </w:instrText>
      </w:r>
      <w:r>
        <w:fldChar w:fldCharType="separate"/>
      </w:r>
      <w:r>
        <w:t>40</w:t>
      </w:r>
      <w:r>
        <w:fldChar w:fldCharType="end"/>
      </w:r>
      <w:r>
        <w:fldChar w:fldCharType="end"/>
      </w:r>
    </w:p>
    <w:p w14:paraId="63176E6B">
      <w:pPr>
        <w:pStyle w:val="33"/>
        <w:tabs>
          <w:tab w:val="right" w:leader="dot" w:pos="8312"/>
          <w:tab w:val="clear" w:pos="9072"/>
        </w:tabs>
      </w:pPr>
      <w:r>
        <w:fldChar w:fldCharType="begin"/>
      </w:r>
      <w:r>
        <w:instrText xml:space="preserve"> HYPERLINK \l _Toc32285 </w:instrText>
      </w:r>
      <w:r>
        <w:fldChar w:fldCharType="separate"/>
      </w:r>
      <w:r>
        <w:rPr>
          <w:rFonts w:ascii="Times New Roman" w:hAnsi="Times New Roman" w:cs="Times New Roman"/>
          <w:kern w:val="0"/>
          <w:szCs w:val="21"/>
        </w:rPr>
        <w:t>7.1  报告期内运营管理机构管理职责履行情况</w:t>
      </w:r>
      <w:r>
        <w:tab/>
      </w:r>
      <w:r>
        <w:fldChar w:fldCharType="begin"/>
      </w:r>
      <w:r>
        <w:instrText xml:space="preserve"> PAGEREF _Toc32285 \h </w:instrText>
      </w:r>
      <w:r>
        <w:fldChar w:fldCharType="separate"/>
      </w:r>
      <w:r>
        <w:t>40</w:t>
      </w:r>
      <w:r>
        <w:fldChar w:fldCharType="end"/>
      </w:r>
      <w:r>
        <w:fldChar w:fldCharType="end"/>
      </w:r>
    </w:p>
    <w:p w14:paraId="2CEA2E4C">
      <w:pPr>
        <w:pStyle w:val="33"/>
        <w:tabs>
          <w:tab w:val="right" w:leader="dot" w:pos="8312"/>
          <w:tab w:val="clear" w:pos="9072"/>
        </w:tabs>
      </w:pPr>
      <w:r>
        <w:fldChar w:fldCharType="begin"/>
      </w:r>
      <w:r>
        <w:instrText xml:space="preserve"> HYPERLINK \l _Toc7833 </w:instrText>
      </w:r>
      <w:r>
        <w:fldChar w:fldCharType="separate"/>
      </w:r>
      <w:r>
        <w:rPr>
          <w:rFonts w:ascii="Times New Roman" w:hAnsi="Times New Roman" w:cs="Times New Roman"/>
          <w:kern w:val="0"/>
          <w:szCs w:val="21"/>
        </w:rPr>
        <w:t>7.2  报告期内运营管理机构配合信息披露工作开展情况</w:t>
      </w:r>
      <w:r>
        <w:tab/>
      </w:r>
      <w:r>
        <w:fldChar w:fldCharType="begin"/>
      </w:r>
      <w:r>
        <w:instrText xml:space="preserve"> PAGEREF _Toc7833 \h </w:instrText>
      </w:r>
      <w:r>
        <w:fldChar w:fldCharType="separate"/>
      </w:r>
      <w:r>
        <w:t>41</w:t>
      </w:r>
      <w:r>
        <w:fldChar w:fldCharType="end"/>
      </w:r>
      <w:r>
        <w:fldChar w:fldCharType="end"/>
      </w:r>
    </w:p>
    <w:p w14:paraId="0C801325">
      <w:pPr>
        <w:pStyle w:val="27"/>
        <w:tabs>
          <w:tab w:val="right" w:leader="dot" w:pos="8312"/>
          <w:tab w:val="clear" w:pos="9072"/>
        </w:tabs>
      </w:pPr>
      <w:r>
        <w:fldChar w:fldCharType="begin"/>
      </w:r>
      <w:r>
        <w:instrText xml:space="preserve"> HYPERLINK \l _Toc16376 </w:instrText>
      </w:r>
      <w:r>
        <w:fldChar w:fldCharType="separate"/>
      </w:r>
      <w:r>
        <w:rPr>
          <w:kern w:val="0"/>
          <w:szCs w:val="21"/>
        </w:rPr>
        <w:t>§8  其他业务参与人履职报告</w:t>
      </w:r>
      <w:r>
        <w:tab/>
      </w:r>
      <w:r>
        <w:fldChar w:fldCharType="begin"/>
      </w:r>
      <w:r>
        <w:instrText xml:space="preserve"> PAGEREF _Toc16376 \h </w:instrText>
      </w:r>
      <w:r>
        <w:fldChar w:fldCharType="separate"/>
      </w:r>
      <w:r>
        <w:t>41</w:t>
      </w:r>
      <w:r>
        <w:fldChar w:fldCharType="end"/>
      </w:r>
      <w:r>
        <w:fldChar w:fldCharType="end"/>
      </w:r>
    </w:p>
    <w:p w14:paraId="583CF59A">
      <w:pPr>
        <w:pStyle w:val="33"/>
        <w:tabs>
          <w:tab w:val="right" w:leader="dot" w:pos="8312"/>
          <w:tab w:val="clear" w:pos="9072"/>
        </w:tabs>
      </w:pPr>
      <w:r>
        <w:fldChar w:fldCharType="begin"/>
      </w:r>
      <w:r>
        <w:instrText xml:space="preserve"> HYPERLINK \l _Toc24404 </w:instrText>
      </w:r>
      <w:r>
        <w:fldChar w:fldCharType="separate"/>
      </w:r>
      <w:r>
        <w:rPr>
          <w:rFonts w:ascii="Times New Roman" w:hAnsi="Times New Roman" w:cs="Times New Roman"/>
          <w:kern w:val="0"/>
          <w:szCs w:val="21"/>
        </w:rPr>
        <w:t>8.1  托管人报告</w:t>
      </w:r>
      <w:r>
        <w:tab/>
      </w:r>
      <w:r>
        <w:fldChar w:fldCharType="begin"/>
      </w:r>
      <w:r>
        <w:instrText xml:space="preserve"> PAGEREF _Toc24404 \h </w:instrText>
      </w:r>
      <w:r>
        <w:fldChar w:fldCharType="separate"/>
      </w:r>
      <w:r>
        <w:t>41</w:t>
      </w:r>
      <w:r>
        <w:fldChar w:fldCharType="end"/>
      </w:r>
      <w:r>
        <w:fldChar w:fldCharType="end"/>
      </w:r>
    </w:p>
    <w:p w14:paraId="2788862F">
      <w:pPr>
        <w:pStyle w:val="33"/>
        <w:tabs>
          <w:tab w:val="right" w:leader="dot" w:pos="8312"/>
          <w:tab w:val="clear" w:pos="9072"/>
        </w:tabs>
      </w:pPr>
      <w:r>
        <w:fldChar w:fldCharType="begin"/>
      </w:r>
      <w:r>
        <w:instrText xml:space="preserve"> HYPERLINK \l _Toc4868 </w:instrText>
      </w:r>
      <w:r>
        <w:fldChar w:fldCharType="separate"/>
      </w:r>
      <w:r>
        <w:rPr>
          <w:rFonts w:ascii="Times New Roman" w:hAnsi="Times New Roman" w:cs="Times New Roman"/>
          <w:kern w:val="0"/>
          <w:szCs w:val="21"/>
        </w:rPr>
        <w:t>8.2  资产支持证券管理人报告</w:t>
      </w:r>
      <w:r>
        <w:tab/>
      </w:r>
      <w:r>
        <w:fldChar w:fldCharType="begin"/>
      </w:r>
      <w:r>
        <w:instrText xml:space="preserve"> PAGEREF _Toc4868 \h </w:instrText>
      </w:r>
      <w:r>
        <w:fldChar w:fldCharType="separate"/>
      </w:r>
      <w:r>
        <w:t>42</w:t>
      </w:r>
      <w:r>
        <w:fldChar w:fldCharType="end"/>
      </w:r>
      <w:r>
        <w:fldChar w:fldCharType="end"/>
      </w:r>
    </w:p>
    <w:p w14:paraId="3CD31254">
      <w:pPr>
        <w:pStyle w:val="33"/>
        <w:tabs>
          <w:tab w:val="right" w:leader="dot" w:pos="8312"/>
          <w:tab w:val="clear" w:pos="9072"/>
        </w:tabs>
      </w:pPr>
      <w:r>
        <w:fldChar w:fldCharType="begin"/>
      </w:r>
      <w:r>
        <w:instrText xml:space="preserve"> HYPERLINK \l _Toc11800 </w:instrText>
      </w:r>
      <w:r>
        <w:fldChar w:fldCharType="separate"/>
      </w:r>
      <w:r>
        <w:rPr>
          <w:rFonts w:ascii="Times New Roman" w:hAnsi="Times New Roman" w:cs="Times New Roman"/>
          <w:kern w:val="0"/>
          <w:szCs w:val="21"/>
        </w:rPr>
        <w:t>8.3  原始权益人报告</w:t>
      </w:r>
      <w:r>
        <w:tab/>
      </w:r>
      <w:r>
        <w:fldChar w:fldCharType="begin"/>
      </w:r>
      <w:r>
        <w:instrText xml:space="preserve"> PAGEREF _Toc11800 \h </w:instrText>
      </w:r>
      <w:r>
        <w:fldChar w:fldCharType="separate"/>
      </w:r>
      <w:r>
        <w:t>43</w:t>
      </w:r>
      <w:r>
        <w:fldChar w:fldCharType="end"/>
      </w:r>
      <w:r>
        <w:fldChar w:fldCharType="end"/>
      </w:r>
    </w:p>
    <w:p w14:paraId="0C49D3F8">
      <w:pPr>
        <w:pStyle w:val="27"/>
        <w:tabs>
          <w:tab w:val="right" w:leader="dot" w:pos="8312"/>
          <w:tab w:val="clear" w:pos="9072"/>
        </w:tabs>
      </w:pPr>
      <w:r>
        <w:fldChar w:fldCharType="begin"/>
      </w:r>
      <w:r>
        <w:instrText xml:space="preserve"> HYPERLINK \l _Toc14370 </w:instrText>
      </w:r>
      <w:r>
        <w:fldChar w:fldCharType="separate"/>
      </w:r>
      <w:r>
        <w:rPr>
          <w:kern w:val="0"/>
          <w:szCs w:val="21"/>
        </w:rPr>
        <w:t>§9  中期财务报告（未经审计）</w:t>
      </w:r>
      <w:r>
        <w:tab/>
      </w:r>
      <w:r>
        <w:fldChar w:fldCharType="begin"/>
      </w:r>
      <w:r>
        <w:instrText xml:space="preserve"> PAGEREF _Toc14370 \h </w:instrText>
      </w:r>
      <w:r>
        <w:fldChar w:fldCharType="separate"/>
      </w:r>
      <w:r>
        <w:t>44</w:t>
      </w:r>
      <w:r>
        <w:fldChar w:fldCharType="end"/>
      </w:r>
      <w:r>
        <w:fldChar w:fldCharType="end"/>
      </w:r>
    </w:p>
    <w:p w14:paraId="6076BE4A">
      <w:pPr>
        <w:pStyle w:val="33"/>
        <w:tabs>
          <w:tab w:val="right" w:leader="dot" w:pos="8312"/>
          <w:tab w:val="clear" w:pos="9072"/>
        </w:tabs>
      </w:pPr>
      <w:r>
        <w:fldChar w:fldCharType="begin"/>
      </w:r>
      <w:r>
        <w:instrText xml:space="preserve"> HYPERLINK \l _Toc20261 </w:instrText>
      </w:r>
      <w:r>
        <w:fldChar w:fldCharType="separate"/>
      </w:r>
      <w:r>
        <w:rPr>
          <w:rFonts w:ascii="Times New Roman" w:hAnsi="Times New Roman" w:cs="Times New Roman"/>
          <w:kern w:val="0"/>
          <w:szCs w:val="21"/>
        </w:rPr>
        <w:t>9.1</w:t>
      </w:r>
      <w:r>
        <w:rPr>
          <w:rFonts w:ascii="Times New Roman" w:hAnsi="Times New Roman" w:cs="Times New Roman"/>
          <w:szCs w:val="21"/>
        </w:rPr>
        <w:t xml:space="preserve"> 资产负债表</w:t>
      </w:r>
      <w:r>
        <w:tab/>
      </w:r>
      <w:r>
        <w:fldChar w:fldCharType="begin"/>
      </w:r>
      <w:r>
        <w:instrText xml:space="preserve"> PAGEREF _Toc20261 \h </w:instrText>
      </w:r>
      <w:r>
        <w:fldChar w:fldCharType="separate"/>
      </w:r>
      <w:r>
        <w:t>44</w:t>
      </w:r>
      <w:r>
        <w:fldChar w:fldCharType="end"/>
      </w:r>
      <w:r>
        <w:fldChar w:fldCharType="end"/>
      </w:r>
    </w:p>
    <w:p w14:paraId="0E7C7B80">
      <w:pPr>
        <w:pStyle w:val="33"/>
        <w:tabs>
          <w:tab w:val="right" w:leader="dot" w:pos="8312"/>
          <w:tab w:val="clear" w:pos="9072"/>
        </w:tabs>
      </w:pPr>
      <w:r>
        <w:fldChar w:fldCharType="begin"/>
      </w:r>
      <w:r>
        <w:instrText xml:space="preserve"> HYPERLINK \l _Toc21992 </w:instrText>
      </w:r>
      <w:r>
        <w:fldChar w:fldCharType="separate"/>
      </w:r>
      <w:r>
        <w:rPr>
          <w:rFonts w:ascii="Times New Roman" w:hAnsi="Times New Roman" w:cs="Times New Roman"/>
          <w:kern w:val="0"/>
          <w:szCs w:val="21"/>
        </w:rPr>
        <w:t>9.2</w:t>
      </w:r>
      <w:r>
        <w:rPr>
          <w:rFonts w:ascii="Times New Roman" w:hAnsi="Times New Roman" w:cs="Times New Roman"/>
          <w:szCs w:val="21"/>
        </w:rPr>
        <w:t xml:space="preserve"> 利润表</w:t>
      </w:r>
      <w:r>
        <w:tab/>
      </w:r>
      <w:r>
        <w:fldChar w:fldCharType="begin"/>
      </w:r>
      <w:r>
        <w:instrText xml:space="preserve"> PAGEREF _Toc21992 \h </w:instrText>
      </w:r>
      <w:r>
        <w:fldChar w:fldCharType="separate"/>
      </w:r>
      <w:r>
        <w:t>48</w:t>
      </w:r>
      <w:r>
        <w:fldChar w:fldCharType="end"/>
      </w:r>
      <w:r>
        <w:fldChar w:fldCharType="end"/>
      </w:r>
    </w:p>
    <w:p w14:paraId="2018DE63">
      <w:pPr>
        <w:pStyle w:val="33"/>
        <w:tabs>
          <w:tab w:val="right" w:leader="dot" w:pos="8312"/>
          <w:tab w:val="clear" w:pos="9072"/>
        </w:tabs>
      </w:pPr>
      <w:r>
        <w:fldChar w:fldCharType="begin"/>
      </w:r>
      <w:r>
        <w:instrText xml:space="preserve"> HYPERLINK \l _Toc23722 </w:instrText>
      </w:r>
      <w:r>
        <w:fldChar w:fldCharType="separate"/>
      </w:r>
      <w:r>
        <w:rPr>
          <w:rFonts w:ascii="Times New Roman" w:hAnsi="Times New Roman" w:cs="Times New Roman"/>
          <w:kern w:val="0"/>
          <w:szCs w:val="21"/>
        </w:rPr>
        <w:t>9.3</w:t>
      </w:r>
      <w:r>
        <w:rPr>
          <w:rFonts w:ascii="Times New Roman" w:hAnsi="Times New Roman" w:cs="Times New Roman"/>
          <w:szCs w:val="21"/>
        </w:rPr>
        <w:t xml:space="preserve"> 现金流量表</w:t>
      </w:r>
      <w:r>
        <w:tab/>
      </w:r>
      <w:r>
        <w:fldChar w:fldCharType="begin"/>
      </w:r>
      <w:r>
        <w:instrText xml:space="preserve"> PAGEREF _Toc23722 \h </w:instrText>
      </w:r>
      <w:r>
        <w:fldChar w:fldCharType="separate"/>
      </w:r>
      <w:r>
        <w:t>51</w:t>
      </w:r>
      <w:r>
        <w:fldChar w:fldCharType="end"/>
      </w:r>
      <w:r>
        <w:fldChar w:fldCharType="end"/>
      </w:r>
    </w:p>
    <w:p w14:paraId="575FD890">
      <w:pPr>
        <w:pStyle w:val="33"/>
        <w:tabs>
          <w:tab w:val="right" w:leader="dot" w:pos="8312"/>
          <w:tab w:val="clear" w:pos="9072"/>
        </w:tabs>
      </w:pPr>
      <w:r>
        <w:fldChar w:fldCharType="begin"/>
      </w:r>
      <w:r>
        <w:instrText xml:space="preserve"> HYPERLINK \l _Toc15352 </w:instrText>
      </w:r>
      <w:r>
        <w:fldChar w:fldCharType="separate"/>
      </w:r>
      <w:r>
        <w:rPr>
          <w:rFonts w:ascii="Times New Roman" w:hAnsi="Times New Roman" w:cs="Times New Roman"/>
          <w:kern w:val="0"/>
          <w:szCs w:val="21"/>
        </w:rPr>
        <w:t>9.4</w:t>
      </w:r>
      <w:r>
        <w:rPr>
          <w:rFonts w:ascii="Times New Roman" w:hAnsi="Times New Roman" w:cs="Times New Roman"/>
          <w:szCs w:val="21"/>
        </w:rPr>
        <w:t xml:space="preserve"> 所有者权益变动表</w:t>
      </w:r>
      <w:r>
        <w:tab/>
      </w:r>
      <w:r>
        <w:fldChar w:fldCharType="begin"/>
      </w:r>
      <w:r>
        <w:instrText xml:space="preserve"> PAGEREF _Toc15352 \h </w:instrText>
      </w:r>
      <w:r>
        <w:fldChar w:fldCharType="separate"/>
      </w:r>
      <w:r>
        <w:t>55</w:t>
      </w:r>
      <w:r>
        <w:fldChar w:fldCharType="end"/>
      </w:r>
      <w:r>
        <w:fldChar w:fldCharType="end"/>
      </w:r>
    </w:p>
    <w:p w14:paraId="44299208">
      <w:pPr>
        <w:pStyle w:val="33"/>
        <w:tabs>
          <w:tab w:val="right" w:leader="dot" w:pos="8312"/>
          <w:tab w:val="clear" w:pos="9072"/>
        </w:tabs>
      </w:pPr>
      <w:r>
        <w:fldChar w:fldCharType="begin"/>
      </w:r>
      <w:r>
        <w:instrText xml:space="preserve"> HYPERLINK \l _Toc13635 </w:instrText>
      </w:r>
      <w:r>
        <w:fldChar w:fldCharType="separate"/>
      </w:r>
      <w:r>
        <w:rPr>
          <w:rFonts w:ascii="Times New Roman" w:hAnsi="Times New Roman" w:cs="Times New Roman"/>
          <w:kern w:val="0"/>
          <w:szCs w:val="21"/>
        </w:rPr>
        <w:t>9.5 报表附注</w:t>
      </w:r>
      <w:r>
        <w:tab/>
      </w:r>
      <w:r>
        <w:fldChar w:fldCharType="begin"/>
      </w:r>
      <w:r>
        <w:instrText xml:space="preserve"> PAGEREF _Toc13635 \h </w:instrText>
      </w:r>
      <w:r>
        <w:fldChar w:fldCharType="separate"/>
      </w:r>
      <w:r>
        <w:t>60</w:t>
      </w:r>
      <w:r>
        <w:fldChar w:fldCharType="end"/>
      </w:r>
      <w:r>
        <w:fldChar w:fldCharType="end"/>
      </w:r>
    </w:p>
    <w:p w14:paraId="5855AEC7">
      <w:pPr>
        <w:pStyle w:val="27"/>
        <w:tabs>
          <w:tab w:val="right" w:leader="dot" w:pos="8312"/>
          <w:tab w:val="clear" w:pos="9072"/>
        </w:tabs>
      </w:pPr>
      <w:r>
        <w:fldChar w:fldCharType="begin"/>
      </w:r>
      <w:r>
        <w:instrText xml:space="preserve"> HYPERLINK \l _Toc28146 </w:instrText>
      </w:r>
      <w:r>
        <w:fldChar w:fldCharType="separate"/>
      </w:r>
      <w:r>
        <w:rPr>
          <w:kern w:val="0"/>
          <w:szCs w:val="21"/>
        </w:rPr>
        <w:t>§10  基金份额持有人信息</w:t>
      </w:r>
      <w:r>
        <w:tab/>
      </w:r>
      <w:r>
        <w:fldChar w:fldCharType="begin"/>
      </w:r>
      <w:r>
        <w:instrText xml:space="preserve"> PAGEREF _Toc28146 \h </w:instrText>
      </w:r>
      <w:r>
        <w:fldChar w:fldCharType="separate"/>
      </w:r>
      <w:r>
        <w:t>89</w:t>
      </w:r>
      <w:r>
        <w:fldChar w:fldCharType="end"/>
      </w:r>
      <w:r>
        <w:fldChar w:fldCharType="end"/>
      </w:r>
    </w:p>
    <w:p w14:paraId="6DC9A653">
      <w:pPr>
        <w:pStyle w:val="33"/>
        <w:tabs>
          <w:tab w:val="right" w:leader="dot" w:pos="8312"/>
          <w:tab w:val="clear" w:pos="9072"/>
        </w:tabs>
      </w:pPr>
      <w:r>
        <w:fldChar w:fldCharType="begin"/>
      </w:r>
      <w:r>
        <w:instrText xml:space="preserve"> HYPERLINK \l _Toc22431 </w:instrText>
      </w:r>
      <w:r>
        <w:fldChar w:fldCharType="separate"/>
      </w:r>
      <w:r>
        <w:rPr>
          <w:rFonts w:ascii="Times New Roman" w:hAnsi="Times New Roman" w:cs="Times New Roman"/>
          <w:kern w:val="0"/>
          <w:szCs w:val="21"/>
        </w:rPr>
        <w:t>10.1  基金份额持有人户数及持有人结构</w:t>
      </w:r>
      <w:r>
        <w:tab/>
      </w:r>
      <w:r>
        <w:fldChar w:fldCharType="begin"/>
      </w:r>
      <w:r>
        <w:instrText xml:space="preserve"> PAGEREF _Toc22431 \h </w:instrText>
      </w:r>
      <w:r>
        <w:fldChar w:fldCharType="separate"/>
      </w:r>
      <w:r>
        <w:t>89</w:t>
      </w:r>
      <w:r>
        <w:fldChar w:fldCharType="end"/>
      </w:r>
      <w:r>
        <w:fldChar w:fldCharType="end"/>
      </w:r>
    </w:p>
    <w:p w14:paraId="4AB5C2BF">
      <w:pPr>
        <w:pStyle w:val="33"/>
        <w:tabs>
          <w:tab w:val="right" w:leader="dot" w:pos="8312"/>
          <w:tab w:val="clear" w:pos="9072"/>
        </w:tabs>
      </w:pPr>
      <w:r>
        <w:fldChar w:fldCharType="begin"/>
      </w:r>
      <w:r>
        <w:instrText xml:space="preserve"> HYPERLINK \l _Toc6935 </w:instrText>
      </w:r>
      <w:r>
        <w:fldChar w:fldCharType="separate"/>
      </w:r>
      <w:r>
        <w:rPr>
          <w:rFonts w:ascii="Times New Roman" w:hAnsi="Times New Roman" w:cs="Times New Roman"/>
          <w:kern w:val="0"/>
          <w:szCs w:val="21"/>
        </w:rPr>
        <w:t xml:space="preserve">10.2  </w:t>
      </w:r>
      <w:r>
        <w:rPr>
          <w:rFonts w:hint="eastAsia" w:ascii="Times New Roman" w:hAnsi="Times New Roman" w:cs="Times New Roman"/>
          <w:kern w:val="0"/>
          <w:szCs w:val="21"/>
        </w:rPr>
        <w:t>不动产</w:t>
      </w:r>
      <w:r>
        <w:rPr>
          <w:rFonts w:ascii="Times New Roman" w:hAnsi="Times New Roman" w:cs="Times New Roman"/>
          <w:kern w:val="0"/>
          <w:szCs w:val="21"/>
        </w:rPr>
        <w:t>基金前十名流通份额持有人</w:t>
      </w:r>
      <w:r>
        <w:tab/>
      </w:r>
      <w:r>
        <w:fldChar w:fldCharType="begin"/>
      </w:r>
      <w:r>
        <w:instrText xml:space="preserve"> PAGEREF _Toc6935 \h </w:instrText>
      </w:r>
      <w:r>
        <w:fldChar w:fldCharType="separate"/>
      </w:r>
      <w:r>
        <w:t>90</w:t>
      </w:r>
      <w:r>
        <w:fldChar w:fldCharType="end"/>
      </w:r>
      <w:r>
        <w:fldChar w:fldCharType="end"/>
      </w:r>
    </w:p>
    <w:p w14:paraId="3AAACA79">
      <w:pPr>
        <w:pStyle w:val="33"/>
        <w:tabs>
          <w:tab w:val="right" w:leader="dot" w:pos="8312"/>
          <w:tab w:val="clear" w:pos="9072"/>
        </w:tabs>
      </w:pPr>
      <w:r>
        <w:fldChar w:fldCharType="begin"/>
      </w:r>
      <w:r>
        <w:instrText xml:space="preserve"> HYPERLINK \l _Toc23587 </w:instrText>
      </w:r>
      <w:r>
        <w:fldChar w:fldCharType="separate"/>
      </w:r>
      <w:r>
        <w:rPr>
          <w:rFonts w:ascii="Times New Roman" w:hAnsi="Times New Roman" w:cs="Times New Roman"/>
          <w:kern w:val="0"/>
          <w:szCs w:val="21"/>
        </w:rPr>
        <w:t xml:space="preserve">10.3  </w:t>
      </w:r>
      <w:r>
        <w:rPr>
          <w:rFonts w:hint="eastAsia" w:ascii="Times New Roman" w:hAnsi="Times New Roman" w:cs="Times New Roman"/>
          <w:kern w:val="0"/>
          <w:szCs w:val="21"/>
        </w:rPr>
        <w:t>不动产</w:t>
      </w:r>
      <w:r>
        <w:rPr>
          <w:rFonts w:ascii="Times New Roman" w:hAnsi="Times New Roman" w:cs="Times New Roman"/>
          <w:kern w:val="0"/>
          <w:szCs w:val="21"/>
        </w:rPr>
        <w:t>基金前十名非流通份额持有人</w:t>
      </w:r>
      <w:r>
        <w:tab/>
      </w:r>
      <w:r>
        <w:fldChar w:fldCharType="begin"/>
      </w:r>
      <w:r>
        <w:instrText xml:space="preserve"> PAGEREF _Toc23587 \h </w:instrText>
      </w:r>
      <w:r>
        <w:fldChar w:fldCharType="separate"/>
      </w:r>
      <w:r>
        <w:t>91</w:t>
      </w:r>
      <w:r>
        <w:fldChar w:fldCharType="end"/>
      </w:r>
      <w:r>
        <w:fldChar w:fldCharType="end"/>
      </w:r>
    </w:p>
    <w:p w14:paraId="38309AE2">
      <w:pPr>
        <w:pStyle w:val="33"/>
        <w:tabs>
          <w:tab w:val="right" w:leader="dot" w:pos="8312"/>
          <w:tab w:val="clear" w:pos="9072"/>
        </w:tabs>
      </w:pPr>
      <w:r>
        <w:fldChar w:fldCharType="begin"/>
      </w:r>
      <w:r>
        <w:instrText xml:space="preserve"> HYPERLINK \l _Toc4051 </w:instrText>
      </w:r>
      <w:r>
        <w:fldChar w:fldCharType="separate"/>
      </w:r>
      <w:r>
        <w:rPr>
          <w:rFonts w:ascii="Times New Roman" w:hAnsi="Times New Roman" w:cs="Times New Roman"/>
          <w:kern w:val="0"/>
          <w:szCs w:val="21"/>
        </w:rPr>
        <w:t>10.4</w:t>
      </w:r>
      <w:r>
        <w:rPr>
          <w:rFonts w:ascii="Times New Roman" w:hAnsi="Times New Roman" w:cs="Times New Roman"/>
          <w:szCs w:val="21"/>
        </w:rPr>
        <w:t xml:space="preserve"> 期末基金管理人的从业人员持有本</w:t>
      </w:r>
      <w:r>
        <w:rPr>
          <w:rFonts w:hint="eastAsia" w:ascii="Times New Roman" w:hAnsi="Times New Roman" w:cs="Times New Roman"/>
          <w:szCs w:val="21"/>
        </w:rPr>
        <w:t>不动产</w:t>
      </w:r>
      <w:r>
        <w:rPr>
          <w:rFonts w:ascii="Times New Roman" w:hAnsi="Times New Roman" w:cs="Times New Roman"/>
          <w:szCs w:val="21"/>
        </w:rPr>
        <w:t>基金的情况</w:t>
      </w:r>
      <w:r>
        <w:tab/>
      </w:r>
      <w:r>
        <w:fldChar w:fldCharType="begin"/>
      </w:r>
      <w:r>
        <w:instrText xml:space="preserve"> PAGEREF _Toc4051 \h </w:instrText>
      </w:r>
      <w:r>
        <w:fldChar w:fldCharType="separate"/>
      </w:r>
      <w:r>
        <w:t>92</w:t>
      </w:r>
      <w:r>
        <w:fldChar w:fldCharType="end"/>
      </w:r>
      <w:r>
        <w:fldChar w:fldCharType="end"/>
      </w:r>
    </w:p>
    <w:p w14:paraId="28F45A21">
      <w:pPr>
        <w:pStyle w:val="27"/>
        <w:tabs>
          <w:tab w:val="right" w:leader="dot" w:pos="8312"/>
          <w:tab w:val="clear" w:pos="9072"/>
        </w:tabs>
      </w:pPr>
      <w:r>
        <w:fldChar w:fldCharType="begin"/>
      </w:r>
      <w:r>
        <w:instrText xml:space="preserve"> HYPERLINK \l _Toc1212 </w:instrText>
      </w:r>
      <w:r>
        <w:fldChar w:fldCharType="separate"/>
      </w:r>
      <w:r>
        <w:rPr>
          <w:kern w:val="0"/>
          <w:szCs w:val="21"/>
        </w:rPr>
        <w:t xml:space="preserve">§11  </w:t>
      </w:r>
      <w:r>
        <w:rPr>
          <w:rFonts w:hint="eastAsia"/>
          <w:kern w:val="0"/>
          <w:szCs w:val="21"/>
        </w:rPr>
        <w:t>不动产</w:t>
      </w:r>
      <w:r>
        <w:rPr>
          <w:kern w:val="0"/>
          <w:szCs w:val="21"/>
        </w:rPr>
        <w:t>基金份额变动情况</w:t>
      </w:r>
      <w:r>
        <w:tab/>
      </w:r>
      <w:r>
        <w:fldChar w:fldCharType="begin"/>
      </w:r>
      <w:r>
        <w:instrText xml:space="preserve"> PAGEREF _Toc1212 \h </w:instrText>
      </w:r>
      <w:r>
        <w:fldChar w:fldCharType="separate"/>
      </w:r>
      <w:r>
        <w:t>92</w:t>
      </w:r>
      <w:r>
        <w:fldChar w:fldCharType="end"/>
      </w:r>
      <w:r>
        <w:fldChar w:fldCharType="end"/>
      </w:r>
    </w:p>
    <w:p w14:paraId="6CD021A6">
      <w:pPr>
        <w:pStyle w:val="27"/>
        <w:tabs>
          <w:tab w:val="right" w:leader="dot" w:pos="8312"/>
          <w:tab w:val="clear" w:pos="9072"/>
        </w:tabs>
      </w:pPr>
      <w:r>
        <w:fldChar w:fldCharType="begin"/>
      </w:r>
      <w:r>
        <w:instrText xml:space="preserve"> HYPERLINK \l _Toc22726 </w:instrText>
      </w:r>
      <w:r>
        <w:fldChar w:fldCharType="separate"/>
      </w:r>
      <w:r>
        <w:rPr>
          <w:kern w:val="0"/>
          <w:szCs w:val="21"/>
        </w:rPr>
        <w:t>§12  重大事件揭示</w:t>
      </w:r>
      <w:r>
        <w:tab/>
      </w:r>
      <w:r>
        <w:fldChar w:fldCharType="begin"/>
      </w:r>
      <w:r>
        <w:instrText xml:space="preserve"> PAGEREF _Toc22726 \h </w:instrText>
      </w:r>
      <w:r>
        <w:fldChar w:fldCharType="separate"/>
      </w:r>
      <w:r>
        <w:t>92</w:t>
      </w:r>
      <w:r>
        <w:fldChar w:fldCharType="end"/>
      </w:r>
      <w:r>
        <w:fldChar w:fldCharType="end"/>
      </w:r>
    </w:p>
    <w:p w14:paraId="04FAA297">
      <w:pPr>
        <w:pStyle w:val="33"/>
        <w:tabs>
          <w:tab w:val="right" w:leader="dot" w:pos="8312"/>
          <w:tab w:val="clear" w:pos="9072"/>
        </w:tabs>
      </w:pPr>
      <w:r>
        <w:fldChar w:fldCharType="begin"/>
      </w:r>
      <w:r>
        <w:instrText xml:space="preserve"> HYPERLINK \l _Toc23624 </w:instrText>
      </w:r>
      <w:r>
        <w:fldChar w:fldCharType="separate"/>
      </w:r>
      <w:r>
        <w:rPr>
          <w:rFonts w:ascii="Times New Roman" w:hAnsi="Times New Roman" w:cs="Times New Roman"/>
          <w:kern w:val="0"/>
          <w:szCs w:val="21"/>
        </w:rPr>
        <w:t>12.1 基金份额持有人大会决议</w:t>
      </w:r>
      <w:r>
        <w:tab/>
      </w:r>
      <w:r>
        <w:fldChar w:fldCharType="begin"/>
      </w:r>
      <w:r>
        <w:instrText xml:space="preserve"> PAGEREF _Toc23624 \h </w:instrText>
      </w:r>
      <w:r>
        <w:fldChar w:fldCharType="separate"/>
      </w:r>
      <w:r>
        <w:t>92</w:t>
      </w:r>
      <w:r>
        <w:fldChar w:fldCharType="end"/>
      </w:r>
      <w:r>
        <w:fldChar w:fldCharType="end"/>
      </w:r>
    </w:p>
    <w:p w14:paraId="50C076E9">
      <w:pPr>
        <w:pStyle w:val="33"/>
        <w:tabs>
          <w:tab w:val="right" w:leader="dot" w:pos="8312"/>
          <w:tab w:val="clear" w:pos="9072"/>
        </w:tabs>
      </w:pPr>
      <w:r>
        <w:fldChar w:fldCharType="begin"/>
      </w:r>
      <w:r>
        <w:instrText xml:space="preserve"> HYPERLINK \l _Toc19216 </w:instrText>
      </w:r>
      <w:r>
        <w:fldChar w:fldCharType="separate"/>
      </w:r>
      <w:r>
        <w:rPr>
          <w:rFonts w:ascii="Times New Roman" w:hAnsi="Times New Roman" w:cs="Times New Roman"/>
          <w:kern w:val="0"/>
          <w:szCs w:val="21"/>
        </w:rPr>
        <w:t>12.2 基金管理人、基金托管人的专门</w:t>
      </w:r>
      <w:r>
        <w:rPr>
          <w:rFonts w:hint="eastAsia" w:ascii="Times New Roman" w:hAnsi="Times New Roman" w:cs="Times New Roman"/>
          <w:kern w:val="0"/>
          <w:szCs w:val="21"/>
        </w:rPr>
        <w:t>不动产</w:t>
      </w:r>
      <w:r>
        <w:rPr>
          <w:rFonts w:ascii="Times New Roman" w:hAnsi="Times New Roman" w:cs="Times New Roman"/>
          <w:kern w:val="0"/>
          <w:szCs w:val="21"/>
        </w:rPr>
        <w:t>基金托管部门的重大人事变动</w:t>
      </w:r>
      <w:r>
        <w:tab/>
      </w:r>
      <w:r>
        <w:fldChar w:fldCharType="begin"/>
      </w:r>
      <w:r>
        <w:instrText xml:space="preserve"> PAGEREF _Toc19216 \h </w:instrText>
      </w:r>
      <w:r>
        <w:fldChar w:fldCharType="separate"/>
      </w:r>
      <w:r>
        <w:t>92</w:t>
      </w:r>
      <w:r>
        <w:fldChar w:fldCharType="end"/>
      </w:r>
      <w:r>
        <w:fldChar w:fldCharType="end"/>
      </w:r>
    </w:p>
    <w:p w14:paraId="3C8E796C">
      <w:pPr>
        <w:pStyle w:val="33"/>
        <w:tabs>
          <w:tab w:val="right" w:leader="dot" w:pos="8312"/>
          <w:tab w:val="clear" w:pos="9072"/>
        </w:tabs>
      </w:pPr>
      <w:r>
        <w:fldChar w:fldCharType="begin"/>
      </w:r>
      <w:r>
        <w:instrText xml:space="preserve"> HYPERLINK \l _Toc27195 </w:instrText>
      </w:r>
      <w:r>
        <w:fldChar w:fldCharType="separate"/>
      </w:r>
      <w:r>
        <w:rPr>
          <w:rFonts w:ascii="Times New Roman" w:hAnsi="Times New Roman" w:cs="Times New Roman"/>
          <w:kern w:val="0"/>
          <w:szCs w:val="21"/>
        </w:rPr>
        <w:t xml:space="preserve">12.3 </w:t>
      </w:r>
      <w:r>
        <w:rPr>
          <w:rFonts w:hint="eastAsia" w:ascii="Times New Roman" w:hAnsi="Times New Roman" w:cs="Times New Roman"/>
          <w:kern w:val="0"/>
          <w:szCs w:val="21"/>
        </w:rPr>
        <w:t>不动产</w:t>
      </w:r>
      <w:r>
        <w:rPr>
          <w:rFonts w:ascii="Times New Roman" w:hAnsi="Times New Roman" w:cs="Times New Roman"/>
          <w:kern w:val="0"/>
          <w:szCs w:val="21"/>
        </w:rPr>
        <w:t>基金投资策略的改变</w:t>
      </w:r>
      <w:r>
        <w:tab/>
      </w:r>
      <w:r>
        <w:fldChar w:fldCharType="begin"/>
      </w:r>
      <w:r>
        <w:instrText xml:space="preserve"> PAGEREF _Toc27195 \h </w:instrText>
      </w:r>
      <w:r>
        <w:fldChar w:fldCharType="separate"/>
      </w:r>
      <w:r>
        <w:t>92</w:t>
      </w:r>
      <w:r>
        <w:fldChar w:fldCharType="end"/>
      </w:r>
      <w:r>
        <w:fldChar w:fldCharType="end"/>
      </w:r>
    </w:p>
    <w:p w14:paraId="617AA40D">
      <w:pPr>
        <w:pStyle w:val="33"/>
        <w:tabs>
          <w:tab w:val="right" w:leader="dot" w:pos="8312"/>
          <w:tab w:val="clear" w:pos="9072"/>
        </w:tabs>
      </w:pPr>
      <w:r>
        <w:fldChar w:fldCharType="begin"/>
      </w:r>
      <w:r>
        <w:instrText xml:space="preserve"> HYPERLINK \l _Toc993 </w:instrText>
      </w:r>
      <w:r>
        <w:fldChar w:fldCharType="separate"/>
      </w:r>
      <w:r>
        <w:rPr>
          <w:rFonts w:ascii="Times New Roman" w:hAnsi="Times New Roman" w:cs="Times New Roman"/>
          <w:kern w:val="0"/>
          <w:szCs w:val="21"/>
        </w:rPr>
        <w:t>12.4 为</w:t>
      </w:r>
      <w:r>
        <w:rPr>
          <w:rFonts w:hint="eastAsia" w:ascii="Times New Roman" w:hAnsi="Times New Roman" w:cs="Times New Roman"/>
          <w:kern w:val="0"/>
          <w:szCs w:val="21"/>
        </w:rPr>
        <w:t>不动产</w:t>
      </w:r>
      <w:r>
        <w:rPr>
          <w:rFonts w:ascii="Times New Roman" w:hAnsi="Times New Roman" w:cs="Times New Roman"/>
          <w:kern w:val="0"/>
          <w:szCs w:val="21"/>
        </w:rPr>
        <w:t>基金进行</w:t>
      </w:r>
      <w:r>
        <w:rPr>
          <w:rFonts w:ascii="Times New Roman" w:hAnsi="Times New Roman" w:cs="Times New Roman"/>
          <w:szCs w:val="21"/>
        </w:rPr>
        <w:t>审计的会计师事务所情况</w:t>
      </w:r>
      <w:r>
        <w:tab/>
      </w:r>
      <w:r>
        <w:fldChar w:fldCharType="begin"/>
      </w:r>
      <w:r>
        <w:instrText xml:space="preserve"> PAGEREF _Toc993 \h </w:instrText>
      </w:r>
      <w:r>
        <w:fldChar w:fldCharType="separate"/>
      </w:r>
      <w:r>
        <w:t>92</w:t>
      </w:r>
      <w:r>
        <w:fldChar w:fldCharType="end"/>
      </w:r>
      <w:r>
        <w:fldChar w:fldCharType="end"/>
      </w:r>
    </w:p>
    <w:p w14:paraId="35344971">
      <w:pPr>
        <w:pStyle w:val="33"/>
        <w:tabs>
          <w:tab w:val="right" w:leader="dot" w:pos="8312"/>
          <w:tab w:val="clear" w:pos="9072"/>
        </w:tabs>
      </w:pPr>
      <w:r>
        <w:fldChar w:fldCharType="begin"/>
      </w:r>
      <w:r>
        <w:instrText xml:space="preserve"> HYPERLINK \l _Toc25703 </w:instrText>
      </w:r>
      <w:r>
        <w:fldChar w:fldCharType="separate"/>
      </w:r>
      <w:r>
        <w:rPr>
          <w:rFonts w:ascii="Times New Roman" w:hAnsi="Times New Roman" w:cs="Times New Roman"/>
          <w:kern w:val="0"/>
          <w:szCs w:val="21"/>
        </w:rPr>
        <w:t>12.5 为</w:t>
      </w:r>
      <w:r>
        <w:rPr>
          <w:rFonts w:hint="eastAsia" w:ascii="Times New Roman" w:hAnsi="Times New Roman" w:cs="Times New Roman"/>
          <w:kern w:val="0"/>
          <w:szCs w:val="21"/>
        </w:rPr>
        <w:t>不动产</w:t>
      </w:r>
      <w:r>
        <w:rPr>
          <w:rFonts w:ascii="Times New Roman" w:hAnsi="Times New Roman" w:cs="Times New Roman"/>
          <w:kern w:val="0"/>
          <w:szCs w:val="21"/>
        </w:rPr>
        <w:t>基金出具评估报告的评估机构情况</w:t>
      </w:r>
      <w:r>
        <w:tab/>
      </w:r>
      <w:r>
        <w:fldChar w:fldCharType="begin"/>
      </w:r>
      <w:r>
        <w:instrText xml:space="preserve"> PAGEREF _Toc25703 \h </w:instrText>
      </w:r>
      <w:r>
        <w:fldChar w:fldCharType="separate"/>
      </w:r>
      <w:r>
        <w:t>92</w:t>
      </w:r>
      <w:r>
        <w:fldChar w:fldCharType="end"/>
      </w:r>
      <w:r>
        <w:fldChar w:fldCharType="end"/>
      </w:r>
    </w:p>
    <w:p w14:paraId="6F1F3CF2">
      <w:pPr>
        <w:pStyle w:val="33"/>
        <w:tabs>
          <w:tab w:val="right" w:leader="dot" w:pos="8312"/>
          <w:tab w:val="clear" w:pos="9072"/>
        </w:tabs>
      </w:pPr>
      <w:r>
        <w:fldChar w:fldCharType="begin"/>
      </w:r>
      <w:r>
        <w:instrText xml:space="preserve"> HYPERLINK \l _Toc16797 </w:instrText>
      </w:r>
      <w:r>
        <w:fldChar w:fldCharType="separate"/>
      </w:r>
      <w:r>
        <w:rPr>
          <w:rFonts w:ascii="Times New Roman" w:hAnsi="Times New Roman" w:cs="Times New Roman"/>
          <w:kern w:val="0"/>
          <w:szCs w:val="21"/>
        </w:rPr>
        <w:t>12.6 报告期内信息披露义务人、运营管理机构及其高级管理人员，原始权益人、资产支持证券管理人、资产支持证券托管人、项目公司和专业机构等业务参与人涉及对</w:t>
      </w:r>
      <w:r>
        <w:rPr>
          <w:rFonts w:hint="eastAsia" w:ascii="Times New Roman" w:hAnsi="Times New Roman" w:cs="Times New Roman"/>
          <w:kern w:val="0"/>
          <w:szCs w:val="21"/>
        </w:rPr>
        <w:t>不动产</w:t>
      </w:r>
      <w:r>
        <w:rPr>
          <w:rFonts w:ascii="Times New Roman" w:hAnsi="Times New Roman" w:cs="Times New Roman"/>
          <w:kern w:val="0"/>
          <w:szCs w:val="21"/>
        </w:rPr>
        <w:t>项目运营有重大影响的稽查、处罚、诉讼或者仲裁等情况</w:t>
      </w:r>
      <w:r>
        <w:tab/>
      </w:r>
      <w:r>
        <w:fldChar w:fldCharType="begin"/>
      </w:r>
      <w:r>
        <w:instrText xml:space="preserve"> PAGEREF _Toc16797 \h </w:instrText>
      </w:r>
      <w:r>
        <w:fldChar w:fldCharType="separate"/>
      </w:r>
      <w:r>
        <w:t>93</w:t>
      </w:r>
      <w:r>
        <w:fldChar w:fldCharType="end"/>
      </w:r>
      <w:r>
        <w:fldChar w:fldCharType="end"/>
      </w:r>
    </w:p>
    <w:p w14:paraId="1BA384F9">
      <w:pPr>
        <w:pStyle w:val="33"/>
        <w:tabs>
          <w:tab w:val="right" w:leader="dot" w:pos="8312"/>
          <w:tab w:val="clear" w:pos="9072"/>
        </w:tabs>
      </w:pPr>
      <w:r>
        <w:fldChar w:fldCharType="begin"/>
      </w:r>
      <w:r>
        <w:instrText xml:space="preserve"> HYPERLINK \l _Toc22548 </w:instrText>
      </w:r>
      <w:r>
        <w:fldChar w:fldCharType="separate"/>
      </w:r>
      <w:r>
        <w:rPr>
          <w:rFonts w:ascii="Times New Roman" w:hAnsi="Times New Roman" w:cs="Times New Roman"/>
          <w:kern w:val="0"/>
          <w:szCs w:val="21"/>
        </w:rPr>
        <w:t>12.7 其他重大事件</w:t>
      </w:r>
      <w:r>
        <w:tab/>
      </w:r>
      <w:r>
        <w:fldChar w:fldCharType="begin"/>
      </w:r>
      <w:r>
        <w:instrText xml:space="preserve"> PAGEREF _Toc22548 \h </w:instrText>
      </w:r>
      <w:r>
        <w:fldChar w:fldCharType="separate"/>
      </w:r>
      <w:r>
        <w:t>93</w:t>
      </w:r>
      <w:r>
        <w:fldChar w:fldCharType="end"/>
      </w:r>
      <w:r>
        <w:fldChar w:fldCharType="end"/>
      </w:r>
    </w:p>
    <w:p w14:paraId="58B7A8E6">
      <w:pPr>
        <w:pStyle w:val="27"/>
        <w:tabs>
          <w:tab w:val="right" w:leader="dot" w:pos="8312"/>
          <w:tab w:val="clear" w:pos="9072"/>
        </w:tabs>
      </w:pPr>
      <w:r>
        <w:fldChar w:fldCharType="begin"/>
      </w:r>
      <w:r>
        <w:instrText xml:space="preserve"> HYPERLINK \l _Toc19223 </w:instrText>
      </w:r>
      <w:r>
        <w:fldChar w:fldCharType="separate"/>
      </w:r>
      <w:r>
        <w:rPr>
          <w:kern w:val="0"/>
          <w:szCs w:val="21"/>
        </w:rPr>
        <w:t>§13  影响投资者决策的其他重要信息</w:t>
      </w:r>
      <w:r>
        <w:tab/>
      </w:r>
      <w:r>
        <w:fldChar w:fldCharType="begin"/>
      </w:r>
      <w:r>
        <w:instrText xml:space="preserve"> PAGEREF _Toc19223 \h </w:instrText>
      </w:r>
      <w:r>
        <w:fldChar w:fldCharType="separate"/>
      </w:r>
      <w:r>
        <w:t>95</w:t>
      </w:r>
      <w:r>
        <w:fldChar w:fldCharType="end"/>
      </w:r>
      <w:r>
        <w:fldChar w:fldCharType="end"/>
      </w:r>
    </w:p>
    <w:p w14:paraId="1E3F307E">
      <w:pPr>
        <w:pStyle w:val="27"/>
        <w:tabs>
          <w:tab w:val="right" w:leader="dot" w:pos="8312"/>
          <w:tab w:val="clear" w:pos="9072"/>
        </w:tabs>
      </w:pPr>
      <w:r>
        <w:fldChar w:fldCharType="begin"/>
      </w:r>
      <w:r>
        <w:instrText xml:space="preserve"> HYPERLINK \l _Toc19658 </w:instrText>
      </w:r>
      <w:r>
        <w:fldChar w:fldCharType="separate"/>
      </w:r>
      <w:r>
        <w:rPr>
          <w:kern w:val="0"/>
          <w:szCs w:val="21"/>
        </w:rPr>
        <w:t>§14  备查文件目录</w:t>
      </w:r>
      <w:r>
        <w:tab/>
      </w:r>
      <w:r>
        <w:fldChar w:fldCharType="begin"/>
      </w:r>
      <w:r>
        <w:instrText xml:space="preserve"> PAGEREF _Toc19658 \h </w:instrText>
      </w:r>
      <w:r>
        <w:fldChar w:fldCharType="separate"/>
      </w:r>
      <w:r>
        <w:t>95</w:t>
      </w:r>
      <w:r>
        <w:fldChar w:fldCharType="end"/>
      </w:r>
      <w:r>
        <w:fldChar w:fldCharType="end"/>
      </w:r>
    </w:p>
    <w:p w14:paraId="7C8DCE25">
      <w:pPr>
        <w:pStyle w:val="33"/>
        <w:tabs>
          <w:tab w:val="right" w:leader="dot" w:pos="8312"/>
          <w:tab w:val="clear" w:pos="9072"/>
        </w:tabs>
      </w:pPr>
      <w:r>
        <w:fldChar w:fldCharType="begin"/>
      </w:r>
      <w:r>
        <w:instrText xml:space="preserve"> HYPERLINK \l _Toc32174 </w:instrText>
      </w:r>
      <w:r>
        <w:fldChar w:fldCharType="separate"/>
      </w:r>
      <w:r>
        <w:rPr>
          <w:rFonts w:ascii="Times New Roman" w:hAnsi="Times New Roman" w:cs="Times New Roman"/>
          <w:kern w:val="0"/>
          <w:szCs w:val="21"/>
        </w:rPr>
        <w:t>14.1 备查文件目录</w:t>
      </w:r>
      <w:r>
        <w:tab/>
      </w:r>
      <w:r>
        <w:fldChar w:fldCharType="begin"/>
      </w:r>
      <w:r>
        <w:instrText xml:space="preserve"> PAGEREF _Toc32174 \h </w:instrText>
      </w:r>
      <w:r>
        <w:fldChar w:fldCharType="separate"/>
      </w:r>
      <w:r>
        <w:t>95</w:t>
      </w:r>
      <w:r>
        <w:fldChar w:fldCharType="end"/>
      </w:r>
      <w:r>
        <w:fldChar w:fldCharType="end"/>
      </w:r>
    </w:p>
    <w:p w14:paraId="62A629C6">
      <w:pPr>
        <w:pStyle w:val="33"/>
        <w:tabs>
          <w:tab w:val="right" w:leader="dot" w:pos="8312"/>
          <w:tab w:val="clear" w:pos="9072"/>
        </w:tabs>
      </w:pPr>
      <w:r>
        <w:fldChar w:fldCharType="begin"/>
      </w:r>
      <w:r>
        <w:instrText xml:space="preserve"> HYPERLINK \l _Toc13947 </w:instrText>
      </w:r>
      <w:r>
        <w:fldChar w:fldCharType="separate"/>
      </w:r>
      <w:r>
        <w:rPr>
          <w:rFonts w:ascii="Times New Roman" w:hAnsi="Times New Roman" w:cs="Times New Roman"/>
          <w:kern w:val="0"/>
          <w:szCs w:val="21"/>
        </w:rPr>
        <w:t>14.2</w:t>
      </w:r>
      <w:r>
        <w:rPr>
          <w:rFonts w:ascii="Times New Roman" w:hAnsi="Times New Roman" w:cs="Times New Roman"/>
          <w:szCs w:val="21"/>
        </w:rPr>
        <w:t xml:space="preserve"> 存放地点</w:t>
      </w:r>
      <w:r>
        <w:tab/>
      </w:r>
      <w:r>
        <w:fldChar w:fldCharType="begin"/>
      </w:r>
      <w:r>
        <w:instrText xml:space="preserve"> PAGEREF _Toc13947 \h </w:instrText>
      </w:r>
      <w:r>
        <w:fldChar w:fldCharType="separate"/>
      </w:r>
      <w:r>
        <w:t>96</w:t>
      </w:r>
      <w:r>
        <w:fldChar w:fldCharType="end"/>
      </w:r>
      <w:r>
        <w:fldChar w:fldCharType="end"/>
      </w:r>
    </w:p>
    <w:p w14:paraId="0FDE76FE">
      <w:pPr>
        <w:pStyle w:val="33"/>
        <w:tabs>
          <w:tab w:val="right" w:leader="dot" w:pos="8312"/>
          <w:tab w:val="clear" w:pos="9072"/>
        </w:tabs>
      </w:pPr>
      <w:r>
        <w:fldChar w:fldCharType="begin"/>
      </w:r>
      <w:r>
        <w:instrText xml:space="preserve"> HYPERLINK \l _Toc8534 </w:instrText>
      </w:r>
      <w:r>
        <w:fldChar w:fldCharType="separate"/>
      </w:r>
      <w:r>
        <w:rPr>
          <w:rFonts w:ascii="Times New Roman" w:hAnsi="Times New Roman" w:cs="Times New Roman"/>
          <w:kern w:val="0"/>
          <w:szCs w:val="21"/>
        </w:rPr>
        <w:t>14.3 查阅方式</w:t>
      </w:r>
      <w:r>
        <w:tab/>
      </w:r>
      <w:r>
        <w:fldChar w:fldCharType="begin"/>
      </w:r>
      <w:r>
        <w:instrText xml:space="preserve"> PAGEREF _Toc8534 \h </w:instrText>
      </w:r>
      <w:r>
        <w:fldChar w:fldCharType="separate"/>
      </w:r>
      <w:r>
        <w:t>96</w:t>
      </w:r>
      <w:r>
        <w:fldChar w:fldCharType="end"/>
      </w:r>
      <w:r>
        <w:fldChar w:fldCharType="end"/>
      </w:r>
    </w:p>
    <w:p w14:paraId="7929AC28">
      <w:pPr>
        <w:pStyle w:val="2"/>
        <w:spacing w:before="312" w:beforeLines="100" w:after="312" w:afterLines="100" w:line="360" w:lineRule="auto"/>
        <w:jc w:val="center"/>
        <w:rPr>
          <w:b w:val="0"/>
          <w:kern w:val="2"/>
          <w:sz w:val="21"/>
          <w:szCs w:val="21"/>
        </w:rPr>
      </w:pPr>
      <w:r>
        <w:fldChar w:fldCharType="end"/>
      </w:r>
      <w:bookmarkStart w:id="22" w:name="_Toc28830"/>
      <w:r>
        <w:br w:type="page"/>
      </w:r>
      <w:r>
        <w:rPr>
          <w:kern w:val="0"/>
          <w:sz w:val="21"/>
          <w:szCs w:val="21"/>
        </w:rPr>
        <w:t xml:space="preserve">§2  </w:t>
      </w:r>
      <w:r>
        <w:rPr>
          <w:rFonts w:hint="eastAsia"/>
          <w:kern w:val="0"/>
          <w:sz w:val="21"/>
          <w:szCs w:val="21"/>
        </w:rPr>
        <w:t>不动产</w:t>
      </w:r>
      <w:r>
        <w:rPr>
          <w:kern w:val="0"/>
          <w:sz w:val="21"/>
          <w:szCs w:val="21"/>
        </w:rPr>
        <w:t>基金简</w:t>
      </w:r>
      <w:bookmarkEnd w:id="20"/>
      <w:r>
        <w:rPr>
          <w:kern w:val="0"/>
          <w:sz w:val="21"/>
          <w:szCs w:val="21"/>
        </w:rPr>
        <w:t>介</w:t>
      </w:r>
      <w:bookmarkEnd w:id="21"/>
      <w:bookmarkEnd w:id="22"/>
    </w:p>
    <w:p w14:paraId="4EBE7BEF">
      <w:pPr>
        <w:pStyle w:val="3"/>
        <w:spacing w:before="0" w:after="0"/>
        <w:rPr>
          <w:rFonts w:ascii="Times New Roman" w:hAnsi="Times New Roman" w:cs="Times New Roman"/>
          <w:kern w:val="0"/>
          <w:sz w:val="21"/>
          <w:szCs w:val="21"/>
        </w:rPr>
      </w:pPr>
      <w:bookmarkStart w:id="23" w:name="_Toc27206"/>
      <w:bookmarkStart w:id="24" w:name="_Toc98602956"/>
      <w:r>
        <w:rPr>
          <w:rFonts w:ascii="Times New Roman" w:hAnsi="Times New Roman" w:cs="Times New Roman"/>
          <w:kern w:val="0"/>
          <w:sz w:val="21"/>
          <w:szCs w:val="21"/>
        </w:rPr>
        <w:t xml:space="preserve">2.1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基金产品基本情况</w:t>
      </w:r>
      <w:bookmarkEnd w:id="23"/>
      <w:bookmarkEnd w:id="24"/>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5812"/>
      </w:tblGrid>
      <w:tr w14:paraId="4BC7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7CA54DF9">
            <w:pPr>
              <w:pStyle w:val="161"/>
              <w:rPr>
                <w:rFonts w:ascii="Times New Roman" w:hAnsi="Times New Roman" w:eastAsia="宋体"/>
                <w:color w:val="auto"/>
              </w:rPr>
            </w:pPr>
            <w:r>
              <w:rPr>
                <w:rFonts w:ascii="Times New Roman" w:hAnsi="Times New Roman" w:eastAsia="宋体"/>
                <w:color w:val="auto"/>
              </w:rPr>
              <w:t>基金名称</w:t>
            </w:r>
          </w:p>
        </w:tc>
        <w:tc>
          <w:tcPr>
            <w:tcW w:w="5812" w:type="dxa"/>
            <w:vAlign w:val="center"/>
          </w:tcPr>
          <w:p w14:paraId="6CAD349A">
            <w:pPr>
              <w:pStyle w:val="161"/>
              <w:rPr>
                <w:rFonts w:ascii="Times New Roman" w:hAnsi="Times New Roman" w:eastAsia="宋体"/>
                <w:color w:val="auto"/>
              </w:rPr>
            </w:pPr>
            <w:r>
              <w:rPr>
                <w:rFonts w:ascii="Times New Roman" w:hAnsi="Times New Roman" w:eastAsia="宋体"/>
                <w:color w:val="auto"/>
              </w:rPr>
              <w:t>博时招商蛇口产业园封闭式基础设施证券投资基金</w:t>
            </w:r>
          </w:p>
        </w:tc>
      </w:tr>
      <w:tr w14:paraId="2263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5017AC1B">
            <w:pPr>
              <w:pStyle w:val="161"/>
              <w:rPr>
                <w:rFonts w:ascii="Times New Roman" w:hAnsi="Times New Roman" w:eastAsia="宋体"/>
                <w:color w:val="auto"/>
              </w:rPr>
            </w:pPr>
            <w:r>
              <w:rPr>
                <w:rFonts w:ascii="Times New Roman" w:hAnsi="Times New Roman" w:eastAsia="宋体"/>
                <w:color w:val="auto"/>
              </w:rPr>
              <w:t>基金简称</w:t>
            </w:r>
          </w:p>
        </w:tc>
        <w:tc>
          <w:tcPr>
            <w:tcW w:w="5812" w:type="dxa"/>
            <w:vAlign w:val="center"/>
          </w:tcPr>
          <w:p w14:paraId="37325E94">
            <w:pPr>
              <w:pStyle w:val="161"/>
              <w:rPr>
                <w:rFonts w:ascii="Times New Roman" w:hAnsi="Times New Roman" w:eastAsia="宋体"/>
                <w:color w:val="auto"/>
              </w:rPr>
            </w:pPr>
            <w:r>
              <w:rPr>
                <w:rFonts w:ascii="Times New Roman" w:hAnsi="Times New Roman" w:eastAsia="宋体"/>
                <w:color w:val="auto"/>
              </w:rPr>
              <w:t>博时招商蛇口产业园REIT</w:t>
            </w:r>
          </w:p>
        </w:tc>
      </w:tr>
      <w:tr w14:paraId="7DBD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4E0DD0B1">
            <w:pPr>
              <w:pStyle w:val="161"/>
              <w:rPr>
                <w:rFonts w:ascii="Times New Roman" w:hAnsi="Times New Roman" w:eastAsia="宋体"/>
                <w:color w:val="auto"/>
              </w:rPr>
            </w:pPr>
            <w:r>
              <w:rPr>
                <w:rFonts w:ascii="Times New Roman" w:hAnsi="Times New Roman" w:eastAsia="宋体"/>
                <w:color w:val="auto"/>
              </w:rPr>
              <w:t>场内简称</w:t>
            </w:r>
          </w:p>
        </w:tc>
        <w:tc>
          <w:tcPr>
            <w:tcW w:w="5812" w:type="dxa"/>
            <w:vAlign w:val="center"/>
          </w:tcPr>
          <w:p w14:paraId="030BFB88">
            <w:pPr>
              <w:pStyle w:val="161"/>
              <w:rPr>
                <w:rFonts w:ascii="Times New Roman" w:hAnsi="Times New Roman" w:eastAsia="宋体"/>
                <w:color w:val="auto"/>
              </w:rPr>
            </w:pPr>
            <w:r>
              <w:rPr>
                <w:rFonts w:ascii="Times New Roman" w:hAnsi="Times New Roman" w:eastAsia="宋体"/>
                <w:color w:val="auto"/>
              </w:rPr>
              <w:t>博时蛇口产园REIT</w:t>
            </w:r>
          </w:p>
        </w:tc>
      </w:tr>
      <w:tr w14:paraId="5424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bottom w:val="single" w:color="auto" w:sz="4" w:space="0"/>
              <w:right w:val="single" w:color="auto" w:sz="4" w:space="0"/>
            </w:tcBorders>
            <w:vAlign w:val="center"/>
          </w:tcPr>
          <w:p w14:paraId="63298C85">
            <w:pPr>
              <w:pStyle w:val="161"/>
              <w:rPr>
                <w:rFonts w:ascii="Times New Roman" w:hAnsi="Times New Roman" w:eastAsia="宋体"/>
                <w:color w:val="auto"/>
              </w:rPr>
            </w:pPr>
            <w:r>
              <w:rPr>
                <w:rFonts w:ascii="Times New Roman" w:hAnsi="Times New Roman" w:eastAsia="宋体"/>
                <w:color w:val="auto"/>
              </w:rPr>
              <w:t>基金代码</w:t>
            </w:r>
          </w:p>
        </w:tc>
        <w:tc>
          <w:tcPr>
            <w:tcW w:w="5812" w:type="dxa"/>
            <w:tcBorders>
              <w:top w:val="single" w:color="auto" w:sz="4" w:space="0"/>
              <w:left w:val="single" w:color="auto" w:sz="4" w:space="0"/>
              <w:bottom w:val="single" w:color="auto" w:sz="4" w:space="0"/>
              <w:right w:val="single" w:color="auto" w:sz="4" w:space="0"/>
            </w:tcBorders>
            <w:vAlign w:val="center"/>
          </w:tcPr>
          <w:p w14:paraId="4C00C220">
            <w:pPr>
              <w:pStyle w:val="161"/>
              <w:rPr>
                <w:rFonts w:ascii="Times New Roman" w:hAnsi="Times New Roman" w:eastAsia="宋体"/>
                <w:color w:val="auto"/>
              </w:rPr>
            </w:pPr>
            <w:r>
              <w:rPr>
                <w:rFonts w:ascii="Times New Roman" w:hAnsi="Times New Roman" w:eastAsia="宋体"/>
                <w:color w:val="auto"/>
              </w:rPr>
              <w:t>180101</w:t>
            </w:r>
          </w:p>
        </w:tc>
      </w:tr>
      <w:tr w14:paraId="4002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bottom w:val="single" w:color="auto" w:sz="4" w:space="0"/>
              <w:right w:val="single" w:color="auto" w:sz="4" w:space="0"/>
            </w:tcBorders>
            <w:vAlign w:val="center"/>
          </w:tcPr>
          <w:p w14:paraId="0D79D89E">
            <w:pPr>
              <w:pStyle w:val="161"/>
              <w:rPr>
                <w:rFonts w:ascii="Times New Roman" w:hAnsi="Times New Roman" w:eastAsia="宋体"/>
                <w:color w:val="auto"/>
              </w:rPr>
            </w:pPr>
            <w:r>
              <w:rPr>
                <w:rFonts w:ascii="Times New Roman" w:hAnsi="Times New Roman" w:eastAsia="宋体"/>
                <w:color w:val="auto"/>
              </w:rPr>
              <w:t>交易代码</w:t>
            </w:r>
          </w:p>
        </w:tc>
        <w:tc>
          <w:tcPr>
            <w:tcW w:w="5812" w:type="dxa"/>
            <w:tcBorders>
              <w:top w:val="single" w:color="auto" w:sz="4" w:space="0"/>
              <w:left w:val="single" w:color="auto" w:sz="4" w:space="0"/>
              <w:bottom w:val="single" w:color="auto" w:sz="4" w:space="0"/>
              <w:right w:val="single" w:color="auto" w:sz="4" w:space="0"/>
            </w:tcBorders>
            <w:vAlign w:val="center"/>
          </w:tcPr>
          <w:p w14:paraId="0D242DEF">
            <w:pPr>
              <w:pStyle w:val="161"/>
              <w:rPr>
                <w:rFonts w:ascii="Times New Roman" w:hAnsi="Times New Roman" w:eastAsia="宋体"/>
                <w:color w:val="auto"/>
              </w:rPr>
            </w:pPr>
            <w:r>
              <w:rPr>
                <w:rFonts w:ascii="Times New Roman" w:hAnsi="Times New Roman" w:eastAsia="宋体"/>
                <w:color w:val="auto"/>
              </w:rPr>
              <w:t>180101</w:t>
            </w:r>
          </w:p>
        </w:tc>
      </w:tr>
      <w:tr w14:paraId="2B821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470DBA5F">
            <w:pPr>
              <w:pStyle w:val="161"/>
              <w:rPr>
                <w:rFonts w:ascii="Times New Roman" w:hAnsi="Times New Roman" w:eastAsia="宋体"/>
                <w:color w:val="auto"/>
              </w:rPr>
            </w:pPr>
            <w:r>
              <w:rPr>
                <w:rFonts w:ascii="Times New Roman" w:hAnsi="Times New Roman" w:eastAsia="宋体"/>
                <w:color w:val="auto"/>
              </w:rPr>
              <w:t>基金运作方式</w:t>
            </w:r>
          </w:p>
        </w:tc>
        <w:tc>
          <w:tcPr>
            <w:tcW w:w="5812" w:type="dxa"/>
            <w:vAlign w:val="center"/>
          </w:tcPr>
          <w:p w14:paraId="74B3A9B2">
            <w:pPr>
              <w:pStyle w:val="161"/>
              <w:rPr>
                <w:rFonts w:ascii="Times New Roman" w:hAnsi="Times New Roman" w:eastAsia="宋体"/>
                <w:color w:val="auto"/>
              </w:rPr>
            </w:pPr>
            <w:r>
              <w:rPr>
                <w:rFonts w:ascii="Times New Roman" w:hAnsi="Times New Roman" w:eastAsia="宋体"/>
                <w:color w:val="auto"/>
              </w:rPr>
              <w:t>契约型封闭式</w:t>
            </w:r>
          </w:p>
        </w:tc>
      </w:tr>
      <w:tr w14:paraId="4F4C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38479F92">
            <w:pPr>
              <w:pStyle w:val="161"/>
              <w:rPr>
                <w:rFonts w:ascii="Times New Roman" w:hAnsi="Times New Roman" w:eastAsia="宋体"/>
                <w:color w:val="auto"/>
              </w:rPr>
            </w:pPr>
            <w:r>
              <w:rPr>
                <w:rFonts w:ascii="Times New Roman" w:hAnsi="Times New Roman" w:eastAsia="宋体"/>
                <w:color w:val="auto"/>
              </w:rPr>
              <w:t>基金合同生效日</w:t>
            </w:r>
          </w:p>
        </w:tc>
        <w:tc>
          <w:tcPr>
            <w:tcW w:w="5812" w:type="dxa"/>
            <w:vAlign w:val="center"/>
          </w:tcPr>
          <w:p w14:paraId="2EC17902">
            <w:pPr>
              <w:pStyle w:val="161"/>
              <w:rPr>
                <w:rFonts w:ascii="Times New Roman" w:hAnsi="Times New Roman" w:eastAsia="宋体"/>
                <w:color w:val="auto"/>
              </w:rPr>
            </w:pPr>
            <w:r>
              <w:rPr>
                <w:rFonts w:ascii="Times New Roman" w:hAnsi="Times New Roman" w:eastAsia="宋体"/>
                <w:color w:val="auto"/>
              </w:rPr>
              <w:t>2021年6月7日</w:t>
            </w:r>
          </w:p>
        </w:tc>
      </w:tr>
      <w:tr w14:paraId="3BBA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35AD9CA4">
            <w:pPr>
              <w:pStyle w:val="161"/>
              <w:rPr>
                <w:rFonts w:ascii="Times New Roman" w:hAnsi="Times New Roman" w:eastAsia="宋体"/>
                <w:color w:val="auto"/>
              </w:rPr>
            </w:pPr>
            <w:r>
              <w:rPr>
                <w:rFonts w:ascii="Times New Roman" w:hAnsi="Times New Roman" w:eastAsia="宋体"/>
                <w:color w:val="auto"/>
              </w:rPr>
              <w:t>基金管理人</w:t>
            </w:r>
          </w:p>
        </w:tc>
        <w:tc>
          <w:tcPr>
            <w:tcW w:w="5812" w:type="dxa"/>
            <w:vAlign w:val="center"/>
          </w:tcPr>
          <w:p w14:paraId="605F1BD0">
            <w:pPr>
              <w:pStyle w:val="161"/>
              <w:rPr>
                <w:rFonts w:ascii="Times New Roman" w:hAnsi="Times New Roman" w:eastAsia="宋体"/>
                <w:color w:val="auto"/>
              </w:rPr>
            </w:pPr>
            <w:r>
              <w:rPr>
                <w:rFonts w:ascii="Times New Roman" w:hAnsi="Times New Roman" w:eastAsia="宋体"/>
                <w:color w:val="auto"/>
              </w:rPr>
              <w:t>博时基金管理有限公司</w:t>
            </w:r>
          </w:p>
        </w:tc>
      </w:tr>
      <w:tr w14:paraId="502D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0CE5BD64">
            <w:pPr>
              <w:pStyle w:val="161"/>
              <w:rPr>
                <w:rFonts w:ascii="Times New Roman" w:hAnsi="Times New Roman" w:eastAsia="宋体"/>
                <w:color w:val="auto"/>
              </w:rPr>
            </w:pPr>
            <w:r>
              <w:rPr>
                <w:rFonts w:ascii="Times New Roman" w:hAnsi="Times New Roman" w:eastAsia="宋体"/>
                <w:color w:val="auto"/>
              </w:rPr>
              <w:t>基金托管人</w:t>
            </w:r>
          </w:p>
        </w:tc>
        <w:tc>
          <w:tcPr>
            <w:tcW w:w="5812" w:type="dxa"/>
            <w:vAlign w:val="center"/>
          </w:tcPr>
          <w:p w14:paraId="649F592D">
            <w:pPr>
              <w:pStyle w:val="161"/>
              <w:rPr>
                <w:rFonts w:ascii="Times New Roman" w:hAnsi="Times New Roman" w:eastAsia="宋体"/>
                <w:color w:val="auto"/>
              </w:rPr>
            </w:pPr>
            <w:r>
              <w:rPr>
                <w:rFonts w:ascii="Times New Roman" w:hAnsi="Times New Roman" w:eastAsia="宋体"/>
                <w:color w:val="auto"/>
              </w:rPr>
              <w:t>招商银行股份有限公司</w:t>
            </w:r>
          </w:p>
        </w:tc>
      </w:tr>
      <w:tr w14:paraId="550AE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6A936E11">
            <w:pPr>
              <w:pStyle w:val="161"/>
              <w:rPr>
                <w:rFonts w:ascii="Times New Roman" w:hAnsi="Times New Roman" w:eastAsia="宋体"/>
                <w:color w:val="auto"/>
              </w:rPr>
            </w:pPr>
            <w:r>
              <w:rPr>
                <w:rFonts w:ascii="Times New Roman" w:hAnsi="Times New Roman" w:eastAsia="宋体"/>
                <w:color w:val="auto"/>
              </w:rPr>
              <w:t>报告期末基金份额总额</w:t>
            </w:r>
          </w:p>
        </w:tc>
        <w:tc>
          <w:tcPr>
            <w:tcW w:w="5812" w:type="dxa"/>
            <w:vAlign w:val="center"/>
          </w:tcPr>
          <w:p w14:paraId="34F278A3">
            <w:pPr>
              <w:pStyle w:val="161"/>
              <w:rPr>
                <w:rFonts w:ascii="Times New Roman" w:hAnsi="Times New Roman" w:eastAsia="宋体"/>
                <w:color w:val="auto"/>
              </w:rPr>
            </w:pPr>
            <w:r>
              <w:rPr>
                <w:rFonts w:ascii="Times New Roman" w:hAnsi="Times New Roman" w:eastAsia="宋体"/>
                <w:color w:val="auto"/>
              </w:rPr>
              <w:t>1,421,130,866.00份</w:t>
            </w:r>
          </w:p>
        </w:tc>
      </w:tr>
      <w:tr w14:paraId="23B8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1E1BC240">
            <w:pPr>
              <w:pStyle w:val="161"/>
              <w:rPr>
                <w:rFonts w:ascii="Times New Roman" w:hAnsi="Times New Roman" w:eastAsia="宋体"/>
                <w:color w:val="auto"/>
              </w:rPr>
            </w:pPr>
            <w:r>
              <w:rPr>
                <w:rFonts w:ascii="Times New Roman" w:hAnsi="Times New Roman" w:eastAsia="宋体"/>
                <w:color w:val="auto"/>
              </w:rPr>
              <w:t>基金合同存续期</w:t>
            </w:r>
          </w:p>
        </w:tc>
        <w:tc>
          <w:tcPr>
            <w:tcW w:w="5812" w:type="dxa"/>
            <w:vAlign w:val="center"/>
          </w:tcPr>
          <w:p w14:paraId="29F7D523">
            <w:pPr>
              <w:pStyle w:val="161"/>
              <w:rPr>
                <w:rFonts w:ascii="Times New Roman" w:hAnsi="Times New Roman" w:eastAsia="宋体"/>
                <w:color w:val="auto"/>
              </w:rPr>
            </w:pPr>
            <w:r>
              <w:rPr>
                <w:rFonts w:ascii="Times New Roman" w:hAnsi="Times New Roman" w:eastAsia="宋体"/>
                <w:color w:val="auto"/>
              </w:rPr>
              <w:t>50年（根据基金合同约定延长/缩短存续期限的除外）</w:t>
            </w:r>
          </w:p>
        </w:tc>
      </w:tr>
      <w:tr w14:paraId="239AF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749DEAF7">
            <w:pPr>
              <w:pStyle w:val="161"/>
              <w:rPr>
                <w:rFonts w:ascii="Times New Roman" w:hAnsi="Times New Roman" w:eastAsia="宋体"/>
                <w:color w:val="auto"/>
              </w:rPr>
            </w:pPr>
            <w:r>
              <w:rPr>
                <w:rFonts w:ascii="Times New Roman" w:hAnsi="Times New Roman" w:eastAsia="宋体"/>
                <w:color w:val="auto"/>
              </w:rPr>
              <w:t>基金份额上市的证券交易所</w:t>
            </w:r>
          </w:p>
        </w:tc>
        <w:tc>
          <w:tcPr>
            <w:tcW w:w="5812" w:type="dxa"/>
            <w:vAlign w:val="center"/>
          </w:tcPr>
          <w:p w14:paraId="694BFFA3">
            <w:pPr>
              <w:pStyle w:val="161"/>
              <w:rPr>
                <w:rFonts w:ascii="Times New Roman" w:hAnsi="Times New Roman" w:eastAsia="宋体"/>
                <w:color w:val="auto"/>
              </w:rPr>
            </w:pPr>
            <w:r>
              <w:rPr>
                <w:rFonts w:ascii="Times New Roman" w:hAnsi="Times New Roman" w:eastAsia="宋体"/>
                <w:color w:val="auto"/>
              </w:rPr>
              <w:t>深圳证券交易所</w:t>
            </w:r>
          </w:p>
        </w:tc>
      </w:tr>
      <w:tr w14:paraId="21AD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0C1FC996">
            <w:pPr>
              <w:pStyle w:val="161"/>
              <w:rPr>
                <w:rFonts w:ascii="Times New Roman" w:hAnsi="Times New Roman" w:eastAsia="宋体"/>
                <w:color w:val="auto"/>
              </w:rPr>
            </w:pPr>
            <w:r>
              <w:rPr>
                <w:rFonts w:ascii="Times New Roman" w:hAnsi="Times New Roman" w:eastAsia="宋体"/>
                <w:color w:val="auto"/>
              </w:rPr>
              <w:t>上市日期</w:t>
            </w:r>
          </w:p>
        </w:tc>
        <w:tc>
          <w:tcPr>
            <w:tcW w:w="5812" w:type="dxa"/>
            <w:vAlign w:val="center"/>
          </w:tcPr>
          <w:p w14:paraId="3A852A21">
            <w:pPr>
              <w:pStyle w:val="161"/>
              <w:rPr>
                <w:rFonts w:ascii="Times New Roman" w:hAnsi="Times New Roman" w:eastAsia="宋体"/>
                <w:color w:val="auto"/>
              </w:rPr>
            </w:pPr>
            <w:r>
              <w:rPr>
                <w:rFonts w:ascii="Times New Roman" w:hAnsi="Times New Roman" w:eastAsia="宋体"/>
                <w:color w:val="auto"/>
              </w:rPr>
              <w:t>2021-06-21</w:t>
            </w:r>
          </w:p>
        </w:tc>
      </w:tr>
      <w:tr w14:paraId="0B71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299DDA7F">
            <w:pPr>
              <w:pStyle w:val="161"/>
              <w:rPr>
                <w:rFonts w:ascii="Times New Roman" w:hAnsi="Times New Roman" w:eastAsia="宋体"/>
                <w:color w:val="auto"/>
              </w:rPr>
            </w:pPr>
            <w:r>
              <w:rPr>
                <w:rFonts w:ascii="Times New Roman" w:hAnsi="Times New Roman" w:eastAsia="宋体"/>
                <w:color w:val="auto"/>
              </w:rPr>
              <w:t>投资目标</w:t>
            </w:r>
          </w:p>
        </w:tc>
        <w:tc>
          <w:tcPr>
            <w:tcW w:w="5812" w:type="dxa"/>
            <w:vAlign w:val="center"/>
          </w:tcPr>
          <w:p w14:paraId="27D40285">
            <w:pPr>
              <w:pStyle w:val="161"/>
              <w:rPr>
                <w:rFonts w:ascii="Times New Roman" w:hAnsi="Times New Roman" w:eastAsia="宋体"/>
                <w:color w:val="auto"/>
              </w:rPr>
            </w:pPr>
            <w:r>
              <w:rPr>
                <w:rFonts w:ascii="Times New Roman" w:hAnsi="Times New Roman" w:eastAsia="宋体"/>
                <w:color w:val="auto"/>
              </w:rPr>
              <w:t>本基金主要投资于不动产资产支持证券，并持有其全部份额；本基金通过资产支持证券等特殊目的载体取得不动产项目公司全部股权，最终取得相关不动产项目完全所有权。本基金通过主动的投资管理和运营管理，提升不动产项目的运营收益水平，力争为基金份额持有人提供稳定的收益分配及长期可持续的收益分配增长，并争取提升不动产项目价值。</w:t>
            </w:r>
          </w:p>
        </w:tc>
      </w:tr>
      <w:tr w14:paraId="5C5E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19876DA4">
            <w:pPr>
              <w:pStyle w:val="161"/>
              <w:rPr>
                <w:rFonts w:ascii="Times New Roman" w:hAnsi="Times New Roman" w:eastAsia="宋体"/>
                <w:color w:val="auto"/>
              </w:rPr>
            </w:pPr>
            <w:r>
              <w:rPr>
                <w:rFonts w:ascii="Times New Roman" w:hAnsi="Times New Roman" w:eastAsia="宋体"/>
                <w:color w:val="auto"/>
              </w:rPr>
              <w:t>投资策略</w:t>
            </w:r>
          </w:p>
        </w:tc>
        <w:tc>
          <w:tcPr>
            <w:tcW w:w="5812" w:type="dxa"/>
            <w:vAlign w:val="center"/>
          </w:tcPr>
          <w:p w14:paraId="379AC46E">
            <w:pPr>
              <w:pStyle w:val="161"/>
              <w:rPr>
                <w:rFonts w:ascii="Times New Roman" w:hAnsi="Times New Roman" w:eastAsia="宋体"/>
                <w:color w:val="auto"/>
              </w:rPr>
            </w:pPr>
            <w:r>
              <w:rPr>
                <w:rFonts w:ascii="Times New Roman" w:hAnsi="Times New Roman" w:eastAsia="宋体"/>
                <w:color w:val="auto"/>
              </w:rPr>
              <w:t>（一）不动产项目投资策略</w:t>
            </w:r>
          </w:p>
          <w:p w14:paraId="37B3086F">
            <w:pPr>
              <w:pStyle w:val="161"/>
              <w:rPr>
                <w:rFonts w:ascii="Times New Roman" w:hAnsi="Times New Roman" w:eastAsia="宋体"/>
                <w:color w:val="auto"/>
              </w:rPr>
            </w:pPr>
            <w:r>
              <w:rPr>
                <w:rFonts w:ascii="Times New Roman" w:hAnsi="Times New Roman" w:eastAsia="宋体"/>
                <w:color w:val="auto"/>
              </w:rPr>
              <w:t>1、资产支持专项计划投资策略本基金投资于招商蛇口博时产业园基础设施1期资产支持专项计划及招商蛇口博时产业园基础设施2期资产支持专项计划的全部资产支持证券。招商蛇口博时产业园基础设施1期资产支持专项计划持有项目公司（万融）100%的股权和其他附属权益及衍生权益以及项目公司（万海）100%的股权和其他附属权益及衍生权益。招商蛇口博时产业园基础设施2期资产支持专项计划投资于招商蛇口产业园2期SPV等，本基金通过资产支持证券、招商蛇口产业园2期SPV、项目公司等特殊目的载体取得由原始权益人（招商光明）原持有的不动产项目的完全所有权和对相关招商蛇口产业园1期项目公司的相应权利。存续期内，本基金投资于不动产资产支持证券的资产比例不低于基金资产的80%。2、运营管理策略本基金将审慎论证宏观经济因素（就业、利率、人口结构等）、不动产项目行业周期（供需结构、运营收入和资产价格波动等）、其他可比资产项目的风险和预期收益率来判断不动产项目当前的投资价值以及未来的发展空间。在此基础上，本基金将深入调研不动产项目的基本面（包括但不限于位置、质量、资产价格、出租率、租金价格、租户、租约、现金流等）和运营基本面（包括但不限于定位、经营策略、租赁能力、运营管理能力、物业管理能力等），综合评估其收益状况、增值潜力和预测现金流收入规模等。同时，基金管理人将采取积极措施以提升不动产项目的租金收入、出租率和净收益水平，提升长期增长前景。本基金将主要采取以下措施及策略维持最优出租率，实现租金收入的可持续增长：（1）积极开展不动产项目租赁管理；通过提供增值服务与现有租户维持良好关系，提高租户满意度，针对租赁期限即将届满的租赁协议，提前开展续租工作，将租赁协议届满所引致的影响减至最低；（2）实施积极的营销推广策略及租赁方案以维持较高的出租率及租金水平；（3）优化租户结构，丰富租户多元性，通过高质量运营提升资产价值和回报水平；（4）与外部管理机构合作，提供高标准的专业服务，以满足租户的持续需求并提高其忠诚度；（5）通过科学和规范的资产管理与项目运营，降低不动产项目运营成本，提升盈利水平。本基金将探索不同的策略，对不动产项目实施资产保值增值措施，从而进一步提高不动产项目的回报率，如升级设施、翻新及重建公共区域等。3、扩募收购策略等资产收购策略基金存续期内，本基金将积极寻找其他优质的不动产项目，以分散不动产项目的经营风险、提高基金资产的投资和运营收益。在评估潜在收购机会时，本基金管理人将专注于考核收益率要求、地理位置及增长潜力、租用及租户特征、资产增值潜力、建筑物及设施规格等。本基金可以通过扩募购入不动产项目，亦可通过出售原有部分或全部不动产项目的方式购入其他不动产项目。4、资产出售及处置策略基金存续期内，若出现本基金原有部分或全部不动产项目持有期收益率下降、不动产项目运营质量下降、不动产项目的市场价值持续走高溢价明显或有更好的收购标的等情况时，基金管理人将寻求机会处置不动产项目。基金管理人将积极寻求综合实力强、报价合理的交易对手方，在平衡资产对价、交割速度、付款方案等多个因素后，择机处置相关不动产项目。如本基金存续期内不动产项目的产权证到期且续期困难或续期价值不明显，或本基金存续期届满后不再续期，基金管理人将提前安排不动产项目处置方案，积极寻求综合实力强、报价合理的交易对手方，在平衡资产对价、交割速度、付款方案等多个因素后，力争于清算期内完成资产处置。</w:t>
            </w:r>
          </w:p>
          <w:p w14:paraId="29327F50">
            <w:pPr>
              <w:pStyle w:val="161"/>
              <w:rPr>
                <w:rFonts w:ascii="Times New Roman" w:hAnsi="Times New Roman" w:eastAsia="宋体"/>
                <w:color w:val="auto"/>
              </w:rPr>
            </w:pPr>
            <w:r>
              <w:rPr>
                <w:rFonts w:ascii="Times New Roman" w:hAnsi="Times New Roman" w:eastAsia="宋体"/>
                <w:color w:val="auto"/>
              </w:rPr>
              <w:t>（二）基金的融资策略</w:t>
            </w:r>
          </w:p>
          <w:p w14:paraId="6E4FE51F">
            <w:pPr>
              <w:pStyle w:val="161"/>
              <w:rPr>
                <w:rFonts w:ascii="Times New Roman" w:hAnsi="Times New Roman" w:eastAsia="宋体"/>
                <w:color w:val="auto"/>
              </w:rPr>
            </w:pPr>
            <w:r>
              <w:rPr>
                <w:rFonts w:ascii="Times New Roman" w:hAnsi="Times New Roman" w:eastAsia="宋体"/>
                <w:color w:val="auto"/>
              </w:rPr>
              <w:t>基金存续期内，在控制风险及遵循基金份额持有人利益优先原则的前提下，本基金将综合使用各种融资方式，提高基金份额持有人的投资收益，包括但不限于基金扩募、回购、直接或间接对外借入款项和法律法规允许的其他方式等。本基金扩募的相关安排详见《基金合同》“第五部分基金的扩募”。本基金借款相关限制详见招募说明书“九、借款限制”的相关内容。</w:t>
            </w:r>
          </w:p>
          <w:p w14:paraId="49D5BC6B">
            <w:pPr>
              <w:pStyle w:val="161"/>
              <w:rPr>
                <w:rFonts w:ascii="Times New Roman" w:hAnsi="Times New Roman" w:eastAsia="宋体"/>
                <w:color w:val="auto"/>
              </w:rPr>
            </w:pPr>
            <w:r>
              <w:rPr>
                <w:rFonts w:ascii="Times New Roman" w:hAnsi="Times New Roman" w:eastAsia="宋体"/>
                <w:color w:val="auto"/>
              </w:rPr>
              <w:t>（三）固定收益投资策略</w:t>
            </w:r>
          </w:p>
          <w:p w14:paraId="7B85F03C">
            <w:pPr>
              <w:pStyle w:val="161"/>
              <w:rPr>
                <w:rFonts w:ascii="Times New Roman" w:hAnsi="Times New Roman" w:eastAsia="宋体"/>
                <w:color w:val="auto"/>
              </w:rPr>
            </w:pPr>
            <w:r>
              <w:rPr>
                <w:rFonts w:ascii="Times New Roman" w:hAnsi="Times New Roman" w:eastAsia="宋体"/>
                <w:color w:val="auto"/>
              </w:rPr>
              <w:t>存续期内，本基金除投资不动产资产支持证券外，其余基金资产应当依法投资于利率债、AAA级信用债或货币市场工具。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在谨慎投资的前提下，力争获取稳健的投资收益。</w:t>
            </w:r>
          </w:p>
        </w:tc>
      </w:tr>
      <w:tr w14:paraId="655C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vAlign w:val="center"/>
          </w:tcPr>
          <w:p w14:paraId="7D3BBE3C">
            <w:pPr>
              <w:pStyle w:val="161"/>
              <w:rPr>
                <w:rFonts w:ascii="Times New Roman" w:hAnsi="Times New Roman" w:eastAsia="宋体"/>
                <w:color w:val="auto"/>
              </w:rPr>
            </w:pPr>
            <w:r>
              <w:rPr>
                <w:rFonts w:ascii="Times New Roman" w:hAnsi="Times New Roman" w:eastAsia="宋体"/>
                <w:color w:val="auto"/>
              </w:rPr>
              <w:t>风险收益特征</w:t>
            </w:r>
          </w:p>
        </w:tc>
        <w:tc>
          <w:tcPr>
            <w:tcW w:w="5812" w:type="dxa"/>
            <w:vAlign w:val="center"/>
          </w:tcPr>
          <w:p w14:paraId="77FDF995">
            <w:pPr>
              <w:pStyle w:val="161"/>
              <w:rPr>
                <w:rFonts w:ascii="Times New Roman" w:hAnsi="Times New Roman" w:eastAsia="宋体"/>
                <w:color w:val="auto"/>
              </w:rPr>
            </w:pPr>
            <w:r>
              <w:rPr>
                <w:rFonts w:ascii="Times New Roman" w:hAnsi="Times New Roman" w:eastAsia="宋体"/>
                <w:color w:val="auto"/>
              </w:rPr>
              <w:t>本基金在封闭运作期内主要投资于不动产资产支持证券，获取不动产运营收益并承担不动产价格波动。本基金的预期收益及预期风险水平高于债券型基金和货币型基金，低于股票型基金。</w:t>
            </w:r>
          </w:p>
        </w:tc>
      </w:tr>
      <w:tr w14:paraId="1F43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30FE3226">
            <w:pPr>
              <w:pStyle w:val="161"/>
              <w:rPr>
                <w:rFonts w:ascii="Times New Roman" w:hAnsi="Times New Roman" w:eastAsia="宋体"/>
                <w:color w:val="auto"/>
              </w:rPr>
            </w:pPr>
            <w:r>
              <w:rPr>
                <w:rFonts w:ascii="Times New Roman" w:hAnsi="Times New Roman" w:eastAsia="宋体"/>
                <w:color w:val="auto"/>
              </w:rPr>
              <w:t>基金收益分配政策</w:t>
            </w:r>
          </w:p>
        </w:tc>
        <w:tc>
          <w:tcPr>
            <w:tcW w:w="5812" w:type="dxa"/>
            <w:vAlign w:val="center"/>
          </w:tcPr>
          <w:p w14:paraId="22D6A34A">
            <w:pPr>
              <w:pStyle w:val="161"/>
              <w:rPr>
                <w:rFonts w:ascii="Times New Roman" w:hAnsi="Times New Roman" w:eastAsia="宋体"/>
                <w:color w:val="auto"/>
              </w:rPr>
            </w:pPr>
            <w:r>
              <w:rPr>
                <w:rFonts w:ascii="Times New Roman" w:hAnsi="Times New Roman" w:eastAsia="宋体"/>
                <w:color w:val="auto"/>
              </w:rPr>
              <w:t>本基金收益分配采取现金分红方式。在符合有关基金分红的条件下，本基金每年至少进行收益分配1次，每年收益分配的比例应不低于合并后基金年度可供分配金额的90%。</w:t>
            </w:r>
          </w:p>
        </w:tc>
      </w:tr>
      <w:tr w14:paraId="1BE5E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6A3BA536">
            <w:pPr>
              <w:pStyle w:val="161"/>
              <w:rPr>
                <w:rFonts w:ascii="Times New Roman" w:hAnsi="Times New Roman" w:eastAsia="宋体"/>
                <w:color w:val="auto"/>
              </w:rPr>
            </w:pPr>
            <w:r>
              <w:rPr>
                <w:rFonts w:ascii="Times New Roman" w:hAnsi="Times New Roman" w:eastAsia="宋体"/>
                <w:color w:val="auto"/>
              </w:rPr>
              <w:t>资产支持证券管理人</w:t>
            </w:r>
          </w:p>
        </w:tc>
        <w:tc>
          <w:tcPr>
            <w:tcW w:w="5812" w:type="dxa"/>
            <w:vAlign w:val="center"/>
          </w:tcPr>
          <w:p w14:paraId="0D3DEE26">
            <w:pPr>
              <w:pStyle w:val="161"/>
              <w:rPr>
                <w:rFonts w:ascii="Times New Roman" w:hAnsi="Times New Roman" w:eastAsia="宋体"/>
                <w:color w:val="auto"/>
              </w:rPr>
            </w:pPr>
            <w:r>
              <w:rPr>
                <w:rFonts w:ascii="Times New Roman" w:hAnsi="Times New Roman" w:eastAsia="宋体"/>
                <w:color w:val="auto"/>
              </w:rPr>
              <w:t>博时资本管理有限公司</w:t>
            </w:r>
          </w:p>
        </w:tc>
      </w:tr>
      <w:tr w14:paraId="77DFD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23C3FE3C">
            <w:pPr>
              <w:pStyle w:val="161"/>
              <w:rPr>
                <w:rFonts w:ascii="Times New Roman" w:hAnsi="Times New Roman" w:eastAsia="宋体"/>
                <w:color w:val="auto"/>
              </w:rPr>
            </w:pPr>
            <w:r>
              <w:rPr>
                <w:rFonts w:ascii="Times New Roman" w:hAnsi="Times New Roman" w:eastAsia="宋体"/>
                <w:color w:val="auto"/>
              </w:rPr>
              <w:t>运营管理机构</w:t>
            </w:r>
          </w:p>
        </w:tc>
        <w:tc>
          <w:tcPr>
            <w:tcW w:w="5812" w:type="dxa"/>
            <w:vAlign w:val="center"/>
          </w:tcPr>
          <w:p w14:paraId="30FD1372">
            <w:pPr>
              <w:pStyle w:val="161"/>
              <w:rPr>
                <w:rFonts w:ascii="Times New Roman" w:hAnsi="Times New Roman" w:eastAsia="宋体"/>
                <w:color w:val="auto"/>
              </w:rPr>
            </w:pPr>
            <w:r>
              <w:rPr>
                <w:rFonts w:ascii="Times New Roman" w:hAnsi="Times New Roman" w:eastAsia="宋体"/>
                <w:color w:val="auto"/>
              </w:rPr>
              <w:t>深圳市招商创业有限公司</w:t>
            </w:r>
          </w:p>
        </w:tc>
      </w:tr>
    </w:tbl>
    <w:p w14:paraId="224B4DC5">
      <w:pPr>
        <w:pStyle w:val="3"/>
        <w:spacing w:before="312" w:beforeLines="100" w:after="0"/>
        <w:rPr>
          <w:rFonts w:ascii="Times New Roman" w:hAnsi="Times New Roman" w:cs="Times New Roman"/>
          <w:kern w:val="0"/>
          <w:sz w:val="21"/>
          <w:szCs w:val="21"/>
        </w:rPr>
      </w:pPr>
      <w:bookmarkStart w:id="25" w:name="_Toc98512348"/>
      <w:bookmarkStart w:id="26" w:name="_Toc98602957"/>
      <w:bookmarkStart w:id="27" w:name="_Toc98601274"/>
      <w:bookmarkStart w:id="28" w:name="_Toc98508929"/>
      <w:bookmarkStart w:id="29" w:name="_Toc17127"/>
      <w:bookmarkStart w:id="30" w:name="_Toc98602623"/>
      <w:bookmarkStart w:id="31" w:name="_Toc98511592"/>
      <w:r>
        <w:rPr>
          <w:rFonts w:ascii="Times New Roman" w:hAnsi="Times New Roman" w:cs="Times New Roman"/>
          <w:kern w:val="0"/>
          <w:sz w:val="21"/>
          <w:szCs w:val="21"/>
        </w:rPr>
        <w:t xml:space="preserve">2.2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项目基本情况说明</w:t>
      </w:r>
      <w:bookmarkEnd w:id="25"/>
      <w:bookmarkEnd w:id="26"/>
      <w:bookmarkEnd w:id="27"/>
      <w:bookmarkEnd w:id="28"/>
      <w:bookmarkEnd w:id="29"/>
      <w:bookmarkEnd w:id="30"/>
      <w:bookmarkEnd w:id="31"/>
    </w:p>
    <w:p w14:paraId="3DF33C02">
      <w:pPr>
        <w:adjustRightInd w:val="0"/>
        <w:snapToGrid w:val="0"/>
        <w:spacing w:line="360" w:lineRule="auto"/>
        <w:jc w:val="left"/>
        <w:rPr>
          <w:kern w:val="0"/>
        </w:rPr>
      </w:pPr>
      <w:r>
        <w:rPr>
          <w:kern w:val="0"/>
        </w:rPr>
        <w:t>不动产项目名称：万融大厦</w:t>
      </w:r>
    </w:p>
    <w:tbl>
      <w:tblPr>
        <w:tblStyle w:val="40"/>
        <w:tblW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073"/>
        <w:gridCol w:w="5455"/>
      </w:tblGrid>
      <w:tr w14:paraId="3BDC1F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4BC78C9">
            <w:pPr>
              <w:adjustRightInd w:val="0"/>
              <w:snapToGrid w:val="0"/>
              <w:spacing w:line="360" w:lineRule="auto"/>
              <w:rPr>
                <w:kern w:val="0"/>
              </w:rPr>
            </w:pPr>
            <w:r>
              <w:rPr>
                <w:kern w:val="0"/>
              </w:rPr>
              <w:t>项目公司名称</w:t>
            </w:r>
          </w:p>
        </w:tc>
        <w:tc>
          <w:tcPr>
            <w:tcW w:w="5812" w:type="dxa"/>
          </w:tcPr>
          <w:p w14:paraId="4D727AC1">
            <w:pPr>
              <w:adjustRightInd w:val="0"/>
              <w:snapToGrid w:val="0"/>
              <w:spacing w:line="360" w:lineRule="auto"/>
              <w:rPr>
                <w:kern w:val="0"/>
              </w:rPr>
            </w:pPr>
            <w:r>
              <w:rPr>
                <w:kern w:val="0"/>
              </w:rPr>
              <w:t>深圳市万融大厦管理有限公司</w:t>
            </w:r>
          </w:p>
        </w:tc>
      </w:tr>
      <w:tr w14:paraId="794CE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6BAAFDE">
            <w:pPr>
              <w:adjustRightInd w:val="0"/>
              <w:snapToGrid w:val="0"/>
              <w:spacing w:line="360" w:lineRule="auto"/>
              <w:rPr>
                <w:kern w:val="0"/>
              </w:rPr>
            </w:pPr>
            <w:r>
              <w:rPr>
                <w:rFonts w:hint="eastAsia"/>
                <w:kern w:val="0"/>
              </w:rPr>
              <w:t>不动产</w:t>
            </w:r>
            <w:r>
              <w:rPr>
                <w:kern w:val="0"/>
              </w:rPr>
              <w:t>项目</w:t>
            </w:r>
            <w:r>
              <w:rPr>
                <w:rFonts w:hint="eastAsia"/>
                <w:kern w:val="0"/>
              </w:rPr>
              <w:t>业态</w:t>
            </w:r>
          </w:p>
        </w:tc>
        <w:tc>
          <w:tcPr>
            <w:tcW w:w="5812" w:type="dxa"/>
          </w:tcPr>
          <w:p w14:paraId="42F98415">
            <w:pPr>
              <w:adjustRightInd w:val="0"/>
              <w:snapToGrid w:val="0"/>
              <w:spacing w:line="360" w:lineRule="auto"/>
              <w:rPr>
                <w:kern w:val="0"/>
              </w:rPr>
            </w:pPr>
            <w:r>
              <w:rPr>
                <w:kern w:val="0"/>
              </w:rPr>
              <w:t>产业园区</w:t>
            </w:r>
          </w:p>
        </w:tc>
      </w:tr>
      <w:tr w14:paraId="39FC8F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167E8748">
            <w:pPr>
              <w:adjustRightInd w:val="0"/>
              <w:snapToGrid w:val="0"/>
              <w:spacing w:line="360" w:lineRule="auto"/>
              <w:rPr>
                <w:kern w:val="0"/>
              </w:rPr>
            </w:pPr>
            <w:r>
              <w:rPr>
                <w:rFonts w:hint="eastAsia"/>
                <w:kern w:val="0"/>
              </w:rPr>
              <w:t>不动产</w:t>
            </w:r>
            <w:r>
              <w:rPr>
                <w:kern w:val="0"/>
              </w:rPr>
              <w:t>项目主要经营模式</w:t>
            </w:r>
          </w:p>
        </w:tc>
        <w:tc>
          <w:tcPr>
            <w:tcW w:w="5812" w:type="dxa"/>
          </w:tcPr>
          <w:p w14:paraId="0F18803E">
            <w:pPr>
              <w:adjustRightInd w:val="0"/>
              <w:snapToGrid w:val="0"/>
              <w:spacing w:line="360" w:lineRule="auto"/>
              <w:rPr>
                <w:kern w:val="0"/>
              </w:rPr>
            </w:pPr>
            <w:r>
              <w:rPr>
                <w:kern w:val="0"/>
              </w:rPr>
              <w:t>园区管理服务</w:t>
            </w:r>
          </w:p>
        </w:tc>
      </w:tr>
      <w:tr w14:paraId="0136CF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29071A51">
            <w:pPr>
              <w:adjustRightInd w:val="0"/>
              <w:snapToGrid w:val="0"/>
              <w:spacing w:line="360" w:lineRule="auto"/>
              <w:rPr>
                <w:kern w:val="0"/>
              </w:rPr>
            </w:pPr>
            <w:r>
              <w:rPr>
                <w:rFonts w:hint="eastAsia"/>
                <w:kern w:val="0"/>
              </w:rPr>
              <w:t>不动产</w:t>
            </w:r>
            <w:r>
              <w:rPr>
                <w:kern w:val="0"/>
              </w:rPr>
              <w:t>项目地理位置</w:t>
            </w:r>
          </w:p>
        </w:tc>
        <w:tc>
          <w:tcPr>
            <w:tcW w:w="5812" w:type="dxa"/>
          </w:tcPr>
          <w:p w14:paraId="1089600F">
            <w:pPr>
              <w:adjustRightInd w:val="0"/>
              <w:snapToGrid w:val="0"/>
              <w:spacing w:line="360" w:lineRule="auto"/>
              <w:rPr>
                <w:kern w:val="0"/>
              </w:rPr>
            </w:pPr>
            <w:r>
              <w:rPr>
                <w:kern w:val="0"/>
              </w:rPr>
              <w:t>深圳</w:t>
            </w:r>
          </w:p>
        </w:tc>
      </w:tr>
    </w:tbl>
    <w:p w14:paraId="4F51EEC4">
      <w:pPr>
        <w:adjustRightInd w:val="0"/>
        <w:snapToGrid w:val="0"/>
        <w:spacing w:line="360" w:lineRule="auto"/>
        <w:jc w:val="left"/>
        <w:rPr>
          <w:kern w:val="0"/>
        </w:rPr>
      </w:pPr>
      <w:r>
        <w:rPr>
          <w:rFonts w:hint="eastAsia"/>
          <w:kern w:val="0"/>
        </w:rPr>
        <w:t>不动产</w:t>
      </w:r>
      <w:r>
        <w:rPr>
          <w:kern w:val="0"/>
        </w:rPr>
        <w:t>项目名称：万海大厦</w:t>
      </w:r>
    </w:p>
    <w:tbl>
      <w:tblPr>
        <w:tblStyle w:val="40"/>
        <w:tblW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073"/>
        <w:gridCol w:w="5455"/>
      </w:tblGrid>
      <w:tr w14:paraId="1B1FE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261" w:type="dxa"/>
          </w:tcPr>
          <w:p w14:paraId="77BCD4CF">
            <w:pPr>
              <w:adjustRightInd w:val="0"/>
              <w:snapToGrid w:val="0"/>
              <w:spacing w:line="360" w:lineRule="auto"/>
              <w:rPr>
                <w:kern w:val="0"/>
              </w:rPr>
            </w:pPr>
            <w:r>
              <w:rPr>
                <w:kern w:val="0"/>
              </w:rPr>
              <w:t>项目公司名称</w:t>
            </w:r>
          </w:p>
        </w:tc>
        <w:tc>
          <w:tcPr>
            <w:tcW w:w="5812" w:type="dxa"/>
          </w:tcPr>
          <w:p w14:paraId="223D0CC7">
            <w:pPr>
              <w:adjustRightInd w:val="0"/>
              <w:snapToGrid w:val="0"/>
              <w:spacing w:line="360" w:lineRule="auto"/>
              <w:rPr>
                <w:kern w:val="0"/>
              </w:rPr>
            </w:pPr>
            <w:r>
              <w:rPr>
                <w:kern w:val="0"/>
              </w:rPr>
              <w:t>深圳市万海大厦管理有限公司</w:t>
            </w:r>
          </w:p>
        </w:tc>
      </w:tr>
      <w:tr w14:paraId="559748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30EB96D3">
            <w:pPr>
              <w:adjustRightInd w:val="0"/>
              <w:snapToGrid w:val="0"/>
              <w:spacing w:line="360" w:lineRule="auto"/>
              <w:rPr>
                <w:kern w:val="0"/>
              </w:rPr>
            </w:pPr>
            <w:r>
              <w:rPr>
                <w:rFonts w:hint="eastAsia"/>
                <w:kern w:val="0"/>
              </w:rPr>
              <w:t>不动产</w:t>
            </w:r>
            <w:r>
              <w:rPr>
                <w:kern w:val="0"/>
              </w:rPr>
              <w:t>项目</w:t>
            </w:r>
            <w:r>
              <w:rPr>
                <w:rFonts w:hint="eastAsia"/>
                <w:kern w:val="0"/>
              </w:rPr>
              <w:t>业态</w:t>
            </w:r>
          </w:p>
        </w:tc>
        <w:tc>
          <w:tcPr>
            <w:tcW w:w="5812" w:type="dxa"/>
          </w:tcPr>
          <w:p w14:paraId="5905FBBC">
            <w:pPr>
              <w:adjustRightInd w:val="0"/>
              <w:snapToGrid w:val="0"/>
              <w:spacing w:line="360" w:lineRule="auto"/>
              <w:rPr>
                <w:kern w:val="0"/>
              </w:rPr>
            </w:pPr>
            <w:r>
              <w:rPr>
                <w:kern w:val="0"/>
              </w:rPr>
              <w:t>产业园区</w:t>
            </w:r>
          </w:p>
        </w:tc>
      </w:tr>
      <w:tr w14:paraId="631A2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27C11027">
            <w:pPr>
              <w:adjustRightInd w:val="0"/>
              <w:snapToGrid w:val="0"/>
              <w:spacing w:line="360" w:lineRule="auto"/>
              <w:rPr>
                <w:kern w:val="0"/>
              </w:rPr>
            </w:pPr>
            <w:r>
              <w:rPr>
                <w:rFonts w:hint="eastAsia"/>
                <w:kern w:val="0"/>
              </w:rPr>
              <w:t>不动产</w:t>
            </w:r>
            <w:r>
              <w:rPr>
                <w:kern w:val="0"/>
              </w:rPr>
              <w:t>项目主要经营模式</w:t>
            </w:r>
          </w:p>
        </w:tc>
        <w:tc>
          <w:tcPr>
            <w:tcW w:w="5812" w:type="dxa"/>
          </w:tcPr>
          <w:p w14:paraId="34956A41">
            <w:pPr>
              <w:adjustRightInd w:val="0"/>
              <w:snapToGrid w:val="0"/>
              <w:spacing w:line="360" w:lineRule="auto"/>
              <w:rPr>
                <w:kern w:val="0"/>
              </w:rPr>
            </w:pPr>
            <w:r>
              <w:rPr>
                <w:kern w:val="0"/>
              </w:rPr>
              <w:t>园区管理服务</w:t>
            </w:r>
          </w:p>
        </w:tc>
      </w:tr>
      <w:tr w14:paraId="71C79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7C7FFB1A">
            <w:pPr>
              <w:adjustRightInd w:val="0"/>
              <w:snapToGrid w:val="0"/>
              <w:spacing w:line="360" w:lineRule="auto"/>
              <w:rPr>
                <w:kern w:val="0"/>
              </w:rPr>
            </w:pPr>
            <w:r>
              <w:rPr>
                <w:rFonts w:hint="eastAsia"/>
                <w:kern w:val="0"/>
              </w:rPr>
              <w:t>不动产</w:t>
            </w:r>
            <w:r>
              <w:rPr>
                <w:kern w:val="0"/>
              </w:rPr>
              <w:t>项目地理位置</w:t>
            </w:r>
          </w:p>
        </w:tc>
        <w:tc>
          <w:tcPr>
            <w:tcW w:w="5812" w:type="dxa"/>
          </w:tcPr>
          <w:p w14:paraId="54D1055C">
            <w:pPr>
              <w:adjustRightInd w:val="0"/>
              <w:snapToGrid w:val="0"/>
              <w:spacing w:line="360" w:lineRule="auto"/>
              <w:rPr>
                <w:kern w:val="0"/>
              </w:rPr>
            </w:pPr>
            <w:r>
              <w:rPr>
                <w:kern w:val="0"/>
              </w:rPr>
              <w:t>深圳</w:t>
            </w:r>
          </w:p>
        </w:tc>
      </w:tr>
    </w:tbl>
    <w:p w14:paraId="0A1C40CA">
      <w:pPr>
        <w:adjustRightInd w:val="0"/>
        <w:snapToGrid w:val="0"/>
        <w:spacing w:line="360" w:lineRule="auto"/>
        <w:jc w:val="left"/>
        <w:rPr>
          <w:kern w:val="0"/>
        </w:rPr>
      </w:pPr>
      <w:r>
        <w:rPr>
          <w:rFonts w:hint="eastAsia"/>
          <w:kern w:val="0"/>
        </w:rPr>
        <w:t>不动产</w:t>
      </w:r>
      <w:r>
        <w:rPr>
          <w:kern w:val="0"/>
        </w:rPr>
        <w:t>项目名称：光明加速器二期项目</w:t>
      </w:r>
    </w:p>
    <w:tbl>
      <w:tblPr>
        <w:tblStyle w:val="40"/>
        <w:tblW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073"/>
        <w:gridCol w:w="5455"/>
      </w:tblGrid>
      <w:tr w14:paraId="2D2C22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83E91F5">
            <w:pPr>
              <w:adjustRightInd w:val="0"/>
              <w:snapToGrid w:val="0"/>
              <w:spacing w:line="360" w:lineRule="auto"/>
              <w:rPr>
                <w:kern w:val="0"/>
              </w:rPr>
            </w:pPr>
            <w:r>
              <w:rPr>
                <w:kern w:val="0"/>
              </w:rPr>
              <w:t>项目公司名称</w:t>
            </w:r>
          </w:p>
        </w:tc>
        <w:tc>
          <w:tcPr>
            <w:tcW w:w="5812" w:type="dxa"/>
          </w:tcPr>
          <w:p w14:paraId="63722617">
            <w:pPr>
              <w:adjustRightInd w:val="0"/>
              <w:snapToGrid w:val="0"/>
              <w:spacing w:line="360" w:lineRule="auto"/>
              <w:rPr>
                <w:kern w:val="0"/>
              </w:rPr>
            </w:pPr>
            <w:r>
              <w:rPr>
                <w:kern w:val="0"/>
              </w:rPr>
              <w:t>深圳市招光物业租赁有限公司</w:t>
            </w:r>
          </w:p>
        </w:tc>
      </w:tr>
      <w:tr w14:paraId="795004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11267421">
            <w:pPr>
              <w:adjustRightInd w:val="0"/>
              <w:snapToGrid w:val="0"/>
              <w:spacing w:line="360" w:lineRule="auto"/>
              <w:rPr>
                <w:kern w:val="0"/>
              </w:rPr>
            </w:pPr>
            <w:r>
              <w:rPr>
                <w:rFonts w:hint="eastAsia"/>
                <w:kern w:val="0"/>
              </w:rPr>
              <w:t>不动产</w:t>
            </w:r>
            <w:r>
              <w:rPr>
                <w:kern w:val="0"/>
              </w:rPr>
              <w:t>项目</w:t>
            </w:r>
            <w:r>
              <w:rPr>
                <w:rFonts w:hint="eastAsia"/>
                <w:kern w:val="0"/>
              </w:rPr>
              <w:t>业态</w:t>
            </w:r>
          </w:p>
        </w:tc>
        <w:tc>
          <w:tcPr>
            <w:tcW w:w="5812" w:type="dxa"/>
          </w:tcPr>
          <w:p w14:paraId="0B41E08C">
            <w:pPr>
              <w:adjustRightInd w:val="0"/>
              <w:snapToGrid w:val="0"/>
              <w:spacing w:line="360" w:lineRule="auto"/>
              <w:rPr>
                <w:kern w:val="0"/>
              </w:rPr>
            </w:pPr>
            <w:r>
              <w:rPr>
                <w:kern w:val="0"/>
              </w:rPr>
              <w:t>产业园区</w:t>
            </w:r>
          </w:p>
        </w:tc>
      </w:tr>
      <w:tr w14:paraId="54FEA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0DB8FCA3">
            <w:pPr>
              <w:adjustRightInd w:val="0"/>
              <w:snapToGrid w:val="0"/>
              <w:spacing w:line="360" w:lineRule="auto"/>
              <w:rPr>
                <w:kern w:val="0"/>
              </w:rPr>
            </w:pPr>
            <w:r>
              <w:rPr>
                <w:rFonts w:hint="eastAsia"/>
                <w:kern w:val="0"/>
              </w:rPr>
              <w:t>不动产</w:t>
            </w:r>
            <w:r>
              <w:rPr>
                <w:kern w:val="0"/>
              </w:rPr>
              <w:t>项目主要经营模式</w:t>
            </w:r>
          </w:p>
        </w:tc>
        <w:tc>
          <w:tcPr>
            <w:tcW w:w="5812" w:type="dxa"/>
          </w:tcPr>
          <w:p w14:paraId="0CC0A174">
            <w:pPr>
              <w:adjustRightInd w:val="0"/>
              <w:snapToGrid w:val="0"/>
              <w:spacing w:line="360" w:lineRule="auto"/>
              <w:rPr>
                <w:kern w:val="0"/>
              </w:rPr>
            </w:pPr>
            <w:r>
              <w:rPr>
                <w:kern w:val="0"/>
              </w:rPr>
              <w:t>园区管理服务</w:t>
            </w:r>
          </w:p>
        </w:tc>
      </w:tr>
      <w:tr w14:paraId="337E5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61" w:type="dxa"/>
          </w:tcPr>
          <w:p w14:paraId="4867C53F">
            <w:pPr>
              <w:adjustRightInd w:val="0"/>
              <w:snapToGrid w:val="0"/>
              <w:spacing w:line="360" w:lineRule="auto"/>
              <w:rPr>
                <w:kern w:val="0"/>
              </w:rPr>
            </w:pPr>
            <w:r>
              <w:rPr>
                <w:rFonts w:hint="eastAsia"/>
                <w:kern w:val="0"/>
              </w:rPr>
              <w:t>不动产</w:t>
            </w:r>
            <w:r>
              <w:rPr>
                <w:kern w:val="0"/>
              </w:rPr>
              <w:t>项目地理位置</w:t>
            </w:r>
          </w:p>
        </w:tc>
        <w:tc>
          <w:tcPr>
            <w:tcW w:w="5812" w:type="dxa"/>
          </w:tcPr>
          <w:p w14:paraId="5006E4A4">
            <w:pPr>
              <w:adjustRightInd w:val="0"/>
              <w:snapToGrid w:val="0"/>
              <w:spacing w:line="360" w:lineRule="auto"/>
              <w:rPr>
                <w:kern w:val="0"/>
              </w:rPr>
            </w:pPr>
            <w:r>
              <w:rPr>
                <w:kern w:val="0"/>
              </w:rPr>
              <w:t>深圳</w:t>
            </w:r>
          </w:p>
        </w:tc>
      </w:tr>
    </w:tbl>
    <w:p w14:paraId="5591054B">
      <w:pPr>
        <w:pStyle w:val="3"/>
        <w:spacing w:before="312" w:beforeLines="100" w:after="0"/>
        <w:rPr>
          <w:rFonts w:ascii="Times New Roman" w:hAnsi="Times New Roman" w:cs="Times New Roman"/>
          <w:kern w:val="0"/>
          <w:sz w:val="21"/>
          <w:szCs w:val="21"/>
        </w:rPr>
      </w:pPr>
      <w:bookmarkStart w:id="32" w:name="_Toc13862"/>
      <w:r>
        <w:rPr>
          <w:rFonts w:ascii="Times New Roman" w:hAnsi="Times New Roman" w:cs="Times New Roman"/>
          <w:kern w:val="0"/>
          <w:sz w:val="21"/>
          <w:szCs w:val="21"/>
        </w:rPr>
        <w:t xml:space="preserve">2.3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基金扩募情况</w:t>
      </w:r>
      <w:bookmarkEnd w:id="32"/>
    </w:p>
    <w:p w14:paraId="51D9EC4E">
      <w:pPr>
        <w:autoSpaceDE w:val="0"/>
        <w:autoSpaceDN w:val="0"/>
        <w:adjustRightInd w:val="0"/>
        <w:spacing w:before="29" w:line="360" w:lineRule="auto"/>
        <w:ind w:left="15" w:right="-52"/>
        <w:jc w:val="right"/>
        <w:rPr>
          <w:kern w:val="0"/>
        </w:rPr>
      </w:pPr>
      <w:r>
        <w:rPr>
          <w:kern w:val="0"/>
        </w:rPr>
        <w:t>单位：人民币元</w:t>
      </w:r>
    </w:p>
    <w:tbl>
      <w:tblPr>
        <w:tblStyle w:val="4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3"/>
        <w:gridCol w:w="1803"/>
        <w:gridCol w:w="1559"/>
        <w:gridCol w:w="1843"/>
        <w:gridCol w:w="1701"/>
      </w:tblGrid>
      <w:tr w14:paraId="5331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3" w:type="dxa"/>
            <w:vAlign w:val="center"/>
          </w:tcPr>
          <w:p w14:paraId="304B5E61">
            <w:pPr>
              <w:autoSpaceDE w:val="0"/>
              <w:autoSpaceDN w:val="0"/>
              <w:adjustRightInd w:val="0"/>
              <w:spacing w:before="29" w:line="360" w:lineRule="auto"/>
              <w:ind w:left="15"/>
              <w:jc w:val="center"/>
              <w:rPr>
                <w:kern w:val="0"/>
              </w:rPr>
            </w:pPr>
          </w:p>
        </w:tc>
        <w:tc>
          <w:tcPr>
            <w:tcW w:w="1803" w:type="dxa"/>
            <w:vAlign w:val="center"/>
          </w:tcPr>
          <w:p w14:paraId="5670743F">
            <w:pPr>
              <w:autoSpaceDE w:val="0"/>
              <w:autoSpaceDN w:val="0"/>
              <w:adjustRightInd w:val="0"/>
              <w:spacing w:before="29" w:line="360" w:lineRule="auto"/>
              <w:ind w:left="15"/>
              <w:jc w:val="center"/>
              <w:rPr>
                <w:kern w:val="0"/>
              </w:rPr>
            </w:pPr>
            <w:r>
              <w:rPr>
                <w:kern w:val="0"/>
              </w:rPr>
              <w:t>扩募时间</w:t>
            </w:r>
          </w:p>
        </w:tc>
        <w:tc>
          <w:tcPr>
            <w:tcW w:w="1559" w:type="dxa"/>
            <w:vAlign w:val="center"/>
          </w:tcPr>
          <w:p w14:paraId="332879E4">
            <w:pPr>
              <w:autoSpaceDE w:val="0"/>
              <w:autoSpaceDN w:val="0"/>
              <w:adjustRightInd w:val="0"/>
              <w:spacing w:before="29" w:line="360" w:lineRule="auto"/>
              <w:ind w:left="15"/>
              <w:jc w:val="center"/>
              <w:rPr>
                <w:kern w:val="0"/>
              </w:rPr>
            </w:pPr>
            <w:r>
              <w:rPr>
                <w:kern w:val="0"/>
              </w:rPr>
              <w:t>扩募方式</w:t>
            </w:r>
          </w:p>
        </w:tc>
        <w:tc>
          <w:tcPr>
            <w:tcW w:w="1843" w:type="dxa"/>
            <w:vAlign w:val="center"/>
          </w:tcPr>
          <w:p w14:paraId="32D8F3F9">
            <w:pPr>
              <w:autoSpaceDE w:val="0"/>
              <w:autoSpaceDN w:val="0"/>
              <w:adjustRightInd w:val="0"/>
              <w:spacing w:before="29" w:line="360" w:lineRule="auto"/>
              <w:ind w:left="15"/>
              <w:jc w:val="center"/>
              <w:rPr>
                <w:kern w:val="0"/>
              </w:rPr>
            </w:pPr>
            <w:r>
              <w:rPr>
                <w:kern w:val="0"/>
              </w:rPr>
              <w:t>扩募发售金额</w:t>
            </w:r>
          </w:p>
        </w:tc>
        <w:tc>
          <w:tcPr>
            <w:tcW w:w="1701" w:type="dxa"/>
            <w:vAlign w:val="center"/>
          </w:tcPr>
          <w:p w14:paraId="4814709F">
            <w:pPr>
              <w:autoSpaceDE w:val="0"/>
              <w:autoSpaceDN w:val="0"/>
              <w:adjustRightInd w:val="0"/>
              <w:spacing w:before="29" w:line="360" w:lineRule="auto"/>
              <w:ind w:left="15"/>
              <w:jc w:val="center"/>
              <w:rPr>
                <w:kern w:val="0"/>
              </w:rPr>
            </w:pPr>
            <w:r>
              <w:rPr>
                <w:kern w:val="0"/>
              </w:rPr>
              <w:t>扩募进展情况</w:t>
            </w:r>
          </w:p>
        </w:tc>
      </w:tr>
      <w:tr w14:paraId="02F6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959230B">
            <w:pPr>
              <w:jc w:val="left"/>
            </w:pPr>
            <w:r>
              <w:rPr>
                <w:kern w:val="0"/>
              </w:rPr>
              <w:t>第1次扩募</w:t>
            </w:r>
          </w:p>
        </w:tc>
        <w:tc>
          <w:tcPr>
            <w:vAlign w:val="center"/>
          </w:tcPr>
          <w:p w14:paraId="54D39DF9">
            <w:pPr>
              <w:jc w:val="center"/>
            </w:pPr>
            <w:r>
              <w:rPr>
                <w:kern w:val="0"/>
              </w:rPr>
              <w:t>2023-06-02</w:t>
            </w:r>
          </w:p>
        </w:tc>
        <w:tc>
          <w:tcPr>
            <w:vAlign w:val="center"/>
          </w:tcPr>
          <w:p w14:paraId="410F8D30">
            <w:pPr>
              <w:jc w:val="center"/>
            </w:pPr>
            <w:r>
              <w:rPr>
                <w:kern w:val="0"/>
              </w:rPr>
              <w:t>定向扩募</w:t>
            </w:r>
          </w:p>
        </w:tc>
        <w:tc>
          <w:tcPr>
            <w:vAlign w:val="center"/>
          </w:tcPr>
          <w:p w14:paraId="1F01A98A">
            <w:pPr>
              <w:jc w:val="right"/>
            </w:pPr>
            <w:r>
              <w:rPr>
                <w:kern w:val="0"/>
              </w:rPr>
              <w:t>1,243,939,377.21</w:t>
            </w:r>
          </w:p>
        </w:tc>
        <w:tc>
          <w:tcPr>
            <w:vAlign w:val="center"/>
          </w:tcPr>
          <w:p w14:paraId="16D09CEE">
            <w:pPr>
              <w:jc w:val="center"/>
            </w:pPr>
            <w:r>
              <w:rPr>
                <w:kern w:val="0"/>
              </w:rPr>
              <w:t>-</w:t>
            </w:r>
          </w:p>
        </w:tc>
      </w:tr>
    </w:tbl>
    <w:p w14:paraId="22F82773">
      <w:pPr>
        <w:widowControl/>
        <w:shd w:val="clear" w:color="auto" w:fill="FFFFFF"/>
        <w:spacing w:line="360" w:lineRule="auto"/>
        <w:ind w:firstLine="480"/>
        <w:rPr>
          <w:kern w:val="0"/>
        </w:rPr>
      </w:pPr>
      <w:r>
        <w:rPr>
          <w:kern w:val="0"/>
        </w:rPr>
        <w:t>注：关于第2次扩募的进展：2026年6月12日，本基金的变更注册申请已提交中国证券监督管理委员会，本基金的变更申请及不动产资产支持证券相关申请已提交深圳证券交易所。本基金管理人于2026年6月23日收到中国证券监督管理委员会出具的《中国证监会行政许可申请受理单》、深圳证券交易所出具的《关于受理博时招商蛇口产业园封闭式基础设施证券投资基金变更及扩募份额上市和招商蛇口博时产业园基础设施3期资产支持专项计划挂牌条件确认申请文件的通知》，中国证监会对本基金的变更注册申请材料予以受理。深交所对本基金变更及扩募份额上市和招商蛇口博时产业园基础设施3期资产支持专项计划挂牌条件确认相关申请文件进行了核对，决定予以受理。于2026年7月15日收到深圳证券交易所《关于博时招商蛇口产业园封闭式基础设施证券投资基金产品变更暨扩募份额上市和招商蛇口博时产业园不动产3期资产支持专项计划挂牌申请文件的审核问询函》，截至本报告日，基金管理人正积极反馈。</w:t>
      </w:r>
    </w:p>
    <w:p w14:paraId="6AA11746">
      <w:pPr>
        <w:widowControl/>
        <w:shd w:val="clear" w:color="auto" w:fill="FFFFFF"/>
        <w:spacing w:line="360" w:lineRule="auto"/>
        <w:ind w:firstLine="480"/>
        <w:rPr>
          <w:kern w:val="0"/>
        </w:rPr>
      </w:pPr>
      <w:r>
        <w:rPr>
          <w:kern w:val="0"/>
        </w:rPr>
        <w:t>本基金本次扩募并新购入不动产项目等变更的相关事项，尚需中国证监会准予本基金变更注册、深交所审核通过本基金变更及扩募份额上市和不动产资产支持证券挂牌条件确认的相关申请，并经基金份额持有人大会决议通过后方可实施。</w:t>
      </w:r>
    </w:p>
    <w:p w14:paraId="47EDFFE5">
      <w:pPr>
        <w:pStyle w:val="3"/>
        <w:spacing w:before="312" w:beforeLines="100" w:after="0"/>
        <w:rPr>
          <w:rFonts w:ascii="Times New Roman" w:hAnsi="Times New Roman" w:cs="Times New Roman"/>
          <w:kern w:val="0"/>
          <w:sz w:val="21"/>
          <w:szCs w:val="21"/>
        </w:rPr>
      </w:pPr>
      <w:bookmarkStart w:id="33" w:name="_Toc15162"/>
      <w:r>
        <w:rPr>
          <w:rFonts w:ascii="Times New Roman" w:hAnsi="Times New Roman" w:cs="Times New Roman"/>
          <w:kern w:val="0"/>
          <w:sz w:val="21"/>
          <w:szCs w:val="21"/>
        </w:rPr>
        <w:t>2.4  基金管理人和运营管理机构</w:t>
      </w:r>
      <w:bookmarkEnd w:id="33"/>
    </w:p>
    <w:tbl>
      <w:tblPr>
        <w:tblStyle w:val="40"/>
        <w:tblW w:w="949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2"/>
        <w:gridCol w:w="1128"/>
        <w:gridCol w:w="2432"/>
        <w:gridCol w:w="4536"/>
      </w:tblGrid>
      <w:tr w14:paraId="339B7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107ED334">
            <w:pPr>
              <w:tabs>
                <w:tab w:val="left" w:pos="1740"/>
              </w:tabs>
              <w:spacing w:line="360" w:lineRule="auto"/>
              <w:jc w:val="center"/>
            </w:pPr>
            <w:r>
              <w:t>项目</w:t>
            </w:r>
          </w:p>
        </w:tc>
        <w:tc>
          <w:tcPr>
            <w:tcW w:w="2432" w:type="dxa"/>
            <w:vAlign w:val="center"/>
          </w:tcPr>
          <w:p w14:paraId="6C7931A7">
            <w:pPr>
              <w:tabs>
                <w:tab w:val="left" w:pos="1740"/>
              </w:tabs>
              <w:spacing w:line="360" w:lineRule="auto"/>
              <w:jc w:val="center"/>
            </w:pPr>
            <w:r>
              <w:t>基金管理人</w:t>
            </w:r>
          </w:p>
        </w:tc>
        <w:tc>
          <w:tcPr>
            <w:tcW w:w="1512" w:type="dxa"/>
            <w:vAlign w:val="center"/>
          </w:tcPr>
          <w:p w14:paraId="0072C39D">
            <w:pPr>
              <w:tabs>
                <w:tab w:val="left" w:pos="1740"/>
              </w:tabs>
              <w:spacing w:line="360" w:lineRule="auto"/>
              <w:jc w:val="center"/>
            </w:pPr>
            <w:r>
              <w:t>运营管理机构</w:t>
            </w:r>
          </w:p>
        </w:tc>
      </w:tr>
      <w:tr w14:paraId="2F06A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6EABDE73">
            <w:pPr>
              <w:tabs>
                <w:tab w:val="left" w:pos="1740"/>
              </w:tabs>
              <w:spacing w:line="360" w:lineRule="auto"/>
            </w:pPr>
            <w:r>
              <w:t>名称</w:t>
            </w:r>
          </w:p>
        </w:tc>
        <w:tc>
          <w:tcPr>
            <w:tcW w:w="2432" w:type="dxa"/>
            <w:vAlign w:val="center"/>
          </w:tcPr>
          <w:p w14:paraId="5281DF82">
            <w:pPr>
              <w:tabs>
                <w:tab w:val="left" w:pos="1740"/>
              </w:tabs>
              <w:spacing w:line="360" w:lineRule="auto"/>
            </w:pPr>
            <w:r>
              <w:t>博时基金管理有限公司</w:t>
            </w:r>
          </w:p>
        </w:tc>
        <w:tc>
          <w:tcPr>
            <w:tcW w:w="1512" w:type="dxa"/>
            <w:vAlign w:val="center"/>
          </w:tcPr>
          <w:p w14:paraId="5B685046">
            <w:pPr>
              <w:tabs>
                <w:tab w:val="left" w:pos="1740"/>
              </w:tabs>
              <w:autoSpaceDE w:val="0"/>
              <w:autoSpaceDN w:val="0"/>
              <w:adjustRightInd w:val="0"/>
              <w:spacing w:before="29" w:line="360" w:lineRule="auto"/>
              <w:ind w:left="15"/>
            </w:pPr>
            <w:r>
              <w:t>深圳市招商创业有限公司</w:t>
            </w:r>
          </w:p>
        </w:tc>
      </w:tr>
      <w:tr w14:paraId="6A436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02" w:type="dxa"/>
            <w:vMerge w:val="restart"/>
            <w:vAlign w:val="center"/>
          </w:tcPr>
          <w:p w14:paraId="2D3B8D34">
            <w:pPr>
              <w:tabs>
                <w:tab w:val="left" w:pos="1740"/>
              </w:tabs>
              <w:spacing w:line="360" w:lineRule="auto"/>
            </w:pPr>
            <w:r>
              <w:t>信息披露事务负责人</w:t>
            </w:r>
          </w:p>
        </w:tc>
        <w:tc>
          <w:tcPr>
            <w:tcW w:w="1128" w:type="dxa"/>
            <w:vAlign w:val="center"/>
          </w:tcPr>
          <w:p w14:paraId="60A4CA79">
            <w:pPr>
              <w:tabs>
                <w:tab w:val="left" w:pos="1740"/>
              </w:tabs>
              <w:spacing w:line="360" w:lineRule="auto"/>
              <w:jc w:val="left"/>
            </w:pPr>
            <w:r>
              <w:t>姓名</w:t>
            </w:r>
          </w:p>
        </w:tc>
        <w:tc>
          <w:tcPr>
            <w:tcW w:w="2432" w:type="dxa"/>
            <w:vAlign w:val="center"/>
          </w:tcPr>
          <w:p w14:paraId="2CF861D8">
            <w:pPr>
              <w:tabs>
                <w:tab w:val="left" w:pos="1740"/>
              </w:tabs>
              <w:spacing w:line="360" w:lineRule="auto"/>
            </w:pPr>
            <w:r>
              <w:t>吴曼</w:t>
            </w:r>
          </w:p>
        </w:tc>
        <w:tc>
          <w:tcPr>
            <w:tcW w:w="1512" w:type="dxa"/>
          </w:tcPr>
          <w:p w14:paraId="4FCE65CC">
            <w:pPr>
              <w:tabs>
                <w:tab w:val="left" w:pos="1740"/>
              </w:tabs>
              <w:autoSpaceDE w:val="0"/>
              <w:autoSpaceDN w:val="0"/>
              <w:adjustRightInd w:val="0"/>
              <w:spacing w:before="29" w:line="360" w:lineRule="auto"/>
              <w:ind w:left="15"/>
            </w:pPr>
            <w:r>
              <w:t>涂善安</w:t>
            </w:r>
          </w:p>
        </w:tc>
      </w:tr>
      <w:tr w14:paraId="7F0E6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02" w:type="dxa"/>
            <w:vMerge w:val="continue"/>
            <w:vAlign w:val="center"/>
          </w:tcPr>
          <w:p w14:paraId="3666B7D0">
            <w:pPr>
              <w:tabs>
                <w:tab w:val="left" w:pos="1740"/>
              </w:tabs>
              <w:spacing w:line="360" w:lineRule="auto"/>
            </w:pPr>
          </w:p>
        </w:tc>
        <w:tc>
          <w:tcPr>
            <w:tcW w:w="1128" w:type="dxa"/>
            <w:vAlign w:val="center"/>
          </w:tcPr>
          <w:p w14:paraId="1DA67983">
            <w:pPr>
              <w:tabs>
                <w:tab w:val="left" w:pos="1740"/>
              </w:tabs>
              <w:autoSpaceDE w:val="0"/>
              <w:autoSpaceDN w:val="0"/>
              <w:adjustRightInd w:val="0"/>
              <w:spacing w:before="29" w:line="360" w:lineRule="auto"/>
              <w:ind w:left="15"/>
            </w:pPr>
            <w:r>
              <w:t>职务</w:t>
            </w:r>
          </w:p>
        </w:tc>
        <w:tc>
          <w:tcPr>
            <w:tcW w:w="2432" w:type="dxa"/>
            <w:vAlign w:val="center"/>
          </w:tcPr>
          <w:p w14:paraId="16904CFE">
            <w:pPr>
              <w:tabs>
                <w:tab w:val="left" w:pos="1740"/>
              </w:tabs>
              <w:spacing w:line="360" w:lineRule="auto"/>
            </w:pPr>
            <w:r>
              <w:t>公司督察长</w:t>
            </w:r>
          </w:p>
        </w:tc>
        <w:tc>
          <w:tcPr>
            <w:tcW w:w="1512" w:type="dxa"/>
          </w:tcPr>
          <w:p w14:paraId="38E65ACE">
            <w:pPr>
              <w:tabs>
                <w:tab w:val="left" w:pos="1740"/>
              </w:tabs>
              <w:autoSpaceDE w:val="0"/>
              <w:autoSpaceDN w:val="0"/>
              <w:adjustRightInd w:val="0"/>
              <w:spacing w:before="29" w:line="360" w:lineRule="auto"/>
              <w:ind w:left="15"/>
            </w:pPr>
            <w:r>
              <w:t>运营管理部总经理</w:t>
            </w:r>
          </w:p>
        </w:tc>
      </w:tr>
      <w:tr w14:paraId="28E97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02" w:type="dxa"/>
            <w:vMerge w:val="continue"/>
            <w:vAlign w:val="center"/>
          </w:tcPr>
          <w:p w14:paraId="677A13F6">
            <w:pPr>
              <w:tabs>
                <w:tab w:val="left" w:pos="1740"/>
              </w:tabs>
              <w:spacing w:line="360" w:lineRule="auto"/>
            </w:pPr>
          </w:p>
        </w:tc>
        <w:tc>
          <w:tcPr>
            <w:tcW w:w="1128" w:type="dxa"/>
            <w:vAlign w:val="center"/>
          </w:tcPr>
          <w:p w14:paraId="515CC3F8">
            <w:pPr>
              <w:tabs>
                <w:tab w:val="left" w:pos="1740"/>
              </w:tabs>
              <w:autoSpaceDE w:val="0"/>
              <w:autoSpaceDN w:val="0"/>
              <w:adjustRightInd w:val="0"/>
              <w:spacing w:before="29" w:line="360" w:lineRule="auto"/>
              <w:ind w:left="15"/>
            </w:pPr>
            <w:r>
              <w:t>联系方式</w:t>
            </w:r>
          </w:p>
        </w:tc>
        <w:tc>
          <w:tcPr>
            <w:tcW w:w="2432" w:type="dxa"/>
            <w:vAlign w:val="center"/>
          </w:tcPr>
          <w:p w14:paraId="6ED6E7BE">
            <w:pPr>
              <w:tabs>
                <w:tab w:val="left" w:pos="1740"/>
              </w:tabs>
              <w:spacing w:line="360" w:lineRule="auto"/>
            </w:pPr>
            <w:r>
              <w:t>0755-83169999</w:t>
            </w:r>
          </w:p>
        </w:tc>
        <w:tc>
          <w:tcPr>
            <w:tcW w:w="1512" w:type="dxa"/>
          </w:tcPr>
          <w:p w14:paraId="45855E62">
            <w:pPr>
              <w:tabs>
                <w:tab w:val="left" w:pos="1740"/>
              </w:tabs>
              <w:autoSpaceDE w:val="0"/>
              <w:autoSpaceDN w:val="0"/>
              <w:adjustRightInd w:val="0"/>
              <w:spacing w:before="29" w:line="360" w:lineRule="auto"/>
              <w:ind w:left="15"/>
            </w:pPr>
            <w:r>
              <w:t>0755-21625440</w:t>
            </w:r>
          </w:p>
        </w:tc>
      </w:tr>
      <w:tr w14:paraId="654D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20192979">
            <w:pPr>
              <w:tabs>
                <w:tab w:val="left" w:pos="1740"/>
              </w:tabs>
              <w:spacing w:line="360" w:lineRule="auto"/>
            </w:pPr>
            <w:r>
              <w:t>注册地址</w:t>
            </w:r>
          </w:p>
        </w:tc>
        <w:tc>
          <w:tcPr>
            <w:tcW w:w="2432" w:type="dxa"/>
            <w:vAlign w:val="center"/>
          </w:tcPr>
          <w:p w14:paraId="0058CB5F">
            <w:pPr>
              <w:tabs>
                <w:tab w:val="left" w:pos="1740"/>
              </w:tabs>
              <w:spacing w:line="360" w:lineRule="auto"/>
            </w:pPr>
            <w:r>
              <w:t>深圳市福田区莲花街道福新社区益田路5999号基金大厦21层</w:t>
            </w:r>
          </w:p>
        </w:tc>
        <w:tc>
          <w:tcPr>
            <w:tcW w:w="1512" w:type="dxa"/>
            <w:vAlign w:val="center"/>
          </w:tcPr>
          <w:p w14:paraId="697EA8C4">
            <w:pPr>
              <w:tabs>
                <w:tab w:val="left" w:pos="1740"/>
              </w:tabs>
              <w:autoSpaceDE w:val="0"/>
              <w:autoSpaceDN w:val="0"/>
              <w:adjustRightInd w:val="0"/>
              <w:spacing w:before="29" w:line="360" w:lineRule="auto"/>
              <w:ind w:left="15"/>
            </w:pPr>
            <w:r>
              <w:t>深圳市南山区招商街道南海大道1031号万海大厦A座5楼A区</w:t>
            </w:r>
          </w:p>
        </w:tc>
      </w:tr>
      <w:tr w14:paraId="74696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5DF28DB4">
            <w:pPr>
              <w:tabs>
                <w:tab w:val="left" w:pos="1740"/>
              </w:tabs>
              <w:spacing w:line="360" w:lineRule="auto"/>
            </w:pPr>
            <w:r>
              <w:t>办公地址</w:t>
            </w:r>
          </w:p>
        </w:tc>
        <w:tc>
          <w:tcPr>
            <w:tcW w:w="2432" w:type="dxa"/>
            <w:vAlign w:val="center"/>
          </w:tcPr>
          <w:p w14:paraId="3D3316CC">
            <w:pPr>
              <w:tabs>
                <w:tab w:val="left" w:pos="1740"/>
              </w:tabs>
              <w:spacing w:line="360" w:lineRule="auto"/>
            </w:pPr>
            <w:r>
              <w:t>广东省深圳市福田区益田路5999号基金大厦21层</w:t>
            </w:r>
          </w:p>
        </w:tc>
        <w:tc>
          <w:tcPr>
            <w:tcW w:w="1512" w:type="dxa"/>
            <w:vAlign w:val="center"/>
          </w:tcPr>
          <w:p w14:paraId="6BFE52DE">
            <w:pPr>
              <w:tabs>
                <w:tab w:val="left" w:pos="1740"/>
              </w:tabs>
              <w:autoSpaceDE w:val="0"/>
              <w:autoSpaceDN w:val="0"/>
              <w:adjustRightInd w:val="0"/>
              <w:spacing w:before="29" w:line="360" w:lineRule="auto"/>
              <w:ind w:left="15"/>
            </w:pPr>
            <w:r>
              <w:t>深圳市南山区邮轮大道招商积余大厦5楼</w:t>
            </w:r>
          </w:p>
        </w:tc>
      </w:tr>
      <w:tr w14:paraId="0F3F8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0A934938">
            <w:pPr>
              <w:tabs>
                <w:tab w:val="left" w:pos="1740"/>
              </w:tabs>
              <w:spacing w:line="360" w:lineRule="auto"/>
            </w:pPr>
            <w:r>
              <w:t>邮政编码</w:t>
            </w:r>
          </w:p>
        </w:tc>
        <w:tc>
          <w:tcPr>
            <w:tcW w:w="2432" w:type="dxa"/>
            <w:vAlign w:val="center"/>
          </w:tcPr>
          <w:p w14:paraId="4F6CA044">
            <w:pPr>
              <w:tabs>
                <w:tab w:val="left" w:pos="1740"/>
              </w:tabs>
              <w:spacing w:line="360" w:lineRule="auto"/>
            </w:pPr>
            <w:r>
              <w:t>518040</w:t>
            </w:r>
          </w:p>
        </w:tc>
        <w:tc>
          <w:tcPr>
            <w:tcW w:w="1512" w:type="dxa"/>
            <w:vAlign w:val="center"/>
          </w:tcPr>
          <w:p w14:paraId="154D3004">
            <w:pPr>
              <w:tabs>
                <w:tab w:val="left" w:pos="1740"/>
              </w:tabs>
              <w:autoSpaceDE w:val="0"/>
              <w:autoSpaceDN w:val="0"/>
              <w:adjustRightInd w:val="0"/>
              <w:spacing w:before="29" w:line="360" w:lineRule="auto"/>
              <w:ind w:left="15"/>
            </w:pPr>
            <w:r>
              <w:t>518000</w:t>
            </w:r>
          </w:p>
        </w:tc>
      </w:tr>
      <w:tr w14:paraId="175B3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0" w:type="dxa"/>
            <w:gridSpan w:val="2"/>
            <w:vAlign w:val="center"/>
          </w:tcPr>
          <w:p w14:paraId="132F6131">
            <w:pPr>
              <w:tabs>
                <w:tab w:val="left" w:pos="1740"/>
              </w:tabs>
              <w:spacing w:line="360" w:lineRule="auto"/>
            </w:pPr>
            <w:r>
              <w:t>法定代表人</w:t>
            </w:r>
          </w:p>
        </w:tc>
        <w:tc>
          <w:tcPr>
            <w:tcW w:w="2432" w:type="dxa"/>
            <w:vAlign w:val="center"/>
          </w:tcPr>
          <w:p w14:paraId="1BB05FBB">
            <w:pPr>
              <w:tabs>
                <w:tab w:val="left" w:pos="1740"/>
              </w:tabs>
              <w:spacing w:line="360" w:lineRule="auto"/>
            </w:pPr>
            <w:r>
              <w:t>张东</w:t>
            </w:r>
          </w:p>
        </w:tc>
        <w:tc>
          <w:tcPr>
            <w:tcW w:w="1512" w:type="dxa"/>
            <w:vAlign w:val="center"/>
          </w:tcPr>
          <w:p w14:paraId="585554FC">
            <w:pPr>
              <w:tabs>
                <w:tab w:val="left" w:pos="1740"/>
              </w:tabs>
              <w:autoSpaceDE w:val="0"/>
              <w:autoSpaceDN w:val="0"/>
              <w:adjustRightInd w:val="0"/>
              <w:spacing w:before="29" w:line="360" w:lineRule="auto"/>
              <w:ind w:left="15"/>
            </w:pPr>
            <w:r>
              <w:t>尚钢</w:t>
            </w:r>
          </w:p>
        </w:tc>
      </w:tr>
    </w:tbl>
    <w:p w14:paraId="3805B786">
      <w:pPr>
        <w:pStyle w:val="3"/>
        <w:spacing w:before="312" w:beforeLines="100" w:after="0"/>
        <w:rPr>
          <w:rFonts w:ascii="Times New Roman" w:hAnsi="Times New Roman" w:cs="Times New Roman"/>
          <w:kern w:val="0"/>
          <w:sz w:val="21"/>
          <w:szCs w:val="21"/>
        </w:rPr>
      </w:pPr>
      <w:bookmarkStart w:id="34" w:name="_Toc19708"/>
      <w:r>
        <w:rPr>
          <w:rFonts w:ascii="Times New Roman" w:hAnsi="Times New Roman" w:cs="Times New Roman"/>
          <w:kern w:val="0"/>
          <w:sz w:val="21"/>
          <w:szCs w:val="21"/>
        </w:rPr>
        <w:t>2.5  基金托管人、资产支持证券管理人、资产支持证券托管人</w:t>
      </w:r>
      <w:bookmarkEnd w:id="34"/>
    </w:p>
    <w:tbl>
      <w:tblPr>
        <w:tblStyle w:val="40"/>
        <w:tblW w:w="949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3"/>
        <w:gridCol w:w="1769"/>
        <w:gridCol w:w="2979"/>
        <w:gridCol w:w="3390"/>
      </w:tblGrid>
      <w:tr w14:paraId="4D4E5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2DF5CF02">
            <w:pPr>
              <w:autoSpaceDE w:val="0"/>
              <w:autoSpaceDN w:val="0"/>
              <w:adjustRightInd w:val="0"/>
              <w:spacing w:before="29" w:line="360" w:lineRule="auto"/>
              <w:ind w:left="15"/>
              <w:jc w:val="center"/>
              <w:rPr>
                <w:kern w:val="0"/>
              </w:rPr>
            </w:pPr>
            <w:r>
              <w:rPr>
                <w:kern w:val="0"/>
              </w:rPr>
              <w:t>项目</w:t>
            </w:r>
          </w:p>
        </w:tc>
        <w:tc>
          <w:tcPr>
            <w:tcW w:w="1769" w:type="dxa"/>
            <w:vAlign w:val="center"/>
          </w:tcPr>
          <w:p w14:paraId="4A13573E">
            <w:pPr>
              <w:spacing w:line="360" w:lineRule="auto"/>
              <w:jc w:val="center"/>
              <w:rPr>
                <w:kern w:val="0"/>
              </w:rPr>
            </w:pPr>
            <w:r>
              <w:rPr>
                <w:kern w:val="0"/>
              </w:rPr>
              <w:t>基金托管人</w:t>
            </w:r>
          </w:p>
        </w:tc>
        <w:tc>
          <w:tcPr>
            <w:tcW w:w="2979" w:type="dxa"/>
            <w:vAlign w:val="center"/>
          </w:tcPr>
          <w:p w14:paraId="6306C55B">
            <w:pPr>
              <w:spacing w:line="360" w:lineRule="auto"/>
              <w:jc w:val="center"/>
              <w:rPr>
                <w:kern w:val="0"/>
              </w:rPr>
            </w:pPr>
            <w:r>
              <w:rPr>
                <w:kern w:val="0"/>
              </w:rPr>
              <w:t>资产支持证券管理人</w:t>
            </w:r>
          </w:p>
        </w:tc>
        <w:tc>
          <w:tcPr>
            <w:tcW w:w="3390" w:type="dxa"/>
            <w:vAlign w:val="center"/>
          </w:tcPr>
          <w:p w14:paraId="15CE1A1D">
            <w:pPr>
              <w:spacing w:line="360" w:lineRule="auto"/>
              <w:jc w:val="center"/>
              <w:rPr>
                <w:kern w:val="0"/>
              </w:rPr>
            </w:pPr>
            <w:r>
              <w:rPr>
                <w:kern w:val="0"/>
              </w:rPr>
              <w:t>资产支持证券托管人</w:t>
            </w:r>
          </w:p>
        </w:tc>
      </w:tr>
      <w:tr w14:paraId="6F6DB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50C454AF">
            <w:pPr>
              <w:adjustRightInd w:val="0"/>
              <w:snapToGrid w:val="0"/>
              <w:spacing w:line="360" w:lineRule="auto"/>
              <w:rPr>
                <w:kern w:val="0"/>
              </w:rPr>
            </w:pPr>
            <w:r>
              <w:rPr>
                <w:kern w:val="0"/>
              </w:rPr>
              <w:t>名称</w:t>
            </w:r>
          </w:p>
        </w:tc>
        <w:tc>
          <w:tcPr>
            <w:tcW w:w="1769" w:type="dxa"/>
            <w:vAlign w:val="center"/>
          </w:tcPr>
          <w:p w14:paraId="16F19CE3">
            <w:pPr>
              <w:adjustRightInd w:val="0"/>
              <w:snapToGrid w:val="0"/>
              <w:spacing w:line="360" w:lineRule="auto"/>
              <w:rPr>
                <w:kern w:val="0"/>
              </w:rPr>
            </w:pPr>
            <w:r>
              <w:rPr>
                <w:kern w:val="0"/>
              </w:rPr>
              <w:t>招商银行股份有限公司</w:t>
            </w:r>
          </w:p>
        </w:tc>
        <w:tc>
          <w:tcPr>
            <w:tcW w:w="2979" w:type="dxa"/>
            <w:vAlign w:val="center"/>
          </w:tcPr>
          <w:p w14:paraId="4E1C65BD">
            <w:pPr>
              <w:adjustRightInd w:val="0"/>
              <w:snapToGrid w:val="0"/>
              <w:spacing w:line="360" w:lineRule="auto"/>
              <w:rPr>
                <w:kern w:val="0"/>
              </w:rPr>
            </w:pPr>
            <w:r>
              <w:rPr>
                <w:kern w:val="0"/>
              </w:rPr>
              <w:t>博时资本管理有限公司</w:t>
            </w:r>
          </w:p>
        </w:tc>
        <w:tc>
          <w:tcPr>
            <w:tcW w:w="3390" w:type="dxa"/>
            <w:vAlign w:val="center"/>
          </w:tcPr>
          <w:p w14:paraId="3277E31F">
            <w:pPr>
              <w:adjustRightInd w:val="0"/>
              <w:snapToGrid w:val="0"/>
              <w:spacing w:line="360" w:lineRule="auto"/>
              <w:rPr>
                <w:kern w:val="0"/>
              </w:rPr>
            </w:pPr>
            <w:r>
              <w:rPr>
                <w:kern w:val="0"/>
              </w:rPr>
              <w:t>招商银行股份有限公司</w:t>
            </w:r>
          </w:p>
        </w:tc>
      </w:tr>
      <w:tr w14:paraId="27F75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5FF39EA3">
            <w:pPr>
              <w:adjustRightInd w:val="0"/>
              <w:snapToGrid w:val="0"/>
              <w:spacing w:line="360" w:lineRule="auto"/>
              <w:rPr>
                <w:kern w:val="0"/>
              </w:rPr>
            </w:pPr>
            <w:r>
              <w:rPr>
                <w:kern w:val="0"/>
              </w:rPr>
              <w:t>注册地址</w:t>
            </w:r>
          </w:p>
        </w:tc>
        <w:tc>
          <w:tcPr>
            <w:tcW w:w="1769" w:type="dxa"/>
            <w:vAlign w:val="center"/>
          </w:tcPr>
          <w:p w14:paraId="2019B526">
            <w:pPr>
              <w:adjustRightInd w:val="0"/>
              <w:snapToGrid w:val="0"/>
              <w:spacing w:line="360" w:lineRule="auto"/>
              <w:rPr>
                <w:kern w:val="0"/>
              </w:rPr>
            </w:pPr>
            <w:r>
              <w:rPr>
                <w:kern w:val="0"/>
              </w:rPr>
              <w:t>深圳市深南大道7088号招商银行大厦</w:t>
            </w:r>
          </w:p>
        </w:tc>
        <w:tc>
          <w:tcPr>
            <w:tcW w:w="2979" w:type="dxa"/>
            <w:vAlign w:val="center"/>
          </w:tcPr>
          <w:p w14:paraId="154735CB">
            <w:pPr>
              <w:adjustRightInd w:val="0"/>
              <w:snapToGrid w:val="0"/>
              <w:spacing w:line="360" w:lineRule="auto"/>
              <w:rPr>
                <w:kern w:val="0"/>
              </w:rPr>
            </w:pPr>
            <w:r>
              <w:rPr>
                <w:kern w:val="0"/>
              </w:rPr>
              <w:t>深圳市前海深港合作区南山街道梦海大道5035号前海华润金融中心T5写字楼3009、3010B</w:t>
            </w:r>
          </w:p>
        </w:tc>
        <w:tc>
          <w:tcPr>
            <w:tcW w:w="3390" w:type="dxa"/>
            <w:vAlign w:val="center"/>
          </w:tcPr>
          <w:p w14:paraId="67E76F0E">
            <w:pPr>
              <w:adjustRightInd w:val="0"/>
              <w:snapToGrid w:val="0"/>
              <w:spacing w:line="360" w:lineRule="auto"/>
              <w:rPr>
                <w:kern w:val="0"/>
              </w:rPr>
            </w:pPr>
            <w:r>
              <w:rPr>
                <w:kern w:val="0"/>
              </w:rPr>
              <w:t>深圳市深南大道7088号招商银行大厦</w:t>
            </w:r>
          </w:p>
        </w:tc>
      </w:tr>
      <w:tr w14:paraId="559E0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581564FD">
            <w:pPr>
              <w:adjustRightInd w:val="0"/>
              <w:snapToGrid w:val="0"/>
              <w:spacing w:line="360" w:lineRule="auto"/>
              <w:rPr>
                <w:kern w:val="0"/>
              </w:rPr>
            </w:pPr>
            <w:r>
              <w:rPr>
                <w:kern w:val="0"/>
              </w:rPr>
              <w:t>办公地址</w:t>
            </w:r>
          </w:p>
        </w:tc>
        <w:tc>
          <w:tcPr>
            <w:tcW w:w="1769" w:type="dxa"/>
            <w:vAlign w:val="center"/>
          </w:tcPr>
          <w:p w14:paraId="47D0302D">
            <w:pPr>
              <w:adjustRightInd w:val="0"/>
              <w:snapToGrid w:val="0"/>
              <w:spacing w:line="360" w:lineRule="auto"/>
              <w:rPr>
                <w:kern w:val="0"/>
              </w:rPr>
            </w:pPr>
            <w:r>
              <w:rPr>
                <w:kern w:val="0"/>
              </w:rPr>
              <w:t>深圳市深南大道7088号招商银行大厦</w:t>
            </w:r>
          </w:p>
        </w:tc>
        <w:tc>
          <w:tcPr>
            <w:tcW w:w="2979" w:type="dxa"/>
            <w:vAlign w:val="center"/>
          </w:tcPr>
          <w:p w14:paraId="18D50844">
            <w:pPr>
              <w:adjustRightInd w:val="0"/>
              <w:snapToGrid w:val="0"/>
              <w:spacing w:line="360" w:lineRule="auto"/>
              <w:rPr>
                <w:kern w:val="0"/>
              </w:rPr>
            </w:pPr>
            <w:r>
              <w:rPr>
                <w:kern w:val="0"/>
              </w:rPr>
              <w:t>深圳市福田区益田路5999号基金大厦18楼</w:t>
            </w:r>
          </w:p>
        </w:tc>
        <w:tc>
          <w:tcPr>
            <w:tcW w:w="3390" w:type="dxa"/>
            <w:vAlign w:val="center"/>
          </w:tcPr>
          <w:p w14:paraId="3FAACAFB">
            <w:pPr>
              <w:adjustRightInd w:val="0"/>
              <w:snapToGrid w:val="0"/>
              <w:spacing w:line="360" w:lineRule="auto"/>
              <w:rPr>
                <w:kern w:val="0"/>
              </w:rPr>
            </w:pPr>
            <w:r>
              <w:rPr>
                <w:kern w:val="0"/>
              </w:rPr>
              <w:t>深圳市深南大道7088号招商银行大厦</w:t>
            </w:r>
          </w:p>
        </w:tc>
      </w:tr>
      <w:tr w14:paraId="0CC2A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2B4C9517">
            <w:pPr>
              <w:adjustRightInd w:val="0"/>
              <w:snapToGrid w:val="0"/>
              <w:spacing w:line="360" w:lineRule="auto"/>
              <w:rPr>
                <w:kern w:val="0"/>
              </w:rPr>
            </w:pPr>
            <w:r>
              <w:rPr>
                <w:kern w:val="0"/>
              </w:rPr>
              <w:t>邮政编码</w:t>
            </w:r>
          </w:p>
        </w:tc>
        <w:tc>
          <w:tcPr>
            <w:tcW w:w="1769" w:type="dxa"/>
            <w:vAlign w:val="center"/>
          </w:tcPr>
          <w:p w14:paraId="34005644">
            <w:pPr>
              <w:adjustRightInd w:val="0"/>
              <w:snapToGrid w:val="0"/>
              <w:spacing w:line="360" w:lineRule="auto"/>
              <w:rPr>
                <w:kern w:val="0"/>
              </w:rPr>
            </w:pPr>
            <w:r>
              <w:rPr>
                <w:kern w:val="0"/>
              </w:rPr>
              <w:t>518040</w:t>
            </w:r>
          </w:p>
        </w:tc>
        <w:tc>
          <w:tcPr>
            <w:tcW w:w="2979" w:type="dxa"/>
            <w:vAlign w:val="center"/>
          </w:tcPr>
          <w:p w14:paraId="0BFA506A">
            <w:pPr>
              <w:adjustRightInd w:val="0"/>
              <w:snapToGrid w:val="0"/>
              <w:spacing w:line="360" w:lineRule="auto"/>
              <w:rPr>
                <w:kern w:val="0"/>
              </w:rPr>
            </w:pPr>
            <w:r>
              <w:rPr>
                <w:kern w:val="0"/>
              </w:rPr>
              <w:t>518000</w:t>
            </w:r>
          </w:p>
        </w:tc>
        <w:tc>
          <w:tcPr>
            <w:tcW w:w="3390" w:type="dxa"/>
            <w:vAlign w:val="center"/>
          </w:tcPr>
          <w:p w14:paraId="1CEBA097">
            <w:pPr>
              <w:adjustRightInd w:val="0"/>
              <w:snapToGrid w:val="0"/>
              <w:spacing w:line="360" w:lineRule="auto"/>
              <w:rPr>
                <w:kern w:val="0"/>
              </w:rPr>
            </w:pPr>
            <w:r>
              <w:rPr>
                <w:kern w:val="0"/>
              </w:rPr>
              <w:t>518040</w:t>
            </w:r>
          </w:p>
        </w:tc>
      </w:tr>
      <w:tr w14:paraId="241BB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53" w:type="dxa"/>
            <w:vAlign w:val="center"/>
          </w:tcPr>
          <w:p w14:paraId="21EEDE0A">
            <w:pPr>
              <w:adjustRightInd w:val="0"/>
              <w:snapToGrid w:val="0"/>
              <w:spacing w:line="360" w:lineRule="auto"/>
              <w:rPr>
                <w:kern w:val="0"/>
              </w:rPr>
            </w:pPr>
            <w:r>
              <w:rPr>
                <w:kern w:val="0"/>
              </w:rPr>
              <w:t>法定代表人</w:t>
            </w:r>
          </w:p>
        </w:tc>
        <w:tc>
          <w:tcPr>
            <w:tcW w:w="1769" w:type="dxa"/>
            <w:vAlign w:val="center"/>
          </w:tcPr>
          <w:p w14:paraId="63C8F2BB">
            <w:pPr>
              <w:adjustRightInd w:val="0"/>
              <w:snapToGrid w:val="0"/>
              <w:spacing w:line="360" w:lineRule="auto"/>
              <w:rPr>
                <w:kern w:val="0"/>
              </w:rPr>
            </w:pPr>
            <w:r>
              <w:rPr>
                <w:kern w:val="0"/>
              </w:rPr>
              <w:t>缪建民</w:t>
            </w:r>
          </w:p>
        </w:tc>
        <w:tc>
          <w:tcPr>
            <w:tcW w:w="2979" w:type="dxa"/>
            <w:vAlign w:val="center"/>
          </w:tcPr>
          <w:p w14:paraId="2F14EC9E">
            <w:pPr>
              <w:adjustRightInd w:val="0"/>
              <w:snapToGrid w:val="0"/>
              <w:spacing w:line="360" w:lineRule="auto"/>
              <w:rPr>
                <w:kern w:val="0"/>
              </w:rPr>
            </w:pPr>
            <w:r>
              <w:rPr>
                <w:kern w:val="0"/>
              </w:rPr>
              <w:t>吴慧峰</w:t>
            </w:r>
          </w:p>
        </w:tc>
        <w:tc>
          <w:tcPr>
            <w:tcW w:w="3390" w:type="dxa"/>
            <w:vAlign w:val="center"/>
          </w:tcPr>
          <w:p w14:paraId="50C62677">
            <w:pPr>
              <w:adjustRightInd w:val="0"/>
              <w:snapToGrid w:val="0"/>
              <w:spacing w:line="360" w:lineRule="auto"/>
              <w:rPr>
                <w:kern w:val="0"/>
              </w:rPr>
            </w:pPr>
            <w:r>
              <w:rPr>
                <w:kern w:val="0"/>
              </w:rPr>
              <w:t>缪建民</w:t>
            </w:r>
          </w:p>
        </w:tc>
      </w:tr>
    </w:tbl>
    <w:p w14:paraId="40DB5D88">
      <w:pPr>
        <w:pStyle w:val="3"/>
        <w:spacing w:before="312" w:beforeLines="100" w:after="0"/>
        <w:rPr>
          <w:rFonts w:ascii="Times New Roman" w:hAnsi="Times New Roman" w:cs="Times New Roman"/>
          <w:kern w:val="0"/>
          <w:sz w:val="21"/>
          <w:szCs w:val="21"/>
        </w:rPr>
      </w:pPr>
      <w:bookmarkStart w:id="35" w:name="_Toc15466"/>
      <w:r>
        <w:rPr>
          <w:rFonts w:ascii="Times New Roman" w:hAnsi="Times New Roman" w:cs="Times New Roman"/>
          <w:kern w:val="0"/>
          <w:sz w:val="21"/>
          <w:szCs w:val="21"/>
        </w:rPr>
        <w:t>2.6  会计师事务所、资产评估机构、律师事务所、财务顾问等专业机构</w:t>
      </w:r>
      <w:bookmarkEnd w:id="35"/>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60"/>
        <w:gridCol w:w="3720"/>
      </w:tblGrid>
      <w:tr w14:paraId="0784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14:paraId="1B949739">
            <w:pPr>
              <w:tabs>
                <w:tab w:val="left" w:pos="1740"/>
              </w:tabs>
              <w:spacing w:line="360" w:lineRule="auto"/>
              <w:jc w:val="center"/>
            </w:pPr>
            <w:r>
              <w:t>项目</w:t>
            </w:r>
          </w:p>
        </w:tc>
        <w:tc>
          <w:tcPr>
            <w:tcW w:w="3260" w:type="dxa"/>
          </w:tcPr>
          <w:p w14:paraId="2E7A2A1E">
            <w:pPr>
              <w:tabs>
                <w:tab w:val="left" w:pos="1740"/>
              </w:tabs>
              <w:spacing w:line="360" w:lineRule="auto"/>
              <w:jc w:val="center"/>
            </w:pPr>
            <w:r>
              <w:t>名称</w:t>
            </w:r>
          </w:p>
        </w:tc>
        <w:tc>
          <w:tcPr>
            <w:tcW w:w="3720" w:type="dxa"/>
          </w:tcPr>
          <w:p w14:paraId="1FAE9485">
            <w:pPr>
              <w:tabs>
                <w:tab w:val="left" w:pos="1740"/>
              </w:tabs>
              <w:spacing w:line="360" w:lineRule="auto"/>
              <w:jc w:val="center"/>
            </w:pPr>
            <w:r>
              <w:t>办公地址</w:t>
            </w:r>
          </w:p>
        </w:tc>
      </w:tr>
      <w:tr w14:paraId="78ED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vAlign w:val="center"/>
          </w:tcPr>
          <w:p w14:paraId="1A6A3212">
            <w:pPr>
              <w:tabs>
                <w:tab w:val="left" w:pos="1740"/>
              </w:tabs>
              <w:spacing w:line="360" w:lineRule="auto"/>
            </w:pPr>
            <w:r>
              <w:t>会计师事务所</w:t>
            </w:r>
          </w:p>
        </w:tc>
        <w:tc>
          <w:tcPr>
            <w:tcW w:w="3260" w:type="dxa"/>
            <w:vAlign w:val="center"/>
          </w:tcPr>
          <w:p w14:paraId="770F8AFE">
            <w:pPr>
              <w:tabs>
                <w:tab w:val="left" w:pos="1740"/>
              </w:tabs>
              <w:spacing w:line="360" w:lineRule="auto"/>
            </w:pPr>
            <w:r>
              <w:t>无</w:t>
            </w:r>
          </w:p>
        </w:tc>
        <w:tc>
          <w:tcPr>
            <w:tcW w:w="3720" w:type="dxa"/>
            <w:vAlign w:val="center"/>
          </w:tcPr>
          <w:p w14:paraId="2A5423CB">
            <w:pPr>
              <w:tabs>
                <w:tab w:val="left" w:pos="1740"/>
              </w:tabs>
              <w:spacing w:line="360" w:lineRule="auto"/>
            </w:pPr>
            <w:r>
              <w:t>无</w:t>
            </w:r>
          </w:p>
        </w:tc>
      </w:tr>
      <w:tr w14:paraId="1BF25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vAlign w:val="center"/>
          </w:tcPr>
          <w:p w14:paraId="01583F59">
            <w:pPr>
              <w:tabs>
                <w:tab w:val="left" w:pos="1740"/>
              </w:tabs>
              <w:spacing w:line="360" w:lineRule="auto"/>
            </w:pPr>
            <w:r>
              <w:t>注册登记机构</w:t>
            </w:r>
          </w:p>
        </w:tc>
        <w:tc>
          <w:tcPr>
            <w:tcW w:w="3260" w:type="dxa"/>
            <w:vAlign w:val="center"/>
          </w:tcPr>
          <w:p w14:paraId="3182E877">
            <w:pPr>
              <w:tabs>
                <w:tab w:val="left" w:pos="1740"/>
              </w:tabs>
              <w:spacing w:line="360" w:lineRule="auto"/>
            </w:pPr>
            <w:r>
              <w:t>中国证券登记结算有限责任公司</w:t>
            </w:r>
          </w:p>
        </w:tc>
        <w:tc>
          <w:tcPr>
            <w:tcW w:w="3720" w:type="dxa"/>
            <w:vAlign w:val="center"/>
          </w:tcPr>
          <w:p w14:paraId="061CDA61">
            <w:pPr>
              <w:tabs>
                <w:tab w:val="left" w:pos="1740"/>
              </w:tabs>
              <w:spacing w:line="360" w:lineRule="auto"/>
            </w:pPr>
            <w:r>
              <w:t>北京市西城区太平桥大街17号</w:t>
            </w:r>
          </w:p>
        </w:tc>
      </w:tr>
      <w:tr w14:paraId="7B8D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vAlign w:val="center"/>
          </w:tcPr>
          <w:p w14:paraId="25553A2E">
            <w:pPr>
              <w:tabs>
                <w:tab w:val="left" w:pos="1740"/>
              </w:tabs>
              <w:spacing w:line="360" w:lineRule="auto"/>
            </w:pPr>
            <w:r>
              <w:t>评估机构</w:t>
            </w:r>
          </w:p>
        </w:tc>
        <w:tc>
          <w:tcPr>
            <w:tcW w:w="3260" w:type="dxa"/>
            <w:vAlign w:val="center"/>
          </w:tcPr>
          <w:p w14:paraId="51A5BEF1">
            <w:pPr>
              <w:tabs>
                <w:tab w:val="left" w:pos="1740"/>
              </w:tabs>
              <w:spacing w:line="360" w:lineRule="auto"/>
            </w:pPr>
            <w:r>
              <w:t>无</w:t>
            </w:r>
          </w:p>
        </w:tc>
        <w:tc>
          <w:tcPr>
            <w:tcW w:w="3720" w:type="dxa"/>
            <w:vAlign w:val="center"/>
          </w:tcPr>
          <w:p w14:paraId="5E9B0149">
            <w:pPr>
              <w:tabs>
                <w:tab w:val="left" w:pos="1740"/>
              </w:tabs>
              <w:spacing w:line="360" w:lineRule="auto"/>
            </w:pPr>
            <w:r>
              <w:t>无</w:t>
            </w:r>
          </w:p>
        </w:tc>
      </w:tr>
    </w:tbl>
    <w:p w14:paraId="50DBD3A1">
      <w:pPr>
        <w:pStyle w:val="3"/>
        <w:spacing w:before="312" w:beforeLines="100" w:after="0"/>
        <w:rPr>
          <w:rFonts w:ascii="Times New Roman" w:hAnsi="Times New Roman" w:cs="Times New Roman"/>
          <w:kern w:val="0"/>
          <w:sz w:val="21"/>
          <w:szCs w:val="21"/>
        </w:rPr>
      </w:pPr>
      <w:bookmarkStart w:id="36" w:name="_Toc98602626"/>
      <w:bookmarkStart w:id="37" w:name="_Toc225498248"/>
      <w:bookmarkStart w:id="38" w:name="_Toc123732449"/>
      <w:bookmarkStart w:id="39" w:name="_Toc98512351"/>
      <w:bookmarkStart w:id="40" w:name="_Toc98508932"/>
      <w:bookmarkStart w:id="41" w:name="_Toc361324848"/>
      <w:bookmarkStart w:id="42" w:name="_Toc98601277"/>
      <w:bookmarkStart w:id="43" w:name="_Toc10478"/>
      <w:bookmarkStart w:id="44" w:name="_Toc98602960"/>
      <w:bookmarkStart w:id="45" w:name="_Toc64625361"/>
      <w:bookmarkStart w:id="46" w:name="_Toc98511595"/>
      <w:bookmarkStart w:id="47" w:name="_Toc167195406"/>
      <w:r>
        <w:rPr>
          <w:rFonts w:ascii="Times New Roman" w:hAnsi="Times New Roman" w:cs="Times New Roman"/>
          <w:kern w:val="0"/>
          <w:sz w:val="21"/>
          <w:szCs w:val="21"/>
        </w:rPr>
        <w:t>2.7  信息披露方式</w:t>
      </w:r>
      <w:bookmarkEnd w:id="36"/>
      <w:bookmarkEnd w:id="37"/>
      <w:bookmarkEnd w:id="38"/>
      <w:bookmarkEnd w:id="39"/>
      <w:bookmarkEnd w:id="40"/>
      <w:bookmarkEnd w:id="41"/>
      <w:bookmarkEnd w:id="42"/>
      <w:bookmarkEnd w:id="43"/>
      <w:bookmarkEnd w:id="44"/>
      <w:bookmarkEnd w:id="45"/>
      <w:bookmarkEnd w:id="46"/>
      <w:bookmarkEnd w:id="47"/>
    </w:p>
    <w:tbl>
      <w:tblPr>
        <w:tblStyle w:val="40"/>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28"/>
        <w:gridCol w:w="5245"/>
      </w:tblGrid>
      <w:tr w14:paraId="385C9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8" w:type="dxa"/>
            <w:vAlign w:val="center"/>
          </w:tcPr>
          <w:p w14:paraId="4D796C7E">
            <w:pPr>
              <w:tabs>
                <w:tab w:val="left" w:pos="1740"/>
              </w:tabs>
              <w:spacing w:line="360" w:lineRule="auto"/>
            </w:pPr>
            <w:r>
              <w:t>本</w:t>
            </w:r>
            <w:r>
              <w:rPr>
                <w:rFonts w:hint="eastAsia"/>
              </w:rPr>
              <w:t>不动产</w:t>
            </w:r>
            <w:r>
              <w:t>基金选定的信息披露报纸名称</w:t>
            </w:r>
          </w:p>
        </w:tc>
        <w:tc>
          <w:tcPr>
            <w:tcW w:w="5245" w:type="dxa"/>
            <w:vAlign w:val="center"/>
          </w:tcPr>
          <w:p w14:paraId="4643F6B7">
            <w:pPr>
              <w:tabs>
                <w:tab w:val="left" w:pos="1740"/>
              </w:tabs>
              <w:spacing w:line="360" w:lineRule="auto"/>
            </w:pPr>
            <w:r>
              <w:t>中国证券报</w:t>
            </w:r>
          </w:p>
        </w:tc>
      </w:tr>
      <w:tr w14:paraId="01078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8" w:type="dxa"/>
            <w:vAlign w:val="center"/>
          </w:tcPr>
          <w:p w14:paraId="52D6E974">
            <w:pPr>
              <w:tabs>
                <w:tab w:val="left" w:pos="1740"/>
              </w:tabs>
              <w:spacing w:line="360" w:lineRule="auto"/>
            </w:pPr>
            <w:r>
              <w:t>登载</w:t>
            </w:r>
            <w:r>
              <w:rPr>
                <w:rFonts w:hint="eastAsia"/>
              </w:rPr>
              <w:t>不动产</w:t>
            </w:r>
            <w:r>
              <w:t>基金中期报告的管理人互联网网址</w:t>
            </w:r>
          </w:p>
        </w:tc>
        <w:tc>
          <w:tcPr>
            <w:tcW w:w="5245" w:type="dxa"/>
            <w:vAlign w:val="center"/>
          </w:tcPr>
          <w:p w14:paraId="19C6F73C">
            <w:pPr>
              <w:tabs>
                <w:tab w:val="left" w:pos="1740"/>
              </w:tabs>
              <w:spacing w:line="360" w:lineRule="auto"/>
            </w:pPr>
            <w:r>
              <w:t>https://www.bosera.com</w:t>
            </w:r>
          </w:p>
        </w:tc>
      </w:tr>
      <w:tr w14:paraId="05B0E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8" w:type="dxa"/>
            <w:vAlign w:val="center"/>
          </w:tcPr>
          <w:p w14:paraId="190A5A7A">
            <w:pPr>
              <w:tabs>
                <w:tab w:val="left" w:pos="1740"/>
              </w:tabs>
              <w:spacing w:line="360" w:lineRule="auto"/>
            </w:pPr>
            <w:r>
              <w:rPr>
                <w:rFonts w:hint="eastAsia"/>
              </w:rPr>
              <w:t>不动产</w:t>
            </w:r>
            <w:r>
              <w:t>基金中期报告备置地点</w:t>
            </w:r>
          </w:p>
        </w:tc>
        <w:tc>
          <w:tcPr>
            <w:tcW w:w="5245" w:type="dxa"/>
            <w:vAlign w:val="center"/>
          </w:tcPr>
          <w:p w14:paraId="3D3DC4BA">
            <w:pPr>
              <w:tabs>
                <w:tab w:val="left" w:pos="1740"/>
              </w:tabs>
              <w:spacing w:line="360" w:lineRule="auto"/>
            </w:pPr>
            <w:r>
              <w:t>基金管理人、基金托管人处</w:t>
            </w:r>
          </w:p>
        </w:tc>
      </w:tr>
    </w:tbl>
    <w:p w14:paraId="56778018">
      <w:pPr>
        <w:pStyle w:val="2"/>
        <w:spacing w:before="312" w:beforeLines="100" w:after="312" w:afterLines="100" w:line="360" w:lineRule="auto"/>
        <w:jc w:val="center"/>
        <w:rPr>
          <w:kern w:val="0"/>
          <w:sz w:val="21"/>
          <w:szCs w:val="21"/>
        </w:rPr>
      </w:pPr>
      <w:bookmarkStart w:id="48" w:name="_Toc98508934"/>
      <w:bookmarkStart w:id="49" w:name="_Toc98512353"/>
      <w:bookmarkStart w:id="50" w:name="_Toc98602962"/>
      <w:bookmarkStart w:id="51" w:name="_Toc30755"/>
      <w:bookmarkStart w:id="52" w:name="_Toc98602628"/>
      <w:bookmarkStart w:id="53" w:name="_Toc98601279"/>
      <w:bookmarkStart w:id="54" w:name="_Toc98511597"/>
      <w:r>
        <w:rPr>
          <w:kern w:val="0"/>
          <w:sz w:val="21"/>
          <w:szCs w:val="21"/>
        </w:rPr>
        <w:t>§3 主要财务指标和</w:t>
      </w:r>
      <w:r>
        <w:rPr>
          <w:rFonts w:hint="eastAsia"/>
          <w:kern w:val="0"/>
          <w:sz w:val="21"/>
          <w:szCs w:val="21"/>
        </w:rPr>
        <w:t>不动产</w:t>
      </w:r>
      <w:r>
        <w:rPr>
          <w:kern w:val="0"/>
          <w:sz w:val="21"/>
          <w:szCs w:val="21"/>
        </w:rPr>
        <w:t>基金运作情况</w:t>
      </w:r>
      <w:bookmarkEnd w:id="48"/>
      <w:bookmarkEnd w:id="49"/>
      <w:bookmarkEnd w:id="50"/>
      <w:bookmarkEnd w:id="51"/>
      <w:bookmarkEnd w:id="52"/>
      <w:bookmarkEnd w:id="53"/>
      <w:bookmarkEnd w:id="54"/>
    </w:p>
    <w:p w14:paraId="417A0225">
      <w:pPr>
        <w:pStyle w:val="3"/>
        <w:spacing w:before="312" w:beforeLines="100" w:after="0"/>
        <w:rPr>
          <w:rFonts w:ascii="Times New Roman" w:hAnsi="Times New Roman" w:cs="Times New Roman"/>
          <w:kern w:val="0"/>
          <w:sz w:val="21"/>
          <w:szCs w:val="21"/>
        </w:rPr>
      </w:pPr>
      <w:bookmarkStart w:id="55" w:name="_Toc98602629"/>
      <w:bookmarkStart w:id="56" w:name="_Toc15537"/>
      <w:bookmarkStart w:id="57" w:name="_Toc98602963"/>
      <w:bookmarkStart w:id="58" w:name="_Toc98508935"/>
      <w:bookmarkStart w:id="59" w:name="_Toc98512354"/>
      <w:bookmarkStart w:id="60" w:name="_Toc98511598"/>
      <w:bookmarkStart w:id="61" w:name="_Toc98601280"/>
      <w:r>
        <w:rPr>
          <w:rFonts w:ascii="Times New Roman" w:hAnsi="Times New Roman" w:cs="Times New Roman"/>
          <w:kern w:val="0"/>
          <w:sz w:val="21"/>
          <w:szCs w:val="21"/>
        </w:rPr>
        <w:t>3.1 主要会计数据和财务指标</w:t>
      </w:r>
      <w:bookmarkEnd w:id="55"/>
      <w:bookmarkEnd w:id="56"/>
      <w:bookmarkEnd w:id="57"/>
      <w:bookmarkEnd w:id="58"/>
      <w:bookmarkEnd w:id="59"/>
      <w:bookmarkEnd w:id="60"/>
      <w:bookmarkEnd w:id="61"/>
    </w:p>
    <w:p w14:paraId="00B10EBA">
      <w:pPr>
        <w:autoSpaceDE w:val="0"/>
        <w:autoSpaceDN w:val="0"/>
        <w:adjustRightInd w:val="0"/>
        <w:spacing w:before="29" w:line="360" w:lineRule="auto"/>
        <w:ind w:left="15"/>
        <w:jc w:val="right"/>
        <w:rPr>
          <w:kern w:val="0"/>
        </w:rPr>
      </w:pPr>
      <w:r>
        <w:rPr>
          <w:kern w:val="0"/>
        </w:rPr>
        <w:t>金额单位：人民币元</w:t>
      </w:r>
    </w:p>
    <w:tbl>
      <w:tblPr>
        <w:tblStyle w:val="40"/>
        <w:tblW w:w="9073" w:type="dxa"/>
        <w:tblInd w:w="-3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970"/>
        <w:gridCol w:w="5103"/>
      </w:tblGrid>
      <w:tr w14:paraId="3E2F86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7" w:hRule="atLeast"/>
        </w:trPr>
        <w:tc>
          <w:tcPr>
            <w:tcW w:w="3970" w:type="dxa"/>
            <w:vAlign w:val="center"/>
          </w:tcPr>
          <w:p w14:paraId="238E9B69">
            <w:pPr>
              <w:spacing w:line="360" w:lineRule="auto"/>
              <w:jc w:val="center"/>
              <w:rPr>
                <w:b/>
              </w:rPr>
            </w:pPr>
            <w:r>
              <w:rPr>
                <w:b/>
              </w:rPr>
              <w:t>期间数据和指标</w:t>
            </w:r>
          </w:p>
        </w:tc>
        <w:tc>
          <w:tcPr>
            <w:tcW w:w="5103" w:type="dxa"/>
            <w:vAlign w:val="center"/>
          </w:tcPr>
          <w:p w14:paraId="30ECDA92">
            <w:pPr>
              <w:spacing w:line="360" w:lineRule="auto"/>
              <w:jc w:val="center"/>
              <w:rPr>
                <w:b/>
              </w:rPr>
            </w:pPr>
            <w:r>
              <w:rPr>
                <w:b/>
              </w:rPr>
              <w:t>报告期（2026年1月1日至2026年6月30日）</w:t>
            </w:r>
          </w:p>
        </w:tc>
      </w:tr>
      <w:tr w14:paraId="79A6A8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4049CB44">
            <w:pPr>
              <w:adjustRightInd w:val="0"/>
              <w:spacing w:before="29" w:line="360" w:lineRule="auto"/>
              <w:ind w:left="17"/>
              <w:rPr>
                <w:kern w:val="0"/>
              </w:rPr>
            </w:pPr>
            <w:r>
              <w:rPr>
                <w:kern w:val="0"/>
              </w:rPr>
              <w:t>本期收入</w:t>
            </w:r>
          </w:p>
        </w:tc>
        <w:tc>
          <w:tcPr>
            <w:tcW w:w="5103" w:type="dxa"/>
            <w:vAlign w:val="center"/>
          </w:tcPr>
          <w:p w14:paraId="6A07D168">
            <w:pPr>
              <w:adjustRightInd w:val="0"/>
              <w:spacing w:before="29" w:line="360" w:lineRule="auto"/>
              <w:ind w:left="17"/>
              <w:jc w:val="right"/>
            </w:pPr>
            <w:r>
              <w:t>82,276,191.16</w:t>
            </w:r>
          </w:p>
        </w:tc>
      </w:tr>
      <w:tr w14:paraId="136B0D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099F1BED">
            <w:pPr>
              <w:adjustRightInd w:val="0"/>
              <w:spacing w:before="29" w:line="360" w:lineRule="auto"/>
              <w:ind w:left="17"/>
              <w:rPr>
                <w:kern w:val="0"/>
              </w:rPr>
            </w:pPr>
            <w:r>
              <w:rPr>
                <w:kern w:val="0"/>
              </w:rPr>
              <w:t>本期净利润</w:t>
            </w:r>
          </w:p>
        </w:tc>
        <w:tc>
          <w:tcPr>
            <w:tcW w:w="5103" w:type="dxa"/>
            <w:vAlign w:val="center"/>
          </w:tcPr>
          <w:p w14:paraId="37FF0FDE">
            <w:pPr>
              <w:adjustRightInd w:val="0"/>
              <w:spacing w:before="29" w:line="360" w:lineRule="auto"/>
              <w:ind w:left="17"/>
              <w:jc w:val="right"/>
            </w:pPr>
            <w:r>
              <w:t>19,418,634.17</w:t>
            </w:r>
          </w:p>
        </w:tc>
      </w:tr>
      <w:tr w14:paraId="36143D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0CF62378">
            <w:pPr>
              <w:adjustRightInd w:val="0"/>
              <w:spacing w:before="29" w:line="360" w:lineRule="auto"/>
              <w:ind w:left="17"/>
              <w:rPr>
                <w:kern w:val="0"/>
              </w:rPr>
            </w:pPr>
            <w:r>
              <w:rPr>
                <w:kern w:val="0"/>
              </w:rPr>
              <w:t>本期经营活动产生的现金流量净额</w:t>
            </w:r>
          </w:p>
        </w:tc>
        <w:tc>
          <w:tcPr>
            <w:tcW w:w="5103" w:type="dxa"/>
            <w:vAlign w:val="center"/>
          </w:tcPr>
          <w:p w14:paraId="59BB677E">
            <w:pPr>
              <w:adjustRightInd w:val="0"/>
              <w:spacing w:before="29" w:line="360" w:lineRule="auto"/>
              <w:ind w:left="17"/>
              <w:jc w:val="right"/>
            </w:pPr>
            <w:r>
              <w:t>75,475,645.12</w:t>
            </w:r>
          </w:p>
        </w:tc>
      </w:tr>
      <w:tr w14:paraId="03E94F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7D3C9ED1">
            <w:pPr>
              <w:adjustRightInd w:val="0"/>
              <w:spacing w:before="29" w:line="360" w:lineRule="auto"/>
              <w:ind w:left="17"/>
              <w:rPr>
                <w:kern w:val="0"/>
              </w:rPr>
            </w:pPr>
            <w:r>
              <w:rPr>
                <w:kern w:val="0"/>
              </w:rPr>
              <w:t>本期现金流分派率（%）</w:t>
            </w:r>
          </w:p>
        </w:tc>
        <w:tc>
          <w:tcPr>
            <w:tcW w:w="5103" w:type="dxa"/>
            <w:vAlign w:val="center"/>
          </w:tcPr>
          <w:p w14:paraId="19A5ACF7">
            <w:pPr>
              <w:adjustRightInd w:val="0"/>
              <w:spacing w:before="29" w:line="360" w:lineRule="auto"/>
              <w:ind w:left="17"/>
              <w:jc w:val="right"/>
            </w:pPr>
            <w:r>
              <w:t>2.26%</w:t>
            </w:r>
          </w:p>
        </w:tc>
      </w:tr>
      <w:tr w14:paraId="0FC856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56D30292">
            <w:pPr>
              <w:adjustRightInd w:val="0"/>
              <w:spacing w:before="29" w:line="360" w:lineRule="auto"/>
              <w:ind w:left="17"/>
              <w:rPr>
                <w:kern w:val="0"/>
              </w:rPr>
            </w:pPr>
            <w:r>
              <w:rPr>
                <w:kern w:val="0"/>
              </w:rPr>
              <w:t>年化现金流分派率（%）</w:t>
            </w:r>
          </w:p>
        </w:tc>
        <w:tc>
          <w:tcPr>
            <w:tcW w:w="5103" w:type="dxa"/>
            <w:vAlign w:val="center"/>
          </w:tcPr>
          <w:p w14:paraId="78166FB4">
            <w:pPr>
              <w:adjustRightInd w:val="0"/>
              <w:spacing w:before="29" w:line="360" w:lineRule="auto"/>
              <w:ind w:left="17"/>
              <w:jc w:val="right"/>
            </w:pPr>
            <w:r>
              <w:t>4.57%</w:t>
            </w:r>
          </w:p>
        </w:tc>
      </w:tr>
      <w:tr w14:paraId="742C33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4193DD67">
            <w:pPr>
              <w:spacing w:line="360" w:lineRule="auto"/>
              <w:jc w:val="center"/>
              <w:rPr>
                <w:b/>
              </w:rPr>
            </w:pPr>
            <w:r>
              <w:rPr>
                <w:b/>
              </w:rPr>
              <w:t>期末数据和指标</w:t>
            </w:r>
          </w:p>
        </w:tc>
        <w:tc>
          <w:tcPr>
            <w:tcW w:w="5103" w:type="dxa"/>
            <w:vAlign w:val="center"/>
          </w:tcPr>
          <w:p w14:paraId="60A1A2E4">
            <w:pPr>
              <w:spacing w:line="360" w:lineRule="auto"/>
              <w:jc w:val="center"/>
              <w:rPr>
                <w:b/>
              </w:rPr>
            </w:pPr>
            <w:r>
              <w:rPr>
                <w:b/>
              </w:rPr>
              <w:t>报告期末(2026年6月30日)</w:t>
            </w:r>
          </w:p>
        </w:tc>
      </w:tr>
      <w:tr w14:paraId="01DD07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5ED0087F">
            <w:pPr>
              <w:spacing w:line="360" w:lineRule="auto"/>
            </w:pPr>
            <w:r>
              <w:t>期末</w:t>
            </w:r>
            <w:r>
              <w:rPr>
                <w:rFonts w:hint="eastAsia"/>
              </w:rPr>
              <w:t>不动产</w:t>
            </w:r>
            <w:r>
              <w:t>基金总资产</w:t>
            </w:r>
          </w:p>
        </w:tc>
        <w:tc>
          <w:tcPr>
            <w:tcW w:w="5103" w:type="dxa"/>
            <w:vAlign w:val="center"/>
          </w:tcPr>
          <w:p w14:paraId="6DE2D969">
            <w:pPr>
              <w:adjustRightInd w:val="0"/>
              <w:spacing w:before="29" w:line="360" w:lineRule="auto"/>
              <w:ind w:left="17"/>
              <w:jc w:val="right"/>
            </w:pPr>
            <w:r>
              <w:t>3,478,864,240.68</w:t>
            </w:r>
          </w:p>
        </w:tc>
      </w:tr>
      <w:tr w14:paraId="3B32A1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176C17D1">
            <w:pPr>
              <w:spacing w:line="360" w:lineRule="auto"/>
            </w:pPr>
            <w:r>
              <w:t>期末</w:t>
            </w:r>
            <w:r>
              <w:rPr>
                <w:rFonts w:hint="eastAsia"/>
              </w:rPr>
              <w:t>不动产</w:t>
            </w:r>
            <w:r>
              <w:t>基金净资产</w:t>
            </w:r>
          </w:p>
        </w:tc>
        <w:tc>
          <w:tcPr>
            <w:tcW w:w="5103" w:type="dxa"/>
            <w:vAlign w:val="center"/>
          </w:tcPr>
          <w:p w14:paraId="28DA602E">
            <w:pPr>
              <w:adjustRightInd w:val="0"/>
              <w:spacing w:before="29" w:line="360" w:lineRule="auto"/>
              <w:ind w:left="17"/>
              <w:jc w:val="right"/>
            </w:pPr>
            <w:r>
              <w:t>3,004,391,097.36</w:t>
            </w:r>
          </w:p>
        </w:tc>
      </w:tr>
      <w:tr w14:paraId="183CFB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970" w:type="dxa"/>
            <w:vAlign w:val="center"/>
          </w:tcPr>
          <w:p w14:paraId="20681BEF">
            <w:pPr>
              <w:spacing w:line="360" w:lineRule="auto"/>
            </w:pPr>
            <w:r>
              <w:t>期末</w:t>
            </w:r>
            <w:r>
              <w:rPr>
                <w:rFonts w:hint="eastAsia"/>
              </w:rPr>
              <w:t>不动产</w:t>
            </w:r>
            <w:r>
              <w:t>基金总资产与净资产的比例（%）</w:t>
            </w:r>
          </w:p>
        </w:tc>
        <w:tc>
          <w:tcPr>
            <w:tcW w:w="5103" w:type="dxa"/>
            <w:vAlign w:val="center"/>
          </w:tcPr>
          <w:p w14:paraId="550455EC">
            <w:pPr>
              <w:adjustRightInd w:val="0"/>
              <w:spacing w:before="29" w:line="360" w:lineRule="auto"/>
              <w:ind w:left="17"/>
              <w:jc w:val="right"/>
            </w:pPr>
            <w:r>
              <w:t>115.79%</w:t>
            </w:r>
          </w:p>
        </w:tc>
      </w:tr>
    </w:tbl>
    <w:p w14:paraId="767DBD7A">
      <w:pPr>
        <w:spacing w:line="360" w:lineRule="auto"/>
        <w:ind w:firstLine="420" w:firstLineChars="200"/>
      </w:pPr>
      <w:r>
        <w:t>注：年化现金流分派率指截至报告期末本年累计可供分配金额/报告期末市值/年初至今实际天数*本年总天数。</w:t>
      </w:r>
    </w:p>
    <w:p w14:paraId="50DADC04">
      <w:pPr>
        <w:pStyle w:val="3"/>
        <w:spacing w:before="312" w:beforeLines="100" w:after="0"/>
        <w:rPr>
          <w:rFonts w:ascii="Times New Roman" w:hAnsi="Times New Roman" w:cs="Times New Roman"/>
          <w:kern w:val="0"/>
          <w:sz w:val="21"/>
          <w:szCs w:val="21"/>
        </w:rPr>
      </w:pPr>
      <w:bookmarkStart w:id="62" w:name="_Toc98511599"/>
      <w:bookmarkStart w:id="63" w:name="_Toc98512355"/>
      <w:bookmarkStart w:id="64" w:name="_Toc98508936"/>
      <w:bookmarkStart w:id="65" w:name="_Toc18229"/>
      <w:bookmarkStart w:id="66" w:name="_Toc98602964"/>
      <w:bookmarkStart w:id="67" w:name="_Toc98601281"/>
      <w:bookmarkStart w:id="68" w:name="_Toc98602630"/>
      <w:bookmarkStart w:id="69" w:name="_Toc81411048"/>
      <w:r>
        <w:rPr>
          <w:rFonts w:ascii="Times New Roman" w:hAnsi="Times New Roman" w:cs="Times New Roman"/>
          <w:kern w:val="0"/>
          <w:sz w:val="21"/>
          <w:szCs w:val="21"/>
        </w:rPr>
        <w:t>3.2 其他财务指标</w:t>
      </w:r>
      <w:bookmarkEnd w:id="62"/>
      <w:bookmarkEnd w:id="63"/>
      <w:bookmarkEnd w:id="64"/>
      <w:bookmarkEnd w:id="65"/>
      <w:bookmarkEnd w:id="66"/>
      <w:bookmarkEnd w:id="67"/>
      <w:bookmarkEnd w:id="68"/>
      <w:bookmarkEnd w:id="69"/>
    </w:p>
    <w:p w14:paraId="77377877">
      <w:pPr>
        <w:autoSpaceDE w:val="0"/>
        <w:autoSpaceDN w:val="0"/>
        <w:adjustRightInd w:val="0"/>
        <w:spacing w:before="29" w:line="360" w:lineRule="auto"/>
        <w:ind w:left="15"/>
        <w:jc w:val="right"/>
        <w:rPr>
          <w:kern w:val="0"/>
        </w:rPr>
      </w:pPr>
      <w:r>
        <w:rPr>
          <w:kern w:val="0"/>
        </w:rPr>
        <w:t>单位：人民币元</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6805"/>
      </w:tblGrid>
      <w:tr w14:paraId="4264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tcPr>
          <w:p w14:paraId="26156677">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数据和指标</w:t>
            </w:r>
          </w:p>
        </w:tc>
        <w:tc>
          <w:tcPr>
            <w:tcW w:w="6805" w:type="dxa"/>
            <w:tcBorders>
              <w:top w:val="single" w:color="auto" w:sz="4" w:space="0"/>
              <w:left w:val="single" w:color="auto" w:sz="4" w:space="0"/>
              <w:bottom w:val="single" w:color="auto" w:sz="4" w:space="0"/>
              <w:right w:val="single" w:color="auto" w:sz="4" w:space="0"/>
            </w:tcBorders>
          </w:tcPr>
          <w:p w14:paraId="6267C7B1">
            <w:pPr>
              <w:adjustRightInd w:val="0"/>
              <w:spacing w:before="29" w:line="360" w:lineRule="auto"/>
              <w:ind w:left="17"/>
              <w:jc w:val="center"/>
            </w:pPr>
            <w:r>
              <w:rPr>
                <w:b/>
              </w:rPr>
              <w:t>2026年</w:t>
            </w:r>
          </w:p>
        </w:tc>
      </w:tr>
      <w:tr w14:paraId="2777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Borders>
              <w:top w:val="single" w:color="auto" w:sz="4" w:space="0"/>
              <w:left w:val="single" w:color="auto" w:sz="4" w:space="0"/>
              <w:bottom w:val="single" w:color="auto" w:sz="4" w:space="0"/>
              <w:right w:val="single" w:color="auto" w:sz="4" w:space="0"/>
            </w:tcBorders>
          </w:tcPr>
          <w:p w14:paraId="2C1D2935">
            <w:pPr>
              <w:pStyle w:val="36"/>
              <w:spacing w:line="360" w:lineRule="auto"/>
              <w:rPr>
                <w:rFonts w:ascii="Times New Roman" w:hAnsi="Times New Roman" w:cs="Times New Roman"/>
                <w:sz w:val="21"/>
                <w:szCs w:val="21"/>
              </w:rPr>
            </w:pPr>
            <w:r>
              <w:rPr>
                <w:rFonts w:ascii="Times New Roman" w:hAnsi="Times New Roman" w:cs="Times New Roman"/>
                <w:sz w:val="21"/>
                <w:szCs w:val="21"/>
              </w:rPr>
              <w:t>期末</w:t>
            </w:r>
            <w:r>
              <w:rPr>
                <w:rFonts w:hint="eastAsia" w:ascii="Times New Roman" w:hAnsi="Times New Roman" w:cs="Times New Roman"/>
                <w:sz w:val="21"/>
                <w:szCs w:val="21"/>
              </w:rPr>
              <w:t>不动产</w:t>
            </w:r>
            <w:r>
              <w:rPr>
                <w:rFonts w:ascii="Times New Roman" w:hAnsi="Times New Roman" w:cs="Times New Roman"/>
                <w:sz w:val="21"/>
                <w:szCs w:val="21"/>
              </w:rPr>
              <w:t>基金份额净值</w:t>
            </w:r>
          </w:p>
        </w:tc>
        <w:tc>
          <w:tcPr>
            <w:tcW w:w="6805" w:type="dxa"/>
            <w:tcBorders>
              <w:top w:val="single" w:color="auto" w:sz="4" w:space="0"/>
              <w:left w:val="single" w:color="auto" w:sz="4" w:space="0"/>
              <w:bottom w:val="single" w:color="auto" w:sz="4" w:space="0"/>
              <w:right w:val="single" w:color="auto" w:sz="4" w:space="0"/>
            </w:tcBorders>
          </w:tcPr>
          <w:p w14:paraId="2ED11DF5">
            <w:pPr>
              <w:adjustRightInd w:val="0"/>
              <w:spacing w:before="29" w:line="360" w:lineRule="auto"/>
              <w:ind w:left="17"/>
              <w:jc w:val="right"/>
            </w:pPr>
            <w:r>
              <w:t>2.1141</w:t>
            </w:r>
          </w:p>
        </w:tc>
      </w:tr>
    </w:tbl>
    <w:p w14:paraId="781797FE">
      <w:pPr>
        <w:pStyle w:val="3"/>
        <w:spacing w:before="312" w:beforeLines="100" w:after="0"/>
        <w:rPr>
          <w:rFonts w:ascii="Times New Roman" w:hAnsi="Times New Roman" w:cs="Times New Roman"/>
          <w:kern w:val="0"/>
          <w:sz w:val="21"/>
          <w:szCs w:val="21"/>
        </w:rPr>
      </w:pPr>
      <w:bookmarkStart w:id="70" w:name="_Toc98511600"/>
      <w:bookmarkStart w:id="71" w:name="_Toc98602965"/>
      <w:bookmarkStart w:id="72" w:name="_Toc98601282"/>
      <w:bookmarkStart w:id="73" w:name="_Toc98508937"/>
      <w:bookmarkStart w:id="74" w:name="_Toc98512356"/>
      <w:bookmarkStart w:id="75" w:name="_Toc98602631"/>
      <w:bookmarkStart w:id="76" w:name="_Toc4883"/>
      <w:r>
        <w:rPr>
          <w:rFonts w:ascii="Times New Roman" w:hAnsi="Times New Roman" w:cs="Times New Roman"/>
          <w:kern w:val="0"/>
          <w:sz w:val="21"/>
          <w:szCs w:val="21"/>
        </w:rPr>
        <w:t xml:space="preserve">3.3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基金收益分配情况</w:t>
      </w:r>
      <w:bookmarkEnd w:id="70"/>
      <w:bookmarkEnd w:id="71"/>
      <w:bookmarkEnd w:id="72"/>
      <w:bookmarkEnd w:id="73"/>
      <w:bookmarkEnd w:id="74"/>
      <w:bookmarkEnd w:id="75"/>
      <w:bookmarkEnd w:id="76"/>
    </w:p>
    <w:p w14:paraId="3C2EF5F7">
      <w:pPr>
        <w:autoSpaceDE w:val="0"/>
        <w:autoSpaceDN w:val="0"/>
        <w:adjustRightInd w:val="0"/>
        <w:spacing w:line="360" w:lineRule="auto"/>
        <w:jc w:val="left"/>
        <w:rPr>
          <w:b/>
        </w:rPr>
      </w:pPr>
      <w:r>
        <w:rPr>
          <w:b/>
        </w:rPr>
        <w:t>3.3.1本报告期及近三年的收益分配情况</w:t>
      </w:r>
    </w:p>
    <w:p w14:paraId="709EE6F5">
      <w:pPr>
        <w:autoSpaceDE w:val="0"/>
        <w:autoSpaceDN w:val="0"/>
        <w:adjustRightInd w:val="0"/>
        <w:spacing w:line="360" w:lineRule="auto"/>
        <w:outlineLvl w:val="2"/>
        <w:rPr>
          <w:b/>
        </w:rPr>
      </w:pPr>
      <w:bookmarkStart w:id="77" w:name="_Toc98602632"/>
      <w:bookmarkStart w:id="78" w:name="_Toc98601283"/>
      <w:bookmarkStart w:id="79" w:name="_Toc96424887"/>
      <w:r>
        <w:rPr>
          <w:b/>
          <w:bCs/>
        </w:rPr>
        <w:t>3.3.1.1</w:t>
      </w:r>
      <w:r>
        <w:rPr>
          <w:b/>
        </w:rPr>
        <w:t xml:space="preserve"> 本报告期及近三年的可供分配金额</w:t>
      </w:r>
      <w:bookmarkEnd w:id="77"/>
      <w:bookmarkEnd w:id="78"/>
      <w:bookmarkEnd w:id="79"/>
    </w:p>
    <w:p w14:paraId="1B0F4A3B">
      <w:pPr>
        <w:autoSpaceDE w:val="0"/>
        <w:autoSpaceDN w:val="0"/>
        <w:adjustRightInd w:val="0"/>
        <w:spacing w:before="29" w:line="360" w:lineRule="auto"/>
        <w:ind w:left="15"/>
        <w:jc w:val="right"/>
        <w:rPr>
          <w:kern w:val="0"/>
        </w:rPr>
      </w:pPr>
      <w:r>
        <w:rPr>
          <w:kern w:val="0"/>
        </w:rPr>
        <w:t>单位：人民币元</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268"/>
        <w:gridCol w:w="2268"/>
        <w:gridCol w:w="2269"/>
      </w:tblGrid>
      <w:tr w14:paraId="205D2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349F6B69">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期间</w:t>
            </w:r>
          </w:p>
        </w:tc>
        <w:tc>
          <w:tcPr>
            <w:tcW w:w="2268" w:type="dxa"/>
            <w:vAlign w:val="center"/>
          </w:tcPr>
          <w:p w14:paraId="62E87AE7">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可供分配金额</w:t>
            </w:r>
          </w:p>
        </w:tc>
        <w:tc>
          <w:tcPr>
            <w:tcW w:w="2268" w:type="dxa"/>
            <w:vAlign w:val="center"/>
          </w:tcPr>
          <w:p w14:paraId="0BBFCF01">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单位可供分配金额</w:t>
            </w:r>
          </w:p>
        </w:tc>
        <w:tc>
          <w:tcPr>
            <w:tcW w:w="2269" w:type="dxa"/>
            <w:vAlign w:val="center"/>
          </w:tcPr>
          <w:p w14:paraId="58752018">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备注</w:t>
            </w:r>
          </w:p>
        </w:tc>
      </w:tr>
      <w:tr w14:paraId="7937E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304FAA9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w:t>
            </w:r>
          </w:p>
        </w:tc>
        <w:tc>
          <w:tcPr>
            <w:tcW w:w="2268" w:type="dxa"/>
            <w:vAlign w:val="center"/>
          </w:tcPr>
          <w:p w14:paraId="7B4FF7E8">
            <w:pPr>
              <w:adjustRightInd w:val="0"/>
              <w:spacing w:before="29" w:line="360" w:lineRule="auto"/>
              <w:ind w:left="17"/>
              <w:jc w:val="right"/>
              <w:rPr>
                <w:kern w:val="0"/>
              </w:rPr>
            </w:pPr>
            <w:r>
              <w:rPr>
                <w:kern w:val="0"/>
              </w:rPr>
              <w:t>51,519,742.36</w:t>
            </w:r>
          </w:p>
        </w:tc>
        <w:tc>
          <w:tcPr>
            <w:tcW w:w="2268" w:type="dxa"/>
            <w:vAlign w:val="center"/>
          </w:tcPr>
          <w:p w14:paraId="45E6810F">
            <w:pPr>
              <w:pStyle w:val="36"/>
              <w:adjustRightInd w:val="0"/>
              <w:snapToGrid w:val="0"/>
              <w:spacing w:before="0" w:beforeAutospacing="0" w:after="0" w:afterAutospacing="0" w:line="360" w:lineRule="auto"/>
              <w:jc w:val="right"/>
              <w:rPr>
                <w:rFonts w:ascii="Times New Roman" w:hAnsi="Times New Roman" w:cs="Times New Roman"/>
                <w:sz w:val="21"/>
                <w:szCs w:val="21"/>
              </w:rPr>
            </w:pPr>
            <w:r>
              <w:rPr>
                <w:rFonts w:ascii="Times New Roman" w:hAnsi="Times New Roman" w:cs="Times New Roman"/>
                <w:sz w:val="21"/>
                <w:szCs w:val="21"/>
              </w:rPr>
              <w:t>0.0363</w:t>
            </w:r>
          </w:p>
        </w:tc>
        <w:tc>
          <w:tcPr>
            <w:tcW w:w="2269" w:type="dxa"/>
          </w:tcPr>
          <w:p w14:paraId="36F1E701">
            <w:pPr>
              <w:pStyle w:val="36"/>
              <w:adjustRightInd w:val="0"/>
              <w:snapToGrid w:val="0"/>
              <w:spacing w:before="0" w:beforeAutospacing="0" w:after="0" w:afterAutospacing="0" w:line="360" w:lineRule="auto"/>
              <w:rPr>
                <w:rFonts w:ascii="Times New Roman" w:hAnsi="Times New Roman" w:cs="Times New Roman"/>
                <w:sz w:val="21"/>
                <w:szCs w:val="21"/>
              </w:rPr>
            </w:pPr>
            <w:r>
              <w:rPr>
                <w:rFonts w:ascii="Times New Roman" w:hAnsi="Times New Roman" w:cs="Times New Roman"/>
                <w:sz w:val="21"/>
                <w:szCs w:val="21"/>
              </w:rPr>
              <w:t>-</w:t>
            </w:r>
          </w:p>
        </w:tc>
      </w:tr>
      <w:tr w14:paraId="6C97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FE20AB3">
            <w:pPr>
              <w:jc w:val="center"/>
            </w:pPr>
            <w:r>
              <w:rPr>
                <w:rFonts w:ascii="Times New Roman" w:hAnsi="Times New Roman" w:cs="Times New Roman"/>
                <w:sz w:val="21"/>
                <w:szCs w:val="21"/>
              </w:rPr>
              <w:t>2025年</w:t>
            </w:r>
          </w:p>
        </w:tc>
        <w:tc>
          <w:tcPr>
            <w:vAlign w:val="center"/>
          </w:tcPr>
          <w:p w14:paraId="49F6FD9F">
            <w:pPr>
              <w:jc w:val="right"/>
            </w:pPr>
            <w:r>
              <w:rPr>
                <w:rFonts w:ascii="Times New Roman" w:hAnsi="Times New Roman" w:cs="Times New Roman"/>
                <w:sz w:val="21"/>
                <w:szCs w:val="21"/>
              </w:rPr>
              <w:t>120,616,413.57</w:t>
            </w:r>
          </w:p>
        </w:tc>
        <w:tc>
          <w:tcPr>
            <w:vAlign w:val="center"/>
          </w:tcPr>
          <w:p w14:paraId="1B053A42">
            <w:pPr>
              <w:jc w:val="right"/>
            </w:pPr>
            <w:r>
              <w:rPr>
                <w:rFonts w:ascii="Times New Roman" w:hAnsi="Times New Roman" w:cs="Times New Roman"/>
                <w:sz w:val="21"/>
                <w:szCs w:val="21"/>
              </w:rPr>
              <w:t>0.0849</w:t>
            </w:r>
          </w:p>
        </w:tc>
        <w:tc>
          <w:tcPr>
            <w:vAlign w:val="center"/>
          </w:tcPr>
          <w:p w14:paraId="52523E48">
            <w:pPr>
              <w:jc w:val="left"/>
            </w:pPr>
            <w:r>
              <w:rPr>
                <w:rFonts w:ascii="Times New Roman" w:hAnsi="Times New Roman" w:cs="Times New Roman"/>
                <w:sz w:val="21"/>
                <w:szCs w:val="21"/>
              </w:rPr>
              <w:t>-</w:t>
            </w:r>
          </w:p>
        </w:tc>
      </w:tr>
      <w:tr w14:paraId="136F3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9B669DC">
            <w:pPr>
              <w:jc w:val="center"/>
            </w:pPr>
            <w:r>
              <w:rPr>
                <w:rFonts w:ascii="Times New Roman" w:hAnsi="Times New Roman" w:cs="Times New Roman"/>
                <w:sz w:val="21"/>
                <w:szCs w:val="21"/>
              </w:rPr>
              <w:t>2024年</w:t>
            </w:r>
          </w:p>
        </w:tc>
        <w:tc>
          <w:tcPr>
            <w:vAlign w:val="center"/>
          </w:tcPr>
          <w:p w14:paraId="740F629F">
            <w:pPr>
              <w:jc w:val="right"/>
            </w:pPr>
            <w:r>
              <w:rPr>
                <w:rFonts w:ascii="Times New Roman" w:hAnsi="Times New Roman" w:cs="Times New Roman"/>
                <w:sz w:val="21"/>
                <w:szCs w:val="21"/>
              </w:rPr>
              <w:t>141,627,991.95</w:t>
            </w:r>
          </w:p>
        </w:tc>
        <w:tc>
          <w:tcPr>
            <w:vAlign w:val="center"/>
          </w:tcPr>
          <w:p w14:paraId="0035C286">
            <w:pPr>
              <w:jc w:val="right"/>
            </w:pPr>
            <w:r>
              <w:rPr>
                <w:rFonts w:ascii="Times New Roman" w:hAnsi="Times New Roman" w:cs="Times New Roman"/>
                <w:sz w:val="21"/>
                <w:szCs w:val="21"/>
              </w:rPr>
              <w:t>0.0997</w:t>
            </w:r>
          </w:p>
        </w:tc>
        <w:tc>
          <w:tcPr>
            <w:vAlign w:val="center"/>
          </w:tcPr>
          <w:p w14:paraId="6B1FF9AA">
            <w:pPr>
              <w:jc w:val="left"/>
            </w:pPr>
            <w:r>
              <w:rPr>
                <w:rFonts w:ascii="Times New Roman" w:hAnsi="Times New Roman" w:cs="Times New Roman"/>
                <w:sz w:val="21"/>
                <w:szCs w:val="21"/>
              </w:rPr>
              <w:t>-</w:t>
            </w:r>
          </w:p>
        </w:tc>
      </w:tr>
      <w:tr w14:paraId="6CA40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C169D17">
            <w:pPr>
              <w:jc w:val="center"/>
            </w:pPr>
            <w:r>
              <w:rPr>
                <w:rFonts w:ascii="Times New Roman" w:hAnsi="Times New Roman" w:cs="Times New Roman"/>
                <w:sz w:val="21"/>
                <w:szCs w:val="21"/>
              </w:rPr>
              <w:t>2023年</w:t>
            </w:r>
          </w:p>
        </w:tc>
        <w:tc>
          <w:tcPr>
            <w:vAlign w:val="center"/>
          </w:tcPr>
          <w:p w14:paraId="223ACD86">
            <w:pPr>
              <w:jc w:val="right"/>
            </w:pPr>
            <w:r>
              <w:rPr>
                <w:rFonts w:ascii="Times New Roman" w:hAnsi="Times New Roman" w:cs="Times New Roman"/>
                <w:sz w:val="21"/>
                <w:szCs w:val="21"/>
              </w:rPr>
              <w:t>118,196,631.74</w:t>
            </w:r>
          </w:p>
        </w:tc>
        <w:tc>
          <w:tcPr>
            <w:vAlign w:val="center"/>
          </w:tcPr>
          <w:p w14:paraId="020B0518">
            <w:pPr>
              <w:jc w:val="right"/>
            </w:pPr>
            <w:r>
              <w:rPr>
                <w:rFonts w:ascii="Times New Roman" w:hAnsi="Times New Roman" w:cs="Times New Roman"/>
                <w:sz w:val="21"/>
                <w:szCs w:val="21"/>
              </w:rPr>
              <w:t>0.0832</w:t>
            </w:r>
          </w:p>
        </w:tc>
        <w:tc>
          <w:tcPr>
            <w:vAlign w:val="center"/>
          </w:tcPr>
          <w:p w14:paraId="281C3F4C">
            <w:pPr>
              <w:jc w:val="left"/>
            </w:pPr>
            <w:r>
              <w:rPr>
                <w:rFonts w:ascii="Times New Roman" w:hAnsi="Times New Roman" w:cs="Times New Roman"/>
                <w:sz w:val="21"/>
                <w:szCs w:val="21"/>
              </w:rPr>
              <w:t>-</w:t>
            </w:r>
          </w:p>
        </w:tc>
      </w:tr>
    </w:tbl>
    <w:p w14:paraId="3F3992BC">
      <w:pPr>
        <w:adjustRightInd w:val="0"/>
        <w:snapToGrid w:val="0"/>
        <w:spacing w:line="360" w:lineRule="auto"/>
        <w:rPr>
          <w:b/>
          <w:bCs/>
        </w:rPr>
      </w:pPr>
      <w:r>
        <w:rPr>
          <w:b/>
          <w:bCs/>
        </w:rPr>
        <w:t>3.3.1.2 本报告期及近三年的实际分配金额</w:t>
      </w:r>
    </w:p>
    <w:p w14:paraId="1EBF14A2">
      <w:pPr>
        <w:autoSpaceDE w:val="0"/>
        <w:autoSpaceDN w:val="0"/>
        <w:adjustRightInd w:val="0"/>
        <w:spacing w:before="29" w:line="360" w:lineRule="auto"/>
        <w:ind w:left="15"/>
        <w:jc w:val="right"/>
        <w:rPr>
          <w:kern w:val="0"/>
        </w:rPr>
      </w:pPr>
      <w:r>
        <w:rPr>
          <w:kern w:val="0"/>
        </w:rPr>
        <w:t>单位：人民币元</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268"/>
        <w:gridCol w:w="2268"/>
        <w:gridCol w:w="2269"/>
      </w:tblGrid>
      <w:tr w14:paraId="76D9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238758A1">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期间</w:t>
            </w:r>
          </w:p>
        </w:tc>
        <w:tc>
          <w:tcPr>
            <w:tcW w:w="2268" w:type="dxa"/>
            <w:vAlign w:val="center"/>
          </w:tcPr>
          <w:p w14:paraId="1A5FE0CC">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实际分配金额</w:t>
            </w:r>
          </w:p>
        </w:tc>
        <w:tc>
          <w:tcPr>
            <w:tcW w:w="2268" w:type="dxa"/>
            <w:vAlign w:val="center"/>
          </w:tcPr>
          <w:p w14:paraId="6B3FB073">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单位实际分配金额</w:t>
            </w:r>
          </w:p>
        </w:tc>
        <w:tc>
          <w:tcPr>
            <w:tcW w:w="2269" w:type="dxa"/>
            <w:vAlign w:val="center"/>
          </w:tcPr>
          <w:p w14:paraId="05610A6A">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备注</w:t>
            </w:r>
          </w:p>
        </w:tc>
      </w:tr>
      <w:tr w14:paraId="6E21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08A6F4C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w:t>
            </w:r>
          </w:p>
        </w:tc>
        <w:tc>
          <w:tcPr>
            <w:tcW w:w="2268" w:type="dxa"/>
            <w:vAlign w:val="center"/>
          </w:tcPr>
          <w:p w14:paraId="080A3EB5">
            <w:pPr>
              <w:pStyle w:val="36"/>
              <w:adjustRightInd w:val="0"/>
              <w:snapToGrid w:val="0"/>
              <w:spacing w:before="0" w:beforeAutospacing="0" w:after="0" w:afterAutospacing="0" w:line="360" w:lineRule="auto"/>
              <w:jc w:val="right"/>
              <w:rPr>
                <w:rFonts w:ascii="Times New Roman" w:hAnsi="Times New Roman" w:cs="Times New Roman"/>
                <w:sz w:val="21"/>
                <w:szCs w:val="21"/>
              </w:rPr>
            </w:pPr>
            <w:r>
              <w:rPr>
                <w:rFonts w:ascii="Times New Roman" w:hAnsi="Times New Roman" w:cs="Times New Roman"/>
                <w:sz w:val="21"/>
                <w:szCs w:val="21"/>
              </w:rPr>
              <w:t>32,827,929.51</w:t>
            </w:r>
          </w:p>
        </w:tc>
        <w:tc>
          <w:tcPr>
            <w:tcW w:w="2268" w:type="dxa"/>
          </w:tcPr>
          <w:p w14:paraId="0C145E41">
            <w:pPr>
              <w:pStyle w:val="36"/>
              <w:adjustRightInd w:val="0"/>
              <w:snapToGrid w:val="0"/>
              <w:spacing w:before="0" w:beforeAutospacing="0" w:after="0" w:afterAutospacing="0" w:line="360" w:lineRule="auto"/>
              <w:jc w:val="right"/>
              <w:rPr>
                <w:rFonts w:ascii="Times New Roman" w:hAnsi="Times New Roman" w:cs="Times New Roman"/>
                <w:sz w:val="21"/>
                <w:szCs w:val="21"/>
              </w:rPr>
            </w:pPr>
            <w:r>
              <w:rPr>
                <w:rFonts w:ascii="Times New Roman" w:hAnsi="Times New Roman" w:cs="Times New Roman"/>
                <w:sz w:val="21"/>
                <w:szCs w:val="21"/>
              </w:rPr>
              <w:t>0.0231</w:t>
            </w:r>
          </w:p>
        </w:tc>
        <w:tc>
          <w:tcPr>
            <w:tcW w:w="2269" w:type="dxa"/>
          </w:tcPr>
          <w:p w14:paraId="04709572">
            <w:pPr>
              <w:pStyle w:val="36"/>
              <w:adjustRightInd w:val="0"/>
              <w:snapToGrid w:val="0"/>
              <w:spacing w:before="0" w:beforeAutospacing="0" w:after="0" w:afterAutospacing="0" w:line="360" w:lineRule="auto"/>
              <w:rPr>
                <w:rFonts w:ascii="Times New Roman" w:hAnsi="Times New Roman" w:cs="Times New Roman"/>
                <w:sz w:val="21"/>
                <w:szCs w:val="21"/>
              </w:rPr>
            </w:pPr>
            <w:r>
              <w:rPr>
                <w:rFonts w:ascii="Times New Roman" w:hAnsi="Times New Roman" w:cs="Times New Roman"/>
                <w:sz w:val="21"/>
                <w:szCs w:val="21"/>
              </w:rPr>
              <w:t>2025年度第三次分红</w:t>
            </w:r>
          </w:p>
        </w:tc>
      </w:tr>
      <w:tr w14:paraId="2817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30EE878">
            <w:pPr>
              <w:jc w:val="center"/>
            </w:pPr>
            <w:r>
              <w:rPr>
                <w:rFonts w:ascii="Times New Roman" w:hAnsi="Times New Roman" w:cs="Times New Roman"/>
                <w:sz w:val="21"/>
                <w:szCs w:val="21"/>
              </w:rPr>
              <w:t>2025年</w:t>
            </w:r>
          </w:p>
        </w:tc>
        <w:tc>
          <w:tcPr>
            <w:vAlign w:val="center"/>
          </w:tcPr>
          <w:p w14:paraId="4D5B7310">
            <w:pPr>
              <w:jc w:val="right"/>
            </w:pPr>
            <w:r>
              <w:rPr>
                <w:rFonts w:ascii="Times New Roman" w:hAnsi="Times New Roman" w:cs="Times New Roman"/>
                <w:sz w:val="21"/>
                <w:szCs w:val="21"/>
              </w:rPr>
              <w:t>125,343,070.02</w:t>
            </w:r>
          </w:p>
        </w:tc>
        <w:tc>
          <w:tcPr>
            <w:vAlign w:val="center"/>
          </w:tcPr>
          <w:p w14:paraId="71386DA5">
            <w:pPr>
              <w:jc w:val="right"/>
            </w:pPr>
            <w:r>
              <w:rPr>
                <w:rFonts w:ascii="Times New Roman" w:hAnsi="Times New Roman" w:cs="Times New Roman"/>
                <w:sz w:val="21"/>
                <w:szCs w:val="21"/>
              </w:rPr>
              <w:t>0.0882</w:t>
            </w:r>
          </w:p>
        </w:tc>
        <w:tc>
          <w:tcPr>
            <w:vAlign w:val="center"/>
          </w:tcPr>
          <w:p w14:paraId="47C4C360">
            <w:pPr>
              <w:jc w:val="left"/>
            </w:pPr>
            <w:r>
              <w:rPr>
                <w:rFonts w:ascii="Times New Roman" w:hAnsi="Times New Roman" w:cs="Times New Roman"/>
                <w:sz w:val="21"/>
                <w:szCs w:val="21"/>
              </w:rPr>
              <w:t>包含2024年度第三次分红、2025年度第一次及第二次分红</w:t>
            </w:r>
          </w:p>
        </w:tc>
      </w:tr>
      <w:tr w14:paraId="319A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DD25A27">
            <w:pPr>
              <w:jc w:val="center"/>
            </w:pPr>
            <w:r>
              <w:rPr>
                <w:rFonts w:ascii="Times New Roman" w:hAnsi="Times New Roman" w:cs="Times New Roman"/>
                <w:sz w:val="21"/>
                <w:szCs w:val="21"/>
              </w:rPr>
              <w:t>2024年</w:t>
            </w:r>
          </w:p>
        </w:tc>
        <w:tc>
          <w:tcPr>
            <w:vAlign w:val="center"/>
          </w:tcPr>
          <w:p w14:paraId="75221E8D">
            <w:pPr>
              <w:jc w:val="right"/>
            </w:pPr>
            <w:r>
              <w:rPr>
                <w:rFonts w:ascii="Times New Roman" w:hAnsi="Times New Roman" w:cs="Times New Roman"/>
                <w:sz w:val="21"/>
                <w:szCs w:val="21"/>
              </w:rPr>
              <w:t>146,233,695.40</w:t>
            </w:r>
          </w:p>
        </w:tc>
        <w:tc>
          <w:tcPr>
            <w:vAlign w:val="center"/>
          </w:tcPr>
          <w:p w14:paraId="5F99E7F8">
            <w:pPr>
              <w:jc w:val="right"/>
            </w:pPr>
            <w:r>
              <w:rPr>
                <w:rFonts w:ascii="Times New Roman" w:hAnsi="Times New Roman" w:cs="Times New Roman"/>
                <w:sz w:val="21"/>
                <w:szCs w:val="21"/>
              </w:rPr>
              <w:t>0.1029</w:t>
            </w:r>
          </w:p>
        </w:tc>
        <w:tc>
          <w:tcPr>
            <w:vAlign w:val="center"/>
          </w:tcPr>
          <w:p w14:paraId="2424533E">
            <w:pPr>
              <w:jc w:val="left"/>
            </w:pPr>
            <w:r>
              <w:rPr>
                <w:rFonts w:ascii="Times New Roman" w:hAnsi="Times New Roman" w:cs="Times New Roman"/>
                <w:sz w:val="21"/>
                <w:szCs w:val="21"/>
              </w:rPr>
              <w:t>包含2023年度第二次分红、2024年度第一次及第二次分红</w:t>
            </w:r>
          </w:p>
        </w:tc>
      </w:tr>
      <w:tr w14:paraId="0E10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9831DA1">
            <w:pPr>
              <w:jc w:val="center"/>
            </w:pPr>
            <w:r>
              <w:rPr>
                <w:rFonts w:ascii="Times New Roman" w:hAnsi="Times New Roman" w:cs="Times New Roman"/>
                <w:sz w:val="21"/>
                <w:szCs w:val="21"/>
              </w:rPr>
              <w:t>2023年</w:t>
            </w:r>
          </w:p>
        </w:tc>
        <w:tc>
          <w:tcPr>
            <w:vAlign w:val="center"/>
          </w:tcPr>
          <w:p w14:paraId="09CB6667">
            <w:pPr>
              <w:jc w:val="right"/>
            </w:pPr>
            <w:r>
              <w:rPr>
                <w:rFonts w:ascii="Times New Roman" w:hAnsi="Times New Roman" w:cs="Times New Roman"/>
                <w:sz w:val="21"/>
                <w:szCs w:val="21"/>
              </w:rPr>
              <w:t>103,711,497.68</w:t>
            </w:r>
          </w:p>
        </w:tc>
        <w:tc>
          <w:tcPr>
            <w:vAlign w:val="center"/>
          </w:tcPr>
          <w:p w14:paraId="28B85115">
            <w:pPr>
              <w:jc w:val="right"/>
            </w:pPr>
            <w:r>
              <w:rPr>
                <w:rFonts w:ascii="Times New Roman" w:hAnsi="Times New Roman" w:cs="Times New Roman"/>
                <w:sz w:val="21"/>
                <w:szCs w:val="21"/>
              </w:rPr>
              <w:t>0.0875</w:t>
            </w:r>
          </w:p>
        </w:tc>
        <w:tc>
          <w:tcPr>
            <w:vAlign w:val="center"/>
          </w:tcPr>
          <w:p w14:paraId="7F8C8038">
            <w:pPr>
              <w:jc w:val="left"/>
            </w:pPr>
            <w:r>
              <w:rPr>
                <w:rFonts w:ascii="Times New Roman" w:hAnsi="Times New Roman" w:cs="Times New Roman"/>
                <w:sz w:val="21"/>
                <w:szCs w:val="21"/>
              </w:rPr>
              <w:t>包含2022年度第二次分红、2023年度第一次分红</w:t>
            </w:r>
          </w:p>
        </w:tc>
      </w:tr>
    </w:tbl>
    <w:p w14:paraId="4394A65A">
      <w:pPr>
        <w:autoSpaceDE w:val="0"/>
        <w:autoSpaceDN w:val="0"/>
        <w:adjustRightInd w:val="0"/>
        <w:spacing w:line="360" w:lineRule="auto"/>
        <w:outlineLvl w:val="2"/>
        <w:rPr>
          <w:b/>
        </w:rPr>
      </w:pPr>
      <w:bookmarkStart w:id="80" w:name="_Toc98602633"/>
      <w:bookmarkStart w:id="81" w:name="_Toc98601284"/>
      <w:bookmarkStart w:id="82" w:name="_Toc96424888"/>
      <w:r>
        <w:rPr>
          <w:b/>
          <w:bCs/>
        </w:rPr>
        <w:t>3.3.2</w:t>
      </w:r>
      <w:r>
        <w:rPr>
          <w:b/>
        </w:rPr>
        <w:t xml:space="preserve"> 本期可供分配金额</w:t>
      </w:r>
      <w:bookmarkEnd w:id="80"/>
      <w:bookmarkEnd w:id="81"/>
      <w:bookmarkEnd w:id="82"/>
    </w:p>
    <w:p w14:paraId="38BEB53E">
      <w:pPr>
        <w:autoSpaceDE w:val="0"/>
        <w:autoSpaceDN w:val="0"/>
        <w:adjustRightInd w:val="0"/>
        <w:spacing w:line="360" w:lineRule="auto"/>
        <w:outlineLvl w:val="2"/>
        <w:rPr>
          <w:b/>
        </w:rPr>
      </w:pPr>
      <w:bookmarkStart w:id="83" w:name="_Toc96424889"/>
      <w:bookmarkStart w:id="84" w:name="_Toc98602634"/>
      <w:bookmarkStart w:id="85" w:name="_Toc98601285"/>
      <w:r>
        <w:rPr>
          <w:b/>
          <w:bCs/>
        </w:rPr>
        <w:t>3.3.2.1</w:t>
      </w:r>
      <w:r>
        <w:rPr>
          <w:b/>
        </w:rPr>
        <w:t xml:space="preserve"> 本期可供分配金额计算过程</w:t>
      </w:r>
      <w:bookmarkEnd w:id="83"/>
      <w:bookmarkEnd w:id="84"/>
      <w:bookmarkEnd w:id="85"/>
    </w:p>
    <w:p w14:paraId="073BF09B">
      <w:pPr>
        <w:autoSpaceDE w:val="0"/>
        <w:autoSpaceDN w:val="0"/>
        <w:adjustRightInd w:val="0"/>
        <w:spacing w:before="29" w:line="360" w:lineRule="auto"/>
        <w:ind w:left="15" w:right="480"/>
        <w:jc w:val="right"/>
        <w:rPr>
          <w:kern w:val="0"/>
        </w:rPr>
      </w:pPr>
      <w:r>
        <w:rPr>
          <w:kern w:val="0"/>
        </w:rPr>
        <w:t>单位：人民币元</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4"/>
        <w:gridCol w:w="3024"/>
        <w:gridCol w:w="3025"/>
      </w:tblGrid>
      <w:tr w14:paraId="15E1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vAlign w:val="center"/>
          </w:tcPr>
          <w:p w14:paraId="218A1F0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项目</w:t>
            </w:r>
          </w:p>
        </w:tc>
        <w:tc>
          <w:tcPr>
            <w:tcW w:w="3024" w:type="dxa"/>
            <w:vAlign w:val="center"/>
          </w:tcPr>
          <w:p w14:paraId="4AD6577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w:t>
            </w:r>
          </w:p>
        </w:tc>
        <w:tc>
          <w:tcPr>
            <w:tcW w:w="3025" w:type="dxa"/>
          </w:tcPr>
          <w:p w14:paraId="1BE75CD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备注</w:t>
            </w:r>
          </w:p>
        </w:tc>
      </w:tr>
      <w:tr w14:paraId="4B03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7A60CC11">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本期合并净利润</w:t>
            </w:r>
          </w:p>
        </w:tc>
        <w:tc>
          <w:tcPr>
            <w:tcW w:w="3024" w:type="dxa"/>
          </w:tcPr>
          <w:p w14:paraId="6E81957E">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19,418,634.17</w:t>
            </w:r>
          </w:p>
        </w:tc>
        <w:tc>
          <w:tcPr>
            <w:tcW w:w="3025" w:type="dxa"/>
          </w:tcPr>
          <w:p w14:paraId="7C510392">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w:t>
            </w:r>
          </w:p>
        </w:tc>
      </w:tr>
      <w:tr w14:paraId="3F968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4D5EA43C">
            <w:pPr>
              <w:pStyle w:val="36"/>
              <w:adjustRightInd w:val="0"/>
              <w:snapToGrid w:val="0"/>
              <w:spacing w:line="360" w:lineRule="auto"/>
              <w:ind w:firstLine="210" w:firstLineChars="100"/>
              <w:rPr>
                <w:rFonts w:ascii="Times New Roman" w:hAnsi="Times New Roman" w:cs="Times New Roman"/>
                <w:sz w:val="21"/>
                <w:szCs w:val="21"/>
              </w:rPr>
            </w:pPr>
            <w:r>
              <w:rPr>
                <w:rFonts w:ascii="Times New Roman" w:hAnsi="Times New Roman" w:cs="Times New Roman"/>
                <w:sz w:val="21"/>
                <w:szCs w:val="21"/>
              </w:rPr>
              <w:t>本期折旧和摊销</w:t>
            </w:r>
          </w:p>
        </w:tc>
        <w:tc>
          <w:tcPr>
            <w:tcW w:w="3024" w:type="dxa"/>
          </w:tcPr>
          <w:p w14:paraId="42CF65DE">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45,575,163.28</w:t>
            </w:r>
          </w:p>
        </w:tc>
        <w:tc>
          <w:tcPr>
            <w:tcW w:w="3025" w:type="dxa"/>
          </w:tcPr>
          <w:p w14:paraId="2983C7D9">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w:t>
            </w:r>
          </w:p>
        </w:tc>
      </w:tr>
      <w:tr w14:paraId="03FA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0DB68E2D">
            <w:pPr>
              <w:pStyle w:val="36"/>
              <w:adjustRightInd w:val="0"/>
              <w:snapToGrid w:val="0"/>
              <w:spacing w:line="360" w:lineRule="auto"/>
              <w:ind w:firstLine="210" w:firstLineChars="100"/>
              <w:rPr>
                <w:rFonts w:ascii="Times New Roman" w:hAnsi="Times New Roman" w:cs="Times New Roman"/>
                <w:sz w:val="21"/>
                <w:szCs w:val="21"/>
              </w:rPr>
            </w:pPr>
            <w:r>
              <w:rPr>
                <w:rFonts w:ascii="Times New Roman" w:hAnsi="Times New Roman" w:cs="Times New Roman"/>
                <w:sz w:val="21"/>
                <w:szCs w:val="21"/>
              </w:rPr>
              <w:t>本期利息支出</w:t>
            </w:r>
          </w:p>
        </w:tc>
        <w:tc>
          <w:tcPr>
            <w:tcW w:w="3024" w:type="dxa"/>
          </w:tcPr>
          <w:p w14:paraId="2F78FC5C">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4,374,616.63</w:t>
            </w:r>
          </w:p>
        </w:tc>
        <w:tc>
          <w:tcPr>
            <w:tcW w:w="3025" w:type="dxa"/>
          </w:tcPr>
          <w:p w14:paraId="4F762F1C">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w:t>
            </w:r>
          </w:p>
        </w:tc>
      </w:tr>
      <w:tr w14:paraId="4A38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2FF44BB3">
            <w:pPr>
              <w:pStyle w:val="36"/>
              <w:adjustRightInd w:val="0"/>
              <w:snapToGrid w:val="0"/>
              <w:spacing w:line="360" w:lineRule="auto"/>
              <w:ind w:firstLine="210" w:firstLineChars="100"/>
              <w:rPr>
                <w:rFonts w:ascii="Times New Roman" w:hAnsi="Times New Roman" w:cs="Times New Roman"/>
                <w:sz w:val="21"/>
                <w:szCs w:val="21"/>
              </w:rPr>
            </w:pPr>
            <w:r>
              <w:rPr>
                <w:rFonts w:ascii="Times New Roman" w:hAnsi="Times New Roman" w:cs="Times New Roman"/>
                <w:sz w:val="21"/>
                <w:szCs w:val="21"/>
              </w:rPr>
              <w:t>本期所得税费用</w:t>
            </w:r>
          </w:p>
        </w:tc>
        <w:tc>
          <w:tcPr>
            <w:tcW w:w="3024" w:type="dxa"/>
          </w:tcPr>
          <w:p w14:paraId="4A08DF81">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-11,383,045.54</w:t>
            </w:r>
          </w:p>
        </w:tc>
        <w:tc>
          <w:tcPr>
            <w:tcW w:w="3025" w:type="dxa"/>
          </w:tcPr>
          <w:p w14:paraId="51732AA9">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w:t>
            </w:r>
          </w:p>
        </w:tc>
      </w:tr>
      <w:tr w14:paraId="4452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7069957A">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本期息税折旧及摊销前利润</w:t>
            </w:r>
          </w:p>
        </w:tc>
        <w:tc>
          <w:tcPr>
            <w:tcW w:w="3024" w:type="dxa"/>
          </w:tcPr>
          <w:p w14:paraId="1D98610F">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57,985,368.54</w:t>
            </w:r>
          </w:p>
        </w:tc>
        <w:tc>
          <w:tcPr>
            <w:tcW w:w="3025" w:type="dxa"/>
          </w:tcPr>
          <w:p w14:paraId="79D03A1D">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w:t>
            </w:r>
          </w:p>
        </w:tc>
      </w:tr>
      <w:tr w14:paraId="434C8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25E7683D">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调增项</w:t>
            </w:r>
          </w:p>
        </w:tc>
        <w:tc>
          <w:tcPr>
            <w:tcW w:w="3024" w:type="dxa"/>
          </w:tcPr>
          <w:p w14:paraId="3996AE8C">
            <w:pPr>
              <w:pStyle w:val="36"/>
              <w:adjustRightInd w:val="0"/>
              <w:snapToGrid w:val="0"/>
              <w:spacing w:line="360" w:lineRule="auto"/>
              <w:jc w:val="center"/>
              <w:rPr>
                <w:rFonts w:ascii="Times New Roman" w:hAnsi="Times New Roman" w:cs="Times New Roman"/>
                <w:sz w:val="21"/>
                <w:szCs w:val="21"/>
              </w:rPr>
            </w:pPr>
          </w:p>
        </w:tc>
        <w:tc>
          <w:tcPr>
            <w:tcW w:w="3025" w:type="dxa"/>
          </w:tcPr>
          <w:p w14:paraId="64B30826">
            <w:pPr>
              <w:pStyle w:val="36"/>
              <w:adjustRightInd w:val="0"/>
              <w:snapToGrid w:val="0"/>
              <w:spacing w:line="360" w:lineRule="auto"/>
              <w:jc w:val="center"/>
              <w:rPr>
                <w:rFonts w:ascii="Times New Roman" w:hAnsi="Times New Roman" w:cs="Times New Roman"/>
                <w:sz w:val="21"/>
                <w:szCs w:val="21"/>
              </w:rPr>
            </w:pPr>
          </w:p>
        </w:tc>
      </w:tr>
      <w:tr w14:paraId="14E4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54DDF47">
            <w:pPr>
              <w:jc w:val="center"/>
            </w:pPr>
            <w:r>
              <w:rPr>
                <w:kern w:val="0"/>
              </w:rPr>
              <w:t>1 .基础设施项目资产减值准备的变动</w:t>
            </w:r>
          </w:p>
        </w:tc>
        <w:tc>
          <w:tcPr>
            <w:vAlign w:val="center"/>
          </w:tcPr>
          <w:p w14:paraId="52F92F83">
            <w:pPr>
              <w:jc w:val="right"/>
            </w:pPr>
            <w:r>
              <w:rPr>
                <w:kern w:val="0"/>
              </w:rPr>
              <w:t>566,099.23</w:t>
            </w:r>
          </w:p>
        </w:tc>
        <w:tc>
          <w:tcPr>
            <w:vAlign w:val="center"/>
          </w:tcPr>
          <w:p w14:paraId="45F5D16B">
            <w:pPr>
              <w:jc w:val="left"/>
            </w:pPr>
            <w:r>
              <w:rPr>
                <w:kern w:val="0"/>
              </w:rPr>
              <w:t>-</w:t>
            </w:r>
          </w:p>
        </w:tc>
      </w:tr>
      <w:tr w14:paraId="477B6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6E48000">
            <w:pPr>
              <w:jc w:val="center"/>
            </w:pPr>
            <w:r>
              <w:rPr>
                <w:kern w:val="0"/>
              </w:rPr>
              <w:t>2 .其他</w:t>
            </w:r>
          </w:p>
        </w:tc>
        <w:tc>
          <w:tcPr>
            <w:vAlign w:val="center"/>
          </w:tcPr>
          <w:p w14:paraId="1EC47402">
            <w:pPr>
              <w:jc w:val="right"/>
            </w:pPr>
            <w:r>
              <w:rPr>
                <w:kern w:val="0"/>
              </w:rPr>
              <w:t>3,506,115.69</w:t>
            </w:r>
          </w:p>
        </w:tc>
        <w:tc>
          <w:tcPr>
            <w:vAlign w:val="center"/>
          </w:tcPr>
          <w:p w14:paraId="72B5736B">
            <w:pPr>
              <w:jc w:val="left"/>
            </w:pPr>
            <w:r>
              <w:rPr>
                <w:kern w:val="0"/>
              </w:rPr>
              <w:t>注</w:t>
            </w:r>
          </w:p>
        </w:tc>
      </w:tr>
      <w:tr w14:paraId="4591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5440DE6B">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调减项</w:t>
            </w:r>
          </w:p>
        </w:tc>
        <w:tc>
          <w:tcPr>
            <w:tcW w:w="3024" w:type="dxa"/>
          </w:tcPr>
          <w:p w14:paraId="57A19D77">
            <w:pPr>
              <w:pStyle w:val="36"/>
              <w:adjustRightInd w:val="0"/>
              <w:snapToGrid w:val="0"/>
              <w:spacing w:line="360" w:lineRule="auto"/>
              <w:jc w:val="center"/>
              <w:rPr>
                <w:rFonts w:ascii="Times New Roman" w:hAnsi="Times New Roman" w:cs="Times New Roman"/>
                <w:sz w:val="21"/>
                <w:szCs w:val="21"/>
              </w:rPr>
            </w:pPr>
          </w:p>
        </w:tc>
        <w:tc>
          <w:tcPr>
            <w:tcW w:w="3025" w:type="dxa"/>
          </w:tcPr>
          <w:p w14:paraId="6E22BBF7">
            <w:pPr>
              <w:pStyle w:val="36"/>
              <w:adjustRightInd w:val="0"/>
              <w:snapToGrid w:val="0"/>
              <w:spacing w:line="360" w:lineRule="auto"/>
              <w:jc w:val="center"/>
              <w:rPr>
                <w:rFonts w:ascii="Times New Roman" w:hAnsi="Times New Roman" w:cs="Times New Roman"/>
                <w:sz w:val="21"/>
                <w:szCs w:val="21"/>
              </w:rPr>
            </w:pPr>
          </w:p>
        </w:tc>
      </w:tr>
      <w:tr w14:paraId="5B77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3C55F73">
            <w:pPr>
              <w:jc w:val="center"/>
            </w:pPr>
            <w:r>
              <w:rPr>
                <w:kern w:val="0"/>
              </w:rPr>
              <w:t>1 .应收和应付项目的变动</w:t>
            </w:r>
          </w:p>
        </w:tc>
        <w:tc>
          <w:tcPr>
            <w:vAlign w:val="center"/>
          </w:tcPr>
          <w:p w14:paraId="4CDBE62B">
            <w:pPr>
              <w:jc w:val="right"/>
            </w:pPr>
            <w:r>
              <w:rPr>
                <w:kern w:val="0"/>
              </w:rPr>
              <w:t>-2,288,850.25</w:t>
            </w:r>
          </w:p>
        </w:tc>
        <w:tc>
          <w:tcPr>
            <w:vAlign w:val="center"/>
          </w:tcPr>
          <w:p w14:paraId="39D48908">
            <w:pPr>
              <w:jc w:val="left"/>
            </w:pPr>
            <w:r>
              <w:rPr>
                <w:kern w:val="0"/>
              </w:rPr>
              <w:t>-</w:t>
            </w:r>
          </w:p>
        </w:tc>
      </w:tr>
      <w:tr w14:paraId="5197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C64CDA4">
            <w:pPr>
              <w:jc w:val="center"/>
            </w:pPr>
            <w:r>
              <w:rPr>
                <w:kern w:val="0"/>
              </w:rPr>
              <w:t>2 .支付的利息及所得税费用</w:t>
            </w:r>
          </w:p>
        </w:tc>
        <w:tc>
          <w:tcPr>
            <w:vAlign w:val="center"/>
          </w:tcPr>
          <w:p w14:paraId="5BA69A98">
            <w:pPr>
              <w:jc w:val="right"/>
            </w:pPr>
            <w:r>
              <w:rPr>
                <w:kern w:val="0"/>
              </w:rPr>
              <w:t>-4,428,461.83</w:t>
            </w:r>
          </w:p>
        </w:tc>
        <w:tc>
          <w:tcPr>
            <w:vAlign w:val="center"/>
          </w:tcPr>
          <w:p w14:paraId="70D0BA51">
            <w:pPr>
              <w:jc w:val="left"/>
            </w:pPr>
            <w:r>
              <w:rPr>
                <w:kern w:val="0"/>
              </w:rPr>
              <w:t>-</w:t>
            </w:r>
          </w:p>
        </w:tc>
      </w:tr>
      <w:tr w14:paraId="31F58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566EB67">
            <w:pPr>
              <w:jc w:val="center"/>
            </w:pPr>
            <w:r>
              <w:rPr>
                <w:kern w:val="0"/>
              </w:rPr>
              <w:t>3 .未来合理的相关支出预留</w:t>
            </w:r>
          </w:p>
        </w:tc>
        <w:tc>
          <w:tcPr>
            <w:vAlign w:val="center"/>
          </w:tcPr>
          <w:p w14:paraId="5995D0AF">
            <w:pPr>
              <w:jc w:val="right"/>
            </w:pPr>
            <w:r>
              <w:rPr>
                <w:kern w:val="0"/>
              </w:rPr>
              <w:t>-314,413.33</w:t>
            </w:r>
          </w:p>
        </w:tc>
        <w:tc>
          <w:tcPr>
            <w:vAlign w:val="center"/>
          </w:tcPr>
          <w:p w14:paraId="3F32E5C2">
            <w:pPr>
              <w:jc w:val="left"/>
            </w:pPr>
            <w:r>
              <w:rPr>
                <w:kern w:val="0"/>
              </w:rPr>
              <w:t>-</w:t>
            </w:r>
          </w:p>
        </w:tc>
      </w:tr>
      <w:tr w14:paraId="6F84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6BEC0F9">
            <w:pPr>
              <w:jc w:val="center"/>
            </w:pPr>
            <w:r>
              <w:rPr>
                <w:kern w:val="0"/>
              </w:rPr>
              <w:t>4 .偿还借款本金支付的现金</w:t>
            </w:r>
          </w:p>
        </w:tc>
        <w:tc>
          <w:tcPr>
            <w:vAlign w:val="center"/>
          </w:tcPr>
          <w:p w14:paraId="1AB9CE81">
            <w:pPr>
              <w:jc w:val="right"/>
            </w:pPr>
            <w:r>
              <w:rPr>
                <w:kern w:val="0"/>
              </w:rPr>
              <w:t>-1,468,500.00</w:t>
            </w:r>
          </w:p>
        </w:tc>
        <w:tc>
          <w:tcPr>
            <w:vAlign w:val="center"/>
          </w:tcPr>
          <w:p w14:paraId="06A78D9C">
            <w:pPr>
              <w:jc w:val="left"/>
            </w:pPr>
            <w:r>
              <w:rPr>
                <w:kern w:val="0"/>
              </w:rPr>
              <w:t>-</w:t>
            </w:r>
          </w:p>
        </w:tc>
      </w:tr>
      <w:tr w14:paraId="1EAF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0A461A5">
            <w:pPr>
              <w:jc w:val="center"/>
            </w:pPr>
            <w:r>
              <w:rPr>
                <w:kern w:val="0"/>
              </w:rPr>
              <w:t>5 .其他资本性支出</w:t>
            </w:r>
          </w:p>
        </w:tc>
        <w:tc>
          <w:tcPr>
            <w:vAlign w:val="center"/>
          </w:tcPr>
          <w:p w14:paraId="425B7309">
            <w:pPr>
              <w:jc w:val="right"/>
            </w:pPr>
            <w:r>
              <w:rPr>
                <w:kern w:val="0"/>
              </w:rPr>
              <w:t>-2,037,615.69</w:t>
            </w:r>
          </w:p>
        </w:tc>
        <w:tc>
          <w:tcPr>
            <w:vAlign w:val="center"/>
          </w:tcPr>
          <w:p w14:paraId="20F4B2E0">
            <w:pPr>
              <w:jc w:val="left"/>
            </w:pPr>
            <w:r>
              <w:rPr>
                <w:kern w:val="0"/>
              </w:rPr>
              <w:t>-</w:t>
            </w:r>
          </w:p>
        </w:tc>
      </w:tr>
      <w:tr w14:paraId="6967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4" w:type="dxa"/>
          </w:tcPr>
          <w:p w14:paraId="299858C6">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本期可供分配金额</w:t>
            </w:r>
          </w:p>
        </w:tc>
        <w:tc>
          <w:tcPr>
            <w:tcW w:w="3024" w:type="dxa"/>
          </w:tcPr>
          <w:p w14:paraId="54927AB2">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51,519,742.36</w:t>
            </w:r>
          </w:p>
        </w:tc>
        <w:tc>
          <w:tcPr>
            <w:tcW w:w="3025" w:type="dxa"/>
          </w:tcPr>
          <w:p w14:paraId="1279E58B">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w:t>
            </w:r>
          </w:p>
        </w:tc>
      </w:tr>
    </w:tbl>
    <w:p w14:paraId="4D71C022">
      <w:pPr>
        <w:spacing w:line="360" w:lineRule="auto"/>
        <w:ind w:firstLine="420" w:firstLineChars="200"/>
      </w:pPr>
      <w:r>
        <w:t>注：“其他”主要包括两部分：（1）使用本基金“以前年度未分配的分红”偿还项目公司万海大厦的借款本金1,468,500.00元，未占用本年度的可供分配金额。（2）使用本基金以前年度累计的资本性支出进行光明加速器二期项目改造，改造预算为5,000,000.00元，本季度实际发生资本性支出2,037,615.69元，未占用本年度的可供分配金额。</w:t>
      </w:r>
    </w:p>
    <w:p w14:paraId="7C6A3825">
      <w:pPr>
        <w:adjustRightInd w:val="0"/>
        <w:snapToGrid w:val="0"/>
        <w:spacing w:line="360" w:lineRule="auto"/>
        <w:rPr>
          <w:b/>
          <w:bCs/>
        </w:rPr>
      </w:pPr>
      <w:r>
        <w:rPr>
          <w:b/>
          <w:bCs/>
        </w:rPr>
        <w:t>3.3.2.2可供分配金额较上年同期变化超过10%的情况说明</w:t>
      </w:r>
    </w:p>
    <w:p w14:paraId="11F8D6E9">
      <w:pPr>
        <w:spacing w:line="360" w:lineRule="auto"/>
        <w:ind w:firstLine="420" w:firstLineChars="200"/>
      </w:pPr>
      <w:r>
        <w:t>本报告期内可供分配金额较上年同期变化未超过10%。</w:t>
      </w:r>
    </w:p>
    <w:p w14:paraId="1FE4C167">
      <w:pPr>
        <w:adjustRightInd w:val="0"/>
        <w:snapToGrid w:val="0"/>
        <w:spacing w:line="360" w:lineRule="auto"/>
        <w:rPr>
          <w:b/>
          <w:bCs/>
        </w:rPr>
      </w:pPr>
      <w:r>
        <w:rPr>
          <w:b/>
          <w:bCs/>
        </w:rPr>
        <w:t>3.3.2.3</w:t>
      </w:r>
      <w:r>
        <w:rPr>
          <w:rFonts w:hint="eastAsia"/>
          <w:b/>
          <w:bCs/>
        </w:rPr>
        <w:t>设置未来合理支出相关预留调整项的原因（如有），上年同期未来合理支出相关预留调整项的前期设置金额与实际使用金额差异超过10%的原因及合理性</w:t>
      </w:r>
    </w:p>
    <w:p w14:paraId="71375B54">
      <w:pPr>
        <w:spacing w:line="360" w:lineRule="auto"/>
        <w:ind w:firstLine="420" w:firstLineChars="200"/>
      </w:pPr>
      <w:r>
        <w:t>“未来合理的相关支出预留”为本基金预留的基金管理费、托管费、中介费用、其他运营及税费支出等费用，并扣减本期支出的前期已预留的上述费用，以及本期为未来支出合理预留的重大资本性支出。</w:t>
      </w:r>
    </w:p>
    <w:p w14:paraId="25DC5939">
      <w:pPr>
        <w:spacing w:line="360" w:lineRule="auto"/>
        <w:ind w:firstLine="420" w:firstLineChars="200"/>
      </w:pPr>
      <w:r>
        <w:t>上年同期“未来合理支出相关预留”调整项中预留的各项费用与实际使用金额差异未超过10%。</w:t>
      </w:r>
    </w:p>
    <w:p w14:paraId="7396A51C">
      <w:pPr>
        <w:pStyle w:val="3"/>
        <w:spacing w:before="312" w:beforeLines="100" w:after="0"/>
        <w:rPr>
          <w:rFonts w:ascii="Times New Roman" w:hAnsi="Times New Roman" w:cs="Times New Roman"/>
          <w:kern w:val="0"/>
          <w:sz w:val="21"/>
          <w:szCs w:val="21"/>
        </w:rPr>
      </w:pPr>
      <w:bookmarkStart w:id="86" w:name="_Toc98602636"/>
      <w:bookmarkStart w:id="87" w:name="_Toc167195412"/>
      <w:bookmarkStart w:id="88" w:name="_Toc98508938"/>
      <w:bookmarkStart w:id="89" w:name="_Toc98602966"/>
      <w:bookmarkStart w:id="90" w:name="_Toc98511601"/>
      <w:bookmarkStart w:id="91" w:name="_Toc123732455"/>
      <w:bookmarkStart w:id="92" w:name="_Toc98601287"/>
      <w:bookmarkStart w:id="93" w:name="_Toc98512357"/>
      <w:bookmarkStart w:id="94" w:name="_Toc20839"/>
      <w:bookmarkStart w:id="95" w:name="_Toc98601298"/>
      <w:bookmarkStart w:id="96" w:name="_Toc98512363"/>
      <w:bookmarkStart w:id="97" w:name="_Toc98511607"/>
      <w:bookmarkStart w:id="98" w:name="_Toc98602647"/>
      <w:bookmarkStart w:id="99" w:name="_Toc98602972"/>
      <w:bookmarkStart w:id="100" w:name="_Toc98508944"/>
      <w:r>
        <w:rPr>
          <w:rFonts w:ascii="Times New Roman" w:hAnsi="Times New Roman" w:cs="Times New Roman"/>
          <w:kern w:val="0"/>
          <w:sz w:val="21"/>
          <w:szCs w:val="21"/>
        </w:rPr>
        <w:t xml:space="preserve">3.4  </w:t>
      </w:r>
      <w:bookmarkEnd w:id="86"/>
      <w:bookmarkEnd w:id="87"/>
      <w:bookmarkEnd w:id="88"/>
      <w:bookmarkEnd w:id="89"/>
      <w:bookmarkEnd w:id="90"/>
      <w:bookmarkEnd w:id="91"/>
      <w:bookmarkEnd w:id="92"/>
      <w:bookmarkEnd w:id="93"/>
      <w:r>
        <w:rPr>
          <w:rFonts w:ascii="Times New Roman" w:hAnsi="Times New Roman" w:cs="Times New Roman"/>
          <w:kern w:val="0"/>
          <w:sz w:val="21"/>
          <w:szCs w:val="21"/>
        </w:rPr>
        <w:t>报告期内</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基金费用收取情况的说明</w:t>
      </w:r>
      <w:bookmarkEnd w:id="94"/>
    </w:p>
    <w:p w14:paraId="75491489">
      <w:pPr>
        <w:autoSpaceDE w:val="0"/>
        <w:autoSpaceDN w:val="0"/>
        <w:adjustRightInd w:val="0"/>
        <w:spacing w:line="360" w:lineRule="auto"/>
        <w:outlineLvl w:val="2"/>
        <w:rPr>
          <w:b/>
          <w:bCs/>
        </w:rPr>
      </w:pPr>
      <w:r>
        <w:rPr>
          <w:b/>
          <w:bCs/>
        </w:rPr>
        <w:t>3.4.1 报告期内基金管理人、基金托管人、资产支持证券管理人、资产支持证券托管人、运营管理机构的费用收取情况及依据</w:t>
      </w:r>
    </w:p>
    <w:p w14:paraId="0FA5C53B">
      <w:pPr>
        <w:spacing w:line="360" w:lineRule="auto"/>
        <w:ind w:firstLine="420" w:firstLineChars="200"/>
      </w:pPr>
      <w:r>
        <w:t>根据《博时招商蛇口产业园封闭式基础设施证券投资基金招募说明书》、《博时招商蛇口产业园封闭式基础设施证券投资基金基金合同》及各项目公司《运营管理协议》约定，本报告期内，基金管理人计提管理费2,168,247.35元，资产支持专项计划管理人计提管理费889,882.01元，基金托管人计提托管费228,646.07元，资产支持专项计划计提托管费0.00 元，运营管理机构计提运营管理费3,746,118.14元。</w:t>
      </w:r>
    </w:p>
    <w:p w14:paraId="658C2CD7">
      <w:pPr>
        <w:pStyle w:val="3"/>
        <w:spacing w:before="312" w:beforeLines="100" w:after="0"/>
        <w:rPr>
          <w:rFonts w:ascii="Times New Roman" w:hAnsi="Times New Roman" w:cs="Times New Roman"/>
          <w:kern w:val="0"/>
          <w:sz w:val="21"/>
          <w:szCs w:val="21"/>
        </w:rPr>
      </w:pPr>
      <w:bookmarkStart w:id="101" w:name="_Toc17425"/>
      <w:r>
        <w:rPr>
          <w:rFonts w:ascii="Times New Roman" w:hAnsi="Times New Roman" w:cs="Times New Roman"/>
          <w:kern w:val="0"/>
          <w:sz w:val="21"/>
          <w:szCs w:val="21"/>
        </w:rPr>
        <w:t>3.5  报告期内进行</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项目重大改造或者扩建的情况</w:t>
      </w:r>
      <w:bookmarkEnd w:id="101"/>
    </w:p>
    <w:p w14:paraId="4DA12E17">
      <w:pPr>
        <w:spacing w:line="360" w:lineRule="auto"/>
        <w:ind w:firstLine="420" w:firstLineChars="200"/>
      </w:pPr>
      <w:r>
        <w:t>光明加速器二期项目A1、A2栋由于外墙砖脱落及外墙渗漏等问题涉及安全隐患问题，经运营管理机构申请，基金管理人决策：本报告期内，本基金启动光明加速器二期项目A1、A2栋外立面改造工程，将瓷砖改造为涂料并增加楼体泛光工程。计划投资资金不超过500万元（具体金额以最终工程结算为准），改造周期为5个月，自2026年4月1日进场施工，截至本报告出具日，改造工程已基本完工，处于验收、结算阶段。本报告期内，累计已支付进度款2,037,615.69元，本次改造使用本基金往期累计留存的资本性支出，不影响当期可供分配金额及基金份额持有人的权益，改造后将解决瓷砖脱落安全隐患、防范外墙漏水问题，提升园区整体形象。</w:t>
      </w:r>
    </w:p>
    <w:p w14:paraId="3B71F71B">
      <w:pPr>
        <w:pStyle w:val="3"/>
        <w:spacing w:before="312" w:beforeLines="100" w:after="0"/>
        <w:rPr>
          <w:rFonts w:ascii="Times New Roman" w:hAnsi="Times New Roman" w:cs="Times New Roman"/>
          <w:kern w:val="0"/>
          <w:sz w:val="21"/>
          <w:szCs w:val="21"/>
        </w:rPr>
      </w:pPr>
      <w:bookmarkStart w:id="102" w:name="_Toc26834"/>
      <w:r>
        <w:rPr>
          <w:rFonts w:ascii="Times New Roman" w:hAnsi="Times New Roman" w:cs="Times New Roman"/>
          <w:kern w:val="0"/>
          <w:sz w:val="21"/>
          <w:szCs w:val="21"/>
        </w:rPr>
        <w:t>3.6  报告期内完成</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基金购入、出售</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项目交割审计的情况</w:t>
      </w:r>
      <w:bookmarkEnd w:id="102"/>
    </w:p>
    <w:p w14:paraId="70D4B801">
      <w:pPr>
        <w:spacing w:line="360" w:lineRule="auto"/>
        <w:ind w:firstLine="420" w:firstLineChars="200"/>
      </w:pPr>
      <w:r>
        <w:t>本报告期内，未发生购入或出售资产项目的情况。</w:t>
      </w:r>
    </w:p>
    <w:p w14:paraId="4842DE7A">
      <w:pPr>
        <w:spacing w:line="360" w:lineRule="auto"/>
        <w:ind w:firstLine="420" w:firstLineChars="200"/>
      </w:pPr>
      <w:r>
        <w:t>截至本报告期末，万融大厦、万海大厦项目购入时因资产交割形成的应收账款尚未收回金额分别为411,807.00元、220,220.00元，剔除交割时计提的坏账准备后金额分别为311,668.62元、139,592.46元，经诉讼预计无法收回，在本报告期末，已全额计提坏账准备。万融大厦、万海大厦尚未支付的应付账款金额分别为706,492.07元、811,502.45元，尚未要求结算。</w:t>
      </w:r>
    </w:p>
    <w:p w14:paraId="1E219CFB">
      <w:pPr>
        <w:spacing w:line="360" w:lineRule="auto"/>
        <w:ind w:firstLine="420" w:firstLineChars="200"/>
      </w:pPr>
      <w:r>
        <w:t>截至本报告期末，光明加速器二期项目购入时因资产交割形成的应收或者应付款项已结清。</w:t>
      </w:r>
    </w:p>
    <w:p w14:paraId="0A8FF851">
      <w:pPr>
        <w:pStyle w:val="3"/>
        <w:spacing w:before="312" w:beforeLines="100" w:after="0"/>
        <w:rPr>
          <w:rFonts w:ascii="Times New Roman" w:hAnsi="Times New Roman" w:cs="Times New Roman"/>
          <w:kern w:val="0"/>
          <w:sz w:val="21"/>
          <w:szCs w:val="21"/>
        </w:rPr>
      </w:pPr>
      <w:bookmarkStart w:id="103" w:name="_Toc13121"/>
      <w:r>
        <w:rPr>
          <w:rFonts w:ascii="Times New Roman" w:hAnsi="Times New Roman" w:cs="Times New Roman"/>
          <w:kern w:val="0"/>
          <w:sz w:val="21"/>
          <w:szCs w:val="21"/>
        </w:rPr>
        <w:t>3.7  报告期内发生的关联交易</w:t>
      </w:r>
      <w:bookmarkEnd w:id="103"/>
    </w:p>
    <w:p w14:paraId="5035F891">
      <w:pPr>
        <w:spacing w:line="360" w:lineRule="auto"/>
        <w:ind w:firstLine="420" w:firstLineChars="200"/>
      </w:pPr>
      <w:r>
        <w:t>本基金的关联交易坚持公允的市场化原则，定价政策及依据与非关联方一致。对应的关联关系、交易主体、交易对象、交易目的、交易金额详见本报告“9.5.9 关联方关系”部分、“9.5.10 本报告期及上年度可比期间的关联方交易”、“9.5.11 关联方应收应付款项”部分,基金管理人制定了关联交易的管理要求与流程；建立了利益冲突识别及处理、利益输送防范相关制度及机制，并在报告期内有效执行。</w:t>
      </w:r>
    </w:p>
    <w:p w14:paraId="418DB4E8">
      <w:pPr>
        <w:pStyle w:val="3"/>
        <w:spacing w:before="312" w:beforeLines="100" w:after="0"/>
        <w:rPr>
          <w:rFonts w:ascii="Times New Roman" w:hAnsi="Times New Roman" w:cs="Times New Roman"/>
          <w:kern w:val="0"/>
          <w:sz w:val="21"/>
          <w:szCs w:val="21"/>
        </w:rPr>
      </w:pPr>
      <w:bookmarkStart w:id="104" w:name="_Toc23821"/>
      <w:r>
        <w:rPr>
          <w:rFonts w:ascii="Times New Roman" w:hAnsi="Times New Roman" w:cs="Times New Roman"/>
          <w:kern w:val="0"/>
          <w:sz w:val="21"/>
          <w:szCs w:val="21"/>
        </w:rPr>
        <w:t>3.8  报告期内与</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项目相关的资产减值计提情况</w:t>
      </w:r>
      <w:bookmarkEnd w:id="104"/>
    </w:p>
    <w:p w14:paraId="74620723">
      <w:pPr>
        <w:spacing w:line="360" w:lineRule="auto"/>
        <w:ind w:firstLine="420" w:firstLineChars="200"/>
      </w:pPr>
      <w:r>
        <w:t>未涉及。</w:t>
      </w:r>
    </w:p>
    <w:p w14:paraId="6FB8C844">
      <w:pPr>
        <w:pStyle w:val="3"/>
        <w:spacing w:before="312" w:beforeLines="100" w:after="0"/>
        <w:rPr>
          <w:rFonts w:ascii="Times New Roman" w:hAnsi="Times New Roman" w:cs="Times New Roman"/>
          <w:kern w:val="0"/>
          <w:sz w:val="21"/>
          <w:szCs w:val="21"/>
        </w:rPr>
      </w:pPr>
      <w:bookmarkStart w:id="105" w:name="_Toc27348"/>
      <w:r>
        <w:rPr>
          <w:rFonts w:ascii="Times New Roman" w:hAnsi="Times New Roman" w:cs="Times New Roman"/>
          <w:kern w:val="0"/>
          <w:sz w:val="21"/>
          <w:szCs w:val="21"/>
        </w:rPr>
        <w:t>3.9  报告期内其他</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基金资产减值计提情况</w:t>
      </w:r>
      <w:bookmarkEnd w:id="105"/>
    </w:p>
    <w:p w14:paraId="1EE7D0F7">
      <w:pPr>
        <w:spacing w:line="360" w:lineRule="auto"/>
        <w:ind w:firstLine="420" w:firstLineChars="200"/>
      </w:pPr>
      <w:r>
        <w:t>本报告期内，计提应收账款信用减值损失56.61万元，因部分历史欠款客户应收账款账龄增加而增加。</w:t>
      </w:r>
    </w:p>
    <w:p w14:paraId="3E485BBD">
      <w:pPr>
        <w:pStyle w:val="3"/>
        <w:spacing w:before="312" w:beforeLines="100" w:after="0"/>
        <w:rPr>
          <w:rFonts w:ascii="Times New Roman" w:hAnsi="Times New Roman" w:cs="Times New Roman"/>
          <w:kern w:val="0"/>
          <w:sz w:val="21"/>
          <w:szCs w:val="21"/>
        </w:rPr>
      </w:pPr>
      <w:bookmarkStart w:id="106" w:name="_Toc27820"/>
      <w:r>
        <w:rPr>
          <w:rFonts w:ascii="Times New Roman" w:hAnsi="Times New Roman" w:cs="Times New Roman"/>
          <w:kern w:val="0"/>
          <w:sz w:val="21"/>
          <w:szCs w:val="21"/>
        </w:rPr>
        <w:t>3.10  报告期内</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基金业务参与人作出承诺及承诺履行相关情况</w:t>
      </w:r>
      <w:bookmarkEnd w:id="106"/>
    </w:p>
    <w:p w14:paraId="78F42A7D">
      <w:pPr>
        <w:spacing w:line="360" w:lineRule="auto"/>
        <w:ind w:firstLine="420" w:firstLineChars="200"/>
      </w:pPr>
      <w:r>
        <w:t>未涉及。</w:t>
      </w:r>
    </w:p>
    <w:p w14:paraId="4A0EEC87">
      <w:pPr>
        <w:pStyle w:val="2"/>
        <w:spacing w:before="312" w:beforeLines="100" w:after="312" w:afterLines="100" w:line="360" w:lineRule="auto"/>
        <w:jc w:val="center"/>
        <w:rPr>
          <w:kern w:val="0"/>
          <w:sz w:val="21"/>
          <w:szCs w:val="21"/>
        </w:rPr>
      </w:pPr>
      <w:bookmarkStart w:id="107" w:name="_Toc98511602"/>
      <w:bookmarkStart w:id="108" w:name="_Toc123732456"/>
      <w:bookmarkStart w:id="109" w:name="_Toc98602637"/>
      <w:bookmarkStart w:id="110" w:name="_Toc167195413"/>
      <w:bookmarkStart w:id="111" w:name="_Toc98602967"/>
      <w:bookmarkStart w:id="112" w:name="_Toc98508939"/>
      <w:bookmarkStart w:id="113" w:name="_Toc98601288"/>
      <w:bookmarkStart w:id="114" w:name="_Toc98512358"/>
      <w:bookmarkStart w:id="115" w:name="_Toc16266"/>
      <w:bookmarkStart w:id="116" w:name="_Toc98511605"/>
      <w:bookmarkStart w:id="117" w:name="_Toc98601293"/>
      <w:bookmarkStart w:id="118" w:name="_Toc98508942"/>
      <w:bookmarkStart w:id="119" w:name="_Toc98602970"/>
      <w:bookmarkStart w:id="120" w:name="_Toc98512361"/>
      <w:bookmarkStart w:id="121" w:name="_Toc81411053"/>
      <w:bookmarkStart w:id="122" w:name="_Toc98602642"/>
      <w:bookmarkStart w:id="123" w:name="_Toc113524044"/>
      <w:r>
        <w:rPr>
          <w:kern w:val="0"/>
          <w:sz w:val="21"/>
          <w:szCs w:val="21"/>
        </w:rPr>
        <w:t xml:space="preserve">§4  </w:t>
      </w:r>
      <w:bookmarkEnd w:id="107"/>
      <w:bookmarkEnd w:id="108"/>
      <w:bookmarkEnd w:id="109"/>
      <w:bookmarkEnd w:id="110"/>
      <w:bookmarkEnd w:id="111"/>
      <w:bookmarkEnd w:id="112"/>
      <w:bookmarkEnd w:id="113"/>
      <w:bookmarkEnd w:id="114"/>
      <w:r>
        <w:rPr>
          <w:rFonts w:hint="eastAsia"/>
          <w:kern w:val="0"/>
          <w:sz w:val="21"/>
          <w:szCs w:val="21"/>
        </w:rPr>
        <w:t>不动产</w:t>
      </w:r>
      <w:r>
        <w:rPr>
          <w:kern w:val="0"/>
          <w:sz w:val="21"/>
          <w:szCs w:val="21"/>
        </w:rPr>
        <w:t>项目基本情况</w:t>
      </w:r>
      <w:bookmarkEnd w:id="115"/>
    </w:p>
    <w:p w14:paraId="3994DF45">
      <w:pPr>
        <w:pStyle w:val="3"/>
        <w:spacing w:before="312" w:beforeLines="100" w:after="0"/>
        <w:rPr>
          <w:rFonts w:ascii="Times New Roman" w:hAnsi="Times New Roman" w:cs="Times New Roman"/>
          <w:kern w:val="0"/>
          <w:sz w:val="21"/>
          <w:szCs w:val="21"/>
        </w:rPr>
      </w:pPr>
      <w:bookmarkStart w:id="124" w:name="_Toc123732457"/>
      <w:bookmarkStart w:id="125" w:name="_Toc98511603"/>
      <w:bookmarkStart w:id="126" w:name="_Toc98602968"/>
      <w:bookmarkStart w:id="127" w:name="_Toc167195414"/>
      <w:bookmarkStart w:id="128" w:name="_Toc98508940"/>
      <w:bookmarkStart w:id="129" w:name="_Toc98512359"/>
      <w:bookmarkStart w:id="130" w:name="_Toc98602638"/>
      <w:bookmarkStart w:id="131" w:name="_Toc98601289"/>
      <w:bookmarkStart w:id="132" w:name="_Toc28653"/>
      <w:r>
        <w:rPr>
          <w:rFonts w:ascii="Times New Roman" w:hAnsi="Times New Roman" w:cs="Times New Roman"/>
          <w:kern w:val="0"/>
          <w:sz w:val="21"/>
          <w:szCs w:val="21"/>
        </w:rPr>
        <w:t xml:space="preserve">4.1  </w:t>
      </w:r>
      <w:bookmarkEnd w:id="124"/>
      <w:bookmarkEnd w:id="125"/>
      <w:bookmarkEnd w:id="126"/>
      <w:bookmarkEnd w:id="127"/>
      <w:bookmarkEnd w:id="128"/>
      <w:bookmarkEnd w:id="129"/>
      <w:bookmarkEnd w:id="130"/>
      <w:bookmarkEnd w:id="131"/>
      <w:r>
        <w:rPr>
          <w:rFonts w:ascii="Times New Roman" w:hAnsi="Times New Roman" w:cs="Times New Roman"/>
          <w:kern w:val="0"/>
          <w:sz w:val="21"/>
          <w:szCs w:val="21"/>
        </w:rPr>
        <w:t>报告期内</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项目的运营情况</w:t>
      </w:r>
      <w:bookmarkEnd w:id="132"/>
    </w:p>
    <w:p w14:paraId="1F4626F2">
      <w:pPr>
        <w:autoSpaceDE w:val="0"/>
        <w:autoSpaceDN w:val="0"/>
        <w:adjustRightInd w:val="0"/>
        <w:spacing w:line="360" w:lineRule="auto"/>
        <w:outlineLvl w:val="2"/>
        <w:rPr>
          <w:b/>
          <w:bCs/>
        </w:rPr>
      </w:pPr>
      <w:bookmarkStart w:id="133" w:name="_Toc30259"/>
      <w:bookmarkStart w:id="134" w:name="_Toc9041"/>
      <w:bookmarkStart w:id="135" w:name="_Toc26659"/>
      <w:bookmarkStart w:id="136" w:name="_Toc2122"/>
      <w:r>
        <w:rPr>
          <w:b/>
          <w:bCs/>
        </w:rPr>
        <w:t>4.1.1 对报告期内重要</w:t>
      </w:r>
      <w:r>
        <w:rPr>
          <w:rFonts w:hint="eastAsia"/>
          <w:b/>
          <w:bCs/>
        </w:rPr>
        <w:t>不动产</w:t>
      </w:r>
      <w:r>
        <w:rPr>
          <w:b/>
          <w:bCs/>
        </w:rPr>
        <w:t>项目运营情况的说明</w:t>
      </w:r>
      <w:bookmarkEnd w:id="133"/>
      <w:bookmarkEnd w:id="134"/>
      <w:bookmarkEnd w:id="135"/>
      <w:bookmarkEnd w:id="136"/>
    </w:p>
    <w:p w14:paraId="76513537">
      <w:pPr>
        <w:spacing w:line="360" w:lineRule="auto"/>
        <w:ind w:firstLine="420" w:firstLineChars="200"/>
      </w:pPr>
      <w:r>
        <w:t>本报告期内，本基金投入运营的不动产项目有万海大厦、万融大厦、光明加速器二期项目。其中：万海大厦于2014年7月底竣工并开始运营，产证到期日为2062年9月29日；万融大厦于2014年1月底竣工并开始运营，产证到期日为2062年7月16日；光明加速器二期项目自2012年12月起陆续竣工并开始运营，产证到期日为2057年6月28日。</w:t>
      </w:r>
    </w:p>
    <w:p w14:paraId="6150D353">
      <w:pPr>
        <w:spacing w:line="360" w:lineRule="auto"/>
        <w:ind w:firstLine="420" w:firstLineChars="200"/>
      </w:pPr>
      <w:r>
        <w:t>本报告期内，万海大厦、万融大厦、光明加速器二期项目周边无新增竞争性项目。</w:t>
      </w:r>
    </w:p>
    <w:p w14:paraId="74C806F1">
      <w:pPr>
        <w:autoSpaceDE w:val="0"/>
        <w:autoSpaceDN w:val="0"/>
        <w:adjustRightInd w:val="0"/>
        <w:spacing w:line="360" w:lineRule="auto"/>
        <w:outlineLvl w:val="2"/>
        <w:rPr>
          <w:b/>
          <w:bCs/>
        </w:rPr>
      </w:pPr>
      <w:r>
        <w:rPr>
          <w:b/>
          <w:bCs/>
        </w:rPr>
        <w:t>4.1.2 报告期以及上年同期</w:t>
      </w:r>
      <w:r>
        <w:rPr>
          <w:rFonts w:hint="eastAsia"/>
          <w:b/>
          <w:bCs/>
        </w:rPr>
        <w:t>不动产</w:t>
      </w:r>
      <w:r>
        <w:rPr>
          <w:b/>
          <w:bCs/>
        </w:rPr>
        <w:t>项目整体运营指标</w:t>
      </w:r>
    </w:p>
    <w:tbl>
      <w:tblPr>
        <w:tblStyle w:val="40"/>
        <w:tblW w:w="507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318"/>
        <w:gridCol w:w="1586"/>
        <w:gridCol w:w="1332"/>
        <w:gridCol w:w="1394"/>
        <w:gridCol w:w="1277"/>
        <w:gridCol w:w="886"/>
      </w:tblGrid>
      <w:tr w14:paraId="59D7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495" w:type="pct"/>
            <w:vAlign w:val="center"/>
          </w:tcPr>
          <w:p w14:paraId="7ECC914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762" w:type="pct"/>
            <w:vAlign w:val="center"/>
          </w:tcPr>
          <w:p w14:paraId="08ED696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917" w:type="pct"/>
            <w:vAlign w:val="center"/>
          </w:tcPr>
          <w:p w14:paraId="16F1080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指标含义说明及计算方式</w:t>
            </w:r>
          </w:p>
        </w:tc>
        <w:tc>
          <w:tcPr>
            <w:tcW w:w="770" w:type="pct"/>
            <w:vAlign w:val="center"/>
          </w:tcPr>
          <w:p w14:paraId="37CEDC0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1524" w:type="dxa"/>
            <w:noWrap/>
            <w:vAlign w:val="center"/>
          </w:tcPr>
          <w:p w14:paraId="15DCA5D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本期（2026年1月1日-2026年6月30日）/报告期末（2026年6月30日）</w:t>
            </w:r>
          </w:p>
        </w:tc>
        <w:tc>
          <w:tcPr>
            <w:tcW w:w="1380" w:type="dxa"/>
            <w:noWrap/>
            <w:vAlign w:val="center"/>
          </w:tcPr>
          <w:p w14:paraId="4CD29E5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上年同期（2025年1月1日-2025年6月30日）/上年同期末（2025年6月30日）</w:t>
            </w:r>
          </w:p>
        </w:tc>
        <w:tc>
          <w:tcPr>
            <w:tcW w:w="512" w:type="pct"/>
            <w:noWrap/>
            <w:vAlign w:val="center"/>
          </w:tcPr>
          <w:p w14:paraId="47105D4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同比（%）</w:t>
            </w:r>
          </w:p>
        </w:tc>
      </w:tr>
      <w:tr w14:paraId="51556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EF6E76D">
            <w:pPr>
              <w:jc w:val="left"/>
            </w:pPr>
            <w:r>
              <w:rPr>
                <w:kern w:val="0"/>
              </w:rPr>
              <w:t>1</w:t>
            </w:r>
          </w:p>
        </w:tc>
        <w:tc>
          <w:tcPr>
            <w:vAlign w:val="center"/>
          </w:tcPr>
          <w:p w14:paraId="409FD919">
            <w:pPr>
              <w:jc w:val="left"/>
            </w:pPr>
            <w:r>
              <w:rPr>
                <w:kern w:val="0"/>
              </w:rPr>
              <w:t>报告期末可出租面积</w:t>
            </w:r>
          </w:p>
        </w:tc>
        <w:tc>
          <w:tcPr>
            <w:vAlign w:val="center"/>
          </w:tcPr>
          <w:p w14:paraId="676C6FEC">
            <w:pPr>
              <w:jc w:val="left"/>
            </w:pPr>
            <w:r>
              <w:rPr>
                <w:kern w:val="0"/>
              </w:rPr>
              <w:t>报告期末可出租面积</w:t>
            </w:r>
          </w:p>
        </w:tc>
        <w:tc>
          <w:tcPr>
            <w:vAlign w:val="center"/>
          </w:tcPr>
          <w:p w14:paraId="3DDAE6BF">
            <w:pPr>
              <w:jc w:val="left"/>
            </w:pPr>
            <w:r>
              <w:rPr>
                <w:kern w:val="0"/>
              </w:rPr>
              <w:t>平方米</w:t>
            </w:r>
          </w:p>
        </w:tc>
        <w:tc>
          <w:tcPr>
            <w:vAlign w:val="center"/>
          </w:tcPr>
          <w:p w14:paraId="7456BD79">
            <w:pPr>
              <w:jc w:val="center"/>
            </w:pPr>
            <w:r>
              <w:rPr>
                <w:kern w:val="0"/>
              </w:rPr>
              <w:t>204,912.16</w:t>
            </w:r>
          </w:p>
        </w:tc>
        <w:tc>
          <w:tcPr>
            <w:vAlign w:val="center"/>
          </w:tcPr>
          <w:p w14:paraId="76A31B82">
            <w:pPr>
              <w:jc w:val="center"/>
            </w:pPr>
            <w:r>
              <w:rPr>
                <w:kern w:val="0"/>
              </w:rPr>
              <w:t>204,758.59</w:t>
            </w:r>
          </w:p>
        </w:tc>
        <w:tc>
          <w:tcPr>
            <w:vAlign w:val="center"/>
          </w:tcPr>
          <w:p w14:paraId="0E8F2DD1">
            <w:pPr>
              <w:jc w:val="center"/>
            </w:pPr>
            <w:r>
              <w:rPr>
                <w:kern w:val="0"/>
              </w:rPr>
              <w:t>0.08%</w:t>
            </w:r>
          </w:p>
        </w:tc>
      </w:tr>
      <w:tr w14:paraId="03F8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56B2E52">
            <w:pPr>
              <w:jc w:val="left"/>
            </w:pPr>
            <w:r>
              <w:rPr>
                <w:kern w:val="0"/>
              </w:rPr>
              <w:t>2</w:t>
            </w:r>
          </w:p>
        </w:tc>
        <w:tc>
          <w:tcPr>
            <w:vAlign w:val="center"/>
          </w:tcPr>
          <w:p w14:paraId="5C44049E">
            <w:pPr>
              <w:jc w:val="left"/>
            </w:pPr>
            <w:r>
              <w:rPr>
                <w:kern w:val="0"/>
              </w:rPr>
              <w:t>报告期末实际出租面积</w:t>
            </w:r>
          </w:p>
        </w:tc>
        <w:tc>
          <w:tcPr>
            <w:vAlign w:val="center"/>
          </w:tcPr>
          <w:p w14:paraId="29AE97B5">
            <w:pPr>
              <w:jc w:val="left"/>
            </w:pPr>
            <w:r>
              <w:rPr>
                <w:kern w:val="0"/>
              </w:rPr>
              <w:t>报告期末实际出租面积</w:t>
            </w:r>
          </w:p>
        </w:tc>
        <w:tc>
          <w:tcPr>
            <w:vAlign w:val="center"/>
          </w:tcPr>
          <w:p w14:paraId="7DD2ECB9">
            <w:pPr>
              <w:jc w:val="left"/>
            </w:pPr>
            <w:r>
              <w:rPr>
                <w:kern w:val="0"/>
              </w:rPr>
              <w:t>平方米</w:t>
            </w:r>
          </w:p>
        </w:tc>
        <w:tc>
          <w:tcPr>
            <w:vAlign w:val="center"/>
          </w:tcPr>
          <w:p w14:paraId="45C20F28">
            <w:pPr>
              <w:jc w:val="center"/>
            </w:pPr>
            <w:r>
              <w:rPr>
                <w:kern w:val="0"/>
              </w:rPr>
              <w:t>170,648.75</w:t>
            </w:r>
          </w:p>
        </w:tc>
        <w:tc>
          <w:tcPr>
            <w:vAlign w:val="center"/>
          </w:tcPr>
          <w:p w14:paraId="5C5A6CC1">
            <w:pPr>
              <w:jc w:val="center"/>
            </w:pPr>
            <w:r>
              <w:rPr>
                <w:kern w:val="0"/>
              </w:rPr>
              <w:t>171,688.37</w:t>
            </w:r>
          </w:p>
        </w:tc>
        <w:tc>
          <w:tcPr>
            <w:vAlign w:val="center"/>
          </w:tcPr>
          <w:p w14:paraId="0192E52F">
            <w:pPr>
              <w:jc w:val="center"/>
            </w:pPr>
            <w:r>
              <w:rPr>
                <w:kern w:val="0"/>
              </w:rPr>
              <w:t>-0.61%</w:t>
            </w:r>
          </w:p>
        </w:tc>
      </w:tr>
      <w:tr w14:paraId="4D58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AD41506">
            <w:pPr>
              <w:jc w:val="left"/>
            </w:pPr>
            <w:r>
              <w:rPr>
                <w:kern w:val="0"/>
              </w:rPr>
              <w:t>3</w:t>
            </w:r>
          </w:p>
        </w:tc>
        <w:tc>
          <w:tcPr>
            <w:vAlign w:val="center"/>
          </w:tcPr>
          <w:p w14:paraId="1FD85994">
            <w:pPr>
              <w:jc w:val="left"/>
            </w:pPr>
            <w:r>
              <w:rPr>
                <w:kern w:val="0"/>
              </w:rPr>
              <w:t>报告期末出租率</w:t>
            </w:r>
          </w:p>
        </w:tc>
        <w:tc>
          <w:tcPr>
            <w:vAlign w:val="center"/>
          </w:tcPr>
          <w:p w14:paraId="084D68DF">
            <w:pPr>
              <w:jc w:val="left"/>
            </w:pPr>
            <w:r>
              <w:rPr>
                <w:kern w:val="0"/>
              </w:rPr>
              <w:t>报告期末实际出租面积/报告期末可出租面积</w:t>
            </w:r>
          </w:p>
        </w:tc>
        <w:tc>
          <w:tcPr>
            <w:vAlign w:val="center"/>
          </w:tcPr>
          <w:p w14:paraId="4D85837C">
            <w:pPr>
              <w:jc w:val="left"/>
            </w:pPr>
            <w:r>
              <w:rPr>
                <w:kern w:val="0"/>
              </w:rPr>
              <w:t>%</w:t>
            </w:r>
          </w:p>
        </w:tc>
        <w:tc>
          <w:tcPr>
            <w:vAlign w:val="center"/>
          </w:tcPr>
          <w:p w14:paraId="030E51EE">
            <w:pPr>
              <w:jc w:val="center"/>
            </w:pPr>
            <w:r>
              <w:rPr>
                <w:kern w:val="0"/>
              </w:rPr>
              <w:t>83.28%</w:t>
            </w:r>
          </w:p>
        </w:tc>
        <w:tc>
          <w:tcPr>
            <w:vAlign w:val="center"/>
          </w:tcPr>
          <w:p w14:paraId="1B0EFA72">
            <w:pPr>
              <w:jc w:val="center"/>
            </w:pPr>
            <w:r>
              <w:rPr>
                <w:kern w:val="0"/>
              </w:rPr>
              <w:t>83.85%</w:t>
            </w:r>
          </w:p>
        </w:tc>
        <w:tc>
          <w:tcPr>
            <w:vAlign w:val="center"/>
          </w:tcPr>
          <w:p w14:paraId="1DEE87B1">
            <w:pPr>
              <w:jc w:val="center"/>
            </w:pPr>
            <w:r>
              <w:rPr>
                <w:kern w:val="0"/>
              </w:rPr>
              <w:t>-0.68%</w:t>
            </w:r>
          </w:p>
        </w:tc>
      </w:tr>
      <w:tr w14:paraId="11A9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205D6FD">
            <w:pPr>
              <w:jc w:val="left"/>
            </w:pPr>
            <w:r>
              <w:rPr>
                <w:kern w:val="0"/>
              </w:rPr>
              <w:t>4</w:t>
            </w:r>
          </w:p>
        </w:tc>
        <w:tc>
          <w:tcPr>
            <w:vAlign w:val="center"/>
          </w:tcPr>
          <w:p w14:paraId="79775456">
            <w:pPr>
              <w:jc w:val="left"/>
            </w:pPr>
            <w:r>
              <w:rPr>
                <w:kern w:val="0"/>
              </w:rPr>
              <w:t>平均出租率</w:t>
            </w:r>
          </w:p>
        </w:tc>
        <w:tc>
          <w:tcPr>
            <w:vAlign w:val="center"/>
          </w:tcPr>
          <w:p w14:paraId="31B1A64F">
            <w:pPr>
              <w:jc w:val="left"/>
            </w:pPr>
            <w:r>
              <w:rPr>
                <w:kern w:val="0"/>
              </w:rPr>
              <w:t>各月末平均实际出租面积/平均可出租面积</w:t>
            </w:r>
          </w:p>
        </w:tc>
        <w:tc>
          <w:tcPr>
            <w:vAlign w:val="center"/>
          </w:tcPr>
          <w:p w14:paraId="5B35EBA6">
            <w:pPr>
              <w:jc w:val="left"/>
            </w:pPr>
            <w:r>
              <w:rPr>
                <w:kern w:val="0"/>
              </w:rPr>
              <w:t>%</w:t>
            </w:r>
          </w:p>
        </w:tc>
        <w:tc>
          <w:tcPr>
            <w:vAlign w:val="center"/>
          </w:tcPr>
          <w:p w14:paraId="7333EE0E">
            <w:pPr>
              <w:jc w:val="center"/>
            </w:pPr>
            <w:r>
              <w:rPr>
                <w:kern w:val="0"/>
              </w:rPr>
              <w:t>84.61%</w:t>
            </w:r>
          </w:p>
        </w:tc>
        <w:tc>
          <w:tcPr>
            <w:vAlign w:val="center"/>
          </w:tcPr>
          <w:p w14:paraId="34D8036D">
            <w:pPr>
              <w:jc w:val="center"/>
            </w:pPr>
            <w:r>
              <w:rPr>
                <w:kern w:val="0"/>
              </w:rPr>
              <w:t>86.96%</w:t>
            </w:r>
          </w:p>
        </w:tc>
        <w:tc>
          <w:tcPr>
            <w:vAlign w:val="center"/>
          </w:tcPr>
          <w:p w14:paraId="4A66B1A7">
            <w:pPr>
              <w:jc w:val="center"/>
            </w:pPr>
            <w:r>
              <w:rPr>
                <w:kern w:val="0"/>
              </w:rPr>
              <w:t>-2.70%</w:t>
            </w:r>
          </w:p>
        </w:tc>
      </w:tr>
      <w:tr w14:paraId="4967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BA813D1">
            <w:pPr>
              <w:jc w:val="left"/>
            </w:pPr>
            <w:r>
              <w:rPr>
                <w:kern w:val="0"/>
              </w:rPr>
              <w:t>5</w:t>
            </w:r>
          </w:p>
        </w:tc>
        <w:tc>
          <w:tcPr>
            <w:vAlign w:val="center"/>
          </w:tcPr>
          <w:p w14:paraId="1D319FC4">
            <w:pPr>
              <w:jc w:val="left"/>
            </w:pPr>
            <w:r>
              <w:rPr>
                <w:kern w:val="0"/>
              </w:rPr>
              <w:t>平均月租金</w:t>
            </w:r>
          </w:p>
        </w:tc>
        <w:tc>
          <w:tcPr>
            <w:vAlign w:val="center"/>
          </w:tcPr>
          <w:p w14:paraId="5A5B2EEF">
            <w:pPr>
              <w:jc w:val="left"/>
            </w:pPr>
            <w:r>
              <w:rPr>
                <w:kern w:val="0"/>
              </w:rPr>
              <w:t>报告期内月均有效租金单价（含税）</w:t>
            </w:r>
          </w:p>
        </w:tc>
        <w:tc>
          <w:tcPr>
            <w:vAlign w:val="center"/>
          </w:tcPr>
          <w:p w14:paraId="13B6B78B">
            <w:pPr>
              <w:jc w:val="left"/>
            </w:pPr>
            <w:r>
              <w:rPr>
                <w:kern w:val="0"/>
              </w:rPr>
              <w:t>元/平方米</w:t>
            </w:r>
          </w:p>
        </w:tc>
        <w:tc>
          <w:tcPr>
            <w:vAlign w:val="center"/>
          </w:tcPr>
          <w:p w14:paraId="1E4BC20F">
            <w:pPr>
              <w:jc w:val="center"/>
            </w:pPr>
            <w:r>
              <w:rPr>
                <w:kern w:val="0"/>
              </w:rPr>
              <w:t>73.22</w:t>
            </w:r>
          </w:p>
        </w:tc>
        <w:tc>
          <w:tcPr>
            <w:vAlign w:val="center"/>
          </w:tcPr>
          <w:p w14:paraId="7872628C">
            <w:pPr>
              <w:jc w:val="center"/>
            </w:pPr>
            <w:r>
              <w:rPr>
                <w:kern w:val="0"/>
              </w:rPr>
              <w:t>80.42</w:t>
            </w:r>
          </w:p>
        </w:tc>
        <w:tc>
          <w:tcPr>
            <w:vAlign w:val="center"/>
          </w:tcPr>
          <w:p w14:paraId="2ABC392C">
            <w:pPr>
              <w:jc w:val="center"/>
            </w:pPr>
            <w:r>
              <w:rPr>
                <w:kern w:val="0"/>
              </w:rPr>
              <w:t>-8.95%</w:t>
            </w:r>
          </w:p>
        </w:tc>
      </w:tr>
      <w:tr w14:paraId="10FB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BB368C7">
            <w:pPr>
              <w:jc w:val="left"/>
            </w:pPr>
            <w:r>
              <w:rPr>
                <w:kern w:val="0"/>
              </w:rPr>
              <w:t>6</w:t>
            </w:r>
          </w:p>
        </w:tc>
        <w:tc>
          <w:tcPr>
            <w:vAlign w:val="center"/>
          </w:tcPr>
          <w:p w14:paraId="0E68EDCE">
            <w:pPr>
              <w:jc w:val="left"/>
            </w:pPr>
            <w:r>
              <w:rPr>
                <w:kern w:val="0"/>
              </w:rPr>
              <w:t>报告期末加权平均剩余租期</w:t>
            </w:r>
          </w:p>
        </w:tc>
        <w:tc>
          <w:tcPr>
            <w:vAlign w:val="center"/>
          </w:tcPr>
          <w:p w14:paraId="02160621">
            <w:pPr>
              <w:jc w:val="left"/>
            </w:pPr>
            <w:r>
              <w:rPr>
                <w:kern w:val="0"/>
              </w:rPr>
              <w:t>（各租约剩余租期*租约面积之和）/租约总面积</w:t>
            </w:r>
          </w:p>
        </w:tc>
        <w:tc>
          <w:tcPr>
            <w:vAlign w:val="center"/>
          </w:tcPr>
          <w:p w14:paraId="6F2E0406">
            <w:pPr>
              <w:jc w:val="left"/>
            </w:pPr>
            <w:r>
              <w:rPr>
                <w:kern w:val="0"/>
              </w:rPr>
              <w:t>天（取整）</w:t>
            </w:r>
          </w:p>
        </w:tc>
        <w:tc>
          <w:tcPr>
            <w:vAlign w:val="center"/>
          </w:tcPr>
          <w:p w14:paraId="284384BD">
            <w:pPr>
              <w:jc w:val="center"/>
            </w:pPr>
            <w:r>
              <w:rPr>
                <w:kern w:val="0"/>
              </w:rPr>
              <w:t>628.00</w:t>
            </w:r>
          </w:p>
        </w:tc>
        <w:tc>
          <w:tcPr>
            <w:vAlign w:val="center"/>
          </w:tcPr>
          <w:p w14:paraId="324C713F">
            <w:pPr>
              <w:jc w:val="center"/>
            </w:pPr>
            <w:r>
              <w:rPr>
                <w:kern w:val="0"/>
              </w:rPr>
              <w:t>705.00</w:t>
            </w:r>
          </w:p>
        </w:tc>
        <w:tc>
          <w:tcPr>
            <w:vAlign w:val="center"/>
          </w:tcPr>
          <w:p w14:paraId="10F4A968">
            <w:pPr>
              <w:jc w:val="center"/>
            </w:pPr>
            <w:r>
              <w:rPr>
                <w:kern w:val="0"/>
              </w:rPr>
              <w:t>-10.92%</w:t>
            </w:r>
          </w:p>
        </w:tc>
      </w:tr>
      <w:tr w14:paraId="72F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2F82B6D">
            <w:pPr>
              <w:jc w:val="left"/>
            </w:pPr>
            <w:r>
              <w:rPr>
                <w:kern w:val="0"/>
              </w:rPr>
              <w:t>7</w:t>
            </w:r>
          </w:p>
        </w:tc>
        <w:tc>
          <w:tcPr>
            <w:vAlign w:val="center"/>
          </w:tcPr>
          <w:p w14:paraId="4ECC5BD0">
            <w:pPr>
              <w:jc w:val="left"/>
            </w:pPr>
            <w:r>
              <w:rPr>
                <w:kern w:val="0"/>
              </w:rPr>
              <w:t>当期租金收缴率</w:t>
            </w:r>
          </w:p>
        </w:tc>
        <w:tc>
          <w:tcPr>
            <w:vAlign w:val="center"/>
          </w:tcPr>
          <w:p w14:paraId="4AD0EC7C">
            <w:pPr>
              <w:jc w:val="left"/>
            </w:pPr>
            <w:r>
              <w:rPr>
                <w:kern w:val="0"/>
              </w:rPr>
              <w:t>1-本期末欠款/本年累计收入年化</w:t>
            </w:r>
          </w:p>
        </w:tc>
        <w:tc>
          <w:tcPr>
            <w:vAlign w:val="center"/>
          </w:tcPr>
          <w:p w14:paraId="7D2AF2CC">
            <w:pPr>
              <w:jc w:val="left"/>
            </w:pPr>
            <w:r>
              <w:rPr>
                <w:kern w:val="0"/>
              </w:rPr>
              <w:t>%</w:t>
            </w:r>
          </w:p>
        </w:tc>
        <w:tc>
          <w:tcPr>
            <w:vAlign w:val="center"/>
          </w:tcPr>
          <w:p w14:paraId="270C4B13">
            <w:pPr>
              <w:jc w:val="center"/>
            </w:pPr>
            <w:r>
              <w:rPr>
                <w:kern w:val="0"/>
              </w:rPr>
              <w:t>97.13%</w:t>
            </w:r>
          </w:p>
        </w:tc>
        <w:tc>
          <w:tcPr>
            <w:vAlign w:val="center"/>
          </w:tcPr>
          <w:p w14:paraId="0C158566">
            <w:pPr>
              <w:jc w:val="center"/>
            </w:pPr>
            <w:r>
              <w:rPr>
                <w:kern w:val="0"/>
              </w:rPr>
              <w:t>96.03%</w:t>
            </w:r>
          </w:p>
        </w:tc>
        <w:tc>
          <w:tcPr>
            <w:vAlign w:val="center"/>
          </w:tcPr>
          <w:p w14:paraId="33077BE5">
            <w:pPr>
              <w:jc w:val="center"/>
            </w:pPr>
            <w:r>
              <w:rPr>
                <w:kern w:val="0"/>
              </w:rPr>
              <w:t>1.14%</w:t>
            </w:r>
          </w:p>
        </w:tc>
      </w:tr>
    </w:tbl>
    <w:p w14:paraId="4EC85AAD">
      <w:pPr>
        <w:spacing w:line="360" w:lineRule="auto"/>
        <w:ind w:firstLine="420" w:firstLineChars="200"/>
      </w:pPr>
      <w:r>
        <w:t>注：1、本期期末可出租面积增加153.57 平方米，主要是运营管理机构为提升项目收益，将万融大厦自用的招商用房拓展为可出租面积，增厚项目收益。</w:t>
      </w:r>
    </w:p>
    <w:p w14:paraId="38EBFBE6">
      <w:pPr>
        <w:spacing w:line="360" w:lineRule="auto"/>
        <w:ind w:firstLine="420" w:firstLineChars="200"/>
      </w:pPr>
      <w:r>
        <w:t>2、受宏观经济环境与市场供需变动双重因素影响，项目周边市场竞争加剧，季度平均租金同比单价下降8.95%，主要系2025年2-3季度采取了以价换量的新租及稳商措施，租金水平在2025年下半年进行了一轮调整。</w:t>
      </w:r>
    </w:p>
    <w:p w14:paraId="502B735B">
      <w:pPr>
        <w:autoSpaceDE w:val="0"/>
        <w:autoSpaceDN w:val="0"/>
        <w:adjustRightInd w:val="0"/>
        <w:spacing w:line="360" w:lineRule="auto"/>
        <w:outlineLvl w:val="2"/>
        <w:rPr>
          <w:b/>
          <w:bCs/>
        </w:rPr>
      </w:pPr>
      <w:r>
        <w:rPr>
          <w:b/>
          <w:bCs/>
        </w:rPr>
        <w:t>4.1.3 报告期及上年同期重要</w:t>
      </w:r>
      <w:r>
        <w:rPr>
          <w:rFonts w:hint="eastAsia"/>
          <w:b/>
          <w:bCs/>
        </w:rPr>
        <w:t>不动产</w:t>
      </w:r>
      <w:r>
        <w:rPr>
          <w:b/>
          <w:bCs/>
        </w:rPr>
        <w:t>项目运营指标</w:t>
      </w:r>
    </w:p>
    <w:p w14:paraId="2DF54ADE">
      <w:pPr>
        <w:spacing w:line="360" w:lineRule="auto"/>
        <w:jc w:val="left"/>
      </w:pPr>
      <w:r>
        <w:rPr>
          <w:rFonts w:hint="eastAsia"/>
        </w:rPr>
        <w:t>不动产</w:t>
      </w:r>
      <w:r>
        <w:t>项目名称：1 万海大厦</w:t>
      </w:r>
    </w:p>
    <w:tbl>
      <w:tblPr>
        <w:tblStyle w:val="40"/>
        <w:tblW w:w="507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318"/>
        <w:gridCol w:w="1586"/>
        <w:gridCol w:w="1332"/>
        <w:gridCol w:w="1401"/>
        <w:gridCol w:w="1268"/>
        <w:gridCol w:w="887"/>
      </w:tblGrid>
      <w:tr w14:paraId="5896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495" w:type="pct"/>
            <w:vAlign w:val="center"/>
          </w:tcPr>
          <w:p w14:paraId="3CB6337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762" w:type="pct"/>
            <w:vAlign w:val="center"/>
          </w:tcPr>
          <w:p w14:paraId="34E22D5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917" w:type="pct"/>
            <w:vAlign w:val="center"/>
          </w:tcPr>
          <w:p w14:paraId="63F1F76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指标含义说明及计算公式</w:t>
            </w:r>
          </w:p>
        </w:tc>
        <w:tc>
          <w:tcPr>
            <w:tcW w:w="770" w:type="pct"/>
            <w:vAlign w:val="center"/>
          </w:tcPr>
          <w:p w14:paraId="54AE4A3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810" w:type="pct"/>
            <w:noWrap/>
            <w:vAlign w:val="center"/>
          </w:tcPr>
          <w:p w14:paraId="3D61371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本期（2026年1月1日-2026年6月30日）/报告期末（2026年6月30日）</w:t>
            </w:r>
          </w:p>
        </w:tc>
        <w:tc>
          <w:tcPr>
            <w:tcW w:w="733" w:type="pct"/>
            <w:noWrap/>
            <w:vAlign w:val="center"/>
          </w:tcPr>
          <w:p w14:paraId="558AEF14">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上年同期（2025年1月1日-2025年6月30日）/上年同期末（2025年6月30日）</w:t>
            </w:r>
          </w:p>
        </w:tc>
        <w:tc>
          <w:tcPr>
            <w:tcW w:w="512" w:type="pct"/>
            <w:noWrap/>
            <w:vAlign w:val="center"/>
          </w:tcPr>
          <w:p w14:paraId="4E02B2E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同比（%）</w:t>
            </w:r>
          </w:p>
        </w:tc>
      </w:tr>
      <w:tr w14:paraId="750B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707A312">
            <w:pPr>
              <w:jc w:val="left"/>
            </w:pPr>
            <w:r>
              <w:rPr>
                <w:kern w:val="0"/>
              </w:rPr>
              <w:t>1</w:t>
            </w:r>
          </w:p>
        </w:tc>
        <w:tc>
          <w:tcPr>
            <w:vAlign w:val="center"/>
          </w:tcPr>
          <w:p w14:paraId="6F8EAB1A">
            <w:pPr>
              <w:jc w:val="left"/>
            </w:pPr>
            <w:r>
              <w:rPr>
                <w:kern w:val="0"/>
              </w:rPr>
              <w:t>报告期末可出租面积</w:t>
            </w:r>
          </w:p>
        </w:tc>
        <w:tc>
          <w:tcPr>
            <w:vAlign w:val="center"/>
          </w:tcPr>
          <w:p w14:paraId="3974D4AF">
            <w:pPr>
              <w:jc w:val="left"/>
            </w:pPr>
            <w:r>
              <w:rPr>
                <w:kern w:val="0"/>
              </w:rPr>
              <w:t>报告期末可出租面积</w:t>
            </w:r>
          </w:p>
        </w:tc>
        <w:tc>
          <w:tcPr>
            <w:vAlign w:val="center"/>
          </w:tcPr>
          <w:p w14:paraId="2C51A422">
            <w:pPr>
              <w:jc w:val="left"/>
            </w:pPr>
            <w:r>
              <w:rPr>
                <w:kern w:val="0"/>
              </w:rPr>
              <w:t>平方米</w:t>
            </w:r>
          </w:p>
        </w:tc>
        <w:tc>
          <w:tcPr>
            <w:vAlign w:val="center"/>
          </w:tcPr>
          <w:p w14:paraId="27468F0B">
            <w:pPr>
              <w:jc w:val="center"/>
            </w:pPr>
            <w:r>
              <w:rPr>
                <w:kern w:val="0"/>
              </w:rPr>
              <w:t>52,646.25</w:t>
            </w:r>
          </w:p>
        </w:tc>
        <w:tc>
          <w:tcPr>
            <w:vAlign w:val="center"/>
          </w:tcPr>
          <w:p w14:paraId="4D1CCA81">
            <w:pPr>
              <w:jc w:val="center"/>
            </w:pPr>
            <w:r>
              <w:rPr>
                <w:kern w:val="0"/>
              </w:rPr>
              <w:t>52,646.25</w:t>
            </w:r>
          </w:p>
        </w:tc>
        <w:tc>
          <w:tcPr>
            <w:vAlign w:val="center"/>
          </w:tcPr>
          <w:p w14:paraId="3B4DC5A9">
            <w:pPr>
              <w:jc w:val="center"/>
            </w:pPr>
            <w:r>
              <w:rPr>
                <w:kern w:val="0"/>
              </w:rPr>
              <w:t>0.00%</w:t>
            </w:r>
          </w:p>
        </w:tc>
      </w:tr>
      <w:tr w14:paraId="0596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64A8ADA">
            <w:pPr>
              <w:jc w:val="left"/>
            </w:pPr>
            <w:r>
              <w:rPr>
                <w:kern w:val="0"/>
              </w:rPr>
              <w:t>2</w:t>
            </w:r>
          </w:p>
        </w:tc>
        <w:tc>
          <w:tcPr>
            <w:vAlign w:val="center"/>
          </w:tcPr>
          <w:p w14:paraId="4286D6AF">
            <w:pPr>
              <w:jc w:val="left"/>
            </w:pPr>
            <w:r>
              <w:rPr>
                <w:kern w:val="0"/>
              </w:rPr>
              <w:t>报告期末实际出租面积</w:t>
            </w:r>
          </w:p>
        </w:tc>
        <w:tc>
          <w:tcPr>
            <w:vAlign w:val="center"/>
          </w:tcPr>
          <w:p w14:paraId="78E37B0E">
            <w:pPr>
              <w:jc w:val="left"/>
            </w:pPr>
            <w:r>
              <w:rPr>
                <w:kern w:val="0"/>
              </w:rPr>
              <w:t>报告期末实际出租面积</w:t>
            </w:r>
          </w:p>
        </w:tc>
        <w:tc>
          <w:tcPr>
            <w:vAlign w:val="center"/>
          </w:tcPr>
          <w:p w14:paraId="6B8F3845">
            <w:pPr>
              <w:jc w:val="left"/>
            </w:pPr>
            <w:r>
              <w:rPr>
                <w:kern w:val="0"/>
              </w:rPr>
              <w:t>平方米</w:t>
            </w:r>
          </w:p>
        </w:tc>
        <w:tc>
          <w:tcPr>
            <w:vAlign w:val="center"/>
          </w:tcPr>
          <w:p w14:paraId="0966FC28">
            <w:pPr>
              <w:jc w:val="center"/>
            </w:pPr>
            <w:r>
              <w:rPr>
                <w:kern w:val="0"/>
              </w:rPr>
              <w:t>44,483.01</w:t>
            </w:r>
          </w:p>
        </w:tc>
        <w:tc>
          <w:tcPr>
            <w:vAlign w:val="center"/>
          </w:tcPr>
          <w:p w14:paraId="08B83960">
            <w:pPr>
              <w:jc w:val="center"/>
            </w:pPr>
            <w:r>
              <w:rPr>
                <w:kern w:val="0"/>
              </w:rPr>
              <w:t>44,077.56</w:t>
            </w:r>
          </w:p>
        </w:tc>
        <w:tc>
          <w:tcPr>
            <w:vAlign w:val="center"/>
          </w:tcPr>
          <w:p w14:paraId="0DC15918">
            <w:pPr>
              <w:jc w:val="center"/>
            </w:pPr>
            <w:r>
              <w:rPr>
                <w:kern w:val="0"/>
              </w:rPr>
              <w:t>0.92%</w:t>
            </w:r>
          </w:p>
        </w:tc>
      </w:tr>
      <w:tr w14:paraId="29D4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CBE3E1B">
            <w:pPr>
              <w:jc w:val="left"/>
            </w:pPr>
            <w:r>
              <w:rPr>
                <w:kern w:val="0"/>
              </w:rPr>
              <w:t>3</w:t>
            </w:r>
          </w:p>
        </w:tc>
        <w:tc>
          <w:tcPr>
            <w:vAlign w:val="center"/>
          </w:tcPr>
          <w:p w14:paraId="1809ECFF">
            <w:pPr>
              <w:jc w:val="left"/>
            </w:pPr>
            <w:r>
              <w:rPr>
                <w:kern w:val="0"/>
              </w:rPr>
              <w:t>报告期末出租率</w:t>
            </w:r>
          </w:p>
        </w:tc>
        <w:tc>
          <w:tcPr>
            <w:vAlign w:val="center"/>
          </w:tcPr>
          <w:p w14:paraId="3DCC622C">
            <w:pPr>
              <w:jc w:val="left"/>
            </w:pPr>
            <w:r>
              <w:rPr>
                <w:kern w:val="0"/>
              </w:rPr>
              <w:t>报告期末实际出租面积/报告期末可出租面积</w:t>
            </w:r>
          </w:p>
        </w:tc>
        <w:tc>
          <w:tcPr>
            <w:vAlign w:val="center"/>
          </w:tcPr>
          <w:p w14:paraId="0EC70581">
            <w:pPr>
              <w:jc w:val="left"/>
            </w:pPr>
            <w:r>
              <w:rPr>
                <w:kern w:val="0"/>
              </w:rPr>
              <w:t>%</w:t>
            </w:r>
          </w:p>
        </w:tc>
        <w:tc>
          <w:tcPr>
            <w:vAlign w:val="center"/>
          </w:tcPr>
          <w:p w14:paraId="59A8DA39">
            <w:pPr>
              <w:jc w:val="center"/>
            </w:pPr>
            <w:r>
              <w:rPr>
                <w:kern w:val="0"/>
              </w:rPr>
              <w:t>84.49%</w:t>
            </w:r>
          </w:p>
        </w:tc>
        <w:tc>
          <w:tcPr>
            <w:vAlign w:val="center"/>
          </w:tcPr>
          <w:p w14:paraId="46C6E250">
            <w:pPr>
              <w:jc w:val="center"/>
            </w:pPr>
            <w:r>
              <w:rPr>
                <w:kern w:val="0"/>
              </w:rPr>
              <w:t>83.72%</w:t>
            </w:r>
          </w:p>
        </w:tc>
        <w:tc>
          <w:tcPr>
            <w:vAlign w:val="center"/>
          </w:tcPr>
          <w:p w14:paraId="35C2C6D7">
            <w:pPr>
              <w:jc w:val="center"/>
            </w:pPr>
            <w:r>
              <w:rPr>
                <w:kern w:val="0"/>
              </w:rPr>
              <w:t>0.92%</w:t>
            </w:r>
          </w:p>
        </w:tc>
      </w:tr>
      <w:tr w14:paraId="2652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C1C9F66">
            <w:pPr>
              <w:jc w:val="left"/>
            </w:pPr>
            <w:r>
              <w:rPr>
                <w:kern w:val="0"/>
              </w:rPr>
              <w:t>4</w:t>
            </w:r>
          </w:p>
        </w:tc>
        <w:tc>
          <w:tcPr>
            <w:vAlign w:val="center"/>
          </w:tcPr>
          <w:p w14:paraId="4867A841">
            <w:pPr>
              <w:jc w:val="left"/>
            </w:pPr>
            <w:r>
              <w:rPr>
                <w:kern w:val="0"/>
              </w:rPr>
              <w:t>平均出租率</w:t>
            </w:r>
          </w:p>
        </w:tc>
        <w:tc>
          <w:tcPr>
            <w:vAlign w:val="center"/>
          </w:tcPr>
          <w:p w14:paraId="07DEC96C">
            <w:pPr>
              <w:jc w:val="left"/>
            </w:pPr>
            <w:r>
              <w:rPr>
                <w:kern w:val="0"/>
              </w:rPr>
              <w:t>各月末平均实际出租面积/平均可出租面积</w:t>
            </w:r>
          </w:p>
        </w:tc>
        <w:tc>
          <w:tcPr>
            <w:vAlign w:val="center"/>
          </w:tcPr>
          <w:p w14:paraId="6207EDD6">
            <w:pPr>
              <w:jc w:val="left"/>
            </w:pPr>
            <w:r>
              <w:rPr>
                <w:kern w:val="0"/>
              </w:rPr>
              <w:t>%</w:t>
            </w:r>
          </w:p>
        </w:tc>
        <w:tc>
          <w:tcPr>
            <w:vAlign w:val="center"/>
          </w:tcPr>
          <w:p w14:paraId="3A42A133">
            <w:pPr>
              <w:jc w:val="center"/>
            </w:pPr>
            <w:r>
              <w:rPr>
                <w:kern w:val="0"/>
              </w:rPr>
              <w:t>82.37%</w:t>
            </w:r>
          </w:p>
        </w:tc>
        <w:tc>
          <w:tcPr>
            <w:vAlign w:val="center"/>
          </w:tcPr>
          <w:p w14:paraId="40EFD112">
            <w:pPr>
              <w:jc w:val="center"/>
            </w:pPr>
            <w:r>
              <w:rPr>
                <w:kern w:val="0"/>
              </w:rPr>
              <w:t>86.50%</w:t>
            </w:r>
          </w:p>
        </w:tc>
        <w:tc>
          <w:tcPr>
            <w:vAlign w:val="center"/>
          </w:tcPr>
          <w:p w14:paraId="0B35490E">
            <w:pPr>
              <w:jc w:val="center"/>
            </w:pPr>
            <w:r>
              <w:rPr>
                <w:kern w:val="0"/>
              </w:rPr>
              <w:t>-4.77%</w:t>
            </w:r>
          </w:p>
        </w:tc>
      </w:tr>
      <w:tr w14:paraId="1C98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B3F8903">
            <w:pPr>
              <w:jc w:val="left"/>
            </w:pPr>
            <w:r>
              <w:rPr>
                <w:kern w:val="0"/>
              </w:rPr>
              <w:t>5</w:t>
            </w:r>
          </w:p>
        </w:tc>
        <w:tc>
          <w:tcPr>
            <w:vAlign w:val="center"/>
          </w:tcPr>
          <w:p w14:paraId="33372E16">
            <w:pPr>
              <w:jc w:val="left"/>
            </w:pPr>
            <w:r>
              <w:rPr>
                <w:kern w:val="0"/>
              </w:rPr>
              <w:t>平均月租金</w:t>
            </w:r>
          </w:p>
        </w:tc>
        <w:tc>
          <w:tcPr>
            <w:vAlign w:val="center"/>
          </w:tcPr>
          <w:p w14:paraId="28E02492">
            <w:pPr>
              <w:jc w:val="left"/>
            </w:pPr>
            <w:r>
              <w:rPr>
                <w:kern w:val="0"/>
              </w:rPr>
              <w:t>报告期内月均有效租金单价（含税）</w:t>
            </w:r>
          </w:p>
        </w:tc>
        <w:tc>
          <w:tcPr>
            <w:vAlign w:val="center"/>
          </w:tcPr>
          <w:p w14:paraId="2699F45E">
            <w:pPr>
              <w:jc w:val="left"/>
            </w:pPr>
            <w:r>
              <w:rPr>
                <w:kern w:val="0"/>
              </w:rPr>
              <w:t>元/平方米</w:t>
            </w:r>
          </w:p>
        </w:tc>
        <w:tc>
          <w:tcPr>
            <w:vAlign w:val="center"/>
          </w:tcPr>
          <w:p w14:paraId="49D45A76">
            <w:pPr>
              <w:jc w:val="center"/>
            </w:pPr>
            <w:r>
              <w:rPr>
                <w:kern w:val="0"/>
              </w:rPr>
              <w:t>112.31</w:t>
            </w:r>
          </w:p>
        </w:tc>
        <w:tc>
          <w:tcPr>
            <w:vAlign w:val="center"/>
          </w:tcPr>
          <w:p w14:paraId="45AFAA4B">
            <w:pPr>
              <w:jc w:val="center"/>
            </w:pPr>
            <w:r>
              <w:rPr>
                <w:kern w:val="0"/>
              </w:rPr>
              <w:t>117.36</w:t>
            </w:r>
          </w:p>
        </w:tc>
        <w:tc>
          <w:tcPr>
            <w:vAlign w:val="center"/>
          </w:tcPr>
          <w:p w14:paraId="00CBE18F">
            <w:pPr>
              <w:jc w:val="center"/>
            </w:pPr>
            <w:r>
              <w:rPr>
                <w:kern w:val="0"/>
              </w:rPr>
              <w:t>-4.30%</w:t>
            </w:r>
          </w:p>
        </w:tc>
      </w:tr>
      <w:tr w14:paraId="0CC28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867B3DF">
            <w:pPr>
              <w:jc w:val="left"/>
            </w:pPr>
            <w:r>
              <w:rPr>
                <w:kern w:val="0"/>
              </w:rPr>
              <w:t>6</w:t>
            </w:r>
          </w:p>
        </w:tc>
        <w:tc>
          <w:tcPr>
            <w:vAlign w:val="center"/>
          </w:tcPr>
          <w:p w14:paraId="7F24B14C">
            <w:pPr>
              <w:jc w:val="left"/>
            </w:pPr>
            <w:r>
              <w:rPr>
                <w:kern w:val="0"/>
              </w:rPr>
              <w:t>报告期末加权平均剩余租期</w:t>
            </w:r>
          </w:p>
        </w:tc>
        <w:tc>
          <w:tcPr>
            <w:vAlign w:val="center"/>
          </w:tcPr>
          <w:p w14:paraId="38AFEBE5">
            <w:pPr>
              <w:jc w:val="left"/>
            </w:pPr>
            <w:r>
              <w:rPr>
                <w:kern w:val="0"/>
              </w:rPr>
              <w:t>（各租约剩余租期*租约面积之和）/租约总面积</w:t>
            </w:r>
          </w:p>
        </w:tc>
        <w:tc>
          <w:tcPr>
            <w:vAlign w:val="center"/>
          </w:tcPr>
          <w:p w14:paraId="22914F5F">
            <w:pPr>
              <w:jc w:val="left"/>
            </w:pPr>
            <w:r>
              <w:rPr>
                <w:kern w:val="0"/>
              </w:rPr>
              <w:t>天（取整）</w:t>
            </w:r>
          </w:p>
        </w:tc>
        <w:tc>
          <w:tcPr>
            <w:vAlign w:val="center"/>
          </w:tcPr>
          <w:p w14:paraId="5A3A84F5">
            <w:pPr>
              <w:jc w:val="center"/>
            </w:pPr>
            <w:r>
              <w:rPr>
                <w:kern w:val="0"/>
              </w:rPr>
              <w:t>600.00</w:t>
            </w:r>
          </w:p>
        </w:tc>
        <w:tc>
          <w:tcPr>
            <w:vAlign w:val="center"/>
          </w:tcPr>
          <w:p w14:paraId="11298F76">
            <w:pPr>
              <w:jc w:val="center"/>
            </w:pPr>
            <w:r>
              <w:rPr>
                <w:kern w:val="0"/>
              </w:rPr>
              <w:t>632.00</w:t>
            </w:r>
          </w:p>
        </w:tc>
        <w:tc>
          <w:tcPr>
            <w:vAlign w:val="center"/>
          </w:tcPr>
          <w:p w14:paraId="424523AE">
            <w:pPr>
              <w:jc w:val="center"/>
            </w:pPr>
            <w:r>
              <w:rPr>
                <w:kern w:val="0"/>
              </w:rPr>
              <w:t>-5.06%</w:t>
            </w:r>
          </w:p>
        </w:tc>
      </w:tr>
      <w:tr w14:paraId="3870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7741630">
            <w:pPr>
              <w:jc w:val="left"/>
            </w:pPr>
            <w:r>
              <w:rPr>
                <w:kern w:val="0"/>
              </w:rPr>
              <w:t>7</w:t>
            </w:r>
          </w:p>
        </w:tc>
        <w:tc>
          <w:tcPr>
            <w:vAlign w:val="center"/>
          </w:tcPr>
          <w:p w14:paraId="5E2077C9">
            <w:pPr>
              <w:jc w:val="left"/>
            </w:pPr>
            <w:r>
              <w:rPr>
                <w:kern w:val="0"/>
              </w:rPr>
              <w:t>当期租金收缴率</w:t>
            </w:r>
          </w:p>
        </w:tc>
        <w:tc>
          <w:tcPr>
            <w:vAlign w:val="center"/>
          </w:tcPr>
          <w:p w14:paraId="6791D003">
            <w:pPr>
              <w:jc w:val="left"/>
            </w:pPr>
            <w:r>
              <w:rPr>
                <w:kern w:val="0"/>
              </w:rPr>
              <w:t>1-本期末欠款/本年累计收入年化</w:t>
            </w:r>
          </w:p>
        </w:tc>
        <w:tc>
          <w:tcPr>
            <w:vAlign w:val="center"/>
          </w:tcPr>
          <w:p w14:paraId="3ED077DD">
            <w:pPr>
              <w:jc w:val="left"/>
            </w:pPr>
            <w:r>
              <w:rPr>
                <w:kern w:val="0"/>
              </w:rPr>
              <w:t>%</w:t>
            </w:r>
          </w:p>
        </w:tc>
        <w:tc>
          <w:tcPr>
            <w:vAlign w:val="center"/>
          </w:tcPr>
          <w:p w14:paraId="6ACB8BF7">
            <w:pPr>
              <w:jc w:val="center"/>
            </w:pPr>
            <w:r>
              <w:rPr>
                <w:kern w:val="0"/>
              </w:rPr>
              <w:t>97.44%</w:t>
            </w:r>
          </w:p>
        </w:tc>
        <w:tc>
          <w:tcPr>
            <w:vAlign w:val="center"/>
          </w:tcPr>
          <w:p w14:paraId="344DBD06">
            <w:pPr>
              <w:jc w:val="center"/>
            </w:pPr>
            <w:r>
              <w:rPr>
                <w:kern w:val="0"/>
              </w:rPr>
              <w:t>96.14%</w:t>
            </w:r>
          </w:p>
        </w:tc>
        <w:tc>
          <w:tcPr>
            <w:vAlign w:val="center"/>
          </w:tcPr>
          <w:p w14:paraId="3028AA3C">
            <w:pPr>
              <w:jc w:val="center"/>
            </w:pPr>
            <w:r>
              <w:rPr>
                <w:kern w:val="0"/>
              </w:rPr>
              <w:t>1.35%</w:t>
            </w:r>
          </w:p>
        </w:tc>
      </w:tr>
    </w:tbl>
    <w:p w14:paraId="225718A0">
      <w:pPr>
        <w:spacing w:line="360" w:lineRule="auto"/>
        <w:jc w:val="left"/>
      </w:pPr>
      <w:r>
        <w:rPr>
          <w:rFonts w:hint="eastAsia"/>
        </w:rPr>
        <w:t>不动产</w:t>
      </w:r>
      <w:r>
        <w:t>项目名称：2 万融大厦</w:t>
      </w:r>
    </w:p>
    <w:tbl>
      <w:tblPr>
        <w:tblStyle w:val="40"/>
        <w:tblW w:w="507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318"/>
        <w:gridCol w:w="1586"/>
        <w:gridCol w:w="1332"/>
        <w:gridCol w:w="1401"/>
        <w:gridCol w:w="1268"/>
        <w:gridCol w:w="887"/>
      </w:tblGrid>
      <w:tr w14:paraId="1FAA8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495" w:type="pct"/>
            <w:vAlign w:val="center"/>
          </w:tcPr>
          <w:p w14:paraId="0C6DE6FA">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762" w:type="pct"/>
            <w:vAlign w:val="center"/>
          </w:tcPr>
          <w:p w14:paraId="6F42C1F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917" w:type="pct"/>
            <w:vAlign w:val="center"/>
          </w:tcPr>
          <w:p w14:paraId="6F17DC9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指标含义说明及计算公式</w:t>
            </w:r>
          </w:p>
        </w:tc>
        <w:tc>
          <w:tcPr>
            <w:tcW w:w="770" w:type="pct"/>
            <w:vAlign w:val="center"/>
          </w:tcPr>
          <w:p w14:paraId="0176B88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810" w:type="pct"/>
            <w:noWrap/>
            <w:vAlign w:val="center"/>
          </w:tcPr>
          <w:p w14:paraId="42917F3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本期（2026年1月1日-2026年6月30日）/报告期末（2026年6月30日）</w:t>
            </w:r>
          </w:p>
        </w:tc>
        <w:tc>
          <w:tcPr>
            <w:tcW w:w="733" w:type="pct"/>
            <w:noWrap/>
            <w:vAlign w:val="center"/>
          </w:tcPr>
          <w:p w14:paraId="62C9291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上年同期（2025年1月1日-2025年6月30日）/上年同期末（2025年6月30日）</w:t>
            </w:r>
          </w:p>
        </w:tc>
        <w:tc>
          <w:tcPr>
            <w:tcW w:w="512" w:type="pct"/>
            <w:noWrap/>
            <w:vAlign w:val="center"/>
          </w:tcPr>
          <w:p w14:paraId="5A3ADFDA">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同比（%）</w:t>
            </w:r>
          </w:p>
        </w:tc>
      </w:tr>
      <w:tr w14:paraId="115D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A546E56">
            <w:pPr>
              <w:jc w:val="left"/>
            </w:pPr>
            <w:r>
              <w:rPr>
                <w:kern w:val="0"/>
              </w:rPr>
              <w:t>1</w:t>
            </w:r>
          </w:p>
        </w:tc>
        <w:tc>
          <w:tcPr>
            <w:vAlign w:val="center"/>
          </w:tcPr>
          <w:p w14:paraId="06C9383C">
            <w:pPr>
              <w:jc w:val="left"/>
            </w:pPr>
            <w:r>
              <w:rPr>
                <w:kern w:val="0"/>
              </w:rPr>
              <w:t>报告期末可出租面积</w:t>
            </w:r>
          </w:p>
        </w:tc>
        <w:tc>
          <w:tcPr>
            <w:vAlign w:val="center"/>
          </w:tcPr>
          <w:p w14:paraId="3AECEF7F">
            <w:pPr>
              <w:jc w:val="left"/>
            </w:pPr>
            <w:r>
              <w:rPr>
                <w:kern w:val="0"/>
              </w:rPr>
              <w:t>报告期末可出租面积</w:t>
            </w:r>
          </w:p>
        </w:tc>
        <w:tc>
          <w:tcPr>
            <w:vAlign w:val="center"/>
          </w:tcPr>
          <w:p w14:paraId="313EC3E1">
            <w:pPr>
              <w:jc w:val="left"/>
            </w:pPr>
            <w:r>
              <w:rPr>
                <w:kern w:val="0"/>
              </w:rPr>
              <w:t>平方米</w:t>
            </w:r>
          </w:p>
        </w:tc>
        <w:tc>
          <w:tcPr>
            <w:vAlign w:val="center"/>
          </w:tcPr>
          <w:p w14:paraId="2CC8291C">
            <w:pPr>
              <w:jc w:val="center"/>
            </w:pPr>
            <w:r>
              <w:rPr>
                <w:kern w:val="0"/>
              </w:rPr>
              <w:t>41,571.44</w:t>
            </w:r>
          </w:p>
        </w:tc>
        <w:tc>
          <w:tcPr>
            <w:vAlign w:val="center"/>
          </w:tcPr>
          <w:p w14:paraId="34FC3C08">
            <w:pPr>
              <w:jc w:val="center"/>
            </w:pPr>
            <w:r>
              <w:rPr>
                <w:kern w:val="0"/>
              </w:rPr>
              <w:t>41,417.87</w:t>
            </w:r>
          </w:p>
        </w:tc>
        <w:tc>
          <w:tcPr>
            <w:vAlign w:val="center"/>
          </w:tcPr>
          <w:p w14:paraId="5982F594">
            <w:pPr>
              <w:jc w:val="center"/>
            </w:pPr>
            <w:r>
              <w:rPr>
                <w:kern w:val="0"/>
              </w:rPr>
              <w:t>0.37%</w:t>
            </w:r>
          </w:p>
        </w:tc>
      </w:tr>
      <w:tr w14:paraId="0CA5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4891C16">
            <w:pPr>
              <w:jc w:val="left"/>
            </w:pPr>
            <w:r>
              <w:rPr>
                <w:kern w:val="0"/>
              </w:rPr>
              <w:t>2</w:t>
            </w:r>
          </w:p>
        </w:tc>
        <w:tc>
          <w:tcPr>
            <w:vAlign w:val="center"/>
          </w:tcPr>
          <w:p w14:paraId="144CBBFD">
            <w:pPr>
              <w:jc w:val="left"/>
            </w:pPr>
            <w:r>
              <w:rPr>
                <w:kern w:val="0"/>
              </w:rPr>
              <w:t>报告期末实际出租面积</w:t>
            </w:r>
          </w:p>
        </w:tc>
        <w:tc>
          <w:tcPr>
            <w:vAlign w:val="center"/>
          </w:tcPr>
          <w:p w14:paraId="7E492448">
            <w:pPr>
              <w:jc w:val="left"/>
            </w:pPr>
            <w:r>
              <w:rPr>
                <w:kern w:val="0"/>
              </w:rPr>
              <w:t>报告期末实际出租面积</w:t>
            </w:r>
          </w:p>
        </w:tc>
        <w:tc>
          <w:tcPr>
            <w:vAlign w:val="center"/>
          </w:tcPr>
          <w:p w14:paraId="29DC551A">
            <w:pPr>
              <w:jc w:val="left"/>
            </w:pPr>
            <w:r>
              <w:rPr>
                <w:kern w:val="0"/>
              </w:rPr>
              <w:t>平方米</w:t>
            </w:r>
          </w:p>
        </w:tc>
        <w:tc>
          <w:tcPr>
            <w:vAlign w:val="center"/>
          </w:tcPr>
          <w:p w14:paraId="0BF3BDDA">
            <w:pPr>
              <w:jc w:val="center"/>
            </w:pPr>
            <w:r>
              <w:rPr>
                <w:kern w:val="0"/>
              </w:rPr>
              <w:t>32,886.07</w:t>
            </w:r>
          </w:p>
        </w:tc>
        <w:tc>
          <w:tcPr>
            <w:vAlign w:val="center"/>
          </w:tcPr>
          <w:p w14:paraId="773799D7">
            <w:pPr>
              <w:jc w:val="center"/>
            </w:pPr>
            <w:r>
              <w:rPr>
                <w:kern w:val="0"/>
              </w:rPr>
              <w:t>34,928.66</w:t>
            </w:r>
          </w:p>
        </w:tc>
        <w:tc>
          <w:tcPr>
            <w:vAlign w:val="center"/>
          </w:tcPr>
          <w:p w14:paraId="46FD31DC">
            <w:pPr>
              <w:jc w:val="center"/>
            </w:pPr>
            <w:r>
              <w:rPr>
                <w:kern w:val="0"/>
              </w:rPr>
              <w:t>-5.85%</w:t>
            </w:r>
          </w:p>
        </w:tc>
      </w:tr>
      <w:tr w14:paraId="4BA0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8520B74">
            <w:pPr>
              <w:jc w:val="left"/>
            </w:pPr>
            <w:r>
              <w:rPr>
                <w:kern w:val="0"/>
              </w:rPr>
              <w:t>3</w:t>
            </w:r>
          </w:p>
        </w:tc>
        <w:tc>
          <w:tcPr>
            <w:vAlign w:val="center"/>
          </w:tcPr>
          <w:p w14:paraId="7FA30936">
            <w:pPr>
              <w:jc w:val="left"/>
            </w:pPr>
            <w:r>
              <w:rPr>
                <w:kern w:val="0"/>
              </w:rPr>
              <w:t>报告期末出租率</w:t>
            </w:r>
          </w:p>
        </w:tc>
        <w:tc>
          <w:tcPr>
            <w:vAlign w:val="center"/>
          </w:tcPr>
          <w:p w14:paraId="1530E931">
            <w:pPr>
              <w:jc w:val="left"/>
            </w:pPr>
            <w:r>
              <w:rPr>
                <w:kern w:val="0"/>
              </w:rPr>
              <w:t>报告期末实际出租面积/报告期末可出租面积</w:t>
            </w:r>
          </w:p>
        </w:tc>
        <w:tc>
          <w:tcPr>
            <w:vAlign w:val="center"/>
          </w:tcPr>
          <w:p w14:paraId="273D3AA8">
            <w:pPr>
              <w:jc w:val="left"/>
            </w:pPr>
            <w:r>
              <w:rPr>
                <w:kern w:val="0"/>
              </w:rPr>
              <w:t>%</w:t>
            </w:r>
          </w:p>
        </w:tc>
        <w:tc>
          <w:tcPr>
            <w:vAlign w:val="center"/>
          </w:tcPr>
          <w:p w14:paraId="230CFA49">
            <w:pPr>
              <w:jc w:val="center"/>
            </w:pPr>
            <w:r>
              <w:rPr>
                <w:kern w:val="0"/>
              </w:rPr>
              <w:t>79.11%</w:t>
            </w:r>
          </w:p>
        </w:tc>
        <w:tc>
          <w:tcPr>
            <w:vAlign w:val="center"/>
          </w:tcPr>
          <w:p w14:paraId="70C7659F">
            <w:pPr>
              <w:jc w:val="center"/>
            </w:pPr>
            <w:r>
              <w:rPr>
                <w:kern w:val="0"/>
              </w:rPr>
              <w:t>84.33%</w:t>
            </w:r>
          </w:p>
        </w:tc>
        <w:tc>
          <w:tcPr>
            <w:vAlign w:val="center"/>
          </w:tcPr>
          <w:p w14:paraId="519AF1F1">
            <w:pPr>
              <w:jc w:val="center"/>
            </w:pPr>
            <w:r>
              <w:rPr>
                <w:kern w:val="0"/>
              </w:rPr>
              <w:t>-6.19%</w:t>
            </w:r>
          </w:p>
        </w:tc>
      </w:tr>
      <w:tr w14:paraId="0D800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CAE5877">
            <w:pPr>
              <w:jc w:val="left"/>
            </w:pPr>
            <w:r>
              <w:rPr>
                <w:kern w:val="0"/>
              </w:rPr>
              <w:t>4</w:t>
            </w:r>
          </w:p>
        </w:tc>
        <w:tc>
          <w:tcPr>
            <w:vAlign w:val="center"/>
          </w:tcPr>
          <w:p w14:paraId="63464D33">
            <w:pPr>
              <w:jc w:val="left"/>
            </w:pPr>
            <w:r>
              <w:rPr>
                <w:kern w:val="0"/>
              </w:rPr>
              <w:t>平均出租率</w:t>
            </w:r>
          </w:p>
        </w:tc>
        <w:tc>
          <w:tcPr>
            <w:vAlign w:val="center"/>
          </w:tcPr>
          <w:p w14:paraId="05D60AA2">
            <w:pPr>
              <w:jc w:val="left"/>
            </w:pPr>
            <w:r>
              <w:rPr>
                <w:kern w:val="0"/>
              </w:rPr>
              <w:t>各月末平均实际出租面积/平均可出租面积</w:t>
            </w:r>
          </w:p>
        </w:tc>
        <w:tc>
          <w:tcPr>
            <w:vAlign w:val="center"/>
          </w:tcPr>
          <w:p w14:paraId="7B772410">
            <w:pPr>
              <w:jc w:val="left"/>
            </w:pPr>
            <w:r>
              <w:rPr>
                <w:kern w:val="0"/>
              </w:rPr>
              <w:t>%</w:t>
            </w:r>
          </w:p>
        </w:tc>
        <w:tc>
          <w:tcPr>
            <w:vAlign w:val="center"/>
          </w:tcPr>
          <w:p w14:paraId="11F7C686">
            <w:pPr>
              <w:jc w:val="center"/>
            </w:pPr>
            <w:r>
              <w:rPr>
                <w:kern w:val="0"/>
              </w:rPr>
              <w:t>80.81%</w:t>
            </w:r>
          </w:p>
        </w:tc>
        <w:tc>
          <w:tcPr>
            <w:vAlign w:val="center"/>
          </w:tcPr>
          <w:p w14:paraId="35800B7E">
            <w:pPr>
              <w:jc w:val="center"/>
            </w:pPr>
            <w:r>
              <w:rPr>
                <w:kern w:val="0"/>
              </w:rPr>
              <w:t>85.36%</w:t>
            </w:r>
          </w:p>
        </w:tc>
        <w:tc>
          <w:tcPr>
            <w:vAlign w:val="center"/>
          </w:tcPr>
          <w:p w14:paraId="46DA6AF8">
            <w:pPr>
              <w:jc w:val="center"/>
            </w:pPr>
            <w:r>
              <w:rPr>
                <w:kern w:val="0"/>
              </w:rPr>
              <w:t>-5.33%</w:t>
            </w:r>
          </w:p>
        </w:tc>
      </w:tr>
      <w:tr w14:paraId="15D79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1C942FD">
            <w:pPr>
              <w:jc w:val="left"/>
            </w:pPr>
            <w:r>
              <w:rPr>
                <w:kern w:val="0"/>
              </w:rPr>
              <w:t>5</w:t>
            </w:r>
          </w:p>
        </w:tc>
        <w:tc>
          <w:tcPr>
            <w:vAlign w:val="center"/>
          </w:tcPr>
          <w:p w14:paraId="02BE6357">
            <w:pPr>
              <w:jc w:val="left"/>
            </w:pPr>
            <w:r>
              <w:rPr>
                <w:kern w:val="0"/>
              </w:rPr>
              <w:t>平均月租金</w:t>
            </w:r>
          </w:p>
        </w:tc>
        <w:tc>
          <w:tcPr>
            <w:vAlign w:val="center"/>
          </w:tcPr>
          <w:p w14:paraId="5E926845">
            <w:pPr>
              <w:jc w:val="left"/>
            </w:pPr>
            <w:r>
              <w:rPr>
                <w:kern w:val="0"/>
              </w:rPr>
              <w:t>报告期内月均有效租金单价（含税）</w:t>
            </w:r>
          </w:p>
        </w:tc>
        <w:tc>
          <w:tcPr>
            <w:vAlign w:val="center"/>
          </w:tcPr>
          <w:p w14:paraId="2DFACE9D">
            <w:pPr>
              <w:jc w:val="left"/>
            </w:pPr>
            <w:r>
              <w:rPr>
                <w:kern w:val="0"/>
              </w:rPr>
              <w:t>元/平方米</w:t>
            </w:r>
          </w:p>
        </w:tc>
        <w:tc>
          <w:tcPr>
            <w:vAlign w:val="center"/>
          </w:tcPr>
          <w:p w14:paraId="56A92008">
            <w:pPr>
              <w:jc w:val="center"/>
            </w:pPr>
            <w:r>
              <w:rPr>
                <w:kern w:val="0"/>
              </w:rPr>
              <w:t>102.60</w:t>
            </w:r>
          </w:p>
        </w:tc>
        <w:tc>
          <w:tcPr>
            <w:vAlign w:val="center"/>
          </w:tcPr>
          <w:p w14:paraId="6F5B6969">
            <w:pPr>
              <w:jc w:val="center"/>
            </w:pPr>
            <w:r>
              <w:rPr>
                <w:kern w:val="0"/>
              </w:rPr>
              <w:t>108.04</w:t>
            </w:r>
          </w:p>
        </w:tc>
        <w:tc>
          <w:tcPr>
            <w:vAlign w:val="center"/>
          </w:tcPr>
          <w:p w14:paraId="0EEFE0CA">
            <w:pPr>
              <w:jc w:val="center"/>
            </w:pPr>
            <w:r>
              <w:rPr>
                <w:kern w:val="0"/>
              </w:rPr>
              <w:t>-5.04%</w:t>
            </w:r>
          </w:p>
        </w:tc>
      </w:tr>
      <w:tr w14:paraId="4701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2553F8F">
            <w:pPr>
              <w:jc w:val="left"/>
            </w:pPr>
            <w:r>
              <w:rPr>
                <w:kern w:val="0"/>
              </w:rPr>
              <w:t>6</w:t>
            </w:r>
          </w:p>
        </w:tc>
        <w:tc>
          <w:tcPr>
            <w:vAlign w:val="center"/>
          </w:tcPr>
          <w:p w14:paraId="5FACCA46">
            <w:pPr>
              <w:jc w:val="left"/>
            </w:pPr>
            <w:r>
              <w:rPr>
                <w:kern w:val="0"/>
              </w:rPr>
              <w:t>报告期末加权平均剩余租期</w:t>
            </w:r>
          </w:p>
        </w:tc>
        <w:tc>
          <w:tcPr>
            <w:vAlign w:val="center"/>
          </w:tcPr>
          <w:p w14:paraId="25355028">
            <w:pPr>
              <w:jc w:val="left"/>
            </w:pPr>
            <w:r>
              <w:rPr>
                <w:kern w:val="0"/>
              </w:rPr>
              <w:t>（各租约剩余租期*租约面积之和）/租约总面积</w:t>
            </w:r>
          </w:p>
        </w:tc>
        <w:tc>
          <w:tcPr>
            <w:vAlign w:val="center"/>
          </w:tcPr>
          <w:p w14:paraId="7F258577">
            <w:pPr>
              <w:jc w:val="left"/>
            </w:pPr>
            <w:r>
              <w:rPr>
                <w:kern w:val="0"/>
              </w:rPr>
              <w:t>天（取整）</w:t>
            </w:r>
          </w:p>
        </w:tc>
        <w:tc>
          <w:tcPr>
            <w:vAlign w:val="center"/>
          </w:tcPr>
          <w:p w14:paraId="47515340">
            <w:pPr>
              <w:jc w:val="center"/>
            </w:pPr>
            <w:r>
              <w:rPr>
                <w:kern w:val="0"/>
              </w:rPr>
              <w:t>664.00</w:t>
            </w:r>
          </w:p>
        </w:tc>
        <w:tc>
          <w:tcPr>
            <w:vAlign w:val="center"/>
          </w:tcPr>
          <w:p w14:paraId="6FD63973">
            <w:pPr>
              <w:jc w:val="center"/>
            </w:pPr>
            <w:r>
              <w:rPr>
                <w:kern w:val="0"/>
              </w:rPr>
              <w:t>711.00</w:t>
            </w:r>
          </w:p>
        </w:tc>
        <w:tc>
          <w:tcPr>
            <w:vAlign w:val="center"/>
          </w:tcPr>
          <w:p w14:paraId="12BCAD75">
            <w:pPr>
              <w:jc w:val="center"/>
            </w:pPr>
            <w:r>
              <w:rPr>
                <w:kern w:val="0"/>
              </w:rPr>
              <w:t>-6.61%</w:t>
            </w:r>
          </w:p>
        </w:tc>
      </w:tr>
      <w:tr w14:paraId="16499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EBD6B08">
            <w:pPr>
              <w:jc w:val="left"/>
            </w:pPr>
            <w:r>
              <w:rPr>
                <w:kern w:val="0"/>
              </w:rPr>
              <w:t>7</w:t>
            </w:r>
          </w:p>
        </w:tc>
        <w:tc>
          <w:tcPr>
            <w:vAlign w:val="center"/>
          </w:tcPr>
          <w:p w14:paraId="44EC8297">
            <w:pPr>
              <w:jc w:val="left"/>
            </w:pPr>
            <w:r>
              <w:rPr>
                <w:kern w:val="0"/>
              </w:rPr>
              <w:t>当期租金收缴率</w:t>
            </w:r>
          </w:p>
        </w:tc>
        <w:tc>
          <w:tcPr>
            <w:vAlign w:val="center"/>
          </w:tcPr>
          <w:p w14:paraId="3BBC2D07">
            <w:pPr>
              <w:jc w:val="left"/>
            </w:pPr>
            <w:r>
              <w:rPr>
                <w:kern w:val="0"/>
              </w:rPr>
              <w:t>1-本期末欠款/本年累计收入年化</w:t>
            </w:r>
          </w:p>
        </w:tc>
        <w:tc>
          <w:tcPr>
            <w:vAlign w:val="center"/>
          </w:tcPr>
          <w:p w14:paraId="6943E098">
            <w:pPr>
              <w:jc w:val="left"/>
            </w:pPr>
            <w:r>
              <w:rPr>
                <w:kern w:val="0"/>
              </w:rPr>
              <w:t>%</w:t>
            </w:r>
          </w:p>
        </w:tc>
        <w:tc>
          <w:tcPr>
            <w:vAlign w:val="center"/>
          </w:tcPr>
          <w:p w14:paraId="32630C9B">
            <w:pPr>
              <w:jc w:val="center"/>
            </w:pPr>
            <w:r>
              <w:rPr>
                <w:kern w:val="0"/>
              </w:rPr>
              <w:t>96.79%</w:t>
            </w:r>
          </w:p>
        </w:tc>
        <w:tc>
          <w:tcPr>
            <w:vAlign w:val="center"/>
          </w:tcPr>
          <w:p w14:paraId="58399FEA">
            <w:pPr>
              <w:jc w:val="center"/>
            </w:pPr>
            <w:r>
              <w:rPr>
                <w:kern w:val="0"/>
              </w:rPr>
              <w:t>94.67%</w:t>
            </w:r>
          </w:p>
        </w:tc>
        <w:tc>
          <w:tcPr>
            <w:vAlign w:val="center"/>
          </w:tcPr>
          <w:p w14:paraId="6AC94CDA">
            <w:pPr>
              <w:jc w:val="center"/>
            </w:pPr>
            <w:r>
              <w:rPr>
                <w:kern w:val="0"/>
              </w:rPr>
              <w:t>2.24%</w:t>
            </w:r>
          </w:p>
        </w:tc>
      </w:tr>
    </w:tbl>
    <w:p w14:paraId="4EAF6801">
      <w:pPr>
        <w:spacing w:line="360" w:lineRule="auto"/>
        <w:ind w:firstLine="420" w:firstLineChars="200"/>
      </w:pPr>
      <w:r>
        <w:t>注：万融大厦上半年出租率有所下滑，主要原因系有2个整层客户退租。基金管理人及运营管理机构对季末出租率情况高度重视，将积极采取大改小的方式灵活适配市场需求、提高招商人员考核权重等措施提升出租率。基金管理人将协同运管机构持续跟进，加大力度转换意向储备客户。</w:t>
      </w:r>
    </w:p>
    <w:p w14:paraId="3A35CA4D">
      <w:pPr>
        <w:spacing w:line="360" w:lineRule="auto"/>
        <w:jc w:val="left"/>
      </w:pPr>
      <w:r>
        <w:rPr>
          <w:rFonts w:hint="eastAsia"/>
        </w:rPr>
        <w:t>不动产</w:t>
      </w:r>
      <w:r>
        <w:t>项目名称：3 光明加速器二期项目</w:t>
      </w:r>
    </w:p>
    <w:tbl>
      <w:tblPr>
        <w:tblStyle w:val="40"/>
        <w:tblW w:w="5071"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318"/>
        <w:gridCol w:w="1586"/>
        <w:gridCol w:w="1332"/>
        <w:gridCol w:w="1401"/>
        <w:gridCol w:w="1268"/>
        <w:gridCol w:w="887"/>
      </w:tblGrid>
      <w:tr w14:paraId="601E5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495" w:type="pct"/>
            <w:vAlign w:val="center"/>
          </w:tcPr>
          <w:p w14:paraId="3662D6B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762" w:type="pct"/>
            <w:vAlign w:val="center"/>
          </w:tcPr>
          <w:p w14:paraId="08D3242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917" w:type="pct"/>
            <w:vAlign w:val="center"/>
          </w:tcPr>
          <w:p w14:paraId="271E126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指标含义说明及计算公式</w:t>
            </w:r>
          </w:p>
        </w:tc>
        <w:tc>
          <w:tcPr>
            <w:tcW w:w="770" w:type="pct"/>
            <w:vAlign w:val="center"/>
          </w:tcPr>
          <w:p w14:paraId="47B4E264">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810" w:type="pct"/>
            <w:noWrap/>
            <w:vAlign w:val="center"/>
          </w:tcPr>
          <w:p w14:paraId="015E0287">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本期（2026年1月1日-2026年6月30日）/报告期末（2026年6月30日）</w:t>
            </w:r>
          </w:p>
        </w:tc>
        <w:tc>
          <w:tcPr>
            <w:tcW w:w="733" w:type="pct"/>
            <w:noWrap/>
            <w:vAlign w:val="center"/>
          </w:tcPr>
          <w:p w14:paraId="0E93B39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上年同期（2025年1月1日-2025年6月30日）/上年同期末（2025年6月30日）</w:t>
            </w:r>
          </w:p>
        </w:tc>
        <w:tc>
          <w:tcPr>
            <w:tcW w:w="512" w:type="pct"/>
            <w:noWrap/>
            <w:vAlign w:val="center"/>
          </w:tcPr>
          <w:p w14:paraId="535E34D9">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同比（%）</w:t>
            </w:r>
          </w:p>
        </w:tc>
      </w:tr>
      <w:tr w14:paraId="0A44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84CD06D">
            <w:pPr>
              <w:jc w:val="left"/>
            </w:pPr>
            <w:r>
              <w:rPr>
                <w:kern w:val="0"/>
              </w:rPr>
              <w:t>1</w:t>
            </w:r>
          </w:p>
        </w:tc>
        <w:tc>
          <w:tcPr>
            <w:vAlign w:val="center"/>
          </w:tcPr>
          <w:p w14:paraId="16DD8F85">
            <w:pPr>
              <w:jc w:val="left"/>
            </w:pPr>
            <w:r>
              <w:rPr>
                <w:kern w:val="0"/>
              </w:rPr>
              <w:t>报告期末可出租面积</w:t>
            </w:r>
          </w:p>
        </w:tc>
        <w:tc>
          <w:tcPr>
            <w:vAlign w:val="center"/>
          </w:tcPr>
          <w:p w14:paraId="76B97C49">
            <w:pPr>
              <w:jc w:val="left"/>
            </w:pPr>
            <w:r>
              <w:rPr>
                <w:kern w:val="0"/>
              </w:rPr>
              <w:t>报告期末可出租面积</w:t>
            </w:r>
          </w:p>
        </w:tc>
        <w:tc>
          <w:tcPr>
            <w:vAlign w:val="center"/>
          </w:tcPr>
          <w:p w14:paraId="6CAF7BBE">
            <w:pPr>
              <w:jc w:val="left"/>
            </w:pPr>
            <w:r>
              <w:rPr>
                <w:kern w:val="0"/>
              </w:rPr>
              <w:t>平方米</w:t>
            </w:r>
          </w:p>
        </w:tc>
        <w:tc>
          <w:tcPr>
            <w:vAlign w:val="center"/>
          </w:tcPr>
          <w:p w14:paraId="141D41CE">
            <w:pPr>
              <w:jc w:val="center"/>
            </w:pPr>
            <w:r>
              <w:rPr>
                <w:kern w:val="0"/>
              </w:rPr>
              <w:t>110,694.47</w:t>
            </w:r>
          </w:p>
        </w:tc>
        <w:tc>
          <w:tcPr>
            <w:vAlign w:val="center"/>
          </w:tcPr>
          <w:p w14:paraId="5DB93C5D">
            <w:pPr>
              <w:jc w:val="center"/>
            </w:pPr>
            <w:r>
              <w:rPr>
                <w:kern w:val="0"/>
              </w:rPr>
              <w:t>110,694.47</w:t>
            </w:r>
          </w:p>
        </w:tc>
        <w:tc>
          <w:tcPr>
            <w:vAlign w:val="center"/>
          </w:tcPr>
          <w:p w14:paraId="3D8C0FE9">
            <w:pPr>
              <w:jc w:val="center"/>
            </w:pPr>
            <w:r>
              <w:rPr>
                <w:kern w:val="0"/>
              </w:rPr>
              <w:t>0.00%</w:t>
            </w:r>
          </w:p>
        </w:tc>
      </w:tr>
      <w:tr w14:paraId="0AAE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2676EE1">
            <w:pPr>
              <w:jc w:val="left"/>
            </w:pPr>
            <w:r>
              <w:rPr>
                <w:kern w:val="0"/>
              </w:rPr>
              <w:t>2</w:t>
            </w:r>
          </w:p>
        </w:tc>
        <w:tc>
          <w:tcPr>
            <w:vAlign w:val="center"/>
          </w:tcPr>
          <w:p w14:paraId="6345C3C4">
            <w:pPr>
              <w:jc w:val="left"/>
            </w:pPr>
            <w:r>
              <w:rPr>
                <w:kern w:val="0"/>
              </w:rPr>
              <w:t>报告期末实际出租面积</w:t>
            </w:r>
          </w:p>
        </w:tc>
        <w:tc>
          <w:tcPr>
            <w:vAlign w:val="center"/>
          </w:tcPr>
          <w:p w14:paraId="60A17550">
            <w:pPr>
              <w:jc w:val="left"/>
            </w:pPr>
            <w:r>
              <w:rPr>
                <w:kern w:val="0"/>
              </w:rPr>
              <w:t>报告期末实际出租面积</w:t>
            </w:r>
          </w:p>
        </w:tc>
        <w:tc>
          <w:tcPr>
            <w:vAlign w:val="center"/>
          </w:tcPr>
          <w:p w14:paraId="2077978F">
            <w:pPr>
              <w:jc w:val="left"/>
            </w:pPr>
            <w:r>
              <w:rPr>
                <w:kern w:val="0"/>
              </w:rPr>
              <w:t>平方米</w:t>
            </w:r>
          </w:p>
        </w:tc>
        <w:tc>
          <w:tcPr>
            <w:vAlign w:val="center"/>
          </w:tcPr>
          <w:p w14:paraId="3DA72D5F">
            <w:pPr>
              <w:jc w:val="center"/>
            </w:pPr>
            <w:r>
              <w:rPr>
                <w:kern w:val="0"/>
              </w:rPr>
              <w:t>93,279.67</w:t>
            </w:r>
          </w:p>
        </w:tc>
        <w:tc>
          <w:tcPr>
            <w:vAlign w:val="center"/>
          </w:tcPr>
          <w:p w14:paraId="6F59D306">
            <w:pPr>
              <w:jc w:val="center"/>
            </w:pPr>
            <w:r>
              <w:rPr>
                <w:kern w:val="0"/>
              </w:rPr>
              <w:t>92,682.15</w:t>
            </w:r>
          </w:p>
        </w:tc>
        <w:tc>
          <w:tcPr>
            <w:vAlign w:val="center"/>
          </w:tcPr>
          <w:p w14:paraId="2EA2B8EC">
            <w:pPr>
              <w:jc w:val="center"/>
            </w:pPr>
            <w:r>
              <w:rPr>
                <w:kern w:val="0"/>
              </w:rPr>
              <w:t>0.64%</w:t>
            </w:r>
          </w:p>
        </w:tc>
      </w:tr>
      <w:tr w14:paraId="0A3D5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82E5AB5">
            <w:pPr>
              <w:jc w:val="left"/>
            </w:pPr>
            <w:r>
              <w:rPr>
                <w:kern w:val="0"/>
              </w:rPr>
              <w:t>3</w:t>
            </w:r>
          </w:p>
        </w:tc>
        <w:tc>
          <w:tcPr>
            <w:vAlign w:val="center"/>
          </w:tcPr>
          <w:p w14:paraId="4406532D">
            <w:pPr>
              <w:jc w:val="left"/>
            </w:pPr>
            <w:r>
              <w:rPr>
                <w:kern w:val="0"/>
              </w:rPr>
              <w:t>报告期末出租率</w:t>
            </w:r>
          </w:p>
        </w:tc>
        <w:tc>
          <w:tcPr>
            <w:vAlign w:val="center"/>
          </w:tcPr>
          <w:p w14:paraId="6E85DE6C">
            <w:pPr>
              <w:jc w:val="left"/>
            </w:pPr>
            <w:r>
              <w:rPr>
                <w:kern w:val="0"/>
              </w:rPr>
              <w:t>报告期末实际出租面积/报告期末可出租面积</w:t>
            </w:r>
          </w:p>
        </w:tc>
        <w:tc>
          <w:tcPr>
            <w:vAlign w:val="center"/>
          </w:tcPr>
          <w:p w14:paraId="473D4472">
            <w:pPr>
              <w:jc w:val="left"/>
            </w:pPr>
            <w:r>
              <w:rPr>
                <w:kern w:val="0"/>
              </w:rPr>
              <w:t>%</w:t>
            </w:r>
          </w:p>
        </w:tc>
        <w:tc>
          <w:tcPr>
            <w:vAlign w:val="center"/>
          </w:tcPr>
          <w:p w14:paraId="3611C7D6">
            <w:pPr>
              <w:jc w:val="center"/>
            </w:pPr>
            <w:r>
              <w:rPr>
                <w:kern w:val="0"/>
              </w:rPr>
              <w:t>84.27%</w:t>
            </w:r>
          </w:p>
        </w:tc>
        <w:tc>
          <w:tcPr>
            <w:vAlign w:val="center"/>
          </w:tcPr>
          <w:p w14:paraId="11053068">
            <w:pPr>
              <w:jc w:val="center"/>
            </w:pPr>
            <w:r>
              <w:rPr>
                <w:kern w:val="0"/>
              </w:rPr>
              <w:t>83.73%</w:t>
            </w:r>
          </w:p>
        </w:tc>
        <w:tc>
          <w:tcPr>
            <w:vAlign w:val="center"/>
          </w:tcPr>
          <w:p w14:paraId="247A66A4">
            <w:pPr>
              <w:jc w:val="center"/>
            </w:pPr>
            <w:r>
              <w:rPr>
                <w:kern w:val="0"/>
              </w:rPr>
              <w:t>0.64%</w:t>
            </w:r>
          </w:p>
        </w:tc>
      </w:tr>
      <w:tr w14:paraId="06CD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2A7A9F8">
            <w:pPr>
              <w:jc w:val="left"/>
            </w:pPr>
            <w:r>
              <w:rPr>
                <w:kern w:val="0"/>
              </w:rPr>
              <w:t>4</w:t>
            </w:r>
          </w:p>
        </w:tc>
        <w:tc>
          <w:tcPr>
            <w:vAlign w:val="center"/>
          </w:tcPr>
          <w:p w14:paraId="61E924ED">
            <w:pPr>
              <w:jc w:val="left"/>
            </w:pPr>
            <w:r>
              <w:rPr>
                <w:kern w:val="0"/>
              </w:rPr>
              <w:t>平均出租率</w:t>
            </w:r>
          </w:p>
        </w:tc>
        <w:tc>
          <w:tcPr>
            <w:vAlign w:val="center"/>
          </w:tcPr>
          <w:p w14:paraId="43FF534F">
            <w:pPr>
              <w:jc w:val="left"/>
            </w:pPr>
            <w:r>
              <w:rPr>
                <w:kern w:val="0"/>
              </w:rPr>
              <w:t>各月末平均实际出租面积/平均可出租面积</w:t>
            </w:r>
          </w:p>
        </w:tc>
        <w:tc>
          <w:tcPr>
            <w:vAlign w:val="center"/>
          </w:tcPr>
          <w:p w14:paraId="4D621014">
            <w:pPr>
              <w:jc w:val="left"/>
            </w:pPr>
            <w:r>
              <w:rPr>
                <w:kern w:val="0"/>
              </w:rPr>
              <w:t>%</w:t>
            </w:r>
          </w:p>
        </w:tc>
        <w:tc>
          <w:tcPr>
            <w:vAlign w:val="center"/>
          </w:tcPr>
          <w:p w14:paraId="23BCC9C0">
            <w:pPr>
              <w:jc w:val="center"/>
            </w:pPr>
            <w:r>
              <w:rPr>
                <w:kern w:val="0"/>
              </w:rPr>
              <w:t>87.10%</w:t>
            </w:r>
          </w:p>
        </w:tc>
        <w:tc>
          <w:tcPr>
            <w:vAlign w:val="center"/>
          </w:tcPr>
          <w:p w14:paraId="59A90296">
            <w:pPr>
              <w:jc w:val="center"/>
            </w:pPr>
            <w:r>
              <w:rPr>
                <w:kern w:val="0"/>
              </w:rPr>
              <w:t>87.79%</w:t>
            </w:r>
          </w:p>
        </w:tc>
        <w:tc>
          <w:tcPr>
            <w:vAlign w:val="center"/>
          </w:tcPr>
          <w:p w14:paraId="1E710803">
            <w:pPr>
              <w:jc w:val="center"/>
            </w:pPr>
            <w:r>
              <w:rPr>
                <w:kern w:val="0"/>
              </w:rPr>
              <w:t>-0.79%</w:t>
            </w:r>
          </w:p>
        </w:tc>
      </w:tr>
      <w:tr w14:paraId="0732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01B1CC6">
            <w:pPr>
              <w:jc w:val="left"/>
            </w:pPr>
            <w:r>
              <w:rPr>
                <w:kern w:val="0"/>
              </w:rPr>
              <w:t>5</w:t>
            </w:r>
          </w:p>
        </w:tc>
        <w:tc>
          <w:tcPr>
            <w:vAlign w:val="center"/>
          </w:tcPr>
          <w:p w14:paraId="56B36AC7">
            <w:pPr>
              <w:jc w:val="left"/>
            </w:pPr>
            <w:r>
              <w:rPr>
                <w:kern w:val="0"/>
              </w:rPr>
              <w:t>平均月租金（含税）</w:t>
            </w:r>
          </w:p>
        </w:tc>
        <w:tc>
          <w:tcPr>
            <w:vAlign w:val="center"/>
          </w:tcPr>
          <w:p w14:paraId="44DAAD54">
            <w:pPr>
              <w:jc w:val="left"/>
            </w:pPr>
            <w:r>
              <w:rPr>
                <w:kern w:val="0"/>
              </w:rPr>
              <w:t>报告期内月均有效租金单价（含税）</w:t>
            </w:r>
          </w:p>
        </w:tc>
        <w:tc>
          <w:tcPr>
            <w:vAlign w:val="center"/>
          </w:tcPr>
          <w:p w14:paraId="59874D20">
            <w:pPr>
              <w:jc w:val="left"/>
            </w:pPr>
            <w:r>
              <w:rPr>
                <w:kern w:val="0"/>
              </w:rPr>
              <w:t>元/平方米</w:t>
            </w:r>
          </w:p>
        </w:tc>
        <w:tc>
          <w:tcPr>
            <w:vAlign w:val="center"/>
          </w:tcPr>
          <w:p w14:paraId="17C40263">
            <w:pPr>
              <w:jc w:val="center"/>
            </w:pPr>
            <w:r>
              <w:rPr>
                <w:kern w:val="0"/>
              </w:rPr>
              <w:t>45.42</w:t>
            </w:r>
          </w:p>
        </w:tc>
        <w:tc>
          <w:tcPr>
            <w:vAlign w:val="center"/>
          </w:tcPr>
          <w:p w14:paraId="57070F9A">
            <w:pPr>
              <w:jc w:val="center"/>
            </w:pPr>
            <w:r>
              <w:rPr>
                <w:kern w:val="0"/>
              </w:rPr>
              <w:t>53.07</w:t>
            </w:r>
          </w:p>
        </w:tc>
        <w:tc>
          <w:tcPr>
            <w:vAlign w:val="center"/>
          </w:tcPr>
          <w:p w14:paraId="2886B681">
            <w:pPr>
              <w:jc w:val="center"/>
            </w:pPr>
            <w:r>
              <w:rPr>
                <w:kern w:val="0"/>
              </w:rPr>
              <w:t>-14.41%</w:t>
            </w:r>
          </w:p>
        </w:tc>
      </w:tr>
      <w:tr w14:paraId="36C0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EC95F46">
            <w:pPr>
              <w:jc w:val="left"/>
            </w:pPr>
            <w:r>
              <w:rPr>
                <w:kern w:val="0"/>
              </w:rPr>
              <w:t>6</w:t>
            </w:r>
          </w:p>
        </w:tc>
        <w:tc>
          <w:tcPr>
            <w:vAlign w:val="center"/>
          </w:tcPr>
          <w:p w14:paraId="635E0798">
            <w:pPr>
              <w:jc w:val="left"/>
            </w:pPr>
            <w:r>
              <w:rPr>
                <w:kern w:val="0"/>
              </w:rPr>
              <w:t>报告期末加权平均剩余租期</w:t>
            </w:r>
          </w:p>
        </w:tc>
        <w:tc>
          <w:tcPr>
            <w:vAlign w:val="center"/>
          </w:tcPr>
          <w:p w14:paraId="5DE8394C">
            <w:pPr>
              <w:jc w:val="left"/>
            </w:pPr>
            <w:r>
              <w:rPr>
                <w:kern w:val="0"/>
              </w:rPr>
              <w:t>（各租约剩余租期*租约面积之和）/租约总面积</w:t>
            </w:r>
          </w:p>
        </w:tc>
        <w:tc>
          <w:tcPr>
            <w:vAlign w:val="center"/>
          </w:tcPr>
          <w:p w14:paraId="5B6AAEEF">
            <w:pPr>
              <w:jc w:val="left"/>
            </w:pPr>
            <w:r>
              <w:rPr>
                <w:kern w:val="0"/>
              </w:rPr>
              <w:t>天（取整）</w:t>
            </w:r>
          </w:p>
        </w:tc>
        <w:tc>
          <w:tcPr>
            <w:vAlign w:val="center"/>
          </w:tcPr>
          <w:p w14:paraId="08C2F9A1">
            <w:pPr>
              <w:jc w:val="center"/>
            </w:pPr>
            <w:r>
              <w:rPr>
                <w:kern w:val="0"/>
              </w:rPr>
              <w:t>628.00</w:t>
            </w:r>
          </w:p>
        </w:tc>
        <w:tc>
          <w:tcPr>
            <w:vAlign w:val="center"/>
          </w:tcPr>
          <w:p w14:paraId="58EB81B1">
            <w:pPr>
              <w:jc w:val="center"/>
            </w:pPr>
            <w:r>
              <w:rPr>
                <w:kern w:val="0"/>
              </w:rPr>
              <w:t>738.00</w:t>
            </w:r>
          </w:p>
        </w:tc>
        <w:tc>
          <w:tcPr>
            <w:vAlign w:val="center"/>
          </w:tcPr>
          <w:p w14:paraId="36C9F722">
            <w:pPr>
              <w:jc w:val="center"/>
            </w:pPr>
            <w:r>
              <w:rPr>
                <w:kern w:val="0"/>
              </w:rPr>
              <w:t>-14.91%</w:t>
            </w:r>
          </w:p>
        </w:tc>
      </w:tr>
      <w:tr w14:paraId="0D28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A2263E0">
            <w:pPr>
              <w:jc w:val="left"/>
            </w:pPr>
            <w:r>
              <w:rPr>
                <w:kern w:val="0"/>
              </w:rPr>
              <w:t>7</w:t>
            </w:r>
          </w:p>
        </w:tc>
        <w:tc>
          <w:tcPr>
            <w:vAlign w:val="center"/>
          </w:tcPr>
          <w:p w14:paraId="5FCCDFB9">
            <w:pPr>
              <w:jc w:val="left"/>
            </w:pPr>
            <w:r>
              <w:rPr>
                <w:kern w:val="0"/>
              </w:rPr>
              <w:t>当期租金收缴率</w:t>
            </w:r>
          </w:p>
        </w:tc>
        <w:tc>
          <w:tcPr>
            <w:vAlign w:val="center"/>
          </w:tcPr>
          <w:p w14:paraId="78044CDD">
            <w:pPr>
              <w:jc w:val="left"/>
            </w:pPr>
            <w:r>
              <w:rPr>
                <w:kern w:val="0"/>
              </w:rPr>
              <w:t>1-本期末欠款/本年累计收入年化</w:t>
            </w:r>
          </w:p>
        </w:tc>
        <w:tc>
          <w:tcPr>
            <w:vAlign w:val="center"/>
          </w:tcPr>
          <w:p w14:paraId="7A948BBE">
            <w:pPr>
              <w:jc w:val="left"/>
            </w:pPr>
            <w:r>
              <w:rPr>
                <w:kern w:val="0"/>
              </w:rPr>
              <w:t>%</w:t>
            </w:r>
          </w:p>
        </w:tc>
        <w:tc>
          <w:tcPr>
            <w:vAlign w:val="center"/>
          </w:tcPr>
          <w:p w14:paraId="6EE384FA">
            <w:pPr>
              <w:jc w:val="center"/>
            </w:pPr>
            <w:r>
              <w:rPr>
                <w:kern w:val="0"/>
              </w:rPr>
              <w:t>97.05%</w:t>
            </w:r>
          </w:p>
        </w:tc>
        <w:tc>
          <w:tcPr>
            <w:vAlign w:val="center"/>
          </w:tcPr>
          <w:p w14:paraId="0159827F">
            <w:pPr>
              <w:jc w:val="center"/>
            </w:pPr>
            <w:r>
              <w:rPr>
                <w:kern w:val="0"/>
              </w:rPr>
              <w:t>96.91%</w:t>
            </w:r>
          </w:p>
        </w:tc>
        <w:tc>
          <w:tcPr>
            <w:vAlign w:val="center"/>
          </w:tcPr>
          <w:p w14:paraId="3725FAE9">
            <w:pPr>
              <w:jc w:val="center"/>
            </w:pPr>
            <w:r>
              <w:rPr>
                <w:kern w:val="0"/>
              </w:rPr>
              <w:t>0.15%</w:t>
            </w:r>
          </w:p>
        </w:tc>
      </w:tr>
    </w:tbl>
    <w:p w14:paraId="71405BD3">
      <w:pPr>
        <w:autoSpaceDE w:val="0"/>
        <w:autoSpaceDN w:val="0"/>
        <w:adjustRightInd w:val="0"/>
        <w:spacing w:line="360" w:lineRule="auto"/>
        <w:outlineLvl w:val="2"/>
        <w:rPr>
          <w:b/>
          <w:bCs/>
        </w:rPr>
      </w:pPr>
      <w:r>
        <w:rPr>
          <w:b/>
          <w:bCs/>
        </w:rPr>
        <w:t>4.1.4 其他运营情况说明</w:t>
      </w:r>
    </w:p>
    <w:p w14:paraId="363DBECB">
      <w:pPr>
        <w:spacing w:line="360" w:lineRule="auto"/>
        <w:ind w:firstLine="420" w:firstLineChars="200"/>
      </w:pPr>
      <w:r>
        <w:t>截至报告期末，万海大厦租户总租户数量为134户，以新一代信息技术、现代服务业、商业和数字文创行业为主，前述四大行业的租赁面积合计占比89.14%。万融大厦总租户数量为119户，以新一代信息技术、现代服务业、商业和数字文创行业为主，前述四大行业的租赁面积合计占比88.09%。光明加速器二期项目总租户数量为128户，以高端制造业、生物产业、新一代信息技术产业和新材料新能源产业为主，前述四大行业的租赁面积合计占比82.78%。首发及扩募资产租户结构继续保持片区的核心产业集群定位匹配，具有较强的产业集聚性，保障了不动产项目租户的稳定性。</w:t>
      </w:r>
    </w:p>
    <w:p w14:paraId="4D0F9D98">
      <w:pPr>
        <w:spacing w:line="360" w:lineRule="auto"/>
        <w:ind w:firstLine="420" w:firstLineChars="200"/>
      </w:pPr>
      <w:r>
        <w:t>本基金不存在单一客户租金收入占比超过基金总租金收入10%的情况。本报告期内，各基础资产前五大客户的情况如下：</w:t>
      </w:r>
    </w:p>
    <w:tbl>
      <w:tblPr>
        <w:tblStyle w:val="40"/>
        <w:tblW w:w="8718"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427"/>
        <w:gridCol w:w="2468"/>
        <w:gridCol w:w="1902"/>
        <w:gridCol w:w="2083"/>
      </w:tblGrid>
      <w:tr w14:paraId="497F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8" w:type="dxa"/>
            <w:noWrap w:val="0"/>
            <w:vAlign w:val="center"/>
          </w:tcPr>
          <w:p w14:paraId="23CC49EA">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序号</w:t>
            </w:r>
          </w:p>
        </w:tc>
        <w:tc>
          <w:tcPr>
            <w:tcW w:w="1427" w:type="dxa"/>
            <w:noWrap w:val="0"/>
            <w:vAlign w:val="center"/>
          </w:tcPr>
          <w:p w14:paraId="0BC00FD4">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项目名称</w:t>
            </w:r>
          </w:p>
        </w:tc>
        <w:tc>
          <w:tcPr>
            <w:tcW w:w="2468" w:type="dxa"/>
            <w:noWrap w:val="0"/>
            <w:vAlign w:val="center"/>
          </w:tcPr>
          <w:p w14:paraId="151A1E56">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客户名称</w:t>
            </w:r>
          </w:p>
        </w:tc>
        <w:tc>
          <w:tcPr>
            <w:tcW w:w="1902" w:type="dxa"/>
            <w:noWrap w:val="0"/>
            <w:vAlign w:val="center"/>
          </w:tcPr>
          <w:p w14:paraId="00DD50C4">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金额（元）</w:t>
            </w:r>
          </w:p>
        </w:tc>
        <w:tc>
          <w:tcPr>
            <w:tcW w:w="2083" w:type="dxa"/>
            <w:noWrap w:val="0"/>
            <w:vAlign w:val="center"/>
          </w:tcPr>
          <w:p w14:paraId="7B716BF2">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占本基金</w:t>
            </w:r>
            <w:r>
              <w:rPr>
                <w:rFonts w:hint="eastAsia" w:cs="宋体"/>
                <w:b/>
                <w:bCs/>
                <w:color w:val="auto"/>
                <w:sz w:val="21"/>
                <w:szCs w:val="21"/>
                <w:highlight w:val="none"/>
                <w:lang w:val="en-US" w:eastAsia="zh-CN"/>
              </w:rPr>
              <w:t>总租金</w:t>
            </w:r>
            <w:r>
              <w:rPr>
                <w:rFonts w:hint="eastAsia" w:ascii="宋体" w:hAnsi="宋体" w:eastAsia="宋体" w:cs="宋体"/>
                <w:b/>
                <w:bCs/>
                <w:color w:val="auto"/>
                <w:sz w:val="21"/>
                <w:szCs w:val="21"/>
                <w:highlight w:val="none"/>
                <w:lang w:val="en-US" w:eastAsia="zh-CN"/>
              </w:rPr>
              <w:t>收入比例（％）</w:t>
            </w:r>
          </w:p>
        </w:tc>
      </w:tr>
      <w:tr w14:paraId="6036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24C95BE7">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1427" w:type="dxa"/>
            <w:vMerge w:val="restart"/>
            <w:noWrap w:val="0"/>
            <w:vAlign w:val="center"/>
          </w:tcPr>
          <w:p w14:paraId="01DC1803">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万海大厦</w:t>
            </w:r>
          </w:p>
        </w:tc>
        <w:tc>
          <w:tcPr>
            <w:tcW w:w="2468" w:type="dxa"/>
            <w:noWrap w:val="0"/>
            <w:vAlign w:val="top"/>
          </w:tcPr>
          <w:p w14:paraId="2D97A64F">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客户1</w:t>
            </w:r>
          </w:p>
        </w:tc>
        <w:tc>
          <w:tcPr>
            <w:tcW w:w="1902" w:type="dxa"/>
            <w:noWrap w:val="0"/>
            <w:vAlign w:val="top"/>
          </w:tcPr>
          <w:p w14:paraId="60AC49E5">
            <w:pPr>
              <w:keepNext w:val="0"/>
              <w:keepLines w:val="0"/>
              <w:widowControl/>
              <w:suppressLineNumbers w:val="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1,085,014.68</w:t>
            </w:r>
          </w:p>
        </w:tc>
        <w:tc>
          <w:tcPr>
            <w:tcW w:w="2083" w:type="dxa"/>
            <w:noWrap w:val="0"/>
            <w:vAlign w:val="top"/>
          </w:tcPr>
          <w:p w14:paraId="08D36E84">
            <w:pPr>
              <w:keepNext w:val="0"/>
              <w:keepLines w:val="0"/>
              <w:widowControl/>
              <w:suppressLineNumbers w:val="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1.55%</w:t>
            </w:r>
          </w:p>
        </w:tc>
      </w:tr>
      <w:tr w14:paraId="5E52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4F9B9AF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427" w:type="dxa"/>
            <w:vMerge w:val="continue"/>
            <w:noWrap w:val="0"/>
            <w:vAlign w:val="center"/>
          </w:tcPr>
          <w:p w14:paraId="7F3B5A4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1446A66F">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客户2</w:t>
            </w:r>
          </w:p>
        </w:tc>
        <w:tc>
          <w:tcPr>
            <w:tcW w:w="1902" w:type="dxa"/>
            <w:noWrap w:val="0"/>
            <w:vAlign w:val="top"/>
          </w:tcPr>
          <w:p w14:paraId="1CFC1C82">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978,616.50</w:t>
            </w:r>
          </w:p>
        </w:tc>
        <w:tc>
          <w:tcPr>
            <w:tcW w:w="2083" w:type="dxa"/>
            <w:noWrap w:val="0"/>
            <w:vAlign w:val="top"/>
          </w:tcPr>
          <w:p w14:paraId="744B0D6F">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1.40%</w:t>
            </w:r>
          </w:p>
        </w:tc>
      </w:tr>
      <w:tr w14:paraId="51201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70F11171">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1427" w:type="dxa"/>
            <w:vMerge w:val="continue"/>
            <w:noWrap w:val="0"/>
            <w:vAlign w:val="center"/>
          </w:tcPr>
          <w:p w14:paraId="3B038B3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111992D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客户3</w:t>
            </w:r>
          </w:p>
        </w:tc>
        <w:tc>
          <w:tcPr>
            <w:tcW w:w="1902" w:type="dxa"/>
            <w:noWrap w:val="0"/>
            <w:vAlign w:val="top"/>
          </w:tcPr>
          <w:p w14:paraId="6CC2EC5D">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849,398.14</w:t>
            </w:r>
          </w:p>
        </w:tc>
        <w:tc>
          <w:tcPr>
            <w:tcW w:w="2083" w:type="dxa"/>
            <w:noWrap w:val="0"/>
            <w:vAlign w:val="top"/>
          </w:tcPr>
          <w:p w14:paraId="4A776CF4">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1.22%</w:t>
            </w:r>
          </w:p>
        </w:tc>
      </w:tr>
      <w:tr w14:paraId="122E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4F227FB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427" w:type="dxa"/>
            <w:vMerge w:val="continue"/>
            <w:noWrap w:val="0"/>
            <w:vAlign w:val="center"/>
          </w:tcPr>
          <w:p w14:paraId="76A9C19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6480A86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客户4</w:t>
            </w:r>
          </w:p>
        </w:tc>
        <w:tc>
          <w:tcPr>
            <w:tcW w:w="1902" w:type="dxa"/>
            <w:noWrap w:val="0"/>
            <w:vAlign w:val="top"/>
          </w:tcPr>
          <w:p w14:paraId="6F026471">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782,453.21</w:t>
            </w:r>
          </w:p>
        </w:tc>
        <w:tc>
          <w:tcPr>
            <w:tcW w:w="2083" w:type="dxa"/>
            <w:noWrap w:val="0"/>
            <w:vAlign w:val="top"/>
          </w:tcPr>
          <w:p w14:paraId="753B4D8F">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1.12%</w:t>
            </w:r>
          </w:p>
        </w:tc>
      </w:tr>
      <w:tr w14:paraId="521D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13895719">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1427" w:type="dxa"/>
            <w:vMerge w:val="continue"/>
            <w:noWrap w:val="0"/>
            <w:vAlign w:val="center"/>
          </w:tcPr>
          <w:p w14:paraId="50E4E224">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14BF9B79">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客户5</w:t>
            </w:r>
          </w:p>
        </w:tc>
        <w:tc>
          <w:tcPr>
            <w:tcW w:w="1902" w:type="dxa"/>
            <w:noWrap w:val="0"/>
            <w:vAlign w:val="top"/>
          </w:tcPr>
          <w:p w14:paraId="31E4A345">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714,082.56</w:t>
            </w:r>
          </w:p>
        </w:tc>
        <w:tc>
          <w:tcPr>
            <w:tcW w:w="2083" w:type="dxa"/>
            <w:noWrap w:val="0"/>
            <w:vAlign w:val="top"/>
          </w:tcPr>
          <w:p w14:paraId="398BC43B">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1.02%</w:t>
            </w:r>
          </w:p>
        </w:tc>
      </w:tr>
      <w:tr w14:paraId="09D6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8" w:type="dxa"/>
            <w:noWrap w:val="0"/>
            <w:vAlign w:val="center"/>
          </w:tcPr>
          <w:p w14:paraId="5C06381E">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序号</w:t>
            </w:r>
          </w:p>
        </w:tc>
        <w:tc>
          <w:tcPr>
            <w:tcW w:w="1427" w:type="dxa"/>
            <w:noWrap w:val="0"/>
            <w:vAlign w:val="center"/>
          </w:tcPr>
          <w:p w14:paraId="2D67308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项目名称</w:t>
            </w:r>
          </w:p>
        </w:tc>
        <w:tc>
          <w:tcPr>
            <w:tcW w:w="2468" w:type="dxa"/>
            <w:noWrap w:val="0"/>
            <w:vAlign w:val="center"/>
          </w:tcPr>
          <w:p w14:paraId="22C32B9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客户名称</w:t>
            </w:r>
          </w:p>
        </w:tc>
        <w:tc>
          <w:tcPr>
            <w:tcW w:w="1902" w:type="dxa"/>
            <w:noWrap w:val="0"/>
            <w:vAlign w:val="center"/>
          </w:tcPr>
          <w:p w14:paraId="4A83E7AC">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金额（元）</w:t>
            </w:r>
          </w:p>
        </w:tc>
        <w:tc>
          <w:tcPr>
            <w:tcW w:w="2083" w:type="dxa"/>
            <w:noWrap w:val="0"/>
            <w:vAlign w:val="center"/>
          </w:tcPr>
          <w:p w14:paraId="0628316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占本基金</w:t>
            </w:r>
            <w:r>
              <w:rPr>
                <w:rFonts w:hint="eastAsia" w:cs="宋体"/>
                <w:b/>
                <w:bCs/>
                <w:color w:val="auto"/>
                <w:sz w:val="21"/>
                <w:szCs w:val="21"/>
                <w:highlight w:val="none"/>
                <w:lang w:val="en-US" w:eastAsia="zh-CN"/>
              </w:rPr>
              <w:t>总租金</w:t>
            </w:r>
            <w:r>
              <w:rPr>
                <w:rFonts w:hint="eastAsia" w:ascii="宋体" w:hAnsi="宋体" w:eastAsia="宋体" w:cs="宋体"/>
                <w:b/>
                <w:bCs/>
                <w:color w:val="auto"/>
                <w:sz w:val="21"/>
                <w:szCs w:val="21"/>
                <w:highlight w:val="none"/>
                <w:lang w:val="en-US" w:eastAsia="zh-CN"/>
              </w:rPr>
              <w:t>收入比例（％）</w:t>
            </w:r>
          </w:p>
        </w:tc>
      </w:tr>
      <w:tr w14:paraId="58EF5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4196D2F2">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1427" w:type="dxa"/>
            <w:vMerge w:val="restart"/>
            <w:noWrap w:val="0"/>
            <w:vAlign w:val="center"/>
          </w:tcPr>
          <w:p w14:paraId="155ACF73">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万融大厦</w:t>
            </w:r>
          </w:p>
        </w:tc>
        <w:tc>
          <w:tcPr>
            <w:tcW w:w="2468" w:type="dxa"/>
            <w:noWrap w:val="0"/>
            <w:vAlign w:val="top"/>
          </w:tcPr>
          <w:p w14:paraId="5C5CDF81">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客户1</w:t>
            </w:r>
          </w:p>
        </w:tc>
        <w:tc>
          <w:tcPr>
            <w:tcW w:w="1902" w:type="dxa"/>
            <w:noWrap w:val="0"/>
            <w:vAlign w:val="top"/>
          </w:tcPr>
          <w:p w14:paraId="66346D2E">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2,005,234.89</w:t>
            </w:r>
          </w:p>
        </w:tc>
        <w:tc>
          <w:tcPr>
            <w:tcW w:w="2083" w:type="dxa"/>
            <w:noWrap w:val="0"/>
            <w:vAlign w:val="top"/>
          </w:tcPr>
          <w:p w14:paraId="0F25D5BE">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2.87%</w:t>
            </w:r>
          </w:p>
        </w:tc>
      </w:tr>
      <w:tr w14:paraId="0C8B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75FAC2A8">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427" w:type="dxa"/>
            <w:vMerge w:val="continue"/>
            <w:noWrap w:val="0"/>
            <w:vAlign w:val="center"/>
          </w:tcPr>
          <w:p w14:paraId="353740AF">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488597A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客户2</w:t>
            </w:r>
          </w:p>
        </w:tc>
        <w:tc>
          <w:tcPr>
            <w:tcW w:w="1902" w:type="dxa"/>
            <w:noWrap w:val="0"/>
            <w:vAlign w:val="top"/>
          </w:tcPr>
          <w:p w14:paraId="4163C2C8">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658,276.13</w:t>
            </w:r>
          </w:p>
        </w:tc>
        <w:tc>
          <w:tcPr>
            <w:tcW w:w="2083" w:type="dxa"/>
            <w:noWrap w:val="0"/>
            <w:vAlign w:val="top"/>
          </w:tcPr>
          <w:p w14:paraId="7F9D2698">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0.94%</w:t>
            </w:r>
          </w:p>
        </w:tc>
      </w:tr>
      <w:tr w14:paraId="020E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32B4C84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1427" w:type="dxa"/>
            <w:vMerge w:val="continue"/>
            <w:noWrap w:val="0"/>
            <w:vAlign w:val="center"/>
          </w:tcPr>
          <w:p w14:paraId="40CBD576">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1D874E32">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客户3</w:t>
            </w:r>
          </w:p>
        </w:tc>
        <w:tc>
          <w:tcPr>
            <w:tcW w:w="1902" w:type="dxa"/>
            <w:noWrap w:val="0"/>
            <w:vAlign w:val="top"/>
          </w:tcPr>
          <w:p w14:paraId="0578B9B5">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655,486.26</w:t>
            </w:r>
          </w:p>
        </w:tc>
        <w:tc>
          <w:tcPr>
            <w:tcW w:w="2083" w:type="dxa"/>
            <w:noWrap w:val="0"/>
            <w:vAlign w:val="top"/>
          </w:tcPr>
          <w:p w14:paraId="2577CBA7">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0.94%</w:t>
            </w:r>
          </w:p>
        </w:tc>
      </w:tr>
      <w:tr w14:paraId="3B22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6B80B236">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427" w:type="dxa"/>
            <w:vMerge w:val="continue"/>
            <w:noWrap w:val="0"/>
            <w:vAlign w:val="center"/>
          </w:tcPr>
          <w:p w14:paraId="62FBDF8E">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42FE74D4">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客户4</w:t>
            </w:r>
          </w:p>
        </w:tc>
        <w:tc>
          <w:tcPr>
            <w:tcW w:w="1902" w:type="dxa"/>
            <w:noWrap w:val="0"/>
            <w:vAlign w:val="top"/>
          </w:tcPr>
          <w:p w14:paraId="734340E8">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598,032.10</w:t>
            </w:r>
          </w:p>
        </w:tc>
        <w:tc>
          <w:tcPr>
            <w:tcW w:w="2083" w:type="dxa"/>
            <w:noWrap w:val="0"/>
            <w:vAlign w:val="top"/>
          </w:tcPr>
          <w:p w14:paraId="2B184A8B">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0.86%</w:t>
            </w:r>
          </w:p>
        </w:tc>
      </w:tr>
      <w:tr w14:paraId="0831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4BABEAC7">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1427" w:type="dxa"/>
            <w:vMerge w:val="continue"/>
            <w:noWrap w:val="0"/>
            <w:vAlign w:val="center"/>
          </w:tcPr>
          <w:p w14:paraId="38B20046">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65290B66">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客户5</w:t>
            </w:r>
          </w:p>
        </w:tc>
        <w:tc>
          <w:tcPr>
            <w:tcW w:w="1902" w:type="dxa"/>
            <w:noWrap w:val="0"/>
            <w:vAlign w:val="top"/>
          </w:tcPr>
          <w:p w14:paraId="5BC4DBF8">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578,592.66</w:t>
            </w:r>
          </w:p>
        </w:tc>
        <w:tc>
          <w:tcPr>
            <w:tcW w:w="2083" w:type="dxa"/>
            <w:noWrap w:val="0"/>
            <w:vAlign w:val="center"/>
          </w:tcPr>
          <w:p w14:paraId="50E04006">
            <w:pPr>
              <w:keepNext w:val="0"/>
              <w:keepLines w:val="0"/>
              <w:widowControl/>
              <w:suppressLineNumbers w:val="0"/>
              <w:jc w:val="center"/>
              <w:textAlignment w:val="center"/>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0.83%</w:t>
            </w:r>
          </w:p>
        </w:tc>
      </w:tr>
      <w:tr w14:paraId="1F0B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8" w:type="dxa"/>
            <w:noWrap w:val="0"/>
            <w:vAlign w:val="center"/>
          </w:tcPr>
          <w:p w14:paraId="4676C40D">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序号</w:t>
            </w:r>
          </w:p>
        </w:tc>
        <w:tc>
          <w:tcPr>
            <w:tcW w:w="1427" w:type="dxa"/>
            <w:noWrap w:val="0"/>
            <w:vAlign w:val="center"/>
          </w:tcPr>
          <w:p w14:paraId="04DF7F2C">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项目名称</w:t>
            </w:r>
          </w:p>
        </w:tc>
        <w:tc>
          <w:tcPr>
            <w:tcW w:w="2468" w:type="dxa"/>
            <w:noWrap w:val="0"/>
            <w:vAlign w:val="center"/>
          </w:tcPr>
          <w:p w14:paraId="57ECE8DB">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客户名称</w:t>
            </w:r>
          </w:p>
        </w:tc>
        <w:tc>
          <w:tcPr>
            <w:tcW w:w="1902" w:type="dxa"/>
            <w:noWrap w:val="0"/>
            <w:vAlign w:val="center"/>
          </w:tcPr>
          <w:p w14:paraId="2BC81D9A">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金额（元）</w:t>
            </w:r>
          </w:p>
        </w:tc>
        <w:tc>
          <w:tcPr>
            <w:tcW w:w="2083" w:type="dxa"/>
            <w:noWrap w:val="0"/>
            <w:vAlign w:val="center"/>
          </w:tcPr>
          <w:p w14:paraId="3D387001">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占本基金</w:t>
            </w:r>
            <w:r>
              <w:rPr>
                <w:rFonts w:hint="eastAsia" w:cs="宋体"/>
                <w:b/>
                <w:bCs/>
                <w:color w:val="auto"/>
                <w:sz w:val="21"/>
                <w:szCs w:val="21"/>
                <w:highlight w:val="none"/>
                <w:lang w:val="en-US" w:eastAsia="zh-CN"/>
              </w:rPr>
              <w:t>总租金</w:t>
            </w:r>
            <w:r>
              <w:rPr>
                <w:rFonts w:hint="eastAsia" w:ascii="宋体" w:hAnsi="宋体" w:eastAsia="宋体" w:cs="宋体"/>
                <w:b/>
                <w:bCs/>
                <w:color w:val="auto"/>
                <w:sz w:val="21"/>
                <w:szCs w:val="21"/>
                <w:highlight w:val="none"/>
                <w:lang w:val="en-US" w:eastAsia="zh-CN"/>
              </w:rPr>
              <w:t>收入比例（％）</w:t>
            </w:r>
          </w:p>
        </w:tc>
      </w:tr>
      <w:tr w14:paraId="0874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09590BAF">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1427" w:type="dxa"/>
            <w:vMerge w:val="restart"/>
            <w:noWrap w:val="0"/>
            <w:vAlign w:val="center"/>
          </w:tcPr>
          <w:p w14:paraId="2962BE12">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光明加速器二期项目</w:t>
            </w:r>
          </w:p>
          <w:p w14:paraId="42FC0837">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5D6D3E5B">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客户1</w:t>
            </w:r>
          </w:p>
        </w:tc>
        <w:tc>
          <w:tcPr>
            <w:tcW w:w="1902" w:type="dxa"/>
            <w:noWrap w:val="0"/>
            <w:vAlign w:val="top"/>
          </w:tcPr>
          <w:p w14:paraId="293CBB51">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3,209,902.02</w:t>
            </w:r>
          </w:p>
        </w:tc>
        <w:tc>
          <w:tcPr>
            <w:tcW w:w="2083" w:type="dxa"/>
            <w:noWrap w:val="0"/>
            <w:vAlign w:val="top"/>
          </w:tcPr>
          <w:p w14:paraId="3EF486EB">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4.60%</w:t>
            </w:r>
          </w:p>
        </w:tc>
      </w:tr>
      <w:tr w14:paraId="7476F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1AFE113B">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427" w:type="dxa"/>
            <w:vMerge w:val="continue"/>
            <w:noWrap w:val="0"/>
            <w:vAlign w:val="center"/>
          </w:tcPr>
          <w:p w14:paraId="10359AF5">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2D2A516F">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客户2</w:t>
            </w:r>
          </w:p>
        </w:tc>
        <w:tc>
          <w:tcPr>
            <w:tcW w:w="1902" w:type="dxa"/>
            <w:noWrap w:val="0"/>
            <w:vAlign w:val="top"/>
          </w:tcPr>
          <w:p w14:paraId="2E069944">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1,309,090.94</w:t>
            </w:r>
          </w:p>
        </w:tc>
        <w:tc>
          <w:tcPr>
            <w:tcW w:w="2083" w:type="dxa"/>
            <w:noWrap w:val="0"/>
            <w:vAlign w:val="top"/>
          </w:tcPr>
          <w:p w14:paraId="2F0A4224">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1.87%</w:t>
            </w:r>
          </w:p>
        </w:tc>
      </w:tr>
      <w:tr w14:paraId="6FB1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2AFCA6AA">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1427" w:type="dxa"/>
            <w:vMerge w:val="continue"/>
            <w:noWrap w:val="0"/>
            <w:vAlign w:val="center"/>
          </w:tcPr>
          <w:p w14:paraId="2B8CB87C">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79950EF1">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客户3</w:t>
            </w:r>
          </w:p>
        </w:tc>
        <w:tc>
          <w:tcPr>
            <w:tcW w:w="1902" w:type="dxa"/>
            <w:noWrap w:val="0"/>
            <w:vAlign w:val="top"/>
          </w:tcPr>
          <w:p w14:paraId="6AF9D7E8">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1,041,445.31</w:t>
            </w:r>
          </w:p>
        </w:tc>
        <w:tc>
          <w:tcPr>
            <w:tcW w:w="2083" w:type="dxa"/>
            <w:noWrap w:val="0"/>
            <w:vAlign w:val="top"/>
          </w:tcPr>
          <w:p w14:paraId="2CAD6816">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1.49%</w:t>
            </w:r>
          </w:p>
        </w:tc>
      </w:tr>
      <w:tr w14:paraId="1E92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38" w:type="dxa"/>
            <w:noWrap w:val="0"/>
            <w:vAlign w:val="center"/>
          </w:tcPr>
          <w:p w14:paraId="152F8FE9">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427" w:type="dxa"/>
            <w:vMerge w:val="continue"/>
            <w:noWrap w:val="0"/>
            <w:vAlign w:val="center"/>
          </w:tcPr>
          <w:p w14:paraId="06A32130">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59E50849">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客户4</w:t>
            </w:r>
          </w:p>
        </w:tc>
        <w:tc>
          <w:tcPr>
            <w:tcW w:w="1902" w:type="dxa"/>
            <w:noWrap w:val="0"/>
            <w:vAlign w:val="top"/>
          </w:tcPr>
          <w:p w14:paraId="581C47DC">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885,017.65</w:t>
            </w:r>
          </w:p>
        </w:tc>
        <w:tc>
          <w:tcPr>
            <w:tcW w:w="2083" w:type="dxa"/>
            <w:noWrap w:val="0"/>
            <w:vAlign w:val="top"/>
          </w:tcPr>
          <w:p w14:paraId="02C06D95">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1.27%</w:t>
            </w:r>
          </w:p>
        </w:tc>
      </w:tr>
      <w:tr w14:paraId="23D5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838" w:type="dxa"/>
            <w:noWrap w:val="0"/>
            <w:vAlign w:val="center"/>
          </w:tcPr>
          <w:p w14:paraId="131E2589">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1427" w:type="dxa"/>
            <w:vMerge w:val="continue"/>
            <w:noWrap w:val="0"/>
            <w:vAlign w:val="center"/>
          </w:tcPr>
          <w:p w14:paraId="6CCC5F29">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p>
        </w:tc>
        <w:tc>
          <w:tcPr>
            <w:tcW w:w="2468" w:type="dxa"/>
            <w:noWrap w:val="0"/>
            <w:vAlign w:val="top"/>
          </w:tcPr>
          <w:p w14:paraId="2AB934DC">
            <w:pPr>
              <w:pStyle w:val="36"/>
              <w:pageBreakBefore w:val="0"/>
              <w:kinsoku/>
              <w:wordWrap/>
              <w:overflowPunct/>
              <w:topLinePunct w:val="0"/>
              <w:bidi w:val="0"/>
              <w:adjustRightInd w:val="0"/>
              <w:snapToGrid w:val="0"/>
              <w:spacing w:afterAutospacing="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客户5</w:t>
            </w:r>
          </w:p>
        </w:tc>
        <w:tc>
          <w:tcPr>
            <w:tcW w:w="1902" w:type="dxa"/>
            <w:noWrap w:val="0"/>
            <w:vAlign w:val="top"/>
          </w:tcPr>
          <w:p w14:paraId="562F3CE8">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796,028.79</w:t>
            </w:r>
          </w:p>
        </w:tc>
        <w:tc>
          <w:tcPr>
            <w:tcW w:w="2083" w:type="dxa"/>
            <w:noWrap w:val="0"/>
            <w:vAlign w:val="top"/>
          </w:tcPr>
          <w:p w14:paraId="35A5C5AD">
            <w:pPr>
              <w:keepNext w:val="0"/>
              <w:keepLines w:val="0"/>
              <w:widowControl/>
              <w:suppressLineNumbers w:val="0"/>
              <w:jc w:val="center"/>
              <w:textAlignment w:val="top"/>
              <w:rPr>
                <w:rFonts w:hint="eastAsia" w:ascii="宋体" w:hAnsi="宋体" w:eastAsia="宋体" w:cs="宋体"/>
                <w:color w:val="auto"/>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1.14%</w:t>
            </w:r>
          </w:p>
        </w:tc>
      </w:tr>
    </w:tbl>
    <w:p w14:paraId="6B1DB871">
      <w:pPr>
        <w:autoSpaceDE w:val="0"/>
        <w:autoSpaceDN w:val="0"/>
        <w:adjustRightInd w:val="0"/>
        <w:spacing w:line="360" w:lineRule="auto"/>
        <w:outlineLvl w:val="2"/>
        <w:rPr>
          <w:b/>
          <w:bCs/>
        </w:rPr>
      </w:pPr>
      <w:r>
        <w:rPr>
          <w:b/>
          <w:bCs/>
        </w:rPr>
        <w:t>4.1.5 可能对基金份额持有人权益产生重大不利影响的经营风险、行业风险、周期性风险</w:t>
      </w:r>
    </w:p>
    <w:p w14:paraId="6E39BA4A">
      <w:pPr>
        <w:spacing w:line="360" w:lineRule="auto"/>
        <w:ind w:firstLine="420" w:firstLineChars="200"/>
      </w:pPr>
      <w:r>
        <w:t>未涉及。</w:t>
      </w:r>
    </w:p>
    <w:p w14:paraId="37AC90CF">
      <w:pPr>
        <w:pStyle w:val="3"/>
        <w:spacing w:before="312" w:beforeLines="100" w:after="0"/>
        <w:rPr>
          <w:rFonts w:ascii="Times New Roman" w:hAnsi="Times New Roman" w:cs="Times New Roman"/>
          <w:kern w:val="0"/>
          <w:sz w:val="21"/>
          <w:szCs w:val="21"/>
        </w:rPr>
      </w:pPr>
      <w:bookmarkStart w:id="137" w:name="_Toc3392"/>
      <w:r>
        <w:rPr>
          <w:rFonts w:ascii="Times New Roman" w:hAnsi="Times New Roman" w:cs="Times New Roman"/>
          <w:kern w:val="0"/>
          <w:sz w:val="21"/>
          <w:szCs w:val="21"/>
        </w:rPr>
        <w:t xml:space="preserve">4.2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项目所属行业情况</w:t>
      </w:r>
      <w:bookmarkEnd w:id="137"/>
    </w:p>
    <w:p w14:paraId="723C2CA3">
      <w:pPr>
        <w:autoSpaceDE w:val="0"/>
        <w:autoSpaceDN w:val="0"/>
        <w:adjustRightInd w:val="0"/>
        <w:spacing w:line="360" w:lineRule="auto"/>
        <w:outlineLvl w:val="2"/>
        <w:rPr>
          <w:b/>
          <w:bCs/>
        </w:rPr>
      </w:pPr>
      <w:r>
        <w:rPr>
          <w:b/>
          <w:bCs/>
        </w:rPr>
        <w:t xml:space="preserve">4.2.1 </w:t>
      </w:r>
      <w:r>
        <w:rPr>
          <w:rFonts w:hint="eastAsia"/>
          <w:b/>
          <w:bCs/>
        </w:rPr>
        <w:t>不动产</w:t>
      </w:r>
      <w:r>
        <w:rPr>
          <w:b/>
          <w:bCs/>
        </w:rPr>
        <w:t>项目所属行业基本情况、发展阶段、周期性特点和竞争格局</w:t>
      </w:r>
    </w:p>
    <w:p w14:paraId="51EA5264">
      <w:pPr>
        <w:spacing w:line="360" w:lineRule="auto"/>
        <w:ind w:firstLine="420" w:firstLineChars="200"/>
      </w:pPr>
      <w:r>
        <w:t>本基金不动产项目资产均属于产园类资产。产业园区是以创新为核心的高新技术产业集聚型的综合区，是工业地产的高级阶段，以产业升级、产业集群为基础，以创新型和成长型高新技术企业为客群；以战略性新兴产业为主导产业，强调了科技园区的产业定位，保证了科技地产真正成为贯彻国家自主创新战略和推动战略性新兴产业发展的重要平台；以房地产开发为载体，遵循市场经济基本规律为前提，强调了政府、开发商与入驻企业按照契约关系，使园区土地资源、物业资源、企业资源按照市场行为而非行政行为聚拢在一起，充分发挥市场优化资源配置的作用。同时，产业园区也是区域经济发展、产业调整和升级的重要空间聚集形式，担负着促进经济规模发展、 聚集创新资源、培育新兴产业、推动城市化建设等一系列重要使命。</w:t>
      </w:r>
    </w:p>
    <w:p w14:paraId="340E3F1D">
      <w:pPr>
        <w:spacing w:line="360" w:lineRule="auto"/>
        <w:ind w:firstLine="420" w:firstLineChars="200"/>
      </w:pPr>
      <w:r>
        <w:t>我国产业园数量多、分布广、种类全。随着经济崛起，园区数量迅速增加，现已形成了东部省份较为密集、各大区域广泛分布的布局特点。伴随各产业集聚化发展，产业园种类逐步多元化，集聚的传统行业主要包括信息技术、电子商务、高端制造、文化创意、新能源材料、生物材料、创新服务等，这种相互接驳的企业集群，构成立体的多重交织的产业链环，对提高经济创新能力和经济效益都具有实际意义。</w:t>
      </w:r>
    </w:p>
    <w:p w14:paraId="5E72583F">
      <w:pPr>
        <w:spacing w:line="360" w:lineRule="auto"/>
        <w:ind w:firstLine="420" w:firstLineChars="200"/>
      </w:pPr>
      <w:r>
        <w:t>随着国家“科技创新驱动发展”战略的实施，以产业发展为导向的高新技术园区开发取得了重大的经济成绩。近年来，国家经济发展方式的转变和经济结构的调整，对城市产业的升级和城市的开发建设提出了更高的要求。截至2026年初，根据国家工业和信息化部的统计，全国范围内国家高新技术产业开发区增至179家（2026年2月，国务院批复同意河北雄安新区高新技术产业开发区升级为国家高新技术产业开发区）、“世界一流高科技园区”的试点和示范单位10家。</w:t>
      </w:r>
    </w:p>
    <w:p w14:paraId="30ED7E65">
      <w:pPr>
        <w:spacing w:line="360" w:lineRule="auto"/>
        <w:ind w:firstLine="420" w:firstLineChars="200"/>
      </w:pPr>
      <w:r>
        <w:t>近年来，随着国内市场竞争加剧、全球化经济态势动荡，我国产业园展现出群体激烈竞争的态势，呈现出几个明显的发展趋势：</w:t>
      </w:r>
    </w:p>
    <w:p w14:paraId="7D6C4A18">
      <w:pPr>
        <w:spacing w:line="360" w:lineRule="auto"/>
        <w:ind w:firstLine="420" w:firstLineChars="200"/>
      </w:pPr>
      <w:r>
        <w:t>1、园区经营分化，区域发展差异加剧分化</w:t>
      </w:r>
    </w:p>
    <w:p w14:paraId="6CA76C7F">
      <w:pPr>
        <w:spacing w:line="360" w:lineRule="auto"/>
        <w:ind w:firstLine="420" w:firstLineChars="200"/>
      </w:pPr>
      <w:r>
        <w:t>政策层面，国家将致力于构建园区高质量发展的筛选机制，2024年底国务院办公厅发布的专项债管理意见，明确额度分配的正向激励原则，优先支持项目成熟、投资高效的地区；市场层面，产业园区已进入存量时代，供需失衡问题日益突出，头部园区积极通过市场化机制与数字化工具重构运营逻辑，而大量同质化的低端园区面临着招商困难、企业入驻率低的困境。目前，东部沿海区域优质园区依托先发优势，已形成“产业链-创新链-资本链”闭环，而中西部地区多数园区发展则面临诸多挑战，发展能级不高、内生动力不足、同质化问题严重，难以形成集聚效应与核心竞争力。</w:t>
      </w:r>
    </w:p>
    <w:p w14:paraId="05F7C809">
      <w:pPr>
        <w:spacing w:line="360" w:lineRule="auto"/>
        <w:ind w:firstLine="420" w:firstLineChars="200"/>
      </w:pPr>
      <w:r>
        <w:t>2、商业模式升级，从空间供给到产业赋能</w:t>
      </w:r>
    </w:p>
    <w:p w14:paraId="4C2309AA">
      <w:pPr>
        <w:spacing w:line="360" w:lineRule="auto"/>
        <w:ind w:firstLine="420" w:firstLineChars="200"/>
      </w:pPr>
      <w:r>
        <w:t>头部产业园运营商正在重构商业逻辑，从提供物理空间向构建产业生态转变。传统园区依赖租金收入的单一模式已难以适应产业升级需求，头部园区运营商通过设立产业基金、股权投资等方式，深度绑定企业发展，形成复合收益结构，实现“股东+房东”的双重收益。同时，园区通过主导产业链整合，强化集群效应，实现入驻企业之间的资源共享、业务协同，形成产业链紧密合作生态，实现“多方共赢”。</w:t>
      </w:r>
    </w:p>
    <w:p w14:paraId="30DF487E">
      <w:pPr>
        <w:spacing w:line="360" w:lineRule="auto"/>
        <w:ind w:firstLine="420" w:firstLineChars="200"/>
      </w:pPr>
      <w:r>
        <w:t>3、产业核心转变，新质生产力成为主旋律</w:t>
      </w:r>
    </w:p>
    <w:p w14:paraId="0C3B890D">
      <w:pPr>
        <w:spacing w:line="360" w:lineRule="auto"/>
        <w:ind w:firstLine="420" w:firstLineChars="200"/>
      </w:pPr>
      <w:r>
        <w:t xml:space="preserve">    产业园区在进行产业布局和产业升级时，需紧扣新质生产力这一经济发展的主旋律，以科技创新为引擎、以要素优化为支撑、以产业升级为主线、以绿色发展为底色，推动产业发展实现“四个转变”——从要素驱动向创新驱动转变、从规模扩张向质量效益转变、从传统路径向绿色低碳转变、从局部突破向系统协同转变。最终为产业园区构建可持续发展的产业体系，为产业园区的高质量发展提供持久动能。</w:t>
      </w:r>
    </w:p>
    <w:p w14:paraId="328B90ED">
      <w:pPr>
        <w:spacing w:line="360" w:lineRule="auto"/>
        <w:ind w:firstLine="420" w:firstLineChars="200"/>
      </w:pPr>
      <w:r>
        <w:t>4、招商环境变化，从低价竞争到资源整合</w:t>
      </w:r>
    </w:p>
    <w:p w14:paraId="54A8FE42">
      <w:pPr>
        <w:spacing w:line="360" w:lineRule="auto"/>
        <w:ind w:firstLine="420" w:firstLineChars="200"/>
      </w:pPr>
      <w:r>
        <w:t>在区域经济高质量发展的进程中，产业园区作为核心载体，其招商模式的革新已成为提升竞争力的关键。虽然“以价换量”仍是行之有效的招商策略，但其局限性日益显现，单纯低价难以满足企业对技术、市场、生态的复合诉求，差异化破局已成必然。以资本赋能、场景开放、服务升级为核心的生态化招商模式正成为主流，推动产业链从低端要素聚合向高阶价值共创跃迁。</w:t>
      </w:r>
    </w:p>
    <w:p w14:paraId="472C1B03">
      <w:pPr>
        <w:spacing w:line="360" w:lineRule="auto"/>
        <w:ind w:firstLine="420" w:firstLineChars="200"/>
      </w:pPr>
      <w:r>
        <w:t>5、产业服务提升，运营服务成为第二曲线</w:t>
      </w:r>
    </w:p>
    <w:p w14:paraId="09896872">
      <w:pPr>
        <w:spacing w:line="360" w:lineRule="auto"/>
        <w:ind w:firstLine="420" w:firstLineChars="200"/>
      </w:pPr>
      <w:r>
        <w:t>早期的园区运营以满足企业基础需求为主，核心是提供标准化的物业服务。随着园区产业集群度提升，运营服务逐步向产业发展领域延伸，围绕企业经营需求，提供个性化、专业化的增值服务。随着产业园区步入存量运营时代，未来产业园区想要实现收入利润规模的持续增长，需要转向发展园区生产性服务业务，让生产性服务业成为驱动园区价值增长的“第二曲线”。2025年，国家高新区园区生产总值突破20.4万亿元，占全国GDP比重达14.5%，专精特新“小巨人”企业达8,200余家；工业和信息化部启动实施国家高新区新赛道培育行动，围绕量子科技、脑机接口、具身智能等15个重点方向优选重点园区。迈入“十五五”新征程，国家高新区正全面推动提质升级，加快打造新赛道策源地和产业科技创新高地，产业园高质量发展的政策与市场基础持续夯实。</w:t>
      </w:r>
    </w:p>
    <w:p w14:paraId="7778A15F">
      <w:pPr>
        <w:autoSpaceDE w:val="0"/>
        <w:autoSpaceDN w:val="0"/>
        <w:adjustRightInd w:val="0"/>
        <w:spacing w:line="360" w:lineRule="auto"/>
        <w:outlineLvl w:val="2"/>
        <w:rPr>
          <w:b/>
          <w:bCs/>
        </w:rPr>
      </w:pPr>
      <w:r>
        <w:rPr>
          <w:b/>
          <w:bCs/>
        </w:rPr>
        <w:t>4.2.2 可比区域内的</w:t>
      </w:r>
      <w:r>
        <w:rPr>
          <w:rFonts w:hint="eastAsia"/>
          <w:b/>
          <w:bCs/>
        </w:rPr>
        <w:t>可比不动产</w:t>
      </w:r>
      <w:r>
        <w:rPr>
          <w:b/>
          <w:bCs/>
        </w:rPr>
        <w:t>项目情况</w:t>
      </w:r>
    </w:p>
    <w:p w14:paraId="1184E2E8">
      <w:pPr>
        <w:spacing w:line="360" w:lineRule="auto"/>
        <w:ind w:firstLine="420" w:firstLineChars="200"/>
      </w:pPr>
      <w:r>
        <w:t>本基金不动产项目资产分别位于广东省深圳市南山区、光明区。根据租赁市场公开数据查询、委托第三方市场调研及基金管理人定期走访了解，2026年上半年，南山区、光明区部分竞品产业园租赁情况如下：</w:t>
      </w:r>
    </w:p>
    <w:p w14:paraId="333F48A7">
      <w:pPr>
        <w:spacing w:line="360" w:lineRule="auto"/>
        <w:ind w:firstLine="420" w:firstLineChars="200"/>
      </w:pPr>
      <w:r>
        <w:t>南山区</w:t>
      </w:r>
    </w:p>
    <w:p w14:paraId="5B79AF34">
      <w:pPr>
        <w:spacing w:line="360" w:lineRule="auto"/>
        <w:ind w:firstLine="420" w:firstLineChars="200"/>
      </w:pPr>
      <w:r>
        <w:t>海翔广场：位于深圳市南山区蛇口南海大道1048号，是一幢 12 层的甲级商务写字楼（工业属性），占地面积1.2万平方米，总建筑面积21.15万平方米，是一座集多功能于一体的高标准、智能化、综合性商务大厦。目前租金80-100元/平方米/月，管理费12元/平方米/月，出租率约85%。</w:t>
      </w:r>
    </w:p>
    <w:p w14:paraId="4F649B74">
      <w:pPr>
        <w:spacing w:line="360" w:lineRule="auto"/>
        <w:ind w:firstLine="420" w:firstLineChars="200"/>
      </w:pPr>
      <w:r>
        <w:t>科技园金融基地：位于深圳市南山区科技园，定位为“信息技术为基础的深港金融后台服务中心以及金融信息技术创新中心”，是金融机构及为金融机构提供后台服务的金融数据中心、应用中心、软件外包、后台服务中心等企业和机构的聚集区，是深圳市最早启用的四大金融基地之一。二期研发办公物业的总建筑面积7.7万平方米，由两栋总楼层 12 层、一栋 3 层建筑组成。目前一期租金80-100元/平方米/月、二期租金90-110元/平方米/月，管理费12.4元/平方米/月，出租率约75%。</w:t>
      </w:r>
    </w:p>
    <w:p w14:paraId="6009A008">
      <w:pPr>
        <w:spacing w:line="360" w:lineRule="auto"/>
        <w:ind w:firstLine="420" w:firstLineChars="200"/>
      </w:pPr>
      <w:r>
        <w:t>花样年美年广场：位于深圳市南山区兴工路8号，占地面积 2.95万平方米，总建筑面积8.77万平方米，由2栋11层、3栋13层建筑组成，标准层层高3.5米， 单层面积1,100-1,400平方米。目前租金80-110元/平方米/月，管理费8.25元/平方米/月，出租率85%-90%左右。</w:t>
      </w:r>
    </w:p>
    <w:p w14:paraId="32FAEBA4">
      <w:pPr>
        <w:spacing w:line="360" w:lineRule="auto"/>
        <w:ind w:firstLine="420" w:firstLineChars="200"/>
      </w:pPr>
      <w:r>
        <w:t>光明区</w:t>
      </w:r>
    </w:p>
    <w:p w14:paraId="386D48CA">
      <w:pPr>
        <w:spacing w:line="360" w:lineRule="auto"/>
        <w:ind w:firstLine="420" w:firstLineChars="200"/>
      </w:pPr>
      <w:r>
        <w:t>华强创意园：位于深圳市光明区光明街道碧眼社区观光路与科泰路交叉口，占地面积约23万平方米，总建筑面积约80万平方米，其中写字楼46万平方米，还配有商业、公寓、酒店、市政体育公园等，是以文化+创意、文化+科技、文化+金融为主导的开放式文化产城区。目前办公租金40-50元/平方米/月、研发厂房租金35-45元/平方米/月（其中三期40-45元/平方米/月），管理费8.5元/平方米/月，园区整体出租率约80%-85%（其中三期于2025年入市，出租率约50%）。</w:t>
      </w:r>
    </w:p>
    <w:p w14:paraId="62DB0661">
      <w:pPr>
        <w:spacing w:line="360" w:lineRule="auto"/>
        <w:ind w:firstLine="420" w:firstLineChars="200"/>
      </w:pPr>
      <w:r>
        <w:t>研祥智谷：位于深圳市光明区高新路11号，占地面积约8万平方米，总建筑面积24.5万平方米，项目包括2栋6层的生产</w:t>
      </w:r>
      <w:r>
        <w:rPr>
          <w:rFonts w:hint="eastAsia"/>
          <w:lang w:val="en-US" w:eastAsia="zh-CN"/>
        </w:rPr>
        <w:t>厂</w:t>
      </w:r>
      <w:r>
        <w:t>房、1栋22层的办公研发楼以及2栋13层的配套宿舍区。目前办公租金40-45元/平方米/月、管理费14.5元/平方米/月，厂房租金32-38元/平方米/月、管理费10元/平方米/月，整体出租率约90%。</w:t>
      </w:r>
    </w:p>
    <w:p w14:paraId="383BC898">
      <w:pPr>
        <w:spacing w:line="360" w:lineRule="auto"/>
        <w:ind w:firstLine="420" w:firstLineChars="200"/>
      </w:pPr>
      <w:r>
        <w:t>南太云创谷：位于深圳市光明区光明大道259号，占地面积约10万平方米，建筑面积约33万平方米，主要业态涵盖研发办公、人才宿舍及综合配套。目前办公租金40-45元/平方米/月、管理费10元/平方米/月，整体出租率约90%。</w:t>
      </w:r>
    </w:p>
    <w:p w14:paraId="48A3A8CA">
      <w:pPr>
        <w:spacing w:line="360" w:lineRule="auto"/>
        <w:ind w:firstLine="420" w:firstLineChars="200"/>
      </w:pPr>
      <w:r>
        <w:t>中集智园：位于深圳市光明区科能路与侨明路交叉路口，又名“中集低轨物联网产业园”。园区分别有A、B、C栋为写字楼（A、B栋裙楼三四层为厂房），D栋为小独栋最高4层，E、F栋为商业楼。目前办公租金45-55元/平方米/月、管理费12元/平方米/月，厂房租金45-55元/平方米/月、管理费12元/平方米/月，园区整体出租率约92%。</w:t>
      </w:r>
      <w:bookmarkStart w:id="547" w:name="_GoBack"/>
      <w:bookmarkEnd w:id="547"/>
    </w:p>
    <w:p w14:paraId="69D3B00C">
      <w:pPr>
        <w:spacing w:line="360" w:lineRule="auto"/>
        <w:ind w:firstLine="420" w:firstLineChars="200"/>
      </w:pPr>
      <w:r>
        <w:t>凤凰广场：位于光明区凤凰街道创投路与凤举路交会处，由1座120米及1座150的超高层写字楼、1座32米的检测中心和1座48米的轻型工业建筑组成，配有下沉式商业广场，建筑面积约17万平方米，其中研发用房约11万平方米、商业约8000平方米，于2023年建成，租户于2024年陆续入驻。目前办公租金为带精装55-65元/平方米/月、毛坯45-55元/平方米/月、管理费13.5元/平方米/月，厂房租金为40-45元/平方米/月，园区整体出租率在75%左右。</w:t>
      </w:r>
    </w:p>
    <w:p w14:paraId="7915A3FB">
      <w:pPr>
        <w:autoSpaceDE w:val="0"/>
        <w:autoSpaceDN w:val="0"/>
        <w:adjustRightInd w:val="0"/>
        <w:spacing w:line="360" w:lineRule="auto"/>
        <w:outlineLvl w:val="2"/>
        <w:rPr>
          <w:b/>
          <w:bCs/>
        </w:rPr>
      </w:pPr>
      <w:r>
        <w:rPr>
          <w:b/>
          <w:bCs/>
        </w:rPr>
        <w:t>4.2.3 新公布的法律法规、行业政策、区域政策、税收政策对所属行业、区域的重大影响</w:t>
      </w:r>
    </w:p>
    <w:p w14:paraId="263B8668">
      <w:pPr>
        <w:spacing w:line="360" w:lineRule="auto"/>
        <w:ind w:firstLine="420" w:firstLineChars="200"/>
      </w:pPr>
      <w:r>
        <w:t>在不动产REITs领域，2025年底商业不动产REITs试点正式启动，2026年6月首批4只商业不动产REITs上市交易，我国公募REITs市场正式形成"基础设施+商业不动产"双轮驱动格局，市场从"试点摸索"迈向"申报可追溯、储备可量化、扩容常态化"的高质量发展新阶段。政策层面，《中华人民共和国国民经济和社会发展第十五个五年规划纲要》明确"积极推动基础设施领域不动产投资信托基金（REITs）常态化发行"；2026年1月商务部等9部门印发绿色消费推进行动通知、3月国务院办公厅印发《加快培育服务消费新增长点工作方案》，均提出支持符合条件的消费基础设施、绿色项目发行REITs；证监会2026年度立法工作计划将《公开募集不动产投资基金监督管理暂行办法》列为抓紧研究、择机出台项目，REITs专项立法稳步推进；同时，公募REITs被纳入债券基金等中长期资金投资范围，首批跟踪中证REITs全收益指数的公募基金产品获批，投资者结构持续优化。</w:t>
      </w:r>
    </w:p>
    <w:p w14:paraId="446232F8">
      <w:pPr>
        <w:spacing w:line="360" w:lineRule="auto"/>
        <w:ind w:firstLine="420" w:firstLineChars="200"/>
      </w:pPr>
      <w:r>
        <w:t>近年以来，深圳产业政策力度持续加大，自2023年国务院出台《河套深港科技创新合作区深圳园区发展规划》，批复《前海深港现代服务业合作区总体发展规划》以来，深圳在新一轮总体发展规划中，加快打造全面深化改革创新试验平台、高水平对外开放门户枢纽、深港深度融合发展引领区、现代服务业高质量发展高地。2022年发布《深圳市人民政府关于发展壮大战略性新兴产业集群和培育发展未来产业的意见》，2023年先后发布《深圳市总部经济集聚区布局规划》、《深圳市光明区关于支持智能传感器产业集群高质量发展的若干措施》及《关于印发深圳市宝安区低空经济产业创新发展实施方案（2023—2025年）的通知》，2024年先后发布《深圳市战略性新兴产业与未来产业空间布局规划（2024—2035 年）》及《深圳市宝安区人民政府办公室关于规范工业区二次开发的通知》。整体上形成了以先进制造业为主体的战略性新兴产业即20 大战略性新兴产业集群，前瞻布局未来产业即8 大未来产业。另外，针对20 个战略性新兴产业集群的20 份培育发展行动计划、《深圳市培育发展未来产业行动计划(2022-2025年)》，以及《深圳市20 大先进制造业园区空间布局规划》，共同构成了23 份文件，对深圳战略性新兴产业集群、未来产业和先进制造业园区做了系统谋划。</w:t>
      </w:r>
    </w:p>
    <w:p w14:paraId="4576CE8D">
      <w:pPr>
        <w:spacing w:line="360" w:lineRule="auto"/>
        <w:ind w:firstLine="420" w:firstLineChars="200"/>
      </w:pPr>
      <w:r>
        <w:t>深圳市在产业空间管理、城市更新及房地产调控等方面也持续出台新政。2025年1月，深圳市工业和信息化局发布《深圳市工业和信息化局创新型产业用房管理实施细则》，加大对战略性新兴产业和未来产业的支持力度，强化创新型产业用房规范管理，明确入驻企业应为从事战略性新兴产业和未来产业、拥有较强科技创新实力的成长型企业和科研机构。2025年3月，深圳市住房和建设局印发《关于规范城市更新实施工作的若干意见》，推动城市更新从量向质转变，通过优化规划、创新补偿方式、加大融资支持等措施，提升城市更新效率。2025年9月，工业和信息化部等七部门联合印发《深入推动服务型制造创新发展实施方案（2025—2028年）》，推动制造与服务全方位、宽领域、深层次融合发展，促进制造业优化资源配置、延伸产业链、提升价值链。2026年2月，深圳市住房和建设局、深圳市规划和自然资源局联合印发《关于进一步规范城市更新项目管理有关事项的通知》，合理核定土地移交率，优化保障性住房配建要求，统筹各方力量推动项目实施。同月，深圳市工业和信息化局发布《深圳市“人工智能”+先进制造业行动计划（2026-2027年）》，推动人工智能全方位赋能新型工业化，到2027年建成国家人工智能应用中试基地，打造“一基地、一中心、一联盟、百场景、多应用”的发展格局；深圳市七届人大七次会议审查批准《深圳市国民经济和社会发展第十五个五年规划纲要》,“十五五”时期深圳将坚持工业立市，持续发展壮大“20+8”战略性新兴产业集群和未来产业，地区生产总值目标超过5万亿元，年均增速力争保持在5%以上，全社会研发投入强度提升至7%，将整个城市打造成为新质生产力和创新的策源地。</w:t>
      </w:r>
    </w:p>
    <w:p w14:paraId="4E40DC67">
      <w:pPr>
        <w:spacing w:line="360" w:lineRule="auto"/>
        <w:ind w:firstLine="420" w:firstLineChars="200"/>
      </w:pPr>
      <w:r>
        <w:t>深圳作为公募REITs首批试点城市，始终坚持先行先试，2026年1月市发展改革委召开基础设施REITs政策宣贯会，全市已累计发行11个项目、规模195.74亿元，覆盖产业园区、仓储物流、生态环保、租赁住房、清洁能源等领域，回收净资金93.19亿元，带动新增总投资827.8亿元，形成约8.88倍的投资杠杆效应；2026年5月施行的《深圳市工业及其他产业用地供应管理办法》明确，产业用地申请发行公募REITs的，可将土地使用权人变更为全资项目公司，为产业园区不动产项目资产的资本化退出与盘活提供了制度支撑；深圳亦明确支持已上市公募REITs持续扩募，扩大产业园区等存量领域储备规模，并争取在轨道交通、综合管廊、重大科技基础设施等领域先行先试。上述政策的密集出台，为深圳市产业园区的高质量发展提供了有力的政策支撑和空间保障，有利于本基金不动产项目资产所在区域的产业集聚和长期价值提升。</w:t>
      </w:r>
    </w:p>
    <w:p w14:paraId="29543DF3">
      <w:pPr>
        <w:autoSpaceDE w:val="0"/>
        <w:autoSpaceDN w:val="0"/>
        <w:adjustRightInd w:val="0"/>
        <w:spacing w:line="360" w:lineRule="auto"/>
        <w:outlineLvl w:val="2"/>
        <w:rPr>
          <w:b/>
          <w:bCs/>
        </w:rPr>
      </w:pPr>
      <w:r>
        <w:rPr>
          <w:b/>
          <w:bCs/>
        </w:rPr>
        <w:t xml:space="preserve">4.2.4 </w:t>
      </w:r>
      <w:r>
        <w:rPr>
          <w:rFonts w:hint="eastAsia"/>
          <w:b/>
          <w:bCs/>
        </w:rPr>
        <w:t>不动产</w:t>
      </w:r>
      <w:r>
        <w:rPr>
          <w:b/>
          <w:bCs/>
        </w:rPr>
        <w:t>项目所属行业的其他整体情况和竞争情况</w:t>
      </w:r>
    </w:p>
    <w:p w14:paraId="1CD9C0AB">
      <w:pPr>
        <w:spacing w:line="360" w:lineRule="auto"/>
        <w:ind w:firstLine="420" w:firstLineChars="200"/>
      </w:pPr>
      <w:r>
        <w:t>本基金不动产项目资产均位于广东省深圳市，深圳市政府一再强调“工业立市”，稳住制造业基本盘是深圳经济发展的基调。</w:t>
      </w:r>
    </w:p>
    <w:p w14:paraId="7DA224DC">
      <w:pPr>
        <w:spacing w:line="360" w:lineRule="auto"/>
        <w:ind w:firstLine="420" w:firstLineChars="200"/>
      </w:pPr>
      <w:r>
        <w:t>2026年上半年，深圳经济运行延续向好态势，新质生产力培育壮大，高质量发展向新向优。根据广东省地区生产总值统一核算结果，深圳2026年上半年全市地区生产总值19,843.48亿元，按不变价格计算，同比增长5.8%。其中，第一产业增加值12.28亿元，增长4.0%；第二产业增加值7,144.65亿元，增长6.4%；第三产业增加值12,686.55亿元，增长5.5%。上半年，深圳全市固定资产投资同比下降14.6%；扣除房地产开发投资，全市固定资产投资下降7.7%。基础设施投资增长10.1%，房地产开发投资下降28.6%，工业技术改造投资增长24.2%。高技术产业投资同比增长27.4%，其中信息服务业、计算机及办公设备制造业、研发与设计服务业投资同比分别增长160.9%、125.6%、43.8%。全市规模以上工业增加值同比增长8.7%，计算机、通信和其他电子设备制造业增长12.3%。</w:t>
      </w:r>
    </w:p>
    <w:p w14:paraId="41CE5E7C">
      <w:pPr>
        <w:spacing w:line="360" w:lineRule="auto"/>
        <w:ind w:firstLine="420" w:firstLineChars="200"/>
      </w:pPr>
      <w:r>
        <w:t>根据第三方市场调研报告相关数据，2026年上半年，深圳办公房地产市场新增供应有所放缓但仍总量可观，共录得29.8万平方米新增供应，为2015年进入供应高峰以来的同期最低值。虽然受头部企业密集节点式回迁总部影响，导致市场空置面积点状式骤增，上半年共甲乙级写字楼仅录得5.9万平方米的净吸纳量，但剔除头部企业密集回迁总部因素影响后，全市净吸纳量达37.5万平方米，同比小幅增长，为近五年来的较高水平。受新增供应增加及头部租户大规模搬出双重影响，深圳全市甲乙级办公楼空置率半年度上行1.9个百分点至24.2%，其中甲级办公楼空置率环比上升0.2个百分点至26.7%。市场以价换量策略延续，全市甲乙级办公楼平均租金半年度环比下跌6.0%，降幅较去年同期收窄1.8个百分点。2026年上半年全市一手办公成交2,081套，成交面积154,794.91平方米，成交均价37,082元/平方米，去化周期稳步降至15个月。产业园方面，2026年上半年深圳市土地市场招拍挂成交工业用地15宗，占全部成交宗地的62.50%，工业用地规划建筑面积占比近60%，体现了政府对产业支持力度。过往三年深圳工业用地供应量较大，短期内工业用房供过于求的局面仍然存在。深圳市标准厂房首层租金单价主要集中在30-45元/平方米/月，二层及以上主要集中在20-35元/平方米/月；产业研发用房在原关内的月租金水平多数处于60-105元/平方米，售价多数处于17,000-26,000元/平方米区间；原关外的月租金水平多数处于30-65元/平方米，售价多数处于7,000-15,000元/平方米区间。</w:t>
      </w:r>
    </w:p>
    <w:p w14:paraId="1FD967A6">
      <w:pPr>
        <w:spacing w:line="360" w:lineRule="auto"/>
        <w:ind w:firstLine="420" w:firstLineChars="200"/>
      </w:pPr>
      <w:r>
        <w:t>2026年上半年，深圳大宗资产交易市场共录得24宗成交，其中工业厂房资产成交金额占比高达50%。依托“20+8”产业政策落地及AI算力产业爆发式增长，叠加深圳工业用地稀缺性持续凸显，核心片区厂房、产业园价值持续提升。受到甲级写字楼市场租金下行的竞争压力，叠加企业办公空间集约化整合及自有物业回迁潮所带来的市场化租赁需求减弱，研发办公的出租率及租金在短期仍面临一定压力；工业厂房的租金受影响相对较小，但短期供应加大或导致空置率有所上升。</w:t>
      </w:r>
    </w:p>
    <w:bookmarkEnd w:id="116"/>
    <w:bookmarkEnd w:id="117"/>
    <w:bookmarkEnd w:id="118"/>
    <w:bookmarkEnd w:id="119"/>
    <w:bookmarkEnd w:id="120"/>
    <w:bookmarkEnd w:id="121"/>
    <w:bookmarkEnd w:id="122"/>
    <w:bookmarkEnd w:id="123"/>
    <w:p w14:paraId="726A1302">
      <w:pPr>
        <w:pStyle w:val="3"/>
        <w:spacing w:before="312" w:beforeLines="100" w:after="0"/>
        <w:rPr>
          <w:rFonts w:ascii="Times New Roman" w:hAnsi="Times New Roman" w:cs="Times New Roman"/>
          <w:kern w:val="0"/>
          <w:sz w:val="21"/>
          <w:szCs w:val="21"/>
        </w:rPr>
      </w:pPr>
      <w:bookmarkStart w:id="138" w:name="_Toc28031"/>
      <w:r>
        <w:rPr>
          <w:rFonts w:ascii="Times New Roman" w:hAnsi="Times New Roman" w:cs="Times New Roman"/>
          <w:kern w:val="0"/>
          <w:sz w:val="21"/>
          <w:szCs w:val="21"/>
        </w:rPr>
        <w:t xml:space="preserve">4.3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项目运营相关财务信息</w:t>
      </w:r>
      <w:bookmarkEnd w:id="138"/>
    </w:p>
    <w:p w14:paraId="2F00DAC2">
      <w:pPr>
        <w:autoSpaceDE w:val="0"/>
        <w:autoSpaceDN w:val="0"/>
        <w:adjustRightInd w:val="0"/>
        <w:spacing w:line="360" w:lineRule="auto"/>
        <w:outlineLvl w:val="2"/>
        <w:rPr>
          <w:b/>
          <w:bCs/>
        </w:rPr>
      </w:pPr>
      <w:r>
        <w:rPr>
          <w:b/>
          <w:bCs/>
        </w:rPr>
        <w:t>4.3.1 项目公司整体财务情况</w:t>
      </w:r>
    </w:p>
    <w:tbl>
      <w:tblPr>
        <w:tblStyle w:val="40"/>
        <w:tblW w:w="9146" w:type="dxa"/>
        <w:jc w:val="center"/>
        <w:tblLayout w:type="fixed"/>
        <w:tblCellMar>
          <w:top w:w="0" w:type="dxa"/>
          <w:left w:w="108" w:type="dxa"/>
          <w:bottom w:w="0" w:type="dxa"/>
          <w:right w:w="108" w:type="dxa"/>
        </w:tblCellMar>
      </w:tblPr>
      <w:tblGrid>
        <w:gridCol w:w="680"/>
        <w:gridCol w:w="1646"/>
        <w:gridCol w:w="2342"/>
        <w:gridCol w:w="2410"/>
        <w:gridCol w:w="2068"/>
      </w:tblGrid>
      <w:tr w14:paraId="76D15A40">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4ED4FEC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646" w:type="dxa"/>
            <w:tcBorders>
              <w:top w:val="single" w:color="000000" w:sz="4" w:space="0"/>
              <w:left w:val="nil"/>
              <w:bottom w:val="single" w:color="000000" w:sz="4" w:space="0"/>
              <w:right w:val="single" w:color="000000" w:sz="4" w:space="0"/>
            </w:tcBorders>
            <w:vAlign w:val="center"/>
          </w:tcPr>
          <w:p w14:paraId="5C3EB18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科目名称</w:t>
            </w:r>
          </w:p>
        </w:tc>
        <w:tc>
          <w:tcPr>
            <w:tcW w:w="2342" w:type="dxa"/>
            <w:tcBorders>
              <w:top w:val="single" w:color="000000" w:sz="4" w:space="0"/>
              <w:left w:val="nil"/>
              <w:bottom w:val="single" w:color="000000" w:sz="4" w:space="0"/>
              <w:right w:val="single" w:color="000000" w:sz="4" w:space="0"/>
            </w:tcBorders>
            <w:vAlign w:val="center"/>
          </w:tcPr>
          <w:p w14:paraId="6C2E038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报告期末金额（元）</w:t>
            </w:r>
          </w:p>
        </w:tc>
        <w:tc>
          <w:tcPr>
            <w:tcW w:w="2410" w:type="dxa"/>
            <w:tcBorders>
              <w:top w:val="single" w:color="000000" w:sz="4" w:space="0"/>
              <w:left w:val="nil"/>
              <w:bottom w:val="single" w:color="000000" w:sz="4" w:space="0"/>
              <w:right w:val="single" w:color="000000" w:sz="4" w:space="0"/>
            </w:tcBorders>
            <w:vAlign w:val="center"/>
          </w:tcPr>
          <w:p w14:paraId="3C4935D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上年末金额（元）</w:t>
            </w:r>
          </w:p>
        </w:tc>
        <w:tc>
          <w:tcPr>
            <w:tcW w:w="2068" w:type="dxa"/>
            <w:tcBorders>
              <w:top w:val="single" w:color="000000" w:sz="4" w:space="0"/>
              <w:left w:val="nil"/>
              <w:bottom w:val="single" w:color="000000" w:sz="4" w:space="0"/>
              <w:right w:val="single" w:color="000000" w:sz="4" w:space="0"/>
            </w:tcBorders>
            <w:vAlign w:val="center"/>
          </w:tcPr>
          <w:p w14:paraId="5FA2778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变动比例（%）</w:t>
            </w:r>
          </w:p>
        </w:tc>
      </w:tr>
      <w:tr w14:paraId="5745B1C7">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5880370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w:t>
            </w:r>
          </w:p>
        </w:tc>
        <w:tc>
          <w:tcPr>
            <w:tcW w:w="1646" w:type="dxa"/>
            <w:tcBorders>
              <w:top w:val="single" w:color="000000" w:sz="4" w:space="0"/>
              <w:left w:val="nil"/>
              <w:bottom w:val="single" w:color="000000" w:sz="4" w:space="0"/>
              <w:right w:val="single" w:color="000000" w:sz="4" w:space="0"/>
            </w:tcBorders>
            <w:vAlign w:val="center"/>
          </w:tcPr>
          <w:p w14:paraId="49CB98B4">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总资产</w:t>
            </w:r>
          </w:p>
        </w:tc>
        <w:tc>
          <w:tcPr>
            <w:tcW w:w="2342" w:type="dxa"/>
            <w:tcBorders>
              <w:top w:val="single" w:color="000000" w:sz="4" w:space="0"/>
              <w:left w:val="nil"/>
              <w:bottom w:val="single" w:color="000000" w:sz="4" w:space="0"/>
              <w:right w:val="single" w:color="000000" w:sz="4" w:space="0"/>
            </w:tcBorders>
            <w:vAlign w:val="center"/>
          </w:tcPr>
          <w:p w14:paraId="22ADFBB9">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3,436,186,879.70</w:t>
            </w:r>
          </w:p>
        </w:tc>
        <w:tc>
          <w:tcPr>
            <w:tcW w:w="2410" w:type="dxa"/>
            <w:tcBorders>
              <w:top w:val="single" w:color="000000" w:sz="4" w:space="0"/>
              <w:left w:val="nil"/>
              <w:bottom w:val="single" w:color="000000" w:sz="4" w:space="0"/>
              <w:right w:val="single" w:color="000000" w:sz="4" w:space="0"/>
            </w:tcBorders>
            <w:vAlign w:val="center"/>
          </w:tcPr>
          <w:p w14:paraId="079EA2E1">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3,635,561,654.89</w:t>
            </w:r>
          </w:p>
        </w:tc>
        <w:tc>
          <w:tcPr>
            <w:tcW w:w="2068" w:type="dxa"/>
            <w:tcBorders>
              <w:top w:val="single" w:color="000000" w:sz="4" w:space="0"/>
              <w:left w:val="nil"/>
              <w:bottom w:val="single" w:color="000000" w:sz="4" w:space="0"/>
              <w:right w:val="single" w:color="000000" w:sz="4" w:space="0"/>
            </w:tcBorders>
            <w:vAlign w:val="center"/>
          </w:tcPr>
          <w:p w14:paraId="6BDB4DD4">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-5.48%</w:t>
            </w:r>
          </w:p>
        </w:tc>
      </w:tr>
      <w:tr w14:paraId="4839C4FB">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27C2118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2</w:t>
            </w:r>
          </w:p>
        </w:tc>
        <w:tc>
          <w:tcPr>
            <w:tcW w:w="1646" w:type="dxa"/>
            <w:tcBorders>
              <w:top w:val="single" w:color="000000" w:sz="4" w:space="0"/>
              <w:left w:val="nil"/>
              <w:bottom w:val="single" w:color="000000" w:sz="4" w:space="0"/>
              <w:right w:val="single" w:color="000000" w:sz="4" w:space="0"/>
            </w:tcBorders>
            <w:vAlign w:val="center"/>
          </w:tcPr>
          <w:p w14:paraId="5B2874DD">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总负债</w:t>
            </w:r>
          </w:p>
        </w:tc>
        <w:tc>
          <w:tcPr>
            <w:tcW w:w="2342" w:type="dxa"/>
            <w:tcBorders>
              <w:top w:val="single" w:color="000000" w:sz="4" w:space="0"/>
              <w:left w:val="nil"/>
              <w:bottom w:val="single" w:color="000000" w:sz="4" w:space="0"/>
              <w:right w:val="single" w:color="000000" w:sz="4" w:space="0"/>
            </w:tcBorders>
            <w:vAlign w:val="center"/>
          </w:tcPr>
          <w:p w14:paraId="3A181AED">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2,721,436,959.00</w:t>
            </w:r>
          </w:p>
        </w:tc>
        <w:tc>
          <w:tcPr>
            <w:tcW w:w="2410" w:type="dxa"/>
            <w:tcBorders>
              <w:top w:val="single" w:color="000000" w:sz="4" w:space="0"/>
              <w:left w:val="nil"/>
              <w:bottom w:val="single" w:color="000000" w:sz="4" w:space="0"/>
              <w:right w:val="single" w:color="000000" w:sz="4" w:space="0"/>
            </w:tcBorders>
            <w:vAlign w:val="center"/>
          </w:tcPr>
          <w:p w14:paraId="49CDCB5E">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2,774,168,117.47</w:t>
            </w:r>
          </w:p>
        </w:tc>
        <w:tc>
          <w:tcPr>
            <w:tcW w:w="2068" w:type="dxa"/>
            <w:tcBorders>
              <w:top w:val="single" w:color="000000" w:sz="4" w:space="0"/>
              <w:left w:val="nil"/>
              <w:bottom w:val="single" w:color="000000" w:sz="4" w:space="0"/>
              <w:right w:val="single" w:color="000000" w:sz="4" w:space="0"/>
            </w:tcBorders>
            <w:vAlign w:val="center"/>
          </w:tcPr>
          <w:p w14:paraId="76FFA3BF">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-1.90%</w:t>
            </w:r>
          </w:p>
        </w:tc>
      </w:tr>
      <w:tr w14:paraId="12D2E91A">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6B46AEE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646" w:type="dxa"/>
            <w:tcBorders>
              <w:top w:val="single" w:color="000000" w:sz="4" w:space="0"/>
              <w:left w:val="nil"/>
              <w:bottom w:val="single" w:color="000000" w:sz="4" w:space="0"/>
              <w:right w:val="single" w:color="000000" w:sz="4" w:space="0"/>
            </w:tcBorders>
            <w:vAlign w:val="center"/>
          </w:tcPr>
          <w:p w14:paraId="11B1502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科目名称</w:t>
            </w:r>
          </w:p>
        </w:tc>
        <w:tc>
          <w:tcPr>
            <w:tcW w:w="2342" w:type="dxa"/>
            <w:tcBorders>
              <w:top w:val="single" w:color="000000" w:sz="4" w:space="0"/>
              <w:left w:val="nil"/>
              <w:bottom w:val="single" w:color="000000" w:sz="4" w:space="0"/>
              <w:right w:val="single" w:color="000000" w:sz="4" w:space="0"/>
            </w:tcBorders>
            <w:vAlign w:val="center"/>
          </w:tcPr>
          <w:p w14:paraId="5A5BC50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报告期金额（元）</w:t>
            </w:r>
          </w:p>
        </w:tc>
        <w:tc>
          <w:tcPr>
            <w:tcW w:w="2410" w:type="dxa"/>
            <w:tcBorders>
              <w:top w:val="single" w:color="000000" w:sz="4" w:space="0"/>
              <w:left w:val="nil"/>
              <w:bottom w:val="single" w:color="000000" w:sz="4" w:space="0"/>
              <w:right w:val="single" w:color="000000" w:sz="4" w:space="0"/>
            </w:tcBorders>
            <w:vAlign w:val="center"/>
          </w:tcPr>
          <w:p w14:paraId="0DA34D0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上年同期金额（元）</w:t>
            </w:r>
          </w:p>
        </w:tc>
        <w:tc>
          <w:tcPr>
            <w:tcW w:w="2068" w:type="dxa"/>
            <w:tcBorders>
              <w:top w:val="single" w:color="000000" w:sz="4" w:space="0"/>
              <w:left w:val="nil"/>
              <w:bottom w:val="single" w:color="000000" w:sz="4" w:space="0"/>
              <w:right w:val="single" w:color="000000" w:sz="4" w:space="0"/>
            </w:tcBorders>
            <w:vAlign w:val="center"/>
          </w:tcPr>
          <w:p w14:paraId="4CCDEB9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变动比例（%）</w:t>
            </w:r>
          </w:p>
        </w:tc>
      </w:tr>
      <w:tr w14:paraId="4797BAAB">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4045529A">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w:t>
            </w:r>
          </w:p>
        </w:tc>
        <w:tc>
          <w:tcPr>
            <w:tcW w:w="1646" w:type="dxa"/>
            <w:tcBorders>
              <w:top w:val="single" w:color="000000" w:sz="4" w:space="0"/>
              <w:left w:val="nil"/>
              <w:bottom w:val="single" w:color="000000" w:sz="4" w:space="0"/>
              <w:right w:val="single" w:color="000000" w:sz="4" w:space="0"/>
            </w:tcBorders>
            <w:vAlign w:val="center"/>
          </w:tcPr>
          <w:p w14:paraId="3E7EB4B6">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营业收入</w:t>
            </w:r>
          </w:p>
        </w:tc>
        <w:tc>
          <w:tcPr>
            <w:tcW w:w="2342" w:type="dxa"/>
            <w:tcBorders>
              <w:top w:val="single" w:color="000000" w:sz="4" w:space="0"/>
              <w:left w:val="nil"/>
              <w:bottom w:val="single" w:color="000000" w:sz="4" w:space="0"/>
              <w:right w:val="single" w:color="000000" w:sz="4" w:space="0"/>
            </w:tcBorders>
            <w:vAlign w:val="center"/>
          </w:tcPr>
          <w:p w14:paraId="1DE790FF">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81,069,024.18</w:t>
            </w:r>
          </w:p>
        </w:tc>
        <w:tc>
          <w:tcPr>
            <w:tcW w:w="2410" w:type="dxa"/>
            <w:tcBorders>
              <w:top w:val="single" w:color="000000" w:sz="4" w:space="0"/>
              <w:left w:val="nil"/>
              <w:bottom w:val="single" w:color="000000" w:sz="4" w:space="0"/>
              <w:right w:val="single" w:color="000000" w:sz="4" w:space="0"/>
            </w:tcBorders>
            <w:vAlign w:val="center"/>
          </w:tcPr>
          <w:p w14:paraId="57B2492C">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90,957,874.59</w:t>
            </w:r>
          </w:p>
        </w:tc>
        <w:tc>
          <w:tcPr>
            <w:tcW w:w="2068" w:type="dxa"/>
            <w:tcBorders>
              <w:top w:val="single" w:color="000000" w:sz="4" w:space="0"/>
              <w:left w:val="nil"/>
              <w:bottom w:val="single" w:color="000000" w:sz="4" w:space="0"/>
              <w:right w:val="single" w:color="000000" w:sz="4" w:space="0"/>
            </w:tcBorders>
            <w:vAlign w:val="center"/>
          </w:tcPr>
          <w:p w14:paraId="6DAE0236">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-10.87%</w:t>
            </w:r>
          </w:p>
        </w:tc>
      </w:tr>
      <w:tr w14:paraId="5EFBC756">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22E0FF1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2</w:t>
            </w:r>
          </w:p>
        </w:tc>
        <w:tc>
          <w:tcPr>
            <w:tcW w:w="1646" w:type="dxa"/>
            <w:tcBorders>
              <w:top w:val="single" w:color="000000" w:sz="4" w:space="0"/>
              <w:left w:val="nil"/>
              <w:bottom w:val="single" w:color="000000" w:sz="4" w:space="0"/>
              <w:right w:val="single" w:color="000000" w:sz="4" w:space="0"/>
            </w:tcBorders>
            <w:vAlign w:val="center"/>
          </w:tcPr>
          <w:p w14:paraId="2CA64449">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营业成本/费用</w:t>
            </w:r>
          </w:p>
        </w:tc>
        <w:tc>
          <w:tcPr>
            <w:tcW w:w="2342" w:type="dxa"/>
            <w:tcBorders>
              <w:top w:val="single" w:color="000000" w:sz="4" w:space="0"/>
              <w:left w:val="nil"/>
              <w:bottom w:val="single" w:color="000000" w:sz="4" w:space="0"/>
              <w:right w:val="single" w:color="000000" w:sz="4" w:space="0"/>
            </w:tcBorders>
            <w:vAlign w:val="center"/>
          </w:tcPr>
          <w:p w14:paraId="019669D5">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11,517,651.97</w:t>
            </w:r>
          </w:p>
        </w:tc>
        <w:tc>
          <w:tcPr>
            <w:tcW w:w="2410" w:type="dxa"/>
            <w:tcBorders>
              <w:top w:val="single" w:color="000000" w:sz="4" w:space="0"/>
              <w:left w:val="nil"/>
              <w:bottom w:val="single" w:color="000000" w:sz="4" w:space="0"/>
              <w:right w:val="single" w:color="000000" w:sz="4" w:space="0"/>
            </w:tcBorders>
            <w:vAlign w:val="center"/>
          </w:tcPr>
          <w:p w14:paraId="0266C488">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13,533,243.15</w:t>
            </w:r>
          </w:p>
        </w:tc>
        <w:tc>
          <w:tcPr>
            <w:tcW w:w="2068" w:type="dxa"/>
            <w:tcBorders>
              <w:top w:val="single" w:color="000000" w:sz="4" w:space="0"/>
              <w:left w:val="nil"/>
              <w:bottom w:val="single" w:color="000000" w:sz="4" w:space="0"/>
              <w:right w:val="single" w:color="000000" w:sz="4" w:space="0"/>
            </w:tcBorders>
            <w:vAlign w:val="center"/>
          </w:tcPr>
          <w:p w14:paraId="3B8E5911">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-14.89%</w:t>
            </w:r>
          </w:p>
        </w:tc>
      </w:tr>
      <w:tr w14:paraId="3F223A6C">
        <w:tblPrEx>
          <w:tblCellMar>
            <w:top w:w="0" w:type="dxa"/>
            <w:left w:w="108" w:type="dxa"/>
            <w:bottom w:w="0" w:type="dxa"/>
            <w:right w:w="108" w:type="dxa"/>
          </w:tblCellMar>
        </w:tblPrEx>
        <w:trPr>
          <w:trHeight w:val="290"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7C1B1DE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1646" w:type="dxa"/>
            <w:tcBorders>
              <w:top w:val="single" w:color="000000" w:sz="4" w:space="0"/>
              <w:left w:val="nil"/>
              <w:bottom w:val="single" w:color="000000" w:sz="4" w:space="0"/>
              <w:right w:val="single" w:color="000000" w:sz="4" w:space="0"/>
            </w:tcBorders>
            <w:vAlign w:val="center"/>
          </w:tcPr>
          <w:p w14:paraId="375659AB">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EBITDA</w:t>
            </w:r>
          </w:p>
        </w:tc>
        <w:tc>
          <w:tcPr>
            <w:tcW w:w="2342" w:type="dxa"/>
            <w:tcBorders>
              <w:top w:val="single" w:color="000000" w:sz="4" w:space="0"/>
              <w:left w:val="nil"/>
              <w:bottom w:val="single" w:color="000000" w:sz="4" w:space="0"/>
              <w:right w:val="single" w:color="000000" w:sz="4" w:space="0"/>
            </w:tcBorders>
            <w:vAlign w:val="center"/>
          </w:tcPr>
          <w:p w14:paraId="06BAC4A0">
            <w:pPr>
              <w:pStyle w:val="36"/>
              <w:adjustRightInd w:val="0"/>
              <w:snapToGrid w:val="0"/>
              <w:spacing w:line="360" w:lineRule="auto"/>
              <w:jc w:val="right"/>
              <w:rPr>
                <w:rFonts w:ascii="Times New Roman" w:hAnsi="Times New Roman" w:cs="Times New Roman"/>
                <w:sz w:val="21"/>
                <w:szCs w:val="21"/>
              </w:rPr>
            </w:pPr>
            <w:bookmarkStart w:id="139" w:name="_Hlk202280126"/>
            <w:bookmarkEnd w:id="139"/>
            <w:r>
              <w:rPr>
                <w:rFonts w:ascii="Times New Roman" w:hAnsi="Times New Roman" w:cs="Times New Roman"/>
                <w:sz w:val="21"/>
                <w:szCs w:val="21"/>
              </w:rPr>
              <w:t>63,262,401.01</w:t>
            </w:r>
          </w:p>
        </w:tc>
        <w:tc>
          <w:tcPr>
            <w:tcW w:w="2410" w:type="dxa"/>
            <w:tcBorders>
              <w:top w:val="single" w:color="000000" w:sz="4" w:space="0"/>
              <w:left w:val="nil"/>
              <w:bottom w:val="single" w:color="000000" w:sz="4" w:space="0"/>
              <w:right w:val="single" w:color="000000" w:sz="4" w:space="0"/>
            </w:tcBorders>
            <w:vAlign w:val="center"/>
          </w:tcPr>
          <w:p w14:paraId="4615D6E3">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70,978,050.20</w:t>
            </w:r>
          </w:p>
        </w:tc>
        <w:tc>
          <w:tcPr>
            <w:tcW w:w="2068" w:type="dxa"/>
            <w:tcBorders>
              <w:top w:val="single" w:color="000000" w:sz="4" w:space="0"/>
              <w:left w:val="nil"/>
              <w:bottom w:val="single" w:color="000000" w:sz="4" w:space="0"/>
              <w:right w:val="single" w:color="000000" w:sz="4" w:space="0"/>
            </w:tcBorders>
            <w:vAlign w:val="center"/>
          </w:tcPr>
          <w:p w14:paraId="4EE1951C">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-10.87%</w:t>
            </w:r>
          </w:p>
        </w:tc>
      </w:tr>
    </w:tbl>
    <w:p w14:paraId="6A682D68">
      <w:pPr>
        <w:autoSpaceDE w:val="0"/>
        <w:autoSpaceDN w:val="0"/>
        <w:adjustRightInd w:val="0"/>
        <w:spacing w:line="360" w:lineRule="auto"/>
        <w:outlineLvl w:val="2"/>
        <w:rPr>
          <w:b/>
          <w:bCs/>
        </w:rPr>
      </w:pPr>
      <w:bookmarkStart w:id="140" w:name="_Toc98602640"/>
      <w:bookmarkStart w:id="141" w:name="_Toc98601291"/>
      <w:bookmarkStart w:id="142" w:name="_Toc96424895"/>
      <w:r>
        <w:rPr>
          <w:b/>
          <w:bCs/>
        </w:rPr>
        <w:t xml:space="preserve">4.3.2 </w:t>
      </w:r>
      <w:bookmarkEnd w:id="140"/>
      <w:bookmarkEnd w:id="141"/>
      <w:bookmarkEnd w:id="142"/>
      <w:r>
        <w:rPr>
          <w:b/>
          <w:bCs/>
        </w:rPr>
        <w:t>重要</w:t>
      </w:r>
      <w:r>
        <w:rPr>
          <w:rFonts w:hint="eastAsia"/>
          <w:b/>
          <w:bCs/>
        </w:rPr>
        <w:t>不动产</w:t>
      </w:r>
      <w:r>
        <w:rPr>
          <w:b/>
          <w:bCs/>
        </w:rPr>
        <w:t>项目公司的主要资产负债科目分析</w:t>
      </w:r>
    </w:p>
    <w:p w14:paraId="39A2EE63">
      <w:pPr>
        <w:spacing w:line="360" w:lineRule="auto"/>
        <w:jc w:val="left"/>
      </w:pPr>
      <w:r>
        <w:t>项目公司名称：1 深圳市万海大厦管理有限公司</w:t>
      </w:r>
    </w:p>
    <w:tbl>
      <w:tblPr>
        <w:tblStyle w:val="40"/>
        <w:tblW w:w="8977"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889"/>
        <w:gridCol w:w="2413"/>
        <w:gridCol w:w="2299"/>
        <w:gridCol w:w="1206"/>
      </w:tblGrid>
      <w:tr w14:paraId="4F31F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170" w:type="dxa"/>
            <w:vAlign w:val="center"/>
          </w:tcPr>
          <w:p w14:paraId="3AA00C4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889" w:type="dxa"/>
            <w:vAlign w:val="center"/>
          </w:tcPr>
          <w:p w14:paraId="2902ED9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413" w:type="dxa"/>
            <w:vAlign w:val="center"/>
          </w:tcPr>
          <w:p w14:paraId="706244E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报告期末2026年6月30日金额（元）</w:t>
            </w:r>
          </w:p>
        </w:tc>
        <w:tc>
          <w:tcPr>
            <w:tcW w:w="2299" w:type="dxa"/>
            <w:vAlign w:val="center"/>
          </w:tcPr>
          <w:p w14:paraId="04FA137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上年末2025年12月31日金额（元）</w:t>
            </w:r>
          </w:p>
        </w:tc>
        <w:tc>
          <w:tcPr>
            <w:tcW w:w="1206" w:type="dxa"/>
            <w:vAlign w:val="center"/>
          </w:tcPr>
          <w:p w14:paraId="08CA2D2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较上年末变动（%）</w:t>
            </w:r>
          </w:p>
        </w:tc>
      </w:tr>
      <w:tr w14:paraId="0128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4BD68E9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主要资产科目</w:t>
            </w:r>
          </w:p>
        </w:tc>
      </w:tr>
      <w:tr w14:paraId="228B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4A39007">
            <w:pPr>
              <w:jc w:val="left"/>
            </w:pPr>
            <w:r>
              <w:rPr>
                <w:kern w:val="0"/>
              </w:rPr>
              <w:t>1</w:t>
            </w:r>
          </w:p>
        </w:tc>
        <w:tc>
          <w:tcPr>
            <w:vAlign w:val="center"/>
          </w:tcPr>
          <w:p w14:paraId="29CADAAC">
            <w:pPr>
              <w:jc w:val="left"/>
            </w:pPr>
            <w:r>
              <w:rPr>
                <w:kern w:val="0"/>
              </w:rPr>
              <w:t>投资性房地产</w:t>
            </w:r>
          </w:p>
        </w:tc>
        <w:tc>
          <w:tcPr>
            <w:vAlign w:val="center"/>
          </w:tcPr>
          <w:p w14:paraId="06239147">
            <w:pPr>
              <w:jc w:val="right"/>
            </w:pPr>
            <w:r>
              <w:rPr>
                <w:kern w:val="0"/>
              </w:rPr>
              <w:t>1,317,000,000.00</w:t>
            </w:r>
          </w:p>
        </w:tc>
        <w:tc>
          <w:tcPr>
            <w:vAlign w:val="center"/>
          </w:tcPr>
          <w:p w14:paraId="1B3E7FF1">
            <w:pPr>
              <w:jc w:val="right"/>
            </w:pPr>
            <w:r>
              <w:rPr>
                <w:kern w:val="0"/>
              </w:rPr>
              <w:t>1,317,000,000.00</w:t>
            </w:r>
          </w:p>
        </w:tc>
        <w:tc>
          <w:tcPr>
            <w:vAlign w:val="center"/>
          </w:tcPr>
          <w:p w14:paraId="4DD5F2AE">
            <w:pPr>
              <w:jc w:val="right"/>
            </w:pPr>
            <w:r>
              <w:rPr>
                <w:kern w:val="0"/>
              </w:rPr>
              <w:t>0.00%</w:t>
            </w:r>
          </w:p>
        </w:tc>
      </w:tr>
      <w:tr w14:paraId="003C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607EEC5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主要负债科目</w:t>
            </w:r>
          </w:p>
        </w:tc>
      </w:tr>
      <w:tr w14:paraId="091B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58D0C5C">
            <w:pPr>
              <w:jc w:val="left"/>
            </w:pPr>
            <w:r>
              <w:rPr>
                <w:kern w:val="0"/>
              </w:rPr>
              <w:t>1</w:t>
            </w:r>
          </w:p>
        </w:tc>
        <w:tc>
          <w:tcPr>
            <w:vAlign w:val="center"/>
          </w:tcPr>
          <w:p w14:paraId="4EE3DA5F">
            <w:pPr>
              <w:jc w:val="left"/>
            </w:pPr>
            <w:r>
              <w:rPr>
                <w:kern w:val="0"/>
              </w:rPr>
              <w:t>长期应付款</w:t>
            </w:r>
          </w:p>
        </w:tc>
        <w:tc>
          <w:tcPr>
            <w:vAlign w:val="center"/>
          </w:tcPr>
          <w:p w14:paraId="0442212B">
            <w:pPr>
              <w:jc w:val="right"/>
            </w:pPr>
            <w:r>
              <w:rPr>
                <w:kern w:val="0"/>
              </w:rPr>
              <w:t>697,900,000.00</w:t>
            </w:r>
          </w:p>
        </w:tc>
        <w:tc>
          <w:tcPr>
            <w:vAlign w:val="center"/>
          </w:tcPr>
          <w:p w14:paraId="6385208B">
            <w:pPr>
              <w:jc w:val="right"/>
            </w:pPr>
            <w:r>
              <w:rPr>
                <w:kern w:val="0"/>
              </w:rPr>
              <w:t>697,900,000.00</w:t>
            </w:r>
          </w:p>
        </w:tc>
        <w:tc>
          <w:tcPr>
            <w:vAlign w:val="center"/>
          </w:tcPr>
          <w:p w14:paraId="1C381642">
            <w:pPr>
              <w:jc w:val="right"/>
            </w:pPr>
            <w:r>
              <w:rPr>
                <w:kern w:val="0"/>
              </w:rPr>
              <w:t>0.00%</w:t>
            </w:r>
          </w:p>
        </w:tc>
      </w:tr>
      <w:tr w14:paraId="6BC92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9F1E858">
            <w:pPr>
              <w:jc w:val="left"/>
            </w:pPr>
            <w:r>
              <w:rPr>
                <w:kern w:val="0"/>
              </w:rPr>
              <w:t>2</w:t>
            </w:r>
          </w:p>
        </w:tc>
        <w:tc>
          <w:tcPr>
            <w:vAlign w:val="center"/>
          </w:tcPr>
          <w:p w14:paraId="698040B6">
            <w:pPr>
              <w:jc w:val="left"/>
            </w:pPr>
            <w:r>
              <w:rPr>
                <w:kern w:val="0"/>
              </w:rPr>
              <w:t>长期借款</w:t>
            </w:r>
          </w:p>
        </w:tc>
        <w:tc>
          <w:tcPr>
            <w:vAlign w:val="center"/>
          </w:tcPr>
          <w:p w14:paraId="6C9C805A">
            <w:pPr>
              <w:jc w:val="right"/>
            </w:pPr>
            <w:r>
              <w:rPr>
                <w:kern w:val="0"/>
              </w:rPr>
              <w:t>292,231,500.00</w:t>
            </w:r>
          </w:p>
        </w:tc>
        <w:tc>
          <w:tcPr>
            <w:vAlign w:val="center"/>
          </w:tcPr>
          <w:p w14:paraId="02468383">
            <w:pPr>
              <w:jc w:val="right"/>
            </w:pPr>
            <w:r>
              <w:rPr>
                <w:kern w:val="0"/>
              </w:rPr>
              <w:t>293,700,000.00</w:t>
            </w:r>
          </w:p>
        </w:tc>
        <w:tc>
          <w:tcPr>
            <w:vAlign w:val="center"/>
          </w:tcPr>
          <w:p w14:paraId="0F459656">
            <w:pPr>
              <w:jc w:val="right"/>
            </w:pPr>
            <w:r>
              <w:rPr>
                <w:kern w:val="0"/>
              </w:rPr>
              <w:t>-0.50%</w:t>
            </w:r>
          </w:p>
        </w:tc>
      </w:tr>
    </w:tbl>
    <w:p w14:paraId="15E401FA">
      <w:pPr>
        <w:spacing w:line="360" w:lineRule="auto"/>
        <w:jc w:val="left"/>
      </w:pPr>
      <w:r>
        <w:t>项目公司名称：2 深圳市万融大厦管理有限公司</w:t>
      </w:r>
    </w:p>
    <w:tbl>
      <w:tblPr>
        <w:tblStyle w:val="40"/>
        <w:tblW w:w="8977"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889"/>
        <w:gridCol w:w="2413"/>
        <w:gridCol w:w="2299"/>
        <w:gridCol w:w="1206"/>
      </w:tblGrid>
      <w:tr w14:paraId="51AC9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170" w:type="dxa"/>
            <w:vAlign w:val="center"/>
          </w:tcPr>
          <w:p w14:paraId="672C986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889" w:type="dxa"/>
            <w:vAlign w:val="center"/>
          </w:tcPr>
          <w:p w14:paraId="34DEA2C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413" w:type="dxa"/>
            <w:vAlign w:val="center"/>
          </w:tcPr>
          <w:p w14:paraId="5C18329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报告期末2026年6月30日金额（元）</w:t>
            </w:r>
          </w:p>
        </w:tc>
        <w:tc>
          <w:tcPr>
            <w:tcW w:w="2299" w:type="dxa"/>
            <w:vAlign w:val="center"/>
          </w:tcPr>
          <w:p w14:paraId="275AAE5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上年末2025年12月31日金额（元）</w:t>
            </w:r>
          </w:p>
        </w:tc>
        <w:tc>
          <w:tcPr>
            <w:tcW w:w="1206" w:type="dxa"/>
            <w:vAlign w:val="center"/>
          </w:tcPr>
          <w:p w14:paraId="5CDE27E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较上年末变动（%）</w:t>
            </w:r>
          </w:p>
        </w:tc>
      </w:tr>
      <w:tr w14:paraId="3A4D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661121E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主要资产科目</w:t>
            </w:r>
          </w:p>
        </w:tc>
      </w:tr>
      <w:tr w14:paraId="55A5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64FC081">
            <w:pPr>
              <w:jc w:val="left"/>
            </w:pPr>
            <w:r>
              <w:rPr>
                <w:kern w:val="0"/>
              </w:rPr>
              <w:t>1</w:t>
            </w:r>
          </w:p>
        </w:tc>
        <w:tc>
          <w:tcPr>
            <w:vAlign w:val="center"/>
          </w:tcPr>
          <w:p w14:paraId="23D27903">
            <w:pPr>
              <w:jc w:val="left"/>
            </w:pPr>
            <w:r>
              <w:rPr>
                <w:kern w:val="0"/>
              </w:rPr>
              <w:t>投资性房地产</w:t>
            </w:r>
          </w:p>
        </w:tc>
        <w:tc>
          <w:tcPr>
            <w:vAlign w:val="center"/>
          </w:tcPr>
          <w:p w14:paraId="73B50A50">
            <w:pPr>
              <w:jc w:val="right"/>
            </w:pPr>
            <w:r>
              <w:rPr>
                <w:kern w:val="0"/>
              </w:rPr>
              <w:t>963,000,000.00</w:t>
            </w:r>
          </w:p>
        </w:tc>
        <w:tc>
          <w:tcPr>
            <w:vAlign w:val="center"/>
          </w:tcPr>
          <w:p w14:paraId="41B7746A">
            <w:pPr>
              <w:jc w:val="right"/>
            </w:pPr>
            <w:r>
              <w:rPr>
                <w:kern w:val="0"/>
              </w:rPr>
              <w:t>963,000,000.00</w:t>
            </w:r>
          </w:p>
        </w:tc>
        <w:tc>
          <w:tcPr>
            <w:vAlign w:val="center"/>
          </w:tcPr>
          <w:p w14:paraId="7310E2E8">
            <w:pPr>
              <w:jc w:val="right"/>
            </w:pPr>
            <w:r>
              <w:rPr>
                <w:kern w:val="0"/>
              </w:rPr>
              <w:t>0.00%</w:t>
            </w:r>
          </w:p>
        </w:tc>
      </w:tr>
      <w:tr w14:paraId="75785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6885F0E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主要负债科目</w:t>
            </w:r>
          </w:p>
        </w:tc>
      </w:tr>
      <w:tr w14:paraId="3965A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A1F2A82">
            <w:pPr>
              <w:jc w:val="left"/>
            </w:pPr>
            <w:r>
              <w:rPr>
                <w:kern w:val="0"/>
              </w:rPr>
              <w:t>1</w:t>
            </w:r>
          </w:p>
        </w:tc>
        <w:tc>
          <w:tcPr>
            <w:vAlign w:val="center"/>
          </w:tcPr>
          <w:p w14:paraId="662BEB71">
            <w:pPr>
              <w:jc w:val="left"/>
            </w:pPr>
            <w:r>
              <w:rPr>
                <w:kern w:val="0"/>
              </w:rPr>
              <w:t>长期应付款</w:t>
            </w:r>
          </w:p>
        </w:tc>
        <w:tc>
          <w:tcPr>
            <w:vAlign w:val="center"/>
          </w:tcPr>
          <w:p w14:paraId="67CE426A">
            <w:pPr>
              <w:jc w:val="right"/>
            </w:pPr>
            <w:r>
              <w:rPr>
                <w:kern w:val="0"/>
              </w:rPr>
              <w:t>610,490,000.00</w:t>
            </w:r>
          </w:p>
        </w:tc>
        <w:tc>
          <w:tcPr>
            <w:vAlign w:val="center"/>
          </w:tcPr>
          <w:p w14:paraId="67E7C446">
            <w:pPr>
              <w:jc w:val="right"/>
            </w:pPr>
            <w:r>
              <w:rPr>
                <w:kern w:val="0"/>
              </w:rPr>
              <w:t>610,490,000.00</w:t>
            </w:r>
          </w:p>
        </w:tc>
        <w:tc>
          <w:tcPr>
            <w:vAlign w:val="center"/>
          </w:tcPr>
          <w:p w14:paraId="695CD250">
            <w:pPr>
              <w:jc w:val="right"/>
            </w:pPr>
            <w:r>
              <w:rPr>
                <w:kern w:val="0"/>
              </w:rPr>
              <w:t>0.00%</w:t>
            </w:r>
          </w:p>
        </w:tc>
      </w:tr>
    </w:tbl>
    <w:p w14:paraId="50F01D6A">
      <w:pPr>
        <w:spacing w:line="360" w:lineRule="auto"/>
        <w:jc w:val="left"/>
      </w:pPr>
      <w:r>
        <w:t>项目公司名称：3 深圳市招光物业租赁有限公司</w:t>
      </w:r>
    </w:p>
    <w:tbl>
      <w:tblPr>
        <w:tblStyle w:val="40"/>
        <w:tblW w:w="8977"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889"/>
        <w:gridCol w:w="2413"/>
        <w:gridCol w:w="2299"/>
        <w:gridCol w:w="1206"/>
      </w:tblGrid>
      <w:tr w14:paraId="130EE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170" w:type="dxa"/>
            <w:vAlign w:val="center"/>
          </w:tcPr>
          <w:p w14:paraId="26A556A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889" w:type="dxa"/>
            <w:vAlign w:val="center"/>
          </w:tcPr>
          <w:p w14:paraId="2FFA3B2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413" w:type="dxa"/>
            <w:vAlign w:val="center"/>
          </w:tcPr>
          <w:p w14:paraId="2DBB417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报告期末2026年6月30日金额（元）</w:t>
            </w:r>
          </w:p>
        </w:tc>
        <w:tc>
          <w:tcPr>
            <w:tcW w:w="2299" w:type="dxa"/>
            <w:vAlign w:val="center"/>
          </w:tcPr>
          <w:p w14:paraId="03CC7D2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上年末2025年12月31日金额（元）</w:t>
            </w:r>
          </w:p>
        </w:tc>
        <w:tc>
          <w:tcPr>
            <w:tcW w:w="1206" w:type="dxa"/>
            <w:vAlign w:val="center"/>
          </w:tcPr>
          <w:p w14:paraId="56EB119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较上年末变动（%）</w:t>
            </w:r>
          </w:p>
        </w:tc>
      </w:tr>
      <w:tr w14:paraId="2E8A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3D45819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主要资产科目</w:t>
            </w:r>
          </w:p>
        </w:tc>
      </w:tr>
      <w:tr w14:paraId="1F80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D82B1CD">
            <w:pPr>
              <w:jc w:val="left"/>
            </w:pPr>
            <w:r>
              <w:rPr>
                <w:kern w:val="0"/>
              </w:rPr>
              <w:t>1</w:t>
            </w:r>
          </w:p>
        </w:tc>
        <w:tc>
          <w:tcPr>
            <w:vAlign w:val="center"/>
          </w:tcPr>
          <w:p w14:paraId="5BCAF4B5">
            <w:pPr>
              <w:jc w:val="left"/>
            </w:pPr>
            <w:r>
              <w:rPr>
                <w:kern w:val="0"/>
              </w:rPr>
              <w:t>投资性房地产</w:t>
            </w:r>
          </w:p>
        </w:tc>
        <w:tc>
          <w:tcPr>
            <w:vAlign w:val="center"/>
          </w:tcPr>
          <w:p w14:paraId="3EEFACB2">
            <w:pPr>
              <w:jc w:val="right"/>
            </w:pPr>
            <w:r>
              <w:rPr>
                <w:kern w:val="0"/>
              </w:rPr>
              <w:t>1,025,000,000.00</w:t>
            </w:r>
          </w:p>
        </w:tc>
        <w:tc>
          <w:tcPr>
            <w:vAlign w:val="center"/>
          </w:tcPr>
          <w:p w14:paraId="2D1366B7">
            <w:pPr>
              <w:jc w:val="right"/>
            </w:pPr>
            <w:r>
              <w:rPr>
                <w:kern w:val="0"/>
              </w:rPr>
              <w:t>1,025,000,000.00</w:t>
            </w:r>
          </w:p>
        </w:tc>
        <w:tc>
          <w:tcPr>
            <w:vAlign w:val="center"/>
          </w:tcPr>
          <w:p w14:paraId="75199B5B">
            <w:pPr>
              <w:jc w:val="right"/>
            </w:pPr>
            <w:r>
              <w:rPr>
                <w:kern w:val="0"/>
              </w:rPr>
              <w:t>0.00%</w:t>
            </w:r>
          </w:p>
        </w:tc>
      </w:tr>
      <w:tr w14:paraId="75AA5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77" w:type="dxa"/>
            <w:gridSpan w:val="5"/>
            <w:vAlign w:val="center"/>
          </w:tcPr>
          <w:p w14:paraId="71FF995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主要负债科目</w:t>
            </w:r>
          </w:p>
        </w:tc>
      </w:tr>
      <w:tr w14:paraId="3761C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267E3B4">
            <w:pPr>
              <w:jc w:val="left"/>
            </w:pPr>
            <w:r>
              <w:rPr>
                <w:kern w:val="0"/>
              </w:rPr>
              <w:t>1</w:t>
            </w:r>
          </w:p>
        </w:tc>
        <w:tc>
          <w:tcPr>
            <w:vAlign w:val="center"/>
          </w:tcPr>
          <w:p w14:paraId="7F41381D">
            <w:pPr>
              <w:jc w:val="left"/>
            </w:pPr>
            <w:r>
              <w:rPr>
                <w:kern w:val="0"/>
              </w:rPr>
              <w:t>长期应付款</w:t>
            </w:r>
          </w:p>
        </w:tc>
        <w:tc>
          <w:tcPr>
            <w:vAlign w:val="center"/>
          </w:tcPr>
          <w:p w14:paraId="797F5039">
            <w:pPr>
              <w:jc w:val="right"/>
            </w:pPr>
            <w:r>
              <w:rPr>
                <w:kern w:val="0"/>
              </w:rPr>
              <w:t>869,952,563.35</w:t>
            </w:r>
          </w:p>
        </w:tc>
        <w:tc>
          <w:tcPr>
            <w:vAlign w:val="center"/>
          </w:tcPr>
          <w:p w14:paraId="2987F9ED">
            <w:pPr>
              <w:jc w:val="right"/>
            </w:pPr>
            <w:r>
              <w:rPr>
                <w:kern w:val="0"/>
              </w:rPr>
              <w:t>869,952,563.35</w:t>
            </w:r>
          </w:p>
        </w:tc>
        <w:tc>
          <w:tcPr>
            <w:vAlign w:val="center"/>
          </w:tcPr>
          <w:p w14:paraId="4D38B107">
            <w:pPr>
              <w:jc w:val="right"/>
            </w:pPr>
            <w:r>
              <w:rPr>
                <w:kern w:val="0"/>
              </w:rPr>
              <w:t>0.00%</w:t>
            </w:r>
          </w:p>
        </w:tc>
      </w:tr>
    </w:tbl>
    <w:p w14:paraId="63A73D5E">
      <w:pPr>
        <w:spacing w:line="360" w:lineRule="auto"/>
        <w:ind w:firstLine="420" w:firstLineChars="200"/>
      </w:pPr>
      <w:r>
        <w:t>项目公司投资性房地产采用公允价值计量，在资产价值未发生重大的变化的情况下，于每年年末更新估值，期间保持不变。</w:t>
      </w:r>
    </w:p>
    <w:p w14:paraId="21EA1FE2">
      <w:pPr>
        <w:autoSpaceDE w:val="0"/>
        <w:autoSpaceDN w:val="0"/>
        <w:adjustRightInd w:val="0"/>
        <w:spacing w:line="360" w:lineRule="auto"/>
        <w:outlineLvl w:val="2"/>
        <w:rPr>
          <w:b/>
          <w:bCs/>
        </w:rPr>
      </w:pPr>
      <w:r>
        <w:rPr>
          <w:b/>
          <w:bCs/>
        </w:rPr>
        <w:t>4.3.3 重要</w:t>
      </w:r>
      <w:r>
        <w:rPr>
          <w:rFonts w:hint="eastAsia"/>
          <w:b/>
          <w:bCs/>
        </w:rPr>
        <w:t>不动产</w:t>
      </w:r>
      <w:r>
        <w:rPr>
          <w:b/>
          <w:bCs/>
        </w:rPr>
        <w:t xml:space="preserve">项目公司的营业收入分析 </w:t>
      </w:r>
    </w:p>
    <w:p w14:paraId="2DD5E7AF">
      <w:pPr>
        <w:adjustRightInd w:val="0"/>
        <w:snapToGrid w:val="0"/>
        <w:spacing w:line="360" w:lineRule="auto"/>
        <w:jc w:val="left"/>
        <w:rPr>
          <w:b w:val="0"/>
          <w:bCs w:val="0"/>
        </w:rPr>
      </w:pPr>
      <w:r>
        <w:rPr>
          <w:b w:val="0"/>
          <w:bCs w:val="0"/>
        </w:rPr>
        <w:t>项目公司名称：1 深圳市万海大厦管理有限公司</w:t>
      </w:r>
    </w:p>
    <w:p w14:paraId="02260277">
      <w:pPr>
        <w:autoSpaceDE w:val="0"/>
        <w:autoSpaceDN w:val="0"/>
        <w:adjustRightInd w:val="0"/>
        <w:spacing w:before="29" w:line="360" w:lineRule="auto"/>
        <w:ind w:left="15" w:right="480"/>
        <w:jc w:val="right"/>
        <w:rPr>
          <w:kern w:val="0"/>
        </w:rPr>
      </w:pPr>
      <w:r>
        <w:rPr>
          <w:kern w:val="0"/>
        </w:rPr>
        <w:t>金额单位：人民币元</w:t>
      </w:r>
    </w:p>
    <w:tbl>
      <w:tblPr>
        <w:tblStyle w:val="40"/>
        <w:tblW w:w="9215"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94"/>
        <w:gridCol w:w="1276"/>
        <w:gridCol w:w="1567"/>
        <w:gridCol w:w="1269"/>
        <w:gridCol w:w="1656"/>
        <w:gridCol w:w="1178"/>
        <w:gridCol w:w="1275"/>
      </w:tblGrid>
      <w:tr w14:paraId="5671C5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restart"/>
            <w:vAlign w:val="center"/>
          </w:tcPr>
          <w:p w14:paraId="0739333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276" w:type="dxa"/>
            <w:vMerge w:val="restart"/>
            <w:vAlign w:val="center"/>
          </w:tcPr>
          <w:p w14:paraId="386DE63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836" w:type="dxa"/>
            <w:gridSpan w:val="2"/>
            <w:noWrap/>
            <w:vAlign w:val="center"/>
          </w:tcPr>
          <w:p w14:paraId="6B25059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2834" w:type="dxa"/>
            <w:gridSpan w:val="2"/>
            <w:noWrap/>
            <w:vAlign w:val="center"/>
          </w:tcPr>
          <w:p w14:paraId="06553374">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c>
          <w:tcPr>
            <w:tcW w:w="1275" w:type="dxa"/>
            <w:vMerge w:val="restart"/>
            <w:vAlign w:val="center"/>
          </w:tcPr>
          <w:p w14:paraId="0DA38D56">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金额同比变化（%）</w:t>
            </w:r>
          </w:p>
        </w:tc>
      </w:tr>
      <w:tr w14:paraId="60763A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continue"/>
            <w:vAlign w:val="center"/>
          </w:tcPr>
          <w:p w14:paraId="65B0C93B">
            <w:pPr>
              <w:pStyle w:val="36"/>
              <w:adjustRightInd w:val="0"/>
              <w:snapToGrid w:val="0"/>
              <w:spacing w:line="360" w:lineRule="auto"/>
              <w:jc w:val="center"/>
              <w:rPr>
                <w:rFonts w:ascii="Times New Roman" w:hAnsi="Times New Roman" w:cs="Times New Roman"/>
                <w:sz w:val="21"/>
                <w:szCs w:val="21"/>
              </w:rPr>
            </w:pPr>
          </w:p>
        </w:tc>
        <w:tc>
          <w:tcPr>
            <w:tcW w:w="1276" w:type="dxa"/>
            <w:vMerge w:val="continue"/>
            <w:vAlign w:val="center"/>
          </w:tcPr>
          <w:p w14:paraId="4A24D152">
            <w:pPr>
              <w:pStyle w:val="36"/>
              <w:adjustRightInd w:val="0"/>
              <w:snapToGrid w:val="0"/>
              <w:spacing w:line="360" w:lineRule="auto"/>
              <w:jc w:val="center"/>
              <w:rPr>
                <w:rFonts w:ascii="Times New Roman" w:hAnsi="Times New Roman" w:cs="Times New Roman"/>
                <w:sz w:val="21"/>
                <w:szCs w:val="21"/>
              </w:rPr>
            </w:pPr>
          </w:p>
        </w:tc>
        <w:tc>
          <w:tcPr>
            <w:tcW w:w="1567" w:type="dxa"/>
            <w:vAlign w:val="center"/>
          </w:tcPr>
          <w:p w14:paraId="017F1E6B">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69" w:type="dxa"/>
            <w:vAlign w:val="center"/>
          </w:tcPr>
          <w:p w14:paraId="04BEAA5E">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占该项目总收入比例（％）</w:t>
            </w:r>
          </w:p>
        </w:tc>
        <w:tc>
          <w:tcPr>
            <w:tcW w:w="1656" w:type="dxa"/>
            <w:vAlign w:val="center"/>
          </w:tcPr>
          <w:p w14:paraId="219A942B">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178" w:type="dxa"/>
            <w:vAlign w:val="center"/>
          </w:tcPr>
          <w:p w14:paraId="4233078D">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占该项目总收入比例（％）</w:t>
            </w:r>
          </w:p>
        </w:tc>
        <w:tc>
          <w:tcPr>
            <w:tcW w:w="1275" w:type="dxa"/>
            <w:vMerge w:val="continue"/>
            <w:vAlign w:val="center"/>
          </w:tcPr>
          <w:p w14:paraId="3AB5832D">
            <w:pPr>
              <w:pStyle w:val="36"/>
              <w:adjustRightInd w:val="0"/>
              <w:snapToGrid w:val="0"/>
              <w:spacing w:line="360" w:lineRule="auto"/>
              <w:rPr>
                <w:rFonts w:ascii="Times New Roman" w:hAnsi="Times New Roman" w:cs="Times New Roman"/>
                <w:sz w:val="21"/>
                <w:szCs w:val="21"/>
              </w:rPr>
            </w:pPr>
          </w:p>
        </w:tc>
      </w:tr>
      <w:tr w14:paraId="4CA6E9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1F3499BB">
            <w:pPr>
              <w:jc w:val="center"/>
            </w:pPr>
            <w:r>
              <w:rPr>
                <w:kern w:val="0"/>
              </w:rPr>
              <w:t>1</w:t>
            </w:r>
          </w:p>
        </w:tc>
        <w:tc>
          <w:tcPr>
            <w:vAlign w:val="center"/>
          </w:tcPr>
          <w:p w14:paraId="44979985">
            <w:pPr>
              <w:jc w:val="left"/>
            </w:pPr>
            <w:r>
              <w:rPr>
                <w:kern w:val="0"/>
              </w:rPr>
              <w:t>租金收入</w:t>
            </w:r>
          </w:p>
        </w:tc>
        <w:tc>
          <w:tcPr>
            <w:tcW w:w="1567" w:type="dxa"/>
            <w:vAlign w:val="center"/>
          </w:tcPr>
          <w:p w14:paraId="6927F6C3">
            <w:pPr>
              <w:jc w:val="right"/>
            </w:pPr>
            <w:r>
              <w:rPr>
                <w:kern w:val="0"/>
              </w:rPr>
              <w:t>26,810,269.24</w:t>
            </w:r>
          </w:p>
        </w:tc>
        <w:tc>
          <w:tcPr>
            <w:tcW w:w="1269" w:type="dxa"/>
            <w:vAlign w:val="center"/>
          </w:tcPr>
          <w:p w14:paraId="01635032">
            <w:pPr>
              <w:jc w:val="right"/>
            </w:pPr>
            <w:r>
              <w:rPr>
                <w:kern w:val="0"/>
              </w:rPr>
              <w:t>88.54%</w:t>
            </w:r>
          </w:p>
        </w:tc>
        <w:tc>
          <w:tcPr>
            <w:tcW w:w="1656" w:type="dxa"/>
            <w:vAlign w:val="center"/>
          </w:tcPr>
          <w:p w14:paraId="021CD016">
            <w:pPr>
              <w:jc w:val="right"/>
            </w:pPr>
            <w:r>
              <w:rPr>
                <w:kern w:val="0"/>
              </w:rPr>
              <w:t>29,418,447.46</w:t>
            </w:r>
          </w:p>
        </w:tc>
        <w:tc>
          <w:tcPr>
            <w:tcW w:w="1178" w:type="dxa"/>
            <w:vAlign w:val="center"/>
          </w:tcPr>
          <w:p w14:paraId="6288B762">
            <w:pPr>
              <w:jc w:val="right"/>
            </w:pPr>
            <w:r>
              <w:rPr>
                <w:kern w:val="0"/>
              </w:rPr>
              <w:t>88.84%</w:t>
            </w:r>
          </w:p>
        </w:tc>
        <w:tc>
          <w:tcPr>
            <w:vAlign w:val="center"/>
          </w:tcPr>
          <w:p w14:paraId="7A8D064B">
            <w:pPr>
              <w:jc w:val="right"/>
            </w:pPr>
            <w:r>
              <w:rPr>
                <w:kern w:val="0"/>
              </w:rPr>
              <w:t>-8.87%</w:t>
            </w:r>
          </w:p>
        </w:tc>
      </w:tr>
      <w:tr w14:paraId="53D73B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60874978">
            <w:pPr>
              <w:jc w:val="center"/>
            </w:pPr>
            <w:r>
              <w:rPr>
                <w:kern w:val="0"/>
              </w:rPr>
              <w:t>2</w:t>
            </w:r>
          </w:p>
        </w:tc>
        <w:tc>
          <w:tcPr>
            <w:vAlign w:val="center"/>
          </w:tcPr>
          <w:p w14:paraId="45FF01F3">
            <w:pPr>
              <w:jc w:val="left"/>
            </w:pPr>
            <w:r>
              <w:rPr>
                <w:kern w:val="0"/>
              </w:rPr>
              <w:t>物业收入</w:t>
            </w:r>
          </w:p>
        </w:tc>
        <w:tc>
          <w:tcPr>
            <w:tcW w:w="1567" w:type="dxa"/>
            <w:vAlign w:val="center"/>
          </w:tcPr>
          <w:p w14:paraId="16DA77F6">
            <w:pPr>
              <w:jc w:val="right"/>
            </w:pPr>
            <w:r>
              <w:rPr>
                <w:kern w:val="0"/>
              </w:rPr>
              <w:t>3,468,879.84</w:t>
            </w:r>
          </w:p>
        </w:tc>
        <w:tc>
          <w:tcPr>
            <w:tcW w:w="1269" w:type="dxa"/>
            <w:vAlign w:val="center"/>
          </w:tcPr>
          <w:p w14:paraId="1326ED49">
            <w:pPr>
              <w:jc w:val="right"/>
            </w:pPr>
            <w:r>
              <w:rPr>
                <w:kern w:val="0"/>
              </w:rPr>
              <w:t>11.46%</w:t>
            </w:r>
          </w:p>
        </w:tc>
        <w:tc>
          <w:tcPr>
            <w:tcW w:w="1656" w:type="dxa"/>
            <w:vAlign w:val="center"/>
          </w:tcPr>
          <w:p w14:paraId="0D644752">
            <w:pPr>
              <w:jc w:val="right"/>
            </w:pPr>
            <w:r>
              <w:rPr>
                <w:kern w:val="0"/>
              </w:rPr>
              <w:t>3,695,427.61</w:t>
            </w:r>
          </w:p>
        </w:tc>
        <w:tc>
          <w:tcPr>
            <w:tcW w:w="1178" w:type="dxa"/>
            <w:vAlign w:val="center"/>
          </w:tcPr>
          <w:p w14:paraId="43E9073C">
            <w:pPr>
              <w:jc w:val="right"/>
            </w:pPr>
            <w:r>
              <w:rPr>
                <w:kern w:val="0"/>
              </w:rPr>
              <w:t>11.16%</w:t>
            </w:r>
          </w:p>
        </w:tc>
        <w:tc>
          <w:tcPr>
            <w:vAlign w:val="center"/>
          </w:tcPr>
          <w:p w14:paraId="0A0AAD02">
            <w:pPr>
              <w:jc w:val="right"/>
            </w:pPr>
            <w:r>
              <w:rPr>
                <w:kern w:val="0"/>
              </w:rPr>
              <w:t>-6.13%</w:t>
            </w:r>
          </w:p>
        </w:tc>
      </w:tr>
      <w:tr w14:paraId="486BEF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6C5E5B5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1276" w:type="dxa"/>
            <w:vAlign w:val="center"/>
          </w:tcPr>
          <w:p w14:paraId="7AE1FB41">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其他收入</w:t>
            </w:r>
          </w:p>
        </w:tc>
        <w:tc>
          <w:tcPr>
            <w:tcW w:w="1567" w:type="dxa"/>
            <w:vAlign w:val="center"/>
          </w:tcPr>
          <w:p w14:paraId="4A70DBBB">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69" w:type="dxa"/>
          </w:tcPr>
          <w:p w14:paraId="66AA7D28">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656" w:type="dxa"/>
            <w:vAlign w:val="center"/>
          </w:tcPr>
          <w:p w14:paraId="35905AC6">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178" w:type="dxa"/>
          </w:tcPr>
          <w:p w14:paraId="7DF71F57">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5" w:type="dxa"/>
          </w:tcPr>
          <w:p w14:paraId="0C7A3C67">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r>
      <w:tr w14:paraId="7DF414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6FC4185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1276" w:type="dxa"/>
            <w:vAlign w:val="center"/>
          </w:tcPr>
          <w:p w14:paraId="50E6D73D">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营业收入合计</w:t>
            </w:r>
          </w:p>
        </w:tc>
        <w:tc>
          <w:tcPr>
            <w:tcW w:w="1567" w:type="dxa"/>
            <w:vAlign w:val="center"/>
          </w:tcPr>
          <w:p w14:paraId="42DC0EF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30,279,149.08</w:t>
            </w:r>
          </w:p>
        </w:tc>
        <w:tc>
          <w:tcPr>
            <w:tcW w:w="1269" w:type="dxa"/>
            <w:vAlign w:val="center"/>
          </w:tcPr>
          <w:p w14:paraId="0F36B80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656" w:type="dxa"/>
            <w:vAlign w:val="center"/>
          </w:tcPr>
          <w:p w14:paraId="413DC08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33,113,875.07</w:t>
            </w:r>
          </w:p>
        </w:tc>
        <w:tc>
          <w:tcPr>
            <w:tcW w:w="1178" w:type="dxa"/>
            <w:vAlign w:val="center"/>
          </w:tcPr>
          <w:p w14:paraId="790FBD6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275" w:type="dxa"/>
            <w:vAlign w:val="center"/>
          </w:tcPr>
          <w:p w14:paraId="6BE2FC4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-8.56%</w:t>
            </w:r>
          </w:p>
        </w:tc>
      </w:tr>
    </w:tbl>
    <w:p w14:paraId="17C7C47F">
      <w:pPr>
        <w:adjustRightInd w:val="0"/>
        <w:snapToGrid w:val="0"/>
        <w:spacing w:line="360" w:lineRule="auto"/>
        <w:jc w:val="right"/>
      </w:pPr>
    </w:p>
    <w:p w14:paraId="1183CE7C">
      <w:pPr>
        <w:adjustRightInd w:val="0"/>
        <w:snapToGrid w:val="0"/>
        <w:spacing w:line="360" w:lineRule="auto"/>
        <w:jc w:val="left"/>
        <w:rPr>
          <w:b w:val="0"/>
          <w:bCs w:val="0"/>
        </w:rPr>
      </w:pPr>
      <w:r>
        <w:rPr>
          <w:b w:val="0"/>
          <w:bCs w:val="0"/>
        </w:rPr>
        <w:t>项目公司名称：2 深圳市万融大厦管理有限公司</w:t>
      </w:r>
    </w:p>
    <w:p w14:paraId="08951370">
      <w:pPr>
        <w:autoSpaceDE w:val="0"/>
        <w:autoSpaceDN w:val="0"/>
        <w:adjustRightInd w:val="0"/>
        <w:spacing w:before="29" w:line="360" w:lineRule="auto"/>
        <w:ind w:left="15" w:right="480"/>
        <w:jc w:val="right"/>
        <w:rPr>
          <w:kern w:val="0"/>
        </w:rPr>
      </w:pPr>
      <w:r>
        <w:rPr>
          <w:kern w:val="0"/>
        </w:rPr>
        <w:t>金额单位：人民币元</w:t>
      </w:r>
    </w:p>
    <w:tbl>
      <w:tblPr>
        <w:tblStyle w:val="40"/>
        <w:tblW w:w="9215"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94"/>
        <w:gridCol w:w="1276"/>
        <w:gridCol w:w="1552"/>
        <w:gridCol w:w="1284"/>
        <w:gridCol w:w="1656"/>
        <w:gridCol w:w="1178"/>
        <w:gridCol w:w="1275"/>
      </w:tblGrid>
      <w:tr w14:paraId="26CECC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restart"/>
            <w:vAlign w:val="center"/>
          </w:tcPr>
          <w:p w14:paraId="5A175F7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276" w:type="dxa"/>
            <w:vMerge w:val="restart"/>
            <w:vAlign w:val="center"/>
          </w:tcPr>
          <w:p w14:paraId="4DB73A44">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836" w:type="dxa"/>
            <w:gridSpan w:val="2"/>
            <w:noWrap/>
            <w:vAlign w:val="center"/>
          </w:tcPr>
          <w:p w14:paraId="0943263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2834" w:type="dxa"/>
            <w:gridSpan w:val="2"/>
            <w:noWrap/>
            <w:vAlign w:val="center"/>
          </w:tcPr>
          <w:p w14:paraId="701DA17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c>
          <w:tcPr>
            <w:tcW w:w="1275" w:type="dxa"/>
            <w:vMerge w:val="restart"/>
            <w:vAlign w:val="center"/>
          </w:tcPr>
          <w:p w14:paraId="3BC8F0E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金额同比变化（%）</w:t>
            </w:r>
          </w:p>
        </w:tc>
      </w:tr>
      <w:tr w14:paraId="568C79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continue"/>
            <w:vAlign w:val="center"/>
          </w:tcPr>
          <w:p w14:paraId="668CCF85">
            <w:pPr>
              <w:pStyle w:val="36"/>
              <w:adjustRightInd w:val="0"/>
              <w:snapToGrid w:val="0"/>
              <w:spacing w:line="360" w:lineRule="auto"/>
              <w:jc w:val="center"/>
              <w:rPr>
                <w:rFonts w:ascii="Times New Roman" w:hAnsi="Times New Roman" w:cs="Times New Roman"/>
                <w:sz w:val="21"/>
                <w:szCs w:val="21"/>
              </w:rPr>
            </w:pPr>
          </w:p>
        </w:tc>
        <w:tc>
          <w:tcPr>
            <w:tcW w:w="1276" w:type="dxa"/>
            <w:vMerge w:val="continue"/>
            <w:vAlign w:val="center"/>
          </w:tcPr>
          <w:p w14:paraId="43020067">
            <w:pPr>
              <w:pStyle w:val="36"/>
              <w:adjustRightInd w:val="0"/>
              <w:snapToGrid w:val="0"/>
              <w:spacing w:line="360" w:lineRule="auto"/>
              <w:jc w:val="center"/>
              <w:rPr>
                <w:rFonts w:ascii="Times New Roman" w:hAnsi="Times New Roman" w:cs="Times New Roman"/>
                <w:sz w:val="21"/>
                <w:szCs w:val="21"/>
              </w:rPr>
            </w:pPr>
          </w:p>
        </w:tc>
        <w:tc>
          <w:tcPr>
            <w:tcW w:w="1552" w:type="dxa"/>
            <w:vAlign w:val="center"/>
          </w:tcPr>
          <w:p w14:paraId="3ED63627">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84" w:type="dxa"/>
            <w:vAlign w:val="center"/>
          </w:tcPr>
          <w:p w14:paraId="3AE83BA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占该项目总收入比例（％）</w:t>
            </w:r>
          </w:p>
        </w:tc>
        <w:tc>
          <w:tcPr>
            <w:tcW w:w="1656" w:type="dxa"/>
            <w:vAlign w:val="center"/>
          </w:tcPr>
          <w:p w14:paraId="7A44519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178" w:type="dxa"/>
            <w:vAlign w:val="center"/>
          </w:tcPr>
          <w:p w14:paraId="29FA562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占该项目总收入比例（％）</w:t>
            </w:r>
          </w:p>
        </w:tc>
        <w:tc>
          <w:tcPr>
            <w:tcW w:w="1275" w:type="dxa"/>
            <w:vMerge w:val="continue"/>
            <w:vAlign w:val="center"/>
          </w:tcPr>
          <w:p w14:paraId="03C92491">
            <w:pPr>
              <w:pStyle w:val="36"/>
              <w:adjustRightInd w:val="0"/>
              <w:snapToGrid w:val="0"/>
              <w:spacing w:line="360" w:lineRule="auto"/>
              <w:rPr>
                <w:rFonts w:ascii="Times New Roman" w:hAnsi="Times New Roman" w:cs="Times New Roman"/>
                <w:sz w:val="21"/>
                <w:szCs w:val="21"/>
              </w:rPr>
            </w:pPr>
          </w:p>
        </w:tc>
      </w:tr>
      <w:tr w14:paraId="2167D5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08866B67">
            <w:pPr>
              <w:jc w:val="center"/>
            </w:pPr>
            <w:r>
              <w:rPr>
                <w:kern w:val="0"/>
              </w:rPr>
              <w:t>1</w:t>
            </w:r>
          </w:p>
        </w:tc>
        <w:tc>
          <w:tcPr>
            <w:vAlign w:val="center"/>
          </w:tcPr>
          <w:p w14:paraId="5C1A0436">
            <w:pPr>
              <w:jc w:val="left"/>
            </w:pPr>
            <w:r>
              <w:rPr>
                <w:kern w:val="0"/>
              </w:rPr>
              <w:t>租金收入</w:t>
            </w:r>
          </w:p>
        </w:tc>
        <w:tc>
          <w:tcPr>
            <w:tcW w:w="1552" w:type="dxa"/>
            <w:vAlign w:val="center"/>
          </w:tcPr>
          <w:p w14:paraId="37035E2B">
            <w:pPr>
              <w:jc w:val="right"/>
            </w:pPr>
            <w:r>
              <w:rPr>
                <w:kern w:val="0"/>
              </w:rPr>
              <w:t>18,915,071.95</w:t>
            </w:r>
          </w:p>
        </w:tc>
        <w:tc>
          <w:tcPr>
            <w:tcW w:w="1284" w:type="dxa"/>
            <w:vAlign w:val="center"/>
          </w:tcPr>
          <w:p w14:paraId="281C61FE">
            <w:pPr>
              <w:jc w:val="right"/>
            </w:pPr>
            <w:r>
              <w:rPr>
                <w:kern w:val="0"/>
              </w:rPr>
              <w:t>85.81%</w:t>
            </w:r>
          </w:p>
        </w:tc>
        <w:tc>
          <w:tcPr>
            <w:tcW w:w="1656" w:type="dxa"/>
            <w:vAlign w:val="center"/>
          </w:tcPr>
          <w:p w14:paraId="7316CB16">
            <w:pPr>
              <w:jc w:val="right"/>
            </w:pPr>
            <w:r>
              <w:rPr>
                <w:kern w:val="0"/>
              </w:rPr>
              <w:t>21,025,367.54</w:t>
            </w:r>
          </w:p>
        </w:tc>
        <w:tc>
          <w:tcPr>
            <w:tcW w:w="1178" w:type="dxa"/>
            <w:vAlign w:val="center"/>
          </w:tcPr>
          <w:p w14:paraId="047437D2">
            <w:pPr>
              <w:jc w:val="right"/>
            </w:pPr>
            <w:r>
              <w:rPr>
                <w:kern w:val="0"/>
              </w:rPr>
              <w:t>86.16%</w:t>
            </w:r>
          </w:p>
        </w:tc>
        <w:tc>
          <w:tcPr>
            <w:vAlign w:val="center"/>
          </w:tcPr>
          <w:p w14:paraId="3987A704">
            <w:pPr>
              <w:jc w:val="right"/>
            </w:pPr>
            <w:r>
              <w:rPr>
                <w:kern w:val="0"/>
              </w:rPr>
              <w:t>-10.04%</w:t>
            </w:r>
          </w:p>
        </w:tc>
      </w:tr>
      <w:tr w14:paraId="11CB96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7AFABDC1">
            <w:pPr>
              <w:jc w:val="center"/>
            </w:pPr>
            <w:r>
              <w:rPr>
                <w:kern w:val="0"/>
              </w:rPr>
              <w:t>2</w:t>
            </w:r>
          </w:p>
        </w:tc>
        <w:tc>
          <w:tcPr>
            <w:vAlign w:val="center"/>
          </w:tcPr>
          <w:p w14:paraId="249CFF5D">
            <w:pPr>
              <w:jc w:val="left"/>
            </w:pPr>
            <w:r>
              <w:rPr>
                <w:kern w:val="0"/>
              </w:rPr>
              <w:t>物业收入</w:t>
            </w:r>
          </w:p>
        </w:tc>
        <w:tc>
          <w:tcPr>
            <w:tcW w:w="1552" w:type="dxa"/>
            <w:vAlign w:val="center"/>
          </w:tcPr>
          <w:p w14:paraId="091B7F6F">
            <w:pPr>
              <w:jc w:val="right"/>
            </w:pPr>
            <w:r>
              <w:rPr>
                <w:kern w:val="0"/>
              </w:rPr>
              <w:t>3,128,443.89</w:t>
            </w:r>
          </w:p>
        </w:tc>
        <w:tc>
          <w:tcPr>
            <w:tcW w:w="1284" w:type="dxa"/>
            <w:vAlign w:val="center"/>
          </w:tcPr>
          <w:p w14:paraId="63109CED">
            <w:pPr>
              <w:jc w:val="right"/>
            </w:pPr>
            <w:r>
              <w:rPr>
                <w:kern w:val="0"/>
              </w:rPr>
              <w:t>14.19%</w:t>
            </w:r>
          </w:p>
        </w:tc>
        <w:tc>
          <w:tcPr>
            <w:tcW w:w="1656" w:type="dxa"/>
            <w:vAlign w:val="center"/>
          </w:tcPr>
          <w:p w14:paraId="1BC4524C">
            <w:pPr>
              <w:jc w:val="right"/>
            </w:pPr>
            <w:r>
              <w:rPr>
                <w:kern w:val="0"/>
              </w:rPr>
              <w:t>3,377,025.32</w:t>
            </w:r>
          </w:p>
        </w:tc>
        <w:tc>
          <w:tcPr>
            <w:tcW w:w="1178" w:type="dxa"/>
            <w:vAlign w:val="center"/>
          </w:tcPr>
          <w:p w14:paraId="2DF32B7B">
            <w:pPr>
              <w:jc w:val="right"/>
            </w:pPr>
            <w:r>
              <w:rPr>
                <w:kern w:val="0"/>
              </w:rPr>
              <w:t>13.84%</w:t>
            </w:r>
          </w:p>
        </w:tc>
        <w:tc>
          <w:tcPr>
            <w:vAlign w:val="center"/>
          </w:tcPr>
          <w:p w14:paraId="2393460D">
            <w:pPr>
              <w:jc w:val="right"/>
            </w:pPr>
            <w:r>
              <w:rPr>
                <w:kern w:val="0"/>
              </w:rPr>
              <w:t>-7.36%</w:t>
            </w:r>
          </w:p>
        </w:tc>
      </w:tr>
      <w:tr w14:paraId="1ED0CB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2630147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1276" w:type="dxa"/>
            <w:vAlign w:val="center"/>
          </w:tcPr>
          <w:p w14:paraId="1D8F1CFD">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其他收入</w:t>
            </w:r>
          </w:p>
        </w:tc>
        <w:tc>
          <w:tcPr>
            <w:tcW w:w="1552" w:type="dxa"/>
            <w:vAlign w:val="center"/>
          </w:tcPr>
          <w:p w14:paraId="1657C904">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84" w:type="dxa"/>
          </w:tcPr>
          <w:p w14:paraId="40C74D49">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656" w:type="dxa"/>
            <w:vAlign w:val="center"/>
          </w:tcPr>
          <w:p w14:paraId="38ECB127">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178" w:type="dxa"/>
          </w:tcPr>
          <w:p w14:paraId="6B54F185">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5" w:type="dxa"/>
          </w:tcPr>
          <w:p w14:paraId="34C258AE">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r>
      <w:tr w14:paraId="0860DF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4B1321E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1276" w:type="dxa"/>
            <w:vAlign w:val="center"/>
          </w:tcPr>
          <w:p w14:paraId="3807B2B2">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营业收入合计</w:t>
            </w:r>
          </w:p>
        </w:tc>
        <w:tc>
          <w:tcPr>
            <w:tcW w:w="1552" w:type="dxa"/>
            <w:vAlign w:val="center"/>
          </w:tcPr>
          <w:p w14:paraId="1A5F171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22,043,515.84</w:t>
            </w:r>
          </w:p>
        </w:tc>
        <w:tc>
          <w:tcPr>
            <w:tcW w:w="1284" w:type="dxa"/>
            <w:vAlign w:val="center"/>
          </w:tcPr>
          <w:p w14:paraId="4D06226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656" w:type="dxa"/>
            <w:vAlign w:val="center"/>
          </w:tcPr>
          <w:p w14:paraId="7F61A63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24,402,392.86</w:t>
            </w:r>
          </w:p>
        </w:tc>
        <w:tc>
          <w:tcPr>
            <w:tcW w:w="1178" w:type="dxa"/>
            <w:vAlign w:val="center"/>
          </w:tcPr>
          <w:p w14:paraId="6032C16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275" w:type="dxa"/>
            <w:vAlign w:val="center"/>
          </w:tcPr>
          <w:p w14:paraId="16319D0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-9.67%</w:t>
            </w:r>
          </w:p>
        </w:tc>
      </w:tr>
    </w:tbl>
    <w:p w14:paraId="6AC14A42">
      <w:pPr>
        <w:adjustRightInd w:val="0"/>
        <w:snapToGrid w:val="0"/>
        <w:spacing w:line="360" w:lineRule="auto"/>
        <w:jc w:val="left"/>
        <w:rPr>
          <w:b w:val="0"/>
          <w:bCs w:val="0"/>
        </w:rPr>
      </w:pPr>
      <w:r>
        <w:rPr>
          <w:b w:val="0"/>
          <w:bCs w:val="0"/>
        </w:rPr>
        <w:t>项目公司名称：3 深圳市招光物业租赁有限公司</w:t>
      </w:r>
    </w:p>
    <w:p w14:paraId="144AA776">
      <w:pPr>
        <w:autoSpaceDE w:val="0"/>
        <w:autoSpaceDN w:val="0"/>
        <w:adjustRightInd w:val="0"/>
        <w:spacing w:before="29" w:line="360" w:lineRule="auto"/>
        <w:ind w:left="15" w:right="480"/>
        <w:jc w:val="right"/>
        <w:rPr>
          <w:kern w:val="0"/>
        </w:rPr>
      </w:pPr>
      <w:r>
        <w:rPr>
          <w:kern w:val="0"/>
        </w:rPr>
        <w:t>金额单位：人民币元</w:t>
      </w:r>
    </w:p>
    <w:tbl>
      <w:tblPr>
        <w:tblStyle w:val="40"/>
        <w:tblW w:w="9215"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94"/>
        <w:gridCol w:w="1276"/>
        <w:gridCol w:w="1543"/>
        <w:gridCol w:w="1293"/>
        <w:gridCol w:w="1647"/>
        <w:gridCol w:w="1187"/>
        <w:gridCol w:w="1275"/>
      </w:tblGrid>
      <w:tr w14:paraId="66D003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restart"/>
            <w:vAlign w:val="center"/>
          </w:tcPr>
          <w:p w14:paraId="0F071969">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276" w:type="dxa"/>
            <w:vMerge w:val="restart"/>
            <w:vAlign w:val="center"/>
          </w:tcPr>
          <w:p w14:paraId="1E6685D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836" w:type="dxa"/>
            <w:gridSpan w:val="2"/>
            <w:noWrap/>
            <w:vAlign w:val="center"/>
          </w:tcPr>
          <w:p w14:paraId="5E28975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2834" w:type="dxa"/>
            <w:gridSpan w:val="2"/>
            <w:noWrap/>
            <w:vAlign w:val="center"/>
          </w:tcPr>
          <w:p w14:paraId="5643AEF7">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c>
          <w:tcPr>
            <w:tcW w:w="1275" w:type="dxa"/>
            <w:vMerge w:val="restart"/>
            <w:vAlign w:val="center"/>
          </w:tcPr>
          <w:p w14:paraId="7D9C0DF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金额同比变化（%）</w:t>
            </w:r>
          </w:p>
        </w:tc>
      </w:tr>
      <w:tr w14:paraId="6DA9C2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continue"/>
            <w:vAlign w:val="center"/>
          </w:tcPr>
          <w:p w14:paraId="551FAEC8">
            <w:pPr>
              <w:pStyle w:val="36"/>
              <w:adjustRightInd w:val="0"/>
              <w:snapToGrid w:val="0"/>
              <w:spacing w:line="360" w:lineRule="auto"/>
              <w:jc w:val="center"/>
              <w:rPr>
                <w:rFonts w:ascii="Times New Roman" w:hAnsi="Times New Roman" w:cs="Times New Roman"/>
                <w:sz w:val="21"/>
                <w:szCs w:val="21"/>
              </w:rPr>
            </w:pPr>
          </w:p>
        </w:tc>
        <w:tc>
          <w:tcPr>
            <w:tcW w:w="1276" w:type="dxa"/>
            <w:vMerge w:val="continue"/>
            <w:vAlign w:val="center"/>
          </w:tcPr>
          <w:p w14:paraId="3B810E1E">
            <w:pPr>
              <w:pStyle w:val="36"/>
              <w:adjustRightInd w:val="0"/>
              <w:snapToGrid w:val="0"/>
              <w:spacing w:line="360" w:lineRule="auto"/>
              <w:jc w:val="center"/>
              <w:rPr>
                <w:rFonts w:ascii="Times New Roman" w:hAnsi="Times New Roman" w:cs="Times New Roman"/>
                <w:sz w:val="21"/>
                <w:szCs w:val="21"/>
              </w:rPr>
            </w:pPr>
          </w:p>
        </w:tc>
        <w:tc>
          <w:tcPr>
            <w:tcW w:w="1543" w:type="dxa"/>
            <w:vAlign w:val="center"/>
          </w:tcPr>
          <w:p w14:paraId="6107581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93" w:type="dxa"/>
            <w:vAlign w:val="center"/>
          </w:tcPr>
          <w:p w14:paraId="71CC016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占该项目总收入比例（％）</w:t>
            </w:r>
          </w:p>
        </w:tc>
        <w:tc>
          <w:tcPr>
            <w:tcW w:w="1647" w:type="dxa"/>
            <w:vAlign w:val="center"/>
          </w:tcPr>
          <w:p w14:paraId="3A5E1D4A">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187" w:type="dxa"/>
            <w:vAlign w:val="center"/>
          </w:tcPr>
          <w:p w14:paraId="4796702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占该项目总收入比例（％）</w:t>
            </w:r>
          </w:p>
        </w:tc>
        <w:tc>
          <w:tcPr>
            <w:tcW w:w="1275" w:type="dxa"/>
            <w:vMerge w:val="continue"/>
            <w:vAlign w:val="center"/>
          </w:tcPr>
          <w:p w14:paraId="7158906E">
            <w:pPr>
              <w:pStyle w:val="36"/>
              <w:adjustRightInd w:val="0"/>
              <w:snapToGrid w:val="0"/>
              <w:spacing w:line="360" w:lineRule="auto"/>
              <w:rPr>
                <w:rFonts w:ascii="Times New Roman" w:hAnsi="Times New Roman" w:cs="Times New Roman"/>
                <w:sz w:val="21"/>
                <w:szCs w:val="21"/>
              </w:rPr>
            </w:pPr>
          </w:p>
        </w:tc>
      </w:tr>
      <w:tr w14:paraId="4FA36D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563C3298">
            <w:pPr>
              <w:jc w:val="center"/>
            </w:pPr>
            <w:r>
              <w:rPr>
                <w:kern w:val="0"/>
              </w:rPr>
              <w:t>1</w:t>
            </w:r>
          </w:p>
        </w:tc>
        <w:tc>
          <w:tcPr>
            <w:vAlign w:val="center"/>
          </w:tcPr>
          <w:p w14:paraId="38BF4336">
            <w:pPr>
              <w:jc w:val="left"/>
            </w:pPr>
            <w:r>
              <w:rPr>
                <w:kern w:val="0"/>
              </w:rPr>
              <w:t>租金收入</w:t>
            </w:r>
          </w:p>
        </w:tc>
        <w:tc>
          <w:tcPr>
            <w:tcW w:w="1543" w:type="dxa"/>
            <w:vAlign w:val="center"/>
          </w:tcPr>
          <w:p w14:paraId="5A47D190">
            <w:pPr>
              <w:jc w:val="right"/>
            </w:pPr>
            <w:r>
              <w:rPr>
                <w:kern w:val="0"/>
              </w:rPr>
              <w:t>24,105,936.70</w:t>
            </w:r>
          </w:p>
        </w:tc>
        <w:tc>
          <w:tcPr>
            <w:tcW w:w="1293" w:type="dxa"/>
            <w:vAlign w:val="center"/>
          </w:tcPr>
          <w:p w14:paraId="6A249887">
            <w:pPr>
              <w:jc w:val="right"/>
            </w:pPr>
            <w:r>
              <w:rPr>
                <w:kern w:val="0"/>
              </w:rPr>
              <w:t>83.86%</w:t>
            </w:r>
          </w:p>
        </w:tc>
        <w:tc>
          <w:tcPr>
            <w:tcW w:w="1647" w:type="dxa"/>
            <w:vAlign w:val="center"/>
          </w:tcPr>
          <w:p w14:paraId="5DB8EA40">
            <w:pPr>
              <w:jc w:val="right"/>
            </w:pPr>
            <w:r>
              <w:rPr>
                <w:kern w:val="0"/>
              </w:rPr>
              <w:t>28,386,491.53</w:t>
            </w:r>
          </w:p>
        </w:tc>
        <w:tc>
          <w:tcPr>
            <w:tcW w:w="1187" w:type="dxa"/>
            <w:vAlign w:val="center"/>
          </w:tcPr>
          <w:p w14:paraId="78CB528D">
            <w:pPr>
              <w:jc w:val="right"/>
            </w:pPr>
            <w:r>
              <w:rPr>
                <w:kern w:val="0"/>
              </w:rPr>
              <w:t>84.88%</w:t>
            </w:r>
          </w:p>
        </w:tc>
        <w:tc>
          <w:tcPr>
            <w:vAlign w:val="center"/>
          </w:tcPr>
          <w:p w14:paraId="5CA1CB18">
            <w:pPr>
              <w:jc w:val="right"/>
            </w:pPr>
            <w:r>
              <w:rPr>
                <w:kern w:val="0"/>
              </w:rPr>
              <w:t>-15.08%</w:t>
            </w:r>
          </w:p>
        </w:tc>
      </w:tr>
      <w:tr w14:paraId="1EE495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3A8B874A">
            <w:pPr>
              <w:jc w:val="center"/>
            </w:pPr>
            <w:r>
              <w:rPr>
                <w:kern w:val="0"/>
              </w:rPr>
              <w:t>2</w:t>
            </w:r>
          </w:p>
        </w:tc>
        <w:tc>
          <w:tcPr>
            <w:vAlign w:val="center"/>
          </w:tcPr>
          <w:p w14:paraId="72B34438">
            <w:pPr>
              <w:jc w:val="left"/>
            </w:pPr>
            <w:r>
              <w:rPr>
                <w:kern w:val="0"/>
              </w:rPr>
              <w:t>物业收入</w:t>
            </w:r>
          </w:p>
        </w:tc>
        <w:tc>
          <w:tcPr>
            <w:tcW w:w="1543" w:type="dxa"/>
            <w:vAlign w:val="center"/>
          </w:tcPr>
          <w:p w14:paraId="31CED340">
            <w:pPr>
              <w:jc w:val="right"/>
            </w:pPr>
            <w:r>
              <w:rPr>
                <w:kern w:val="0"/>
              </w:rPr>
              <w:t>4,640,422.56</w:t>
            </w:r>
          </w:p>
        </w:tc>
        <w:tc>
          <w:tcPr>
            <w:tcW w:w="1293" w:type="dxa"/>
            <w:vAlign w:val="center"/>
          </w:tcPr>
          <w:p w14:paraId="7828FACF">
            <w:pPr>
              <w:jc w:val="right"/>
            </w:pPr>
            <w:r>
              <w:rPr>
                <w:kern w:val="0"/>
              </w:rPr>
              <w:t>16.14%</w:t>
            </w:r>
          </w:p>
        </w:tc>
        <w:tc>
          <w:tcPr>
            <w:tcW w:w="1647" w:type="dxa"/>
            <w:vAlign w:val="center"/>
          </w:tcPr>
          <w:p w14:paraId="54C083CD">
            <w:pPr>
              <w:jc w:val="right"/>
            </w:pPr>
            <w:r>
              <w:rPr>
                <w:kern w:val="0"/>
              </w:rPr>
              <w:t>5,055,115.13</w:t>
            </w:r>
          </w:p>
        </w:tc>
        <w:tc>
          <w:tcPr>
            <w:tcW w:w="1187" w:type="dxa"/>
            <w:vAlign w:val="center"/>
          </w:tcPr>
          <w:p w14:paraId="3FD3BCA0">
            <w:pPr>
              <w:jc w:val="right"/>
            </w:pPr>
            <w:r>
              <w:rPr>
                <w:kern w:val="0"/>
              </w:rPr>
              <w:t>15.12%</w:t>
            </w:r>
          </w:p>
        </w:tc>
        <w:tc>
          <w:tcPr>
            <w:vAlign w:val="center"/>
          </w:tcPr>
          <w:p w14:paraId="5F5B23DC">
            <w:pPr>
              <w:jc w:val="right"/>
            </w:pPr>
            <w:r>
              <w:rPr>
                <w:kern w:val="0"/>
              </w:rPr>
              <w:t>-8.20%</w:t>
            </w:r>
          </w:p>
        </w:tc>
      </w:tr>
      <w:tr w14:paraId="7EB66A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286EF1F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1276" w:type="dxa"/>
            <w:vAlign w:val="center"/>
          </w:tcPr>
          <w:p w14:paraId="43469E13">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其他收入</w:t>
            </w:r>
          </w:p>
        </w:tc>
        <w:tc>
          <w:tcPr>
            <w:tcW w:w="1543" w:type="dxa"/>
            <w:vAlign w:val="center"/>
          </w:tcPr>
          <w:p w14:paraId="072B21F6">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93" w:type="dxa"/>
          </w:tcPr>
          <w:p w14:paraId="1CC292CA">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647" w:type="dxa"/>
            <w:vAlign w:val="center"/>
          </w:tcPr>
          <w:p w14:paraId="6F86209A">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187" w:type="dxa"/>
          </w:tcPr>
          <w:p w14:paraId="079DB041">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5" w:type="dxa"/>
          </w:tcPr>
          <w:p w14:paraId="477F6E47">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r>
      <w:tr w14:paraId="7764B8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37178FB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1276" w:type="dxa"/>
            <w:vAlign w:val="center"/>
          </w:tcPr>
          <w:p w14:paraId="1DF03CD0">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营业收入合计</w:t>
            </w:r>
          </w:p>
        </w:tc>
        <w:tc>
          <w:tcPr>
            <w:tcW w:w="1543" w:type="dxa"/>
            <w:vAlign w:val="center"/>
          </w:tcPr>
          <w:p w14:paraId="2459C44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28,746,359.26</w:t>
            </w:r>
          </w:p>
        </w:tc>
        <w:tc>
          <w:tcPr>
            <w:tcW w:w="1293" w:type="dxa"/>
            <w:vAlign w:val="center"/>
          </w:tcPr>
          <w:p w14:paraId="22CC24B9">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647" w:type="dxa"/>
            <w:vAlign w:val="center"/>
          </w:tcPr>
          <w:p w14:paraId="0CA99EE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33,441,606.66</w:t>
            </w:r>
          </w:p>
        </w:tc>
        <w:tc>
          <w:tcPr>
            <w:tcW w:w="1187" w:type="dxa"/>
            <w:vAlign w:val="center"/>
          </w:tcPr>
          <w:p w14:paraId="6240F72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275" w:type="dxa"/>
            <w:vAlign w:val="center"/>
          </w:tcPr>
          <w:p w14:paraId="71557B3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-14.04%</w:t>
            </w:r>
          </w:p>
        </w:tc>
      </w:tr>
    </w:tbl>
    <w:p w14:paraId="6FB8CE41">
      <w:pPr>
        <w:autoSpaceDE w:val="0"/>
        <w:autoSpaceDN w:val="0"/>
        <w:adjustRightInd w:val="0"/>
        <w:spacing w:line="360" w:lineRule="auto"/>
        <w:outlineLvl w:val="2"/>
        <w:rPr>
          <w:b/>
          <w:bCs/>
        </w:rPr>
      </w:pPr>
      <w:r>
        <w:rPr>
          <w:b/>
          <w:bCs/>
        </w:rPr>
        <w:t>4.3.4 重要</w:t>
      </w:r>
      <w:r>
        <w:rPr>
          <w:rFonts w:hint="eastAsia"/>
          <w:b/>
          <w:bCs/>
        </w:rPr>
        <w:t>不动产</w:t>
      </w:r>
      <w:r>
        <w:rPr>
          <w:b/>
          <w:bCs/>
        </w:rPr>
        <w:t>项目公司的营业成本及主要费用分析</w:t>
      </w:r>
    </w:p>
    <w:p w14:paraId="2C508ED0">
      <w:pPr>
        <w:adjustRightInd w:val="0"/>
        <w:snapToGrid w:val="0"/>
        <w:spacing w:line="360" w:lineRule="auto"/>
        <w:jc w:val="left"/>
        <w:rPr>
          <w:b w:val="0"/>
          <w:bCs w:val="0"/>
        </w:rPr>
      </w:pPr>
      <w:r>
        <w:rPr>
          <w:rFonts w:hint="eastAsia"/>
          <w:b w:val="0"/>
          <w:bCs w:val="0"/>
        </w:rPr>
        <w:t>项目</w:t>
      </w:r>
      <w:r>
        <w:rPr>
          <w:b w:val="0"/>
          <w:bCs w:val="0"/>
        </w:rPr>
        <w:t>公司名称：1 深圳市万海大厦管理有限公司</w:t>
      </w:r>
    </w:p>
    <w:p w14:paraId="29838C58">
      <w:pPr>
        <w:autoSpaceDE w:val="0"/>
        <w:autoSpaceDN w:val="0"/>
        <w:adjustRightInd w:val="0"/>
        <w:spacing w:before="29" w:line="360" w:lineRule="auto"/>
        <w:ind w:left="15" w:right="480"/>
        <w:jc w:val="right"/>
        <w:rPr>
          <w:kern w:val="0"/>
        </w:rPr>
      </w:pPr>
      <w:r>
        <w:rPr>
          <w:kern w:val="0"/>
        </w:rPr>
        <w:t>金额单位：人民币元</w:t>
      </w:r>
    </w:p>
    <w:tbl>
      <w:tblPr>
        <w:tblStyle w:val="40"/>
        <w:tblW w:w="9215"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94"/>
        <w:gridCol w:w="1276"/>
        <w:gridCol w:w="1558"/>
        <w:gridCol w:w="1278"/>
        <w:gridCol w:w="1662"/>
        <w:gridCol w:w="1172"/>
        <w:gridCol w:w="1275"/>
      </w:tblGrid>
      <w:tr w14:paraId="436F70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restart"/>
            <w:vAlign w:val="center"/>
          </w:tcPr>
          <w:p w14:paraId="36ABCA1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276" w:type="dxa"/>
            <w:vMerge w:val="restart"/>
            <w:vAlign w:val="center"/>
          </w:tcPr>
          <w:p w14:paraId="777477B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836" w:type="dxa"/>
            <w:gridSpan w:val="2"/>
            <w:noWrap/>
            <w:vAlign w:val="center"/>
          </w:tcPr>
          <w:p w14:paraId="4A21C3DB">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2834" w:type="dxa"/>
            <w:gridSpan w:val="2"/>
            <w:noWrap/>
            <w:vAlign w:val="center"/>
          </w:tcPr>
          <w:p w14:paraId="0C6385B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c>
          <w:tcPr>
            <w:tcW w:w="1275" w:type="dxa"/>
            <w:vMerge w:val="restart"/>
            <w:vAlign w:val="center"/>
          </w:tcPr>
          <w:p w14:paraId="610CCF09">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金额同比变化（%）</w:t>
            </w:r>
          </w:p>
        </w:tc>
      </w:tr>
      <w:tr w14:paraId="06DFAA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continue"/>
            <w:vAlign w:val="center"/>
          </w:tcPr>
          <w:p w14:paraId="252E4084">
            <w:pPr>
              <w:pStyle w:val="36"/>
              <w:adjustRightInd w:val="0"/>
              <w:snapToGrid w:val="0"/>
              <w:spacing w:line="360" w:lineRule="auto"/>
              <w:jc w:val="center"/>
              <w:rPr>
                <w:rFonts w:ascii="Times New Roman" w:hAnsi="Times New Roman" w:cs="Times New Roman"/>
                <w:sz w:val="21"/>
                <w:szCs w:val="21"/>
              </w:rPr>
            </w:pPr>
          </w:p>
        </w:tc>
        <w:tc>
          <w:tcPr>
            <w:tcW w:w="1276" w:type="dxa"/>
            <w:vMerge w:val="continue"/>
            <w:vAlign w:val="center"/>
          </w:tcPr>
          <w:p w14:paraId="7A6DD234">
            <w:pPr>
              <w:pStyle w:val="36"/>
              <w:adjustRightInd w:val="0"/>
              <w:snapToGrid w:val="0"/>
              <w:spacing w:line="360" w:lineRule="auto"/>
              <w:jc w:val="center"/>
              <w:rPr>
                <w:rFonts w:ascii="Times New Roman" w:hAnsi="Times New Roman" w:cs="Times New Roman"/>
                <w:sz w:val="21"/>
                <w:szCs w:val="21"/>
              </w:rPr>
            </w:pPr>
          </w:p>
        </w:tc>
        <w:tc>
          <w:tcPr>
            <w:tcW w:w="1558" w:type="dxa"/>
            <w:vAlign w:val="center"/>
          </w:tcPr>
          <w:p w14:paraId="62261551">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78" w:type="dxa"/>
            <w:vAlign w:val="center"/>
          </w:tcPr>
          <w:p w14:paraId="6A0CAB26">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占该项目总成本比例（％）</w:t>
            </w:r>
          </w:p>
        </w:tc>
        <w:tc>
          <w:tcPr>
            <w:tcW w:w="1662" w:type="dxa"/>
            <w:vAlign w:val="center"/>
          </w:tcPr>
          <w:p w14:paraId="030ED223">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172" w:type="dxa"/>
            <w:vAlign w:val="center"/>
          </w:tcPr>
          <w:p w14:paraId="6AA02975">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占该项目总成本比例（％）</w:t>
            </w:r>
          </w:p>
        </w:tc>
        <w:tc>
          <w:tcPr>
            <w:tcW w:w="1275" w:type="dxa"/>
            <w:vMerge w:val="continue"/>
            <w:vAlign w:val="center"/>
          </w:tcPr>
          <w:p w14:paraId="1D6355CF">
            <w:pPr>
              <w:pStyle w:val="36"/>
              <w:adjustRightInd w:val="0"/>
              <w:snapToGrid w:val="0"/>
              <w:spacing w:line="360" w:lineRule="auto"/>
              <w:rPr>
                <w:rFonts w:ascii="Times New Roman" w:hAnsi="Times New Roman" w:cs="Times New Roman"/>
                <w:sz w:val="21"/>
                <w:szCs w:val="21"/>
              </w:rPr>
            </w:pPr>
          </w:p>
        </w:tc>
      </w:tr>
      <w:tr w14:paraId="0082B0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213AAE58">
            <w:pPr>
              <w:jc w:val="center"/>
            </w:pPr>
            <w:r>
              <w:rPr>
                <w:kern w:val="0"/>
              </w:rPr>
              <w:t>1</w:t>
            </w:r>
          </w:p>
        </w:tc>
        <w:tc>
          <w:tcPr>
            <w:vAlign w:val="center"/>
          </w:tcPr>
          <w:p w14:paraId="69BA9AD0">
            <w:pPr>
              <w:jc w:val="left"/>
            </w:pPr>
            <w:r>
              <w:rPr>
                <w:kern w:val="0"/>
              </w:rPr>
              <w:t>租赁成本</w:t>
            </w:r>
          </w:p>
        </w:tc>
        <w:tc>
          <w:tcPr>
            <w:tcW w:w="1558" w:type="dxa"/>
            <w:vAlign w:val="center"/>
          </w:tcPr>
          <w:p w14:paraId="27338EA4">
            <w:pPr>
              <w:jc w:val="right"/>
            </w:pPr>
            <w:r>
              <w:rPr>
                <w:kern w:val="0"/>
              </w:rPr>
              <w:t>114,601.59</w:t>
            </w:r>
          </w:p>
        </w:tc>
        <w:tc>
          <w:tcPr>
            <w:tcW w:w="1278" w:type="dxa"/>
            <w:vAlign w:val="center"/>
          </w:tcPr>
          <w:p w14:paraId="3520A153">
            <w:pPr>
              <w:jc w:val="right"/>
            </w:pPr>
            <w:r>
              <w:rPr>
                <w:kern w:val="0"/>
              </w:rPr>
              <w:t>2.63%</w:t>
            </w:r>
          </w:p>
        </w:tc>
        <w:tc>
          <w:tcPr>
            <w:tcW w:w="1662" w:type="dxa"/>
            <w:vAlign w:val="center"/>
          </w:tcPr>
          <w:p w14:paraId="47C61CEB">
            <w:pPr>
              <w:jc w:val="right"/>
            </w:pPr>
            <w:r>
              <w:rPr>
                <w:kern w:val="0"/>
              </w:rPr>
              <w:t>83,560.47</w:t>
            </w:r>
          </w:p>
        </w:tc>
        <w:tc>
          <w:tcPr>
            <w:tcW w:w="1172" w:type="dxa"/>
            <w:vAlign w:val="center"/>
          </w:tcPr>
          <w:p w14:paraId="514F729B">
            <w:pPr>
              <w:jc w:val="right"/>
            </w:pPr>
            <w:r>
              <w:rPr>
                <w:kern w:val="0"/>
              </w:rPr>
              <w:t>1.82%</w:t>
            </w:r>
          </w:p>
        </w:tc>
        <w:tc>
          <w:tcPr>
            <w:vAlign w:val="center"/>
          </w:tcPr>
          <w:p w14:paraId="17153D5C">
            <w:pPr>
              <w:jc w:val="right"/>
            </w:pPr>
            <w:r>
              <w:rPr>
                <w:kern w:val="0"/>
              </w:rPr>
              <w:t>37.15%</w:t>
            </w:r>
          </w:p>
        </w:tc>
      </w:tr>
      <w:tr w14:paraId="32A3C1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43F1B567">
            <w:pPr>
              <w:jc w:val="center"/>
            </w:pPr>
            <w:r>
              <w:rPr>
                <w:kern w:val="0"/>
              </w:rPr>
              <w:t>2</w:t>
            </w:r>
          </w:p>
        </w:tc>
        <w:tc>
          <w:tcPr>
            <w:vAlign w:val="center"/>
          </w:tcPr>
          <w:p w14:paraId="7E415F36">
            <w:pPr>
              <w:jc w:val="left"/>
            </w:pPr>
            <w:r>
              <w:rPr>
                <w:kern w:val="0"/>
              </w:rPr>
              <w:t>物业成本</w:t>
            </w:r>
          </w:p>
        </w:tc>
        <w:tc>
          <w:tcPr>
            <w:tcW w:w="1558" w:type="dxa"/>
            <w:vAlign w:val="center"/>
          </w:tcPr>
          <w:p w14:paraId="7499EEF3">
            <w:pPr>
              <w:jc w:val="right"/>
            </w:pPr>
            <w:r>
              <w:rPr>
                <w:kern w:val="0"/>
              </w:rPr>
              <w:t>2,748,471.48</w:t>
            </w:r>
          </w:p>
        </w:tc>
        <w:tc>
          <w:tcPr>
            <w:tcW w:w="1278" w:type="dxa"/>
            <w:vAlign w:val="center"/>
          </w:tcPr>
          <w:p w14:paraId="4C2C4D3B">
            <w:pPr>
              <w:jc w:val="right"/>
            </w:pPr>
            <w:r>
              <w:rPr>
                <w:kern w:val="0"/>
              </w:rPr>
              <w:t>63.02%</w:t>
            </w:r>
          </w:p>
        </w:tc>
        <w:tc>
          <w:tcPr>
            <w:tcW w:w="1662" w:type="dxa"/>
            <w:vAlign w:val="center"/>
          </w:tcPr>
          <w:p w14:paraId="420FC641">
            <w:pPr>
              <w:jc w:val="right"/>
            </w:pPr>
            <w:r>
              <w:rPr>
                <w:kern w:val="0"/>
              </w:rPr>
              <w:t>2,924,477.65</w:t>
            </w:r>
          </w:p>
        </w:tc>
        <w:tc>
          <w:tcPr>
            <w:tcW w:w="1172" w:type="dxa"/>
            <w:vAlign w:val="center"/>
          </w:tcPr>
          <w:p w14:paraId="3B64F090">
            <w:pPr>
              <w:jc w:val="right"/>
            </w:pPr>
            <w:r>
              <w:rPr>
                <w:kern w:val="0"/>
              </w:rPr>
              <w:t>63.75%</w:t>
            </w:r>
          </w:p>
        </w:tc>
        <w:tc>
          <w:tcPr>
            <w:vAlign w:val="center"/>
          </w:tcPr>
          <w:p w14:paraId="67B620AA">
            <w:pPr>
              <w:jc w:val="right"/>
            </w:pPr>
            <w:r>
              <w:rPr>
                <w:kern w:val="0"/>
              </w:rPr>
              <w:t>-6.02%</w:t>
            </w:r>
          </w:p>
        </w:tc>
      </w:tr>
      <w:tr w14:paraId="6C175B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25332CB5">
            <w:pPr>
              <w:jc w:val="center"/>
            </w:pPr>
            <w:r>
              <w:rPr>
                <w:kern w:val="0"/>
              </w:rPr>
              <w:t>3</w:t>
            </w:r>
          </w:p>
        </w:tc>
        <w:tc>
          <w:tcPr>
            <w:vAlign w:val="center"/>
          </w:tcPr>
          <w:p w14:paraId="4FF504A5">
            <w:pPr>
              <w:jc w:val="left"/>
            </w:pPr>
            <w:r>
              <w:rPr>
                <w:kern w:val="0"/>
              </w:rPr>
              <w:t>运营管理成本</w:t>
            </w:r>
          </w:p>
        </w:tc>
        <w:tc>
          <w:tcPr>
            <w:tcW w:w="1558" w:type="dxa"/>
            <w:vAlign w:val="center"/>
          </w:tcPr>
          <w:p w14:paraId="00080BA9">
            <w:pPr>
              <w:jc w:val="right"/>
            </w:pPr>
            <w:r>
              <w:rPr>
                <w:kern w:val="0"/>
              </w:rPr>
              <w:t>1,498,427.86</w:t>
            </w:r>
          </w:p>
        </w:tc>
        <w:tc>
          <w:tcPr>
            <w:tcW w:w="1278" w:type="dxa"/>
            <w:vAlign w:val="center"/>
          </w:tcPr>
          <w:p w14:paraId="6A97E4D4">
            <w:pPr>
              <w:jc w:val="right"/>
            </w:pPr>
            <w:r>
              <w:rPr>
                <w:kern w:val="0"/>
              </w:rPr>
              <w:t>34.36%</w:t>
            </w:r>
          </w:p>
        </w:tc>
        <w:tc>
          <w:tcPr>
            <w:tcW w:w="1662" w:type="dxa"/>
            <w:vAlign w:val="center"/>
          </w:tcPr>
          <w:p w14:paraId="7528786A">
            <w:pPr>
              <w:jc w:val="right"/>
            </w:pPr>
            <w:r>
              <w:rPr>
                <w:kern w:val="0"/>
              </w:rPr>
              <w:t>1,579,394.54</w:t>
            </w:r>
          </w:p>
        </w:tc>
        <w:tc>
          <w:tcPr>
            <w:tcW w:w="1172" w:type="dxa"/>
            <w:vAlign w:val="center"/>
          </w:tcPr>
          <w:p w14:paraId="0DA46BBC">
            <w:pPr>
              <w:jc w:val="right"/>
            </w:pPr>
            <w:r>
              <w:rPr>
                <w:kern w:val="0"/>
              </w:rPr>
              <w:t>34.43%</w:t>
            </w:r>
          </w:p>
        </w:tc>
        <w:tc>
          <w:tcPr>
            <w:vAlign w:val="center"/>
          </w:tcPr>
          <w:p w14:paraId="44F2E333">
            <w:pPr>
              <w:jc w:val="right"/>
            </w:pPr>
            <w:r>
              <w:rPr>
                <w:kern w:val="0"/>
              </w:rPr>
              <w:t>-5.13%</w:t>
            </w:r>
          </w:p>
        </w:tc>
      </w:tr>
      <w:tr w14:paraId="56E9BC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027B99E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1276" w:type="dxa"/>
            <w:vAlign w:val="center"/>
          </w:tcPr>
          <w:p w14:paraId="5ACCFD33">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其他成本/费用</w:t>
            </w:r>
          </w:p>
        </w:tc>
        <w:tc>
          <w:tcPr>
            <w:tcW w:w="1558" w:type="dxa"/>
            <w:vAlign w:val="center"/>
          </w:tcPr>
          <w:p w14:paraId="051A8126">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8" w:type="dxa"/>
          </w:tcPr>
          <w:p w14:paraId="64D93D55">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662" w:type="dxa"/>
            <w:vAlign w:val="center"/>
          </w:tcPr>
          <w:p w14:paraId="7D12DE5C">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172" w:type="dxa"/>
          </w:tcPr>
          <w:p w14:paraId="57E9729F">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5" w:type="dxa"/>
          </w:tcPr>
          <w:p w14:paraId="31DF19B3">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r>
      <w:tr w14:paraId="597F12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60045BBA">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1276" w:type="dxa"/>
            <w:vAlign w:val="center"/>
          </w:tcPr>
          <w:p w14:paraId="223FC74A">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营业成本/费用合计</w:t>
            </w:r>
          </w:p>
        </w:tc>
        <w:tc>
          <w:tcPr>
            <w:tcW w:w="1558" w:type="dxa"/>
            <w:vAlign w:val="center"/>
          </w:tcPr>
          <w:p w14:paraId="03CD17C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4,361,500.93</w:t>
            </w:r>
          </w:p>
        </w:tc>
        <w:tc>
          <w:tcPr>
            <w:tcW w:w="1278" w:type="dxa"/>
            <w:vAlign w:val="center"/>
          </w:tcPr>
          <w:p w14:paraId="6E1537F4">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662" w:type="dxa"/>
            <w:vAlign w:val="center"/>
          </w:tcPr>
          <w:p w14:paraId="3F107A9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4,587,432.66</w:t>
            </w:r>
          </w:p>
        </w:tc>
        <w:tc>
          <w:tcPr>
            <w:tcW w:w="1172" w:type="dxa"/>
            <w:vAlign w:val="center"/>
          </w:tcPr>
          <w:p w14:paraId="763C8CF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275" w:type="dxa"/>
            <w:vAlign w:val="center"/>
          </w:tcPr>
          <w:p w14:paraId="0BF88E7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-4.93%</w:t>
            </w:r>
          </w:p>
        </w:tc>
      </w:tr>
    </w:tbl>
    <w:p w14:paraId="6BFDE164">
      <w:pPr>
        <w:spacing w:line="360" w:lineRule="auto"/>
        <w:ind w:firstLine="420" w:firstLineChars="200"/>
      </w:pPr>
      <w:r>
        <w:t>注：1、不动产项目租赁成本主要包括维修费、佣金等费用，此费用在年度预算范围按实际情况列支。</w:t>
      </w:r>
    </w:p>
    <w:p w14:paraId="31630F7F">
      <w:pPr>
        <w:spacing w:line="360" w:lineRule="auto"/>
        <w:ind w:firstLine="420" w:firstLineChars="200"/>
      </w:pPr>
      <w:r>
        <w:t>2、不动产项目物业管理费用下降，主要是通过物业岗优化整合、压降物业酬金费率等措施实现了成本控制，下同。</w:t>
      </w:r>
    </w:p>
    <w:p w14:paraId="54895E9A">
      <w:pPr>
        <w:spacing w:line="360" w:lineRule="auto"/>
        <w:ind w:firstLine="420" w:firstLineChars="200"/>
      </w:pPr>
      <w:r>
        <w:t>3、本期运营管理费用同比下降，主要是随项目收入、项目EBITDA的下降而下降，下同。</w:t>
      </w:r>
    </w:p>
    <w:p w14:paraId="307591D6">
      <w:pPr>
        <w:adjustRightInd w:val="0"/>
        <w:snapToGrid w:val="0"/>
        <w:spacing w:line="360" w:lineRule="auto"/>
        <w:jc w:val="left"/>
        <w:rPr>
          <w:b w:val="0"/>
          <w:bCs w:val="0"/>
        </w:rPr>
      </w:pPr>
      <w:r>
        <w:rPr>
          <w:b w:val="0"/>
          <w:bCs w:val="0"/>
        </w:rPr>
        <w:t>项目公司名称：2 深圳市万融大厦管理有限公司</w:t>
      </w:r>
    </w:p>
    <w:p w14:paraId="29689895">
      <w:pPr>
        <w:autoSpaceDE w:val="0"/>
        <w:autoSpaceDN w:val="0"/>
        <w:adjustRightInd w:val="0"/>
        <w:spacing w:before="29" w:line="360" w:lineRule="auto"/>
        <w:ind w:left="15" w:right="480"/>
        <w:jc w:val="right"/>
        <w:rPr>
          <w:kern w:val="0"/>
        </w:rPr>
      </w:pPr>
      <w:r>
        <w:rPr>
          <w:kern w:val="0"/>
        </w:rPr>
        <w:t>金额单位：人民币元</w:t>
      </w:r>
    </w:p>
    <w:tbl>
      <w:tblPr>
        <w:tblStyle w:val="40"/>
        <w:tblW w:w="9215"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94"/>
        <w:gridCol w:w="1276"/>
        <w:gridCol w:w="1612"/>
        <w:gridCol w:w="1224"/>
        <w:gridCol w:w="1551"/>
        <w:gridCol w:w="1283"/>
        <w:gridCol w:w="1275"/>
      </w:tblGrid>
      <w:tr w14:paraId="346BFE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restart"/>
            <w:vAlign w:val="center"/>
          </w:tcPr>
          <w:p w14:paraId="2CB25DC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276" w:type="dxa"/>
            <w:vMerge w:val="restart"/>
            <w:vAlign w:val="center"/>
          </w:tcPr>
          <w:p w14:paraId="51C55AD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836" w:type="dxa"/>
            <w:gridSpan w:val="2"/>
            <w:noWrap/>
            <w:vAlign w:val="center"/>
          </w:tcPr>
          <w:p w14:paraId="1B3B9E8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2834" w:type="dxa"/>
            <w:gridSpan w:val="2"/>
            <w:noWrap/>
            <w:vAlign w:val="center"/>
          </w:tcPr>
          <w:p w14:paraId="593CD357">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c>
          <w:tcPr>
            <w:tcW w:w="1275" w:type="dxa"/>
            <w:vMerge w:val="restart"/>
            <w:vAlign w:val="center"/>
          </w:tcPr>
          <w:p w14:paraId="0D84A2F3">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金额同比变化（%）</w:t>
            </w:r>
          </w:p>
        </w:tc>
      </w:tr>
      <w:tr w14:paraId="7231CD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continue"/>
            <w:vAlign w:val="center"/>
          </w:tcPr>
          <w:p w14:paraId="2E1AACA1">
            <w:pPr>
              <w:pStyle w:val="36"/>
              <w:adjustRightInd w:val="0"/>
              <w:snapToGrid w:val="0"/>
              <w:spacing w:line="360" w:lineRule="auto"/>
              <w:jc w:val="center"/>
              <w:rPr>
                <w:rFonts w:ascii="Times New Roman" w:hAnsi="Times New Roman" w:cs="Times New Roman"/>
                <w:sz w:val="21"/>
                <w:szCs w:val="21"/>
              </w:rPr>
            </w:pPr>
          </w:p>
        </w:tc>
        <w:tc>
          <w:tcPr>
            <w:tcW w:w="1276" w:type="dxa"/>
            <w:vMerge w:val="continue"/>
            <w:vAlign w:val="center"/>
          </w:tcPr>
          <w:p w14:paraId="505D7221">
            <w:pPr>
              <w:pStyle w:val="36"/>
              <w:adjustRightInd w:val="0"/>
              <w:snapToGrid w:val="0"/>
              <w:spacing w:line="360" w:lineRule="auto"/>
              <w:jc w:val="center"/>
              <w:rPr>
                <w:rFonts w:ascii="Times New Roman" w:hAnsi="Times New Roman" w:cs="Times New Roman"/>
                <w:sz w:val="21"/>
                <w:szCs w:val="21"/>
              </w:rPr>
            </w:pPr>
          </w:p>
        </w:tc>
        <w:tc>
          <w:tcPr>
            <w:tcW w:w="1612" w:type="dxa"/>
            <w:vAlign w:val="center"/>
          </w:tcPr>
          <w:p w14:paraId="2BF04D6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24" w:type="dxa"/>
            <w:vAlign w:val="center"/>
          </w:tcPr>
          <w:p w14:paraId="3CD74EF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占该项目总成本比例（％）</w:t>
            </w:r>
          </w:p>
        </w:tc>
        <w:tc>
          <w:tcPr>
            <w:tcW w:w="1551" w:type="dxa"/>
            <w:vAlign w:val="center"/>
          </w:tcPr>
          <w:p w14:paraId="2AFC9FE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83" w:type="dxa"/>
            <w:vAlign w:val="center"/>
          </w:tcPr>
          <w:p w14:paraId="388E989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占该项目总成本比例（％）</w:t>
            </w:r>
          </w:p>
        </w:tc>
        <w:tc>
          <w:tcPr>
            <w:tcW w:w="1275" w:type="dxa"/>
            <w:vMerge w:val="continue"/>
            <w:vAlign w:val="center"/>
          </w:tcPr>
          <w:p w14:paraId="51818E02">
            <w:pPr>
              <w:pStyle w:val="36"/>
              <w:adjustRightInd w:val="0"/>
              <w:snapToGrid w:val="0"/>
              <w:spacing w:line="360" w:lineRule="auto"/>
              <w:rPr>
                <w:rFonts w:ascii="Times New Roman" w:hAnsi="Times New Roman" w:cs="Times New Roman"/>
                <w:sz w:val="21"/>
                <w:szCs w:val="21"/>
              </w:rPr>
            </w:pPr>
          </w:p>
        </w:tc>
      </w:tr>
      <w:tr w14:paraId="2478DC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513FA059">
            <w:pPr>
              <w:jc w:val="center"/>
            </w:pPr>
            <w:r>
              <w:rPr>
                <w:kern w:val="0"/>
              </w:rPr>
              <w:t>1</w:t>
            </w:r>
          </w:p>
        </w:tc>
        <w:tc>
          <w:tcPr>
            <w:vAlign w:val="center"/>
          </w:tcPr>
          <w:p w14:paraId="60F39CB1">
            <w:pPr>
              <w:jc w:val="left"/>
            </w:pPr>
            <w:r>
              <w:rPr>
                <w:kern w:val="0"/>
              </w:rPr>
              <w:t>租赁成本</w:t>
            </w:r>
          </w:p>
        </w:tc>
        <w:tc>
          <w:tcPr>
            <w:tcW w:w="1612" w:type="dxa"/>
            <w:vAlign w:val="center"/>
          </w:tcPr>
          <w:p w14:paraId="7DC7036E">
            <w:pPr>
              <w:jc w:val="right"/>
            </w:pPr>
            <w:r>
              <w:rPr>
                <w:kern w:val="0"/>
              </w:rPr>
              <w:t>141,421.99</w:t>
            </w:r>
          </w:p>
        </w:tc>
        <w:tc>
          <w:tcPr>
            <w:tcW w:w="1224" w:type="dxa"/>
            <w:vAlign w:val="center"/>
          </w:tcPr>
          <w:p w14:paraId="52E7A0F9">
            <w:pPr>
              <w:jc w:val="right"/>
            </w:pPr>
            <w:r>
              <w:rPr>
                <w:kern w:val="0"/>
              </w:rPr>
              <w:t>4.51%</w:t>
            </w:r>
          </w:p>
        </w:tc>
        <w:tc>
          <w:tcPr>
            <w:tcW w:w="1551" w:type="dxa"/>
            <w:vAlign w:val="center"/>
          </w:tcPr>
          <w:p w14:paraId="76ABC23C">
            <w:pPr>
              <w:jc w:val="right"/>
            </w:pPr>
            <w:r>
              <w:rPr>
                <w:kern w:val="0"/>
              </w:rPr>
              <w:t>328,749.12</w:t>
            </w:r>
          </w:p>
        </w:tc>
        <w:tc>
          <w:tcPr>
            <w:tcW w:w="1283" w:type="dxa"/>
            <w:vAlign w:val="center"/>
          </w:tcPr>
          <w:p w14:paraId="77FE970C">
            <w:pPr>
              <w:jc w:val="right"/>
            </w:pPr>
            <w:r>
              <w:rPr>
                <w:kern w:val="0"/>
              </w:rPr>
              <w:t>8.54%</w:t>
            </w:r>
          </w:p>
        </w:tc>
        <w:tc>
          <w:tcPr>
            <w:vAlign w:val="center"/>
          </w:tcPr>
          <w:p w14:paraId="692FC01D">
            <w:pPr>
              <w:jc w:val="right"/>
            </w:pPr>
            <w:r>
              <w:rPr>
                <w:kern w:val="0"/>
              </w:rPr>
              <w:t>-56.98%</w:t>
            </w:r>
          </w:p>
        </w:tc>
      </w:tr>
      <w:tr w14:paraId="7596E1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479CEEE9">
            <w:pPr>
              <w:jc w:val="center"/>
            </w:pPr>
            <w:r>
              <w:rPr>
                <w:kern w:val="0"/>
              </w:rPr>
              <w:t>2</w:t>
            </w:r>
          </w:p>
        </w:tc>
        <w:tc>
          <w:tcPr>
            <w:vAlign w:val="center"/>
          </w:tcPr>
          <w:p w14:paraId="3A37CEB4">
            <w:pPr>
              <w:jc w:val="left"/>
            </w:pPr>
            <w:r>
              <w:rPr>
                <w:kern w:val="0"/>
              </w:rPr>
              <w:t>物业成本</w:t>
            </w:r>
          </w:p>
        </w:tc>
        <w:tc>
          <w:tcPr>
            <w:tcW w:w="1612" w:type="dxa"/>
            <w:vAlign w:val="center"/>
          </w:tcPr>
          <w:p w14:paraId="32DD835E">
            <w:pPr>
              <w:jc w:val="right"/>
            </w:pPr>
            <w:r>
              <w:rPr>
                <w:kern w:val="0"/>
              </w:rPr>
              <w:t>1,938,954.78</w:t>
            </w:r>
          </w:p>
        </w:tc>
        <w:tc>
          <w:tcPr>
            <w:tcW w:w="1224" w:type="dxa"/>
            <w:vAlign w:val="center"/>
          </w:tcPr>
          <w:p w14:paraId="3674C77B">
            <w:pPr>
              <w:jc w:val="right"/>
            </w:pPr>
            <w:r>
              <w:rPr>
                <w:kern w:val="0"/>
              </w:rPr>
              <w:t>61.89%</w:t>
            </w:r>
          </w:p>
        </w:tc>
        <w:tc>
          <w:tcPr>
            <w:tcW w:w="1551" w:type="dxa"/>
            <w:vAlign w:val="center"/>
          </w:tcPr>
          <w:p w14:paraId="1D224577">
            <w:pPr>
              <w:jc w:val="right"/>
            </w:pPr>
            <w:r>
              <w:rPr>
                <w:kern w:val="0"/>
              </w:rPr>
              <w:t>2,403,281.29</w:t>
            </w:r>
          </w:p>
        </w:tc>
        <w:tc>
          <w:tcPr>
            <w:tcW w:w="1283" w:type="dxa"/>
            <w:vAlign w:val="center"/>
          </w:tcPr>
          <w:p w14:paraId="3DB73A64">
            <w:pPr>
              <w:jc w:val="right"/>
            </w:pPr>
            <w:r>
              <w:rPr>
                <w:kern w:val="0"/>
              </w:rPr>
              <w:t>62.41%</w:t>
            </w:r>
          </w:p>
        </w:tc>
        <w:tc>
          <w:tcPr>
            <w:vAlign w:val="center"/>
          </w:tcPr>
          <w:p w14:paraId="6159D325">
            <w:pPr>
              <w:jc w:val="right"/>
            </w:pPr>
            <w:r>
              <w:rPr>
                <w:kern w:val="0"/>
              </w:rPr>
              <w:t>-19.32%</w:t>
            </w:r>
          </w:p>
        </w:tc>
      </w:tr>
      <w:tr w14:paraId="25D313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28D4A17D">
            <w:pPr>
              <w:jc w:val="center"/>
            </w:pPr>
            <w:r>
              <w:rPr>
                <w:kern w:val="0"/>
              </w:rPr>
              <w:t>3</w:t>
            </w:r>
          </w:p>
        </w:tc>
        <w:tc>
          <w:tcPr>
            <w:vAlign w:val="center"/>
          </w:tcPr>
          <w:p w14:paraId="0A3E908D">
            <w:pPr>
              <w:jc w:val="left"/>
            </w:pPr>
            <w:r>
              <w:rPr>
                <w:kern w:val="0"/>
              </w:rPr>
              <w:t>运营管理成本</w:t>
            </w:r>
          </w:p>
        </w:tc>
        <w:tc>
          <w:tcPr>
            <w:tcW w:w="1612" w:type="dxa"/>
            <w:vAlign w:val="center"/>
          </w:tcPr>
          <w:p w14:paraId="5F3100C6">
            <w:pPr>
              <w:jc w:val="right"/>
            </w:pPr>
            <w:r>
              <w:rPr>
                <w:kern w:val="0"/>
              </w:rPr>
              <w:t>1,052,484.73</w:t>
            </w:r>
          </w:p>
        </w:tc>
        <w:tc>
          <w:tcPr>
            <w:tcW w:w="1224" w:type="dxa"/>
            <w:vAlign w:val="center"/>
          </w:tcPr>
          <w:p w14:paraId="421D0D76">
            <w:pPr>
              <w:jc w:val="right"/>
            </w:pPr>
            <w:r>
              <w:rPr>
                <w:kern w:val="0"/>
              </w:rPr>
              <w:t>33.59%</w:t>
            </w:r>
          </w:p>
        </w:tc>
        <w:tc>
          <w:tcPr>
            <w:tcW w:w="1551" w:type="dxa"/>
            <w:vAlign w:val="center"/>
          </w:tcPr>
          <w:p w14:paraId="4BEB9F5C">
            <w:pPr>
              <w:jc w:val="right"/>
            </w:pPr>
            <w:r>
              <w:rPr>
                <w:kern w:val="0"/>
              </w:rPr>
              <w:t>1,118,662.99</w:t>
            </w:r>
          </w:p>
        </w:tc>
        <w:tc>
          <w:tcPr>
            <w:tcW w:w="1283" w:type="dxa"/>
            <w:vAlign w:val="center"/>
          </w:tcPr>
          <w:p w14:paraId="4391C723">
            <w:pPr>
              <w:jc w:val="right"/>
            </w:pPr>
            <w:r>
              <w:rPr>
                <w:kern w:val="0"/>
              </w:rPr>
              <w:t>29.05%</w:t>
            </w:r>
          </w:p>
        </w:tc>
        <w:tc>
          <w:tcPr>
            <w:vAlign w:val="center"/>
          </w:tcPr>
          <w:p w14:paraId="04CBCBC9">
            <w:pPr>
              <w:jc w:val="right"/>
            </w:pPr>
            <w:r>
              <w:rPr>
                <w:kern w:val="0"/>
              </w:rPr>
              <w:t>-5.92%</w:t>
            </w:r>
          </w:p>
        </w:tc>
      </w:tr>
      <w:tr w14:paraId="5DF6E6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1196899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1276" w:type="dxa"/>
            <w:vAlign w:val="center"/>
          </w:tcPr>
          <w:p w14:paraId="572A3622">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其他成本/费用</w:t>
            </w:r>
          </w:p>
        </w:tc>
        <w:tc>
          <w:tcPr>
            <w:tcW w:w="1612" w:type="dxa"/>
            <w:vAlign w:val="center"/>
          </w:tcPr>
          <w:p w14:paraId="096B97FD">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24" w:type="dxa"/>
          </w:tcPr>
          <w:p w14:paraId="7FB26C05">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551" w:type="dxa"/>
            <w:vAlign w:val="center"/>
          </w:tcPr>
          <w:p w14:paraId="7AE6F4F9">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83" w:type="dxa"/>
          </w:tcPr>
          <w:p w14:paraId="0950E9B9">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5" w:type="dxa"/>
          </w:tcPr>
          <w:p w14:paraId="00231C07">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r>
      <w:tr w14:paraId="20D5A0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63F1B73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1276" w:type="dxa"/>
            <w:vAlign w:val="center"/>
          </w:tcPr>
          <w:p w14:paraId="4B0D9663">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营业成本/费用合计</w:t>
            </w:r>
          </w:p>
        </w:tc>
        <w:tc>
          <w:tcPr>
            <w:tcW w:w="1612" w:type="dxa"/>
            <w:vAlign w:val="center"/>
          </w:tcPr>
          <w:p w14:paraId="634F27A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3,132,861.50</w:t>
            </w:r>
          </w:p>
        </w:tc>
        <w:tc>
          <w:tcPr>
            <w:tcW w:w="1224" w:type="dxa"/>
            <w:vAlign w:val="center"/>
          </w:tcPr>
          <w:p w14:paraId="6EB1541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551" w:type="dxa"/>
            <w:vAlign w:val="center"/>
          </w:tcPr>
          <w:p w14:paraId="23F4AE9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3,850,693.40</w:t>
            </w:r>
          </w:p>
        </w:tc>
        <w:tc>
          <w:tcPr>
            <w:tcW w:w="1283" w:type="dxa"/>
            <w:vAlign w:val="center"/>
          </w:tcPr>
          <w:p w14:paraId="7CDA601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275" w:type="dxa"/>
            <w:vAlign w:val="center"/>
          </w:tcPr>
          <w:p w14:paraId="60A4797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-18.64%</w:t>
            </w:r>
          </w:p>
        </w:tc>
      </w:tr>
    </w:tbl>
    <w:p w14:paraId="1157AADF">
      <w:pPr>
        <w:adjustRightInd w:val="0"/>
        <w:snapToGrid w:val="0"/>
        <w:spacing w:line="360" w:lineRule="auto"/>
        <w:jc w:val="left"/>
        <w:rPr>
          <w:b w:val="0"/>
          <w:bCs w:val="0"/>
        </w:rPr>
      </w:pPr>
      <w:r>
        <w:rPr>
          <w:b w:val="0"/>
          <w:bCs w:val="0"/>
        </w:rPr>
        <w:t>项目公司名称：3 深圳市招光物业租赁有限公司</w:t>
      </w:r>
    </w:p>
    <w:p w14:paraId="6B42F22B">
      <w:pPr>
        <w:autoSpaceDE w:val="0"/>
        <w:autoSpaceDN w:val="0"/>
        <w:adjustRightInd w:val="0"/>
        <w:spacing w:before="29" w:line="360" w:lineRule="auto"/>
        <w:ind w:left="15" w:right="480"/>
        <w:jc w:val="right"/>
        <w:rPr>
          <w:kern w:val="0"/>
        </w:rPr>
      </w:pPr>
      <w:r>
        <w:rPr>
          <w:kern w:val="0"/>
        </w:rPr>
        <w:t>金额单位：人民币元</w:t>
      </w:r>
    </w:p>
    <w:tbl>
      <w:tblPr>
        <w:tblStyle w:val="40"/>
        <w:tblW w:w="9215" w:type="dxa"/>
        <w:tblInd w:w="-17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94"/>
        <w:gridCol w:w="1276"/>
        <w:gridCol w:w="1612"/>
        <w:gridCol w:w="1224"/>
        <w:gridCol w:w="1581"/>
        <w:gridCol w:w="1253"/>
        <w:gridCol w:w="1275"/>
      </w:tblGrid>
      <w:tr w14:paraId="6DBCE2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restart"/>
            <w:vAlign w:val="center"/>
          </w:tcPr>
          <w:p w14:paraId="02514E9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276" w:type="dxa"/>
            <w:vMerge w:val="restart"/>
            <w:vAlign w:val="center"/>
          </w:tcPr>
          <w:p w14:paraId="043FB65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构成</w:t>
            </w:r>
          </w:p>
        </w:tc>
        <w:tc>
          <w:tcPr>
            <w:tcW w:w="2836" w:type="dxa"/>
            <w:gridSpan w:val="2"/>
            <w:noWrap/>
            <w:vAlign w:val="center"/>
          </w:tcPr>
          <w:p w14:paraId="1B43F5A4">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2834" w:type="dxa"/>
            <w:gridSpan w:val="2"/>
            <w:noWrap/>
            <w:vAlign w:val="center"/>
          </w:tcPr>
          <w:p w14:paraId="1933559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c>
          <w:tcPr>
            <w:tcW w:w="1275" w:type="dxa"/>
            <w:vMerge w:val="restart"/>
            <w:vAlign w:val="center"/>
          </w:tcPr>
          <w:p w14:paraId="6167FF60">
            <w:pPr>
              <w:pStyle w:val="36"/>
              <w:adjustRightInd w:val="0"/>
              <w:snapToGrid w:val="0"/>
              <w:spacing w:before="0" w:beforeAutospacing="0" w:after="0" w:afterAutospacing="0" w:line="360" w:lineRule="auto"/>
              <w:jc w:val="center"/>
              <w:rPr>
                <w:rFonts w:ascii="Times New Roman" w:hAnsi="Times New Roman" w:cs="Times New Roman"/>
                <w:sz w:val="21"/>
                <w:szCs w:val="21"/>
              </w:rPr>
            </w:pPr>
            <w:r>
              <w:rPr>
                <w:rFonts w:ascii="Times New Roman" w:hAnsi="Times New Roman" w:cs="Times New Roman"/>
                <w:sz w:val="21"/>
                <w:szCs w:val="21"/>
              </w:rPr>
              <w:t>金额同比变化（%）</w:t>
            </w:r>
          </w:p>
        </w:tc>
      </w:tr>
      <w:tr w14:paraId="67EFE5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Merge w:val="continue"/>
            <w:vAlign w:val="center"/>
          </w:tcPr>
          <w:p w14:paraId="02568BD4">
            <w:pPr>
              <w:pStyle w:val="36"/>
              <w:adjustRightInd w:val="0"/>
              <w:snapToGrid w:val="0"/>
              <w:spacing w:line="360" w:lineRule="auto"/>
              <w:jc w:val="center"/>
              <w:rPr>
                <w:rFonts w:ascii="Times New Roman" w:hAnsi="Times New Roman" w:cs="Times New Roman"/>
                <w:sz w:val="21"/>
                <w:szCs w:val="21"/>
              </w:rPr>
            </w:pPr>
          </w:p>
        </w:tc>
        <w:tc>
          <w:tcPr>
            <w:tcW w:w="1276" w:type="dxa"/>
            <w:vMerge w:val="continue"/>
            <w:vAlign w:val="center"/>
          </w:tcPr>
          <w:p w14:paraId="4D3EE91B">
            <w:pPr>
              <w:pStyle w:val="36"/>
              <w:adjustRightInd w:val="0"/>
              <w:snapToGrid w:val="0"/>
              <w:spacing w:line="360" w:lineRule="auto"/>
              <w:jc w:val="center"/>
              <w:rPr>
                <w:rFonts w:ascii="Times New Roman" w:hAnsi="Times New Roman" w:cs="Times New Roman"/>
                <w:sz w:val="21"/>
                <w:szCs w:val="21"/>
              </w:rPr>
            </w:pPr>
          </w:p>
        </w:tc>
        <w:tc>
          <w:tcPr>
            <w:tcW w:w="1612" w:type="dxa"/>
            <w:vAlign w:val="center"/>
          </w:tcPr>
          <w:p w14:paraId="0181874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24" w:type="dxa"/>
            <w:vAlign w:val="center"/>
          </w:tcPr>
          <w:p w14:paraId="612F90C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占该项目总成本比例（％）</w:t>
            </w:r>
          </w:p>
        </w:tc>
        <w:tc>
          <w:tcPr>
            <w:tcW w:w="1581" w:type="dxa"/>
            <w:vAlign w:val="center"/>
          </w:tcPr>
          <w:p w14:paraId="78D2D26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金额（元）</w:t>
            </w:r>
          </w:p>
        </w:tc>
        <w:tc>
          <w:tcPr>
            <w:tcW w:w="1253" w:type="dxa"/>
            <w:vAlign w:val="center"/>
          </w:tcPr>
          <w:p w14:paraId="4ADF8F9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占该项目总成本比例（％）</w:t>
            </w:r>
          </w:p>
        </w:tc>
        <w:tc>
          <w:tcPr>
            <w:tcW w:w="1275" w:type="dxa"/>
            <w:vMerge w:val="continue"/>
            <w:vAlign w:val="center"/>
          </w:tcPr>
          <w:p w14:paraId="7D956926">
            <w:pPr>
              <w:pStyle w:val="36"/>
              <w:adjustRightInd w:val="0"/>
              <w:snapToGrid w:val="0"/>
              <w:spacing w:line="360" w:lineRule="auto"/>
              <w:rPr>
                <w:rFonts w:ascii="Times New Roman" w:hAnsi="Times New Roman" w:cs="Times New Roman"/>
                <w:sz w:val="21"/>
                <w:szCs w:val="21"/>
              </w:rPr>
            </w:pPr>
          </w:p>
        </w:tc>
      </w:tr>
      <w:tr w14:paraId="1558FF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4EBBE186">
            <w:pPr>
              <w:jc w:val="center"/>
            </w:pPr>
            <w:r>
              <w:rPr>
                <w:kern w:val="0"/>
              </w:rPr>
              <w:t>1</w:t>
            </w:r>
          </w:p>
        </w:tc>
        <w:tc>
          <w:tcPr>
            <w:vAlign w:val="center"/>
          </w:tcPr>
          <w:p w14:paraId="0E7A22A7">
            <w:pPr>
              <w:jc w:val="left"/>
            </w:pPr>
            <w:r>
              <w:rPr>
                <w:kern w:val="0"/>
              </w:rPr>
              <w:t>租赁成本</w:t>
            </w:r>
          </w:p>
        </w:tc>
        <w:tc>
          <w:tcPr>
            <w:tcW w:w="1612" w:type="dxa"/>
            <w:vAlign w:val="center"/>
          </w:tcPr>
          <w:p w14:paraId="58FABE64">
            <w:pPr>
              <w:jc w:val="right"/>
            </w:pPr>
            <w:r>
              <w:rPr>
                <w:kern w:val="0"/>
              </w:rPr>
              <w:t>-109,645.92</w:t>
            </w:r>
          </w:p>
        </w:tc>
        <w:tc>
          <w:tcPr>
            <w:tcW w:w="1224" w:type="dxa"/>
            <w:vAlign w:val="center"/>
          </w:tcPr>
          <w:p w14:paraId="4E02AF02">
            <w:pPr>
              <w:jc w:val="right"/>
            </w:pPr>
            <w:r>
              <w:rPr>
                <w:kern w:val="0"/>
              </w:rPr>
              <w:t>-2.73%</w:t>
            </w:r>
          </w:p>
        </w:tc>
        <w:tc>
          <w:tcPr>
            <w:tcW w:w="1581" w:type="dxa"/>
            <w:vAlign w:val="center"/>
          </w:tcPr>
          <w:p w14:paraId="0D763F6C">
            <w:pPr>
              <w:jc w:val="right"/>
            </w:pPr>
            <w:r>
              <w:rPr>
                <w:kern w:val="0"/>
              </w:rPr>
              <w:t>150,143.11</w:t>
            </w:r>
          </w:p>
        </w:tc>
        <w:tc>
          <w:tcPr>
            <w:tcW w:w="1253" w:type="dxa"/>
            <w:vAlign w:val="center"/>
          </w:tcPr>
          <w:p w14:paraId="68A6FEE4">
            <w:pPr>
              <w:jc w:val="right"/>
            </w:pPr>
            <w:r>
              <w:rPr>
                <w:kern w:val="0"/>
              </w:rPr>
              <w:t>2.95%</w:t>
            </w:r>
          </w:p>
        </w:tc>
        <w:tc>
          <w:tcPr>
            <w:vAlign w:val="center"/>
          </w:tcPr>
          <w:p w14:paraId="0AC50C63">
            <w:pPr>
              <w:jc w:val="right"/>
            </w:pPr>
            <w:r>
              <w:rPr>
                <w:kern w:val="0"/>
              </w:rPr>
              <w:t>-173.03%</w:t>
            </w:r>
          </w:p>
        </w:tc>
      </w:tr>
      <w:tr w14:paraId="3ABC45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0011F461">
            <w:pPr>
              <w:jc w:val="center"/>
            </w:pPr>
            <w:r>
              <w:rPr>
                <w:kern w:val="0"/>
              </w:rPr>
              <w:t>2</w:t>
            </w:r>
          </w:p>
        </w:tc>
        <w:tc>
          <w:tcPr>
            <w:vAlign w:val="center"/>
          </w:tcPr>
          <w:p w14:paraId="6F956F76">
            <w:pPr>
              <w:jc w:val="left"/>
            </w:pPr>
            <w:r>
              <w:rPr>
                <w:kern w:val="0"/>
              </w:rPr>
              <w:t>物业成本</w:t>
            </w:r>
          </w:p>
        </w:tc>
        <w:tc>
          <w:tcPr>
            <w:tcW w:w="1612" w:type="dxa"/>
            <w:vAlign w:val="center"/>
          </w:tcPr>
          <w:p w14:paraId="6D36E4B8">
            <w:pPr>
              <w:jc w:val="right"/>
            </w:pPr>
            <w:r>
              <w:rPr>
                <w:kern w:val="0"/>
              </w:rPr>
              <w:t>2,937,729.91</w:t>
            </w:r>
          </w:p>
        </w:tc>
        <w:tc>
          <w:tcPr>
            <w:tcW w:w="1224" w:type="dxa"/>
            <w:vAlign w:val="center"/>
          </w:tcPr>
          <w:p w14:paraId="617C340E">
            <w:pPr>
              <w:jc w:val="right"/>
            </w:pPr>
            <w:r>
              <w:rPr>
                <w:kern w:val="0"/>
              </w:rPr>
              <w:t>73.02%</w:t>
            </w:r>
          </w:p>
        </w:tc>
        <w:tc>
          <w:tcPr>
            <w:tcW w:w="1581" w:type="dxa"/>
            <w:vAlign w:val="center"/>
          </w:tcPr>
          <w:p w14:paraId="68AA060D">
            <w:pPr>
              <w:jc w:val="right"/>
            </w:pPr>
            <w:r>
              <w:rPr>
                <w:kern w:val="0"/>
              </w:rPr>
              <w:t>3,570,283.84</w:t>
            </w:r>
          </w:p>
        </w:tc>
        <w:tc>
          <w:tcPr>
            <w:tcW w:w="1253" w:type="dxa"/>
            <w:vAlign w:val="center"/>
          </w:tcPr>
          <w:p w14:paraId="2B204D94">
            <w:pPr>
              <w:jc w:val="right"/>
            </w:pPr>
            <w:r>
              <w:rPr>
                <w:kern w:val="0"/>
              </w:rPr>
              <w:t>70.07%</w:t>
            </w:r>
          </w:p>
        </w:tc>
        <w:tc>
          <w:tcPr>
            <w:vAlign w:val="center"/>
          </w:tcPr>
          <w:p w14:paraId="2C216AC6">
            <w:pPr>
              <w:jc w:val="right"/>
            </w:pPr>
            <w:r>
              <w:rPr>
                <w:kern w:val="0"/>
              </w:rPr>
              <w:t>-17.72%</w:t>
            </w:r>
          </w:p>
        </w:tc>
      </w:tr>
      <w:tr w14:paraId="05FB30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38C94405">
            <w:pPr>
              <w:jc w:val="center"/>
            </w:pPr>
            <w:r>
              <w:rPr>
                <w:kern w:val="0"/>
              </w:rPr>
              <w:t>3</w:t>
            </w:r>
          </w:p>
        </w:tc>
        <w:tc>
          <w:tcPr>
            <w:vAlign w:val="center"/>
          </w:tcPr>
          <w:p w14:paraId="7AE94EB6">
            <w:pPr>
              <w:jc w:val="left"/>
            </w:pPr>
            <w:r>
              <w:rPr>
                <w:kern w:val="0"/>
              </w:rPr>
              <w:t>运营管理成本</w:t>
            </w:r>
          </w:p>
        </w:tc>
        <w:tc>
          <w:tcPr>
            <w:tcW w:w="1612" w:type="dxa"/>
            <w:vAlign w:val="center"/>
          </w:tcPr>
          <w:p w14:paraId="0DB772F3">
            <w:pPr>
              <w:jc w:val="right"/>
            </w:pPr>
            <w:r>
              <w:rPr>
                <w:kern w:val="0"/>
              </w:rPr>
              <w:t>1,195,205.55</w:t>
            </w:r>
          </w:p>
        </w:tc>
        <w:tc>
          <w:tcPr>
            <w:tcW w:w="1224" w:type="dxa"/>
            <w:vAlign w:val="center"/>
          </w:tcPr>
          <w:p w14:paraId="3EADA843">
            <w:pPr>
              <w:jc w:val="right"/>
            </w:pPr>
            <w:r>
              <w:rPr>
                <w:kern w:val="0"/>
              </w:rPr>
              <w:t>29.71%</w:t>
            </w:r>
          </w:p>
        </w:tc>
        <w:tc>
          <w:tcPr>
            <w:tcW w:w="1581" w:type="dxa"/>
            <w:vAlign w:val="center"/>
          </w:tcPr>
          <w:p w14:paraId="6E16CB5A">
            <w:pPr>
              <w:jc w:val="right"/>
            </w:pPr>
            <w:r>
              <w:rPr>
                <w:kern w:val="0"/>
              </w:rPr>
              <w:t>1,374,690.14</w:t>
            </w:r>
          </w:p>
        </w:tc>
        <w:tc>
          <w:tcPr>
            <w:tcW w:w="1253" w:type="dxa"/>
            <w:vAlign w:val="center"/>
          </w:tcPr>
          <w:p w14:paraId="1EB94815">
            <w:pPr>
              <w:jc w:val="right"/>
            </w:pPr>
            <w:r>
              <w:rPr>
                <w:kern w:val="0"/>
              </w:rPr>
              <w:t>26.98%</w:t>
            </w:r>
          </w:p>
        </w:tc>
        <w:tc>
          <w:tcPr>
            <w:vAlign w:val="center"/>
          </w:tcPr>
          <w:p w14:paraId="1DE17954">
            <w:pPr>
              <w:jc w:val="right"/>
            </w:pPr>
            <w:r>
              <w:rPr>
                <w:kern w:val="0"/>
              </w:rPr>
              <w:t>-13.06%</w:t>
            </w:r>
          </w:p>
        </w:tc>
      </w:tr>
      <w:tr w14:paraId="2CC818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4BC1E78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1276" w:type="dxa"/>
            <w:vAlign w:val="center"/>
          </w:tcPr>
          <w:p w14:paraId="68DB2B29">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其他成本/费用</w:t>
            </w:r>
          </w:p>
        </w:tc>
        <w:tc>
          <w:tcPr>
            <w:tcW w:w="1612" w:type="dxa"/>
            <w:vAlign w:val="center"/>
          </w:tcPr>
          <w:p w14:paraId="3B13A1EE">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24" w:type="dxa"/>
          </w:tcPr>
          <w:p w14:paraId="7B37FFB9">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581" w:type="dxa"/>
            <w:vAlign w:val="center"/>
          </w:tcPr>
          <w:p w14:paraId="2E5A5B5D">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53" w:type="dxa"/>
          </w:tcPr>
          <w:p w14:paraId="5B6FBBB3">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c>
          <w:tcPr>
            <w:tcW w:w="1275" w:type="dxa"/>
          </w:tcPr>
          <w:p w14:paraId="6880B5B7">
            <w:pPr>
              <w:pStyle w:val="36"/>
              <w:adjustRightInd w:val="0"/>
              <w:snapToGrid w:val="0"/>
              <w:spacing w:line="360" w:lineRule="auto"/>
              <w:jc w:val="right"/>
              <w:rPr>
                <w:rFonts w:ascii="Times New Roman" w:hAnsi="Times New Roman" w:cs="Times New Roman"/>
                <w:sz w:val="21"/>
                <w:szCs w:val="21"/>
              </w:rPr>
            </w:pPr>
            <w:r>
              <w:rPr>
                <w:rFonts w:ascii="Times New Roman" w:hAnsi="Times New Roman" w:cs="Times New Roman"/>
                <w:sz w:val="21"/>
                <w:szCs w:val="21"/>
              </w:rPr>
              <w:t>-</w:t>
            </w:r>
          </w:p>
        </w:tc>
      </w:tr>
      <w:tr w14:paraId="4843A3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94" w:type="dxa"/>
            <w:vAlign w:val="center"/>
          </w:tcPr>
          <w:p w14:paraId="1368887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1276" w:type="dxa"/>
            <w:vAlign w:val="center"/>
          </w:tcPr>
          <w:p w14:paraId="2C47CCE4">
            <w:pPr>
              <w:pStyle w:val="36"/>
              <w:adjustRightInd w:val="0"/>
              <w:snapToGrid w:val="0"/>
              <w:spacing w:line="360" w:lineRule="auto"/>
              <w:rPr>
                <w:rFonts w:ascii="Times New Roman" w:hAnsi="Times New Roman" w:cs="Times New Roman"/>
                <w:sz w:val="21"/>
                <w:szCs w:val="21"/>
              </w:rPr>
            </w:pPr>
            <w:r>
              <w:rPr>
                <w:rFonts w:ascii="Times New Roman" w:hAnsi="Times New Roman" w:cs="Times New Roman"/>
                <w:sz w:val="21"/>
                <w:szCs w:val="21"/>
              </w:rPr>
              <w:t>营业成本/费用合计</w:t>
            </w:r>
          </w:p>
        </w:tc>
        <w:tc>
          <w:tcPr>
            <w:tcW w:w="1612" w:type="dxa"/>
            <w:vAlign w:val="center"/>
          </w:tcPr>
          <w:p w14:paraId="598C1F3E">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4,023,289.54</w:t>
            </w:r>
          </w:p>
        </w:tc>
        <w:tc>
          <w:tcPr>
            <w:tcW w:w="1224" w:type="dxa"/>
            <w:vAlign w:val="center"/>
          </w:tcPr>
          <w:p w14:paraId="6F97743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581" w:type="dxa"/>
            <w:vAlign w:val="center"/>
          </w:tcPr>
          <w:p w14:paraId="20539637">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5,095,117.09</w:t>
            </w:r>
          </w:p>
        </w:tc>
        <w:tc>
          <w:tcPr>
            <w:tcW w:w="1253" w:type="dxa"/>
            <w:vAlign w:val="center"/>
          </w:tcPr>
          <w:p w14:paraId="41B6833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100.00%</w:t>
            </w:r>
          </w:p>
        </w:tc>
        <w:tc>
          <w:tcPr>
            <w:tcW w:w="1275" w:type="dxa"/>
            <w:vAlign w:val="center"/>
          </w:tcPr>
          <w:p w14:paraId="11D58B09">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-21.04%</w:t>
            </w:r>
          </w:p>
        </w:tc>
      </w:tr>
    </w:tbl>
    <w:p w14:paraId="65F2866A">
      <w:pPr>
        <w:spacing w:line="360" w:lineRule="auto"/>
        <w:ind w:firstLine="420" w:firstLineChars="200"/>
      </w:pPr>
      <w:r>
        <w:t>注：本报告期内租赁成本为负数，主要是根据最终结算金额冲减了上年度多计提的维修成本，同时本期新发生的相关成本滞后于上年度同期，预计将在下半年发生。</w:t>
      </w:r>
    </w:p>
    <w:p w14:paraId="241B79A2">
      <w:pPr>
        <w:adjustRightInd w:val="0"/>
        <w:snapToGrid w:val="0"/>
        <w:spacing w:line="360" w:lineRule="auto"/>
        <w:rPr>
          <w:b/>
          <w:kern w:val="0"/>
        </w:rPr>
      </w:pPr>
      <w:r>
        <w:rPr>
          <w:b/>
          <w:kern w:val="0"/>
        </w:rPr>
        <w:t>4.3.5 重要</w:t>
      </w:r>
      <w:r>
        <w:rPr>
          <w:rFonts w:hint="eastAsia"/>
          <w:b/>
          <w:kern w:val="0"/>
        </w:rPr>
        <w:t>不动产</w:t>
      </w:r>
      <w:r>
        <w:rPr>
          <w:b/>
          <w:kern w:val="0"/>
        </w:rPr>
        <w:t>项目公司的财务业绩衡量指标分析</w:t>
      </w:r>
    </w:p>
    <w:p w14:paraId="62622372">
      <w:pPr>
        <w:adjustRightInd w:val="0"/>
        <w:snapToGrid w:val="0"/>
        <w:spacing w:line="360" w:lineRule="auto"/>
        <w:jc w:val="left"/>
        <w:rPr>
          <w:b w:val="0"/>
          <w:bCs w:val="0"/>
        </w:rPr>
      </w:pPr>
      <w:r>
        <w:rPr>
          <w:b w:val="0"/>
          <w:bCs w:val="0"/>
        </w:rPr>
        <w:t>项目公司名称：1 深圳市万海大厦管理有限公司</w:t>
      </w:r>
    </w:p>
    <w:tbl>
      <w:tblPr>
        <w:tblStyle w:val="40"/>
        <w:tblW w:w="90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664"/>
        <w:gridCol w:w="2082"/>
        <w:gridCol w:w="1250"/>
        <w:gridCol w:w="1664"/>
        <w:gridCol w:w="1557"/>
      </w:tblGrid>
      <w:tr w14:paraId="3DA6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restart"/>
            <w:vAlign w:val="center"/>
          </w:tcPr>
          <w:p w14:paraId="69F6C0B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664" w:type="dxa"/>
            <w:vMerge w:val="restart"/>
            <w:vAlign w:val="center"/>
          </w:tcPr>
          <w:p w14:paraId="3A4B8FA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2082" w:type="dxa"/>
            <w:vMerge w:val="restart"/>
            <w:vAlign w:val="center"/>
          </w:tcPr>
          <w:p w14:paraId="7FD2164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指标含义说明及计算公式</w:t>
            </w:r>
          </w:p>
        </w:tc>
        <w:tc>
          <w:tcPr>
            <w:tcW w:w="1250" w:type="dxa"/>
            <w:vMerge w:val="restart"/>
            <w:vAlign w:val="center"/>
          </w:tcPr>
          <w:p w14:paraId="39AEDA7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1664" w:type="dxa"/>
            <w:noWrap/>
            <w:vAlign w:val="center"/>
          </w:tcPr>
          <w:p w14:paraId="03FF2A19">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1557" w:type="dxa"/>
            <w:noWrap/>
            <w:vAlign w:val="center"/>
          </w:tcPr>
          <w:p w14:paraId="6EFEBD06">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r>
      <w:tr w14:paraId="7AAC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continue"/>
            <w:vAlign w:val="center"/>
          </w:tcPr>
          <w:p w14:paraId="35E3A1DF">
            <w:pPr>
              <w:pStyle w:val="36"/>
              <w:adjustRightInd w:val="0"/>
              <w:snapToGrid w:val="0"/>
              <w:spacing w:line="360" w:lineRule="auto"/>
              <w:jc w:val="center"/>
              <w:rPr>
                <w:rFonts w:ascii="Times New Roman" w:hAnsi="Times New Roman" w:cs="Times New Roman"/>
                <w:sz w:val="21"/>
                <w:szCs w:val="21"/>
              </w:rPr>
            </w:pPr>
          </w:p>
        </w:tc>
        <w:tc>
          <w:tcPr>
            <w:tcW w:w="1664" w:type="dxa"/>
            <w:vMerge w:val="continue"/>
            <w:vAlign w:val="center"/>
          </w:tcPr>
          <w:p w14:paraId="78C5C12C">
            <w:pPr>
              <w:pStyle w:val="36"/>
              <w:adjustRightInd w:val="0"/>
              <w:snapToGrid w:val="0"/>
              <w:spacing w:line="360" w:lineRule="auto"/>
              <w:jc w:val="center"/>
              <w:rPr>
                <w:rFonts w:ascii="Times New Roman" w:hAnsi="Times New Roman" w:cs="Times New Roman"/>
                <w:sz w:val="21"/>
                <w:szCs w:val="21"/>
              </w:rPr>
            </w:pPr>
          </w:p>
        </w:tc>
        <w:tc>
          <w:tcPr>
            <w:tcW w:w="2082" w:type="dxa"/>
            <w:vMerge w:val="continue"/>
            <w:vAlign w:val="center"/>
          </w:tcPr>
          <w:p w14:paraId="5590BB08">
            <w:pPr>
              <w:pStyle w:val="36"/>
              <w:adjustRightInd w:val="0"/>
              <w:snapToGrid w:val="0"/>
              <w:spacing w:line="360" w:lineRule="auto"/>
              <w:jc w:val="center"/>
              <w:rPr>
                <w:rFonts w:ascii="Times New Roman" w:hAnsi="Times New Roman" w:cs="Times New Roman"/>
                <w:sz w:val="21"/>
                <w:szCs w:val="21"/>
              </w:rPr>
            </w:pPr>
          </w:p>
        </w:tc>
        <w:tc>
          <w:tcPr>
            <w:tcW w:w="1250" w:type="dxa"/>
            <w:vMerge w:val="continue"/>
            <w:vAlign w:val="center"/>
          </w:tcPr>
          <w:p w14:paraId="2C63FA19">
            <w:pPr>
              <w:pStyle w:val="36"/>
              <w:adjustRightInd w:val="0"/>
              <w:snapToGrid w:val="0"/>
              <w:spacing w:line="360" w:lineRule="auto"/>
              <w:jc w:val="center"/>
              <w:rPr>
                <w:rFonts w:ascii="Times New Roman" w:hAnsi="Times New Roman" w:cs="Times New Roman"/>
                <w:sz w:val="21"/>
                <w:szCs w:val="21"/>
              </w:rPr>
            </w:pPr>
          </w:p>
        </w:tc>
        <w:tc>
          <w:tcPr>
            <w:tcW w:w="1664" w:type="dxa"/>
            <w:vAlign w:val="center"/>
          </w:tcPr>
          <w:p w14:paraId="127E62E8">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指标数值</w:t>
            </w:r>
          </w:p>
        </w:tc>
        <w:tc>
          <w:tcPr>
            <w:tcW w:w="1557" w:type="dxa"/>
            <w:vAlign w:val="center"/>
          </w:tcPr>
          <w:p w14:paraId="15A51F3F">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指标数值</w:t>
            </w:r>
          </w:p>
        </w:tc>
      </w:tr>
      <w:tr w14:paraId="6AEE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C108130">
            <w:pPr>
              <w:jc w:val="center"/>
            </w:pPr>
            <w:r>
              <w:rPr>
                <w:kern w:val="0"/>
              </w:rPr>
              <w:t>1</w:t>
            </w:r>
          </w:p>
        </w:tc>
        <w:tc>
          <w:tcPr>
            <w:vAlign w:val="center"/>
          </w:tcPr>
          <w:p w14:paraId="27A1B59E">
            <w:pPr>
              <w:jc w:val="center"/>
            </w:pPr>
            <w:r>
              <w:rPr>
                <w:kern w:val="0"/>
              </w:rPr>
              <w:t>毛利润金额</w:t>
            </w:r>
          </w:p>
        </w:tc>
        <w:tc>
          <w:tcPr>
            <w:vAlign w:val="center"/>
          </w:tcPr>
          <w:p w14:paraId="3CF40E89">
            <w:pPr>
              <w:jc w:val="center"/>
            </w:pPr>
            <w:r>
              <w:rPr>
                <w:kern w:val="0"/>
              </w:rPr>
              <w:t>营业收入-营业成本</w:t>
            </w:r>
          </w:p>
        </w:tc>
        <w:tc>
          <w:tcPr>
            <w:vAlign w:val="center"/>
          </w:tcPr>
          <w:p w14:paraId="1F48B8B1">
            <w:pPr>
              <w:jc w:val="center"/>
            </w:pPr>
            <w:r>
              <w:rPr>
                <w:kern w:val="0"/>
              </w:rPr>
              <w:t>万元</w:t>
            </w:r>
          </w:p>
        </w:tc>
        <w:tc>
          <w:tcPr>
            <w:vAlign w:val="center"/>
          </w:tcPr>
          <w:p w14:paraId="5FA98180">
            <w:pPr>
              <w:jc w:val="center"/>
            </w:pPr>
            <w:r>
              <w:rPr>
                <w:kern w:val="0"/>
              </w:rPr>
              <w:t>2,591.76</w:t>
            </w:r>
          </w:p>
        </w:tc>
        <w:tc>
          <w:tcPr>
            <w:vAlign w:val="center"/>
          </w:tcPr>
          <w:p w14:paraId="1D4B097E">
            <w:pPr>
              <w:jc w:val="center"/>
            </w:pPr>
            <w:r>
              <w:rPr>
                <w:kern w:val="0"/>
              </w:rPr>
              <w:t>2,852.64</w:t>
            </w:r>
          </w:p>
        </w:tc>
      </w:tr>
      <w:tr w14:paraId="39AC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471126D">
            <w:pPr>
              <w:jc w:val="center"/>
            </w:pPr>
            <w:r>
              <w:rPr>
                <w:kern w:val="0"/>
              </w:rPr>
              <w:t>2</w:t>
            </w:r>
          </w:p>
        </w:tc>
        <w:tc>
          <w:tcPr>
            <w:vAlign w:val="center"/>
          </w:tcPr>
          <w:p w14:paraId="44A58B49">
            <w:pPr>
              <w:jc w:val="center"/>
            </w:pPr>
            <w:r>
              <w:rPr>
                <w:kern w:val="0"/>
              </w:rPr>
              <w:t>毛利润率</w:t>
            </w:r>
          </w:p>
        </w:tc>
        <w:tc>
          <w:tcPr>
            <w:vAlign w:val="center"/>
          </w:tcPr>
          <w:p w14:paraId="630B668C">
            <w:pPr>
              <w:jc w:val="center"/>
            </w:pPr>
            <w:r>
              <w:rPr>
                <w:kern w:val="0"/>
              </w:rPr>
              <w:t>毛利润/营业收入</w:t>
            </w:r>
          </w:p>
        </w:tc>
        <w:tc>
          <w:tcPr>
            <w:vAlign w:val="center"/>
          </w:tcPr>
          <w:p w14:paraId="1A9C9F97">
            <w:pPr>
              <w:jc w:val="center"/>
            </w:pPr>
            <w:r>
              <w:rPr>
                <w:kern w:val="0"/>
              </w:rPr>
              <w:t>%</w:t>
            </w:r>
          </w:p>
        </w:tc>
        <w:tc>
          <w:tcPr>
            <w:vAlign w:val="center"/>
          </w:tcPr>
          <w:p w14:paraId="2FD77CAD">
            <w:pPr>
              <w:jc w:val="center"/>
            </w:pPr>
            <w:r>
              <w:rPr>
                <w:kern w:val="0"/>
              </w:rPr>
              <w:t>85.60%</w:t>
            </w:r>
          </w:p>
        </w:tc>
        <w:tc>
          <w:tcPr>
            <w:vAlign w:val="center"/>
          </w:tcPr>
          <w:p w14:paraId="13AFA151">
            <w:pPr>
              <w:jc w:val="center"/>
            </w:pPr>
            <w:r>
              <w:rPr>
                <w:kern w:val="0"/>
              </w:rPr>
              <w:t>86.15%</w:t>
            </w:r>
          </w:p>
        </w:tc>
      </w:tr>
      <w:tr w14:paraId="3495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E9BAB7E">
            <w:pPr>
              <w:jc w:val="center"/>
            </w:pPr>
            <w:r>
              <w:rPr>
                <w:kern w:val="0"/>
              </w:rPr>
              <w:t>3</w:t>
            </w:r>
          </w:p>
        </w:tc>
        <w:tc>
          <w:tcPr>
            <w:vAlign w:val="center"/>
          </w:tcPr>
          <w:p w14:paraId="3C16F3F9">
            <w:pPr>
              <w:jc w:val="center"/>
            </w:pPr>
            <w:r>
              <w:rPr>
                <w:kern w:val="0"/>
              </w:rPr>
              <w:t>息税折旧前净利率</w:t>
            </w:r>
          </w:p>
        </w:tc>
        <w:tc>
          <w:tcPr>
            <w:vAlign w:val="center"/>
          </w:tcPr>
          <w:p w14:paraId="7F01E031">
            <w:pPr>
              <w:jc w:val="center"/>
            </w:pPr>
            <w:r>
              <w:rPr>
                <w:kern w:val="0"/>
              </w:rPr>
              <w:t>息税折旧前利润/营业收入</w:t>
            </w:r>
          </w:p>
        </w:tc>
        <w:tc>
          <w:tcPr>
            <w:vAlign w:val="center"/>
          </w:tcPr>
          <w:p w14:paraId="4ED645C1">
            <w:pPr>
              <w:jc w:val="center"/>
            </w:pPr>
            <w:r>
              <w:rPr>
                <w:kern w:val="0"/>
              </w:rPr>
              <w:t>%</w:t>
            </w:r>
          </w:p>
        </w:tc>
        <w:tc>
          <w:tcPr>
            <w:vAlign w:val="center"/>
          </w:tcPr>
          <w:p w14:paraId="7A4C31ED">
            <w:pPr>
              <w:jc w:val="center"/>
            </w:pPr>
            <w:r>
              <w:rPr>
                <w:kern w:val="0"/>
              </w:rPr>
              <w:t>79.15%</w:t>
            </w:r>
          </w:p>
        </w:tc>
        <w:tc>
          <w:tcPr>
            <w:vAlign w:val="center"/>
          </w:tcPr>
          <w:p w14:paraId="5A74CF3C">
            <w:pPr>
              <w:jc w:val="center"/>
            </w:pPr>
            <w:r>
              <w:rPr>
                <w:kern w:val="0"/>
              </w:rPr>
              <w:t>80.59%</w:t>
            </w:r>
          </w:p>
        </w:tc>
      </w:tr>
    </w:tbl>
    <w:p w14:paraId="660075F2">
      <w:pPr>
        <w:adjustRightInd w:val="0"/>
        <w:snapToGrid w:val="0"/>
        <w:spacing w:line="360" w:lineRule="auto"/>
        <w:jc w:val="left"/>
        <w:rPr>
          <w:b w:val="0"/>
          <w:bCs w:val="0"/>
        </w:rPr>
      </w:pPr>
      <w:r>
        <w:rPr>
          <w:b w:val="0"/>
          <w:bCs w:val="0"/>
        </w:rPr>
        <w:t>项目公司名称：2 深圳市万融大厦管理有限公司</w:t>
      </w:r>
    </w:p>
    <w:tbl>
      <w:tblPr>
        <w:tblStyle w:val="40"/>
        <w:tblW w:w="90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664"/>
        <w:gridCol w:w="2082"/>
        <w:gridCol w:w="1250"/>
        <w:gridCol w:w="1664"/>
        <w:gridCol w:w="1557"/>
      </w:tblGrid>
      <w:tr w14:paraId="1FB9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restart"/>
            <w:vAlign w:val="center"/>
          </w:tcPr>
          <w:p w14:paraId="3AB9B62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664" w:type="dxa"/>
            <w:vMerge w:val="restart"/>
            <w:vAlign w:val="center"/>
          </w:tcPr>
          <w:p w14:paraId="018CFB7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2082" w:type="dxa"/>
            <w:vMerge w:val="restart"/>
            <w:vAlign w:val="center"/>
          </w:tcPr>
          <w:p w14:paraId="1896BD4C">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指标含义说明及计算公式</w:t>
            </w:r>
          </w:p>
        </w:tc>
        <w:tc>
          <w:tcPr>
            <w:tcW w:w="1250" w:type="dxa"/>
            <w:vMerge w:val="restart"/>
            <w:vAlign w:val="center"/>
          </w:tcPr>
          <w:p w14:paraId="69E8DCA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1664" w:type="dxa"/>
            <w:noWrap/>
            <w:vAlign w:val="center"/>
          </w:tcPr>
          <w:p w14:paraId="256517E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1557" w:type="dxa"/>
            <w:noWrap/>
            <w:vAlign w:val="center"/>
          </w:tcPr>
          <w:p w14:paraId="325270A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r>
      <w:tr w14:paraId="2CFC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continue"/>
            <w:vAlign w:val="center"/>
          </w:tcPr>
          <w:p w14:paraId="2927CE51">
            <w:pPr>
              <w:pStyle w:val="36"/>
              <w:adjustRightInd w:val="0"/>
              <w:snapToGrid w:val="0"/>
              <w:spacing w:line="360" w:lineRule="auto"/>
              <w:jc w:val="center"/>
              <w:rPr>
                <w:rFonts w:ascii="Times New Roman" w:hAnsi="Times New Roman" w:cs="Times New Roman"/>
                <w:sz w:val="21"/>
                <w:szCs w:val="21"/>
              </w:rPr>
            </w:pPr>
          </w:p>
        </w:tc>
        <w:tc>
          <w:tcPr>
            <w:tcW w:w="1664" w:type="dxa"/>
            <w:vMerge w:val="continue"/>
            <w:vAlign w:val="center"/>
          </w:tcPr>
          <w:p w14:paraId="7722CFF7">
            <w:pPr>
              <w:pStyle w:val="36"/>
              <w:adjustRightInd w:val="0"/>
              <w:snapToGrid w:val="0"/>
              <w:spacing w:line="360" w:lineRule="auto"/>
              <w:jc w:val="center"/>
              <w:rPr>
                <w:rFonts w:ascii="Times New Roman" w:hAnsi="Times New Roman" w:cs="Times New Roman"/>
                <w:sz w:val="21"/>
                <w:szCs w:val="21"/>
              </w:rPr>
            </w:pPr>
          </w:p>
        </w:tc>
        <w:tc>
          <w:tcPr>
            <w:tcW w:w="2082" w:type="dxa"/>
            <w:vMerge w:val="continue"/>
            <w:vAlign w:val="center"/>
          </w:tcPr>
          <w:p w14:paraId="0D912F12">
            <w:pPr>
              <w:pStyle w:val="36"/>
              <w:adjustRightInd w:val="0"/>
              <w:snapToGrid w:val="0"/>
              <w:spacing w:line="360" w:lineRule="auto"/>
              <w:jc w:val="center"/>
              <w:rPr>
                <w:rFonts w:ascii="Times New Roman" w:hAnsi="Times New Roman" w:cs="Times New Roman"/>
                <w:sz w:val="21"/>
                <w:szCs w:val="21"/>
              </w:rPr>
            </w:pPr>
          </w:p>
        </w:tc>
        <w:tc>
          <w:tcPr>
            <w:tcW w:w="1250" w:type="dxa"/>
            <w:vMerge w:val="continue"/>
            <w:vAlign w:val="center"/>
          </w:tcPr>
          <w:p w14:paraId="15C76E3A">
            <w:pPr>
              <w:pStyle w:val="36"/>
              <w:adjustRightInd w:val="0"/>
              <w:snapToGrid w:val="0"/>
              <w:spacing w:line="360" w:lineRule="auto"/>
              <w:jc w:val="center"/>
              <w:rPr>
                <w:rFonts w:ascii="Times New Roman" w:hAnsi="Times New Roman" w:cs="Times New Roman"/>
                <w:sz w:val="21"/>
                <w:szCs w:val="21"/>
              </w:rPr>
            </w:pPr>
          </w:p>
        </w:tc>
        <w:tc>
          <w:tcPr>
            <w:tcW w:w="1664" w:type="dxa"/>
            <w:vAlign w:val="center"/>
          </w:tcPr>
          <w:p w14:paraId="1EDC72C0">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指标数值</w:t>
            </w:r>
          </w:p>
        </w:tc>
        <w:tc>
          <w:tcPr>
            <w:tcW w:w="1557" w:type="dxa"/>
            <w:vAlign w:val="center"/>
          </w:tcPr>
          <w:p w14:paraId="0A2AF4C3">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指标数值</w:t>
            </w:r>
          </w:p>
        </w:tc>
      </w:tr>
      <w:tr w14:paraId="6A1A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34A532B">
            <w:pPr>
              <w:jc w:val="center"/>
            </w:pPr>
            <w:r>
              <w:rPr>
                <w:kern w:val="0"/>
              </w:rPr>
              <w:t>1</w:t>
            </w:r>
          </w:p>
        </w:tc>
        <w:tc>
          <w:tcPr>
            <w:vAlign w:val="center"/>
          </w:tcPr>
          <w:p w14:paraId="156991AA">
            <w:pPr>
              <w:jc w:val="center"/>
            </w:pPr>
            <w:r>
              <w:rPr>
                <w:kern w:val="0"/>
              </w:rPr>
              <w:t>毛利润金额</w:t>
            </w:r>
          </w:p>
        </w:tc>
        <w:tc>
          <w:tcPr>
            <w:vAlign w:val="center"/>
          </w:tcPr>
          <w:p w14:paraId="05CCD4D0">
            <w:pPr>
              <w:jc w:val="center"/>
            </w:pPr>
            <w:r>
              <w:rPr>
                <w:kern w:val="0"/>
              </w:rPr>
              <w:t>营业收入-营业成本</w:t>
            </w:r>
          </w:p>
        </w:tc>
        <w:tc>
          <w:tcPr>
            <w:vAlign w:val="center"/>
          </w:tcPr>
          <w:p w14:paraId="65F3CF92">
            <w:pPr>
              <w:jc w:val="center"/>
            </w:pPr>
            <w:r>
              <w:rPr>
                <w:kern w:val="0"/>
              </w:rPr>
              <w:t>万元</w:t>
            </w:r>
          </w:p>
        </w:tc>
        <w:tc>
          <w:tcPr>
            <w:vAlign w:val="center"/>
          </w:tcPr>
          <w:p w14:paraId="7FE90328">
            <w:pPr>
              <w:jc w:val="center"/>
            </w:pPr>
            <w:r>
              <w:rPr>
                <w:kern w:val="0"/>
              </w:rPr>
              <w:t>1,891.07</w:t>
            </w:r>
          </w:p>
        </w:tc>
        <w:tc>
          <w:tcPr>
            <w:vAlign w:val="center"/>
          </w:tcPr>
          <w:p w14:paraId="18DC443A">
            <w:pPr>
              <w:jc w:val="center"/>
            </w:pPr>
            <w:r>
              <w:rPr>
                <w:kern w:val="0"/>
              </w:rPr>
              <w:t>2,055.17</w:t>
            </w:r>
          </w:p>
        </w:tc>
      </w:tr>
      <w:tr w14:paraId="25B2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E3BB8A1">
            <w:pPr>
              <w:jc w:val="center"/>
            </w:pPr>
            <w:r>
              <w:rPr>
                <w:kern w:val="0"/>
              </w:rPr>
              <w:t>2</w:t>
            </w:r>
          </w:p>
        </w:tc>
        <w:tc>
          <w:tcPr>
            <w:vAlign w:val="center"/>
          </w:tcPr>
          <w:p w14:paraId="157FFB61">
            <w:pPr>
              <w:jc w:val="center"/>
            </w:pPr>
            <w:r>
              <w:rPr>
                <w:kern w:val="0"/>
              </w:rPr>
              <w:t>毛利润率</w:t>
            </w:r>
          </w:p>
        </w:tc>
        <w:tc>
          <w:tcPr>
            <w:vAlign w:val="center"/>
          </w:tcPr>
          <w:p w14:paraId="7CDF6E9B">
            <w:pPr>
              <w:jc w:val="center"/>
            </w:pPr>
            <w:r>
              <w:rPr>
                <w:kern w:val="0"/>
              </w:rPr>
              <w:t>毛利润/营业收入</w:t>
            </w:r>
          </w:p>
        </w:tc>
        <w:tc>
          <w:tcPr>
            <w:vAlign w:val="center"/>
          </w:tcPr>
          <w:p w14:paraId="1F841A14">
            <w:pPr>
              <w:jc w:val="center"/>
            </w:pPr>
            <w:r>
              <w:rPr>
                <w:kern w:val="0"/>
              </w:rPr>
              <w:t>%</w:t>
            </w:r>
          </w:p>
        </w:tc>
        <w:tc>
          <w:tcPr>
            <w:vAlign w:val="center"/>
          </w:tcPr>
          <w:p w14:paraId="371F8494">
            <w:pPr>
              <w:jc w:val="center"/>
            </w:pPr>
            <w:r>
              <w:rPr>
                <w:kern w:val="0"/>
              </w:rPr>
              <w:t>85.79%</w:t>
            </w:r>
          </w:p>
        </w:tc>
        <w:tc>
          <w:tcPr>
            <w:vAlign w:val="center"/>
          </w:tcPr>
          <w:p w14:paraId="05F73545">
            <w:pPr>
              <w:jc w:val="center"/>
            </w:pPr>
            <w:r>
              <w:rPr>
                <w:kern w:val="0"/>
              </w:rPr>
              <w:t>84.22%</w:t>
            </w:r>
          </w:p>
        </w:tc>
      </w:tr>
      <w:tr w14:paraId="6CCB2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95F9D93">
            <w:pPr>
              <w:jc w:val="center"/>
            </w:pPr>
            <w:r>
              <w:rPr>
                <w:kern w:val="0"/>
              </w:rPr>
              <w:t>3</w:t>
            </w:r>
          </w:p>
        </w:tc>
        <w:tc>
          <w:tcPr>
            <w:vAlign w:val="center"/>
          </w:tcPr>
          <w:p w14:paraId="3A30636B">
            <w:pPr>
              <w:jc w:val="center"/>
            </w:pPr>
            <w:r>
              <w:rPr>
                <w:kern w:val="0"/>
              </w:rPr>
              <w:t>息税折旧前净利率</w:t>
            </w:r>
          </w:p>
        </w:tc>
        <w:tc>
          <w:tcPr>
            <w:vAlign w:val="center"/>
          </w:tcPr>
          <w:p w14:paraId="4E36DE72">
            <w:pPr>
              <w:jc w:val="center"/>
            </w:pPr>
            <w:r>
              <w:rPr>
                <w:kern w:val="0"/>
              </w:rPr>
              <w:t>息税折旧前利润/营业收入</w:t>
            </w:r>
          </w:p>
        </w:tc>
        <w:tc>
          <w:tcPr>
            <w:vAlign w:val="center"/>
          </w:tcPr>
          <w:p w14:paraId="17264D7B">
            <w:pPr>
              <w:jc w:val="center"/>
            </w:pPr>
            <w:r>
              <w:rPr>
                <w:kern w:val="0"/>
              </w:rPr>
              <w:t>%</w:t>
            </w:r>
          </w:p>
        </w:tc>
        <w:tc>
          <w:tcPr>
            <w:vAlign w:val="center"/>
          </w:tcPr>
          <w:p w14:paraId="11F4A5A7">
            <w:pPr>
              <w:jc w:val="center"/>
            </w:pPr>
            <w:r>
              <w:rPr>
                <w:kern w:val="0"/>
              </w:rPr>
              <w:t>80.51%</w:t>
            </w:r>
          </w:p>
        </w:tc>
        <w:tc>
          <w:tcPr>
            <w:vAlign w:val="center"/>
          </w:tcPr>
          <w:p w14:paraId="0E5BFDEC">
            <w:pPr>
              <w:jc w:val="center"/>
            </w:pPr>
            <w:r>
              <w:rPr>
                <w:kern w:val="0"/>
              </w:rPr>
              <w:t>79.74%</w:t>
            </w:r>
          </w:p>
        </w:tc>
      </w:tr>
    </w:tbl>
    <w:p w14:paraId="5A125754">
      <w:pPr>
        <w:adjustRightInd w:val="0"/>
        <w:snapToGrid w:val="0"/>
        <w:spacing w:line="360" w:lineRule="auto"/>
        <w:jc w:val="left"/>
        <w:rPr>
          <w:b w:val="0"/>
          <w:bCs w:val="0"/>
        </w:rPr>
      </w:pPr>
      <w:r>
        <w:rPr>
          <w:b w:val="0"/>
          <w:bCs w:val="0"/>
        </w:rPr>
        <w:t>项目公司名称：3 深圳市招光物业租赁有限公司</w:t>
      </w:r>
    </w:p>
    <w:tbl>
      <w:tblPr>
        <w:tblStyle w:val="40"/>
        <w:tblW w:w="90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664"/>
        <w:gridCol w:w="2082"/>
        <w:gridCol w:w="1250"/>
        <w:gridCol w:w="1664"/>
        <w:gridCol w:w="1557"/>
      </w:tblGrid>
      <w:tr w14:paraId="501C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restart"/>
            <w:vAlign w:val="center"/>
          </w:tcPr>
          <w:p w14:paraId="0CAD2522">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序号</w:t>
            </w:r>
          </w:p>
        </w:tc>
        <w:tc>
          <w:tcPr>
            <w:tcW w:w="1664" w:type="dxa"/>
            <w:vMerge w:val="restart"/>
            <w:vAlign w:val="center"/>
          </w:tcPr>
          <w:p w14:paraId="6976473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指标名称</w:t>
            </w:r>
          </w:p>
        </w:tc>
        <w:tc>
          <w:tcPr>
            <w:tcW w:w="2082" w:type="dxa"/>
            <w:vMerge w:val="restart"/>
            <w:vAlign w:val="center"/>
          </w:tcPr>
          <w:p w14:paraId="7997F0B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指标含义说明及计算公式</w:t>
            </w:r>
          </w:p>
        </w:tc>
        <w:tc>
          <w:tcPr>
            <w:tcW w:w="1250" w:type="dxa"/>
            <w:vMerge w:val="restart"/>
            <w:vAlign w:val="center"/>
          </w:tcPr>
          <w:p w14:paraId="54FA522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指标单位</w:t>
            </w:r>
          </w:p>
        </w:tc>
        <w:tc>
          <w:tcPr>
            <w:tcW w:w="1664" w:type="dxa"/>
            <w:noWrap/>
            <w:vAlign w:val="center"/>
          </w:tcPr>
          <w:p w14:paraId="222D97ED">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本期2026年1月1日至2026年6月30日</w:t>
            </w:r>
          </w:p>
        </w:tc>
        <w:tc>
          <w:tcPr>
            <w:tcW w:w="1557" w:type="dxa"/>
            <w:noWrap/>
            <w:vAlign w:val="center"/>
          </w:tcPr>
          <w:p w14:paraId="4A2A3411">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上年同期2025年1月1日至2025年6月30日</w:t>
            </w:r>
          </w:p>
        </w:tc>
      </w:tr>
      <w:tr w14:paraId="5E7C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57" w:type="dxa"/>
            <w:vMerge w:val="continue"/>
            <w:vAlign w:val="center"/>
          </w:tcPr>
          <w:p w14:paraId="68338E6B">
            <w:pPr>
              <w:pStyle w:val="36"/>
              <w:adjustRightInd w:val="0"/>
              <w:snapToGrid w:val="0"/>
              <w:spacing w:line="360" w:lineRule="auto"/>
              <w:jc w:val="center"/>
              <w:rPr>
                <w:rFonts w:ascii="Times New Roman" w:hAnsi="Times New Roman" w:cs="Times New Roman"/>
                <w:sz w:val="21"/>
                <w:szCs w:val="21"/>
              </w:rPr>
            </w:pPr>
          </w:p>
        </w:tc>
        <w:tc>
          <w:tcPr>
            <w:tcW w:w="1664" w:type="dxa"/>
            <w:vMerge w:val="continue"/>
            <w:vAlign w:val="center"/>
          </w:tcPr>
          <w:p w14:paraId="1CEB7B1C">
            <w:pPr>
              <w:pStyle w:val="36"/>
              <w:adjustRightInd w:val="0"/>
              <w:snapToGrid w:val="0"/>
              <w:spacing w:line="360" w:lineRule="auto"/>
              <w:jc w:val="center"/>
              <w:rPr>
                <w:rFonts w:ascii="Times New Roman" w:hAnsi="Times New Roman" w:cs="Times New Roman"/>
                <w:sz w:val="21"/>
                <w:szCs w:val="21"/>
              </w:rPr>
            </w:pPr>
          </w:p>
        </w:tc>
        <w:tc>
          <w:tcPr>
            <w:tcW w:w="2082" w:type="dxa"/>
            <w:vMerge w:val="continue"/>
            <w:vAlign w:val="center"/>
          </w:tcPr>
          <w:p w14:paraId="10DEABA7">
            <w:pPr>
              <w:pStyle w:val="36"/>
              <w:adjustRightInd w:val="0"/>
              <w:snapToGrid w:val="0"/>
              <w:spacing w:line="360" w:lineRule="auto"/>
              <w:jc w:val="center"/>
              <w:rPr>
                <w:rFonts w:ascii="Times New Roman" w:hAnsi="Times New Roman" w:cs="Times New Roman"/>
                <w:sz w:val="21"/>
                <w:szCs w:val="21"/>
              </w:rPr>
            </w:pPr>
          </w:p>
        </w:tc>
        <w:tc>
          <w:tcPr>
            <w:tcW w:w="1250" w:type="dxa"/>
            <w:vMerge w:val="continue"/>
            <w:vAlign w:val="center"/>
          </w:tcPr>
          <w:p w14:paraId="496BEE46">
            <w:pPr>
              <w:pStyle w:val="36"/>
              <w:adjustRightInd w:val="0"/>
              <w:snapToGrid w:val="0"/>
              <w:spacing w:line="360" w:lineRule="auto"/>
              <w:jc w:val="center"/>
              <w:rPr>
                <w:rFonts w:ascii="Times New Roman" w:hAnsi="Times New Roman" w:cs="Times New Roman"/>
                <w:sz w:val="21"/>
                <w:szCs w:val="21"/>
              </w:rPr>
            </w:pPr>
          </w:p>
        </w:tc>
        <w:tc>
          <w:tcPr>
            <w:tcW w:w="1664" w:type="dxa"/>
            <w:vAlign w:val="center"/>
          </w:tcPr>
          <w:p w14:paraId="4CA0CDA5">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指标数值</w:t>
            </w:r>
          </w:p>
        </w:tc>
        <w:tc>
          <w:tcPr>
            <w:tcW w:w="1557" w:type="dxa"/>
            <w:vAlign w:val="center"/>
          </w:tcPr>
          <w:p w14:paraId="4FFE0117">
            <w:pPr>
              <w:pStyle w:val="36"/>
              <w:adjustRightInd w:val="0"/>
              <w:snapToGrid w:val="0"/>
              <w:spacing w:line="360" w:lineRule="auto"/>
              <w:jc w:val="center"/>
              <w:rPr>
                <w:rFonts w:ascii="Times New Roman" w:hAnsi="Times New Roman" w:cs="Times New Roman"/>
                <w:sz w:val="21"/>
                <w:szCs w:val="21"/>
              </w:rPr>
            </w:pPr>
            <w:r>
              <w:rPr>
                <w:rFonts w:ascii="Times New Roman" w:hAnsi="Times New Roman" w:cs="Times New Roman"/>
                <w:sz w:val="21"/>
                <w:szCs w:val="21"/>
              </w:rPr>
              <w:t>指标数值</w:t>
            </w:r>
          </w:p>
        </w:tc>
      </w:tr>
      <w:tr w14:paraId="7279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8D1744D">
            <w:pPr>
              <w:jc w:val="center"/>
            </w:pPr>
            <w:r>
              <w:rPr>
                <w:kern w:val="0"/>
              </w:rPr>
              <w:t>1</w:t>
            </w:r>
          </w:p>
        </w:tc>
        <w:tc>
          <w:tcPr>
            <w:vAlign w:val="center"/>
          </w:tcPr>
          <w:p w14:paraId="28D37688">
            <w:pPr>
              <w:jc w:val="center"/>
            </w:pPr>
            <w:r>
              <w:rPr>
                <w:kern w:val="0"/>
              </w:rPr>
              <w:t>毛利润金额</w:t>
            </w:r>
          </w:p>
        </w:tc>
        <w:tc>
          <w:tcPr>
            <w:vAlign w:val="center"/>
          </w:tcPr>
          <w:p w14:paraId="045D913C">
            <w:pPr>
              <w:jc w:val="center"/>
            </w:pPr>
            <w:r>
              <w:rPr>
                <w:kern w:val="0"/>
              </w:rPr>
              <w:t>营业收入-营业成本</w:t>
            </w:r>
          </w:p>
        </w:tc>
        <w:tc>
          <w:tcPr>
            <w:vAlign w:val="center"/>
          </w:tcPr>
          <w:p w14:paraId="07C7A1FE">
            <w:pPr>
              <w:jc w:val="center"/>
            </w:pPr>
            <w:r>
              <w:rPr>
                <w:kern w:val="0"/>
              </w:rPr>
              <w:t>万元</w:t>
            </w:r>
          </w:p>
        </w:tc>
        <w:tc>
          <w:tcPr>
            <w:vAlign w:val="center"/>
          </w:tcPr>
          <w:p w14:paraId="00F74887">
            <w:pPr>
              <w:jc w:val="center"/>
            </w:pPr>
            <w:r>
              <w:rPr>
                <w:kern w:val="0"/>
              </w:rPr>
              <w:t>2,472.31</w:t>
            </w:r>
          </w:p>
        </w:tc>
        <w:tc>
          <w:tcPr>
            <w:vAlign w:val="center"/>
          </w:tcPr>
          <w:p w14:paraId="39DA7220">
            <w:pPr>
              <w:jc w:val="center"/>
            </w:pPr>
            <w:r>
              <w:rPr>
                <w:kern w:val="0"/>
              </w:rPr>
              <w:t>2,834.65</w:t>
            </w:r>
          </w:p>
        </w:tc>
      </w:tr>
      <w:tr w14:paraId="5D20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1E2CF86">
            <w:pPr>
              <w:jc w:val="center"/>
            </w:pPr>
            <w:r>
              <w:rPr>
                <w:kern w:val="0"/>
              </w:rPr>
              <w:t>2</w:t>
            </w:r>
          </w:p>
        </w:tc>
        <w:tc>
          <w:tcPr>
            <w:vAlign w:val="center"/>
          </w:tcPr>
          <w:p w14:paraId="33732A12">
            <w:pPr>
              <w:jc w:val="center"/>
            </w:pPr>
            <w:r>
              <w:rPr>
                <w:kern w:val="0"/>
              </w:rPr>
              <w:t>毛利润率</w:t>
            </w:r>
          </w:p>
        </w:tc>
        <w:tc>
          <w:tcPr>
            <w:vAlign w:val="center"/>
          </w:tcPr>
          <w:p w14:paraId="760C2378">
            <w:pPr>
              <w:jc w:val="center"/>
            </w:pPr>
            <w:r>
              <w:rPr>
                <w:kern w:val="0"/>
              </w:rPr>
              <w:t>毛利润/营业收入</w:t>
            </w:r>
          </w:p>
        </w:tc>
        <w:tc>
          <w:tcPr>
            <w:vAlign w:val="center"/>
          </w:tcPr>
          <w:p w14:paraId="14F3BAEB">
            <w:pPr>
              <w:jc w:val="center"/>
            </w:pPr>
            <w:r>
              <w:rPr>
                <w:kern w:val="0"/>
              </w:rPr>
              <w:t>%</w:t>
            </w:r>
          </w:p>
        </w:tc>
        <w:tc>
          <w:tcPr>
            <w:vAlign w:val="center"/>
          </w:tcPr>
          <w:p w14:paraId="059A5907">
            <w:pPr>
              <w:jc w:val="center"/>
            </w:pPr>
            <w:r>
              <w:rPr>
                <w:kern w:val="0"/>
              </w:rPr>
              <w:t>86.00%</w:t>
            </w:r>
          </w:p>
        </w:tc>
        <w:tc>
          <w:tcPr>
            <w:vAlign w:val="center"/>
          </w:tcPr>
          <w:p w14:paraId="269C58E1">
            <w:pPr>
              <w:jc w:val="center"/>
            </w:pPr>
            <w:r>
              <w:rPr>
                <w:kern w:val="0"/>
              </w:rPr>
              <w:t>84.76%</w:t>
            </w:r>
          </w:p>
        </w:tc>
      </w:tr>
      <w:tr w14:paraId="531A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1F44E5C">
            <w:pPr>
              <w:jc w:val="center"/>
            </w:pPr>
            <w:r>
              <w:rPr>
                <w:kern w:val="0"/>
              </w:rPr>
              <w:t>3</w:t>
            </w:r>
          </w:p>
        </w:tc>
        <w:tc>
          <w:tcPr>
            <w:vAlign w:val="center"/>
          </w:tcPr>
          <w:p w14:paraId="356AC2FE">
            <w:pPr>
              <w:jc w:val="center"/>
            </w:pPr>
            <w:r>
              <w:rPr>
                <w:kern w:val="0"/>
              </w:rPr>
              <w:t>息税折旧前净利率</w:t>
            </w:r>
          </w:p>
        </w:tc>
        <w:tc>
          <w:tcPr>
            <w:vAlign w:val="center"/>
          </w:tcPr>
          <w:p w14:paraId="08342664">
            <w:pPr>
              <w:jc w:val="center"/>
            </w:pPr>
            <w:r>
              <w:rPr>
                <w:kern w:val="0"/>
              </w:rPr>
              <w:t>息税折旧前利润/营业收入</w:t>
            </w:r>
          </w:p>
        </w:tc>
        <w:tc>
          <w:tcPr>
            <w:vAlign w:val="center"/>
          </w:tcPr>
          <w:p w14:paraId="7A950902">
            <w:pPr>
              <w:jc w:val="center"/>
            </w:pPr>
            <w:r>
              <w:rPr>
                <w:kern w:val="0"/>
              </w:rPr>
              <w:t>%</w:t>
            </w:r>
          </w:p>
        </w:tc>
        <w:tc>
          <w:tcPr>
            <w:vAlign w:val="center"/>
          </w:tcPr>
          <w:p w14:paraId="36BB93E5">
            <w:pPr>
              <w:jc w:val="center"/>
            </w:pPr>
            <w:r>
              <w:rPr>
                <w:kern w:val="0"/>
              </w:rPr>
              <w:t>74.97%</w:t>
            </w:r>
          </w:p>
        </w:tc>
        <w:tc>
          <w:tcPr>
            <w:vAlign w:val="center"/>
          </w:tcPr>
          <w:p w14:paraId="412D1E4D">
            <w:pPr>
              <w:jc w:val="center"/>
            </w:pPr>
            <w:r>
              <w:rPr>
                <w:kern w:val="0"/>
              </w:rPr>
              <w:t>74.25%</w:t>
            </w:r>
          </w:p>
        </w:tc>
      </w:tr>
    </w:tbl>
    <w:p w14:paraId="10EA5081">
      <w:pPr>
        <w:pStyle w:val="3"/>
        <w:rPr>
          <w:rFonts w:ascii="Times New Roman" w:hAnsi="Times New Roman" w:cs="Times New Roman"/>
          <w:kern w:val="0"/>
          <w:sz w:val="21"/>
          <w:szCs w:val="21"/>
        </w:rPr>
      </w:pPr>
      <w:bookmarkStart w:id="143" w:name="_Toc6410"/>
      <w:r>
        <w:rPr>
          <w:rFonts w:ascii="Times New Roman" w:hAnsi="Times New Roman" w:cs="Times New Roman"/>
          <w:kern w:val="0"/>
          <w:sz w:val="21"/>
          <w:szCs w:val="21"/>
        </w:rPr>
        <w:t>4.4 项目公司经营现金流</w:t>
      </w:r>
      <w:bookmarkEnd w:id="95"/>
      <w:bookmarkEnd w:id="96"/>
      <w:bookmarkEnd w:id="97"/>
      <w:bookmarkEnd w:id="98"/>
      <w:bookmarkEnd w:id="99"/>
      <w:bookmarkEnd w:id="100"/>
      <w:bookmarkEnd w:id="143"/>
    </w:p>
    <w:p w14:paraId="081F1678">
      <w:pPr>
        <w:adjustRightInd w:val="0"/>
        <w:snapToGrid w:val="0"/>
        <w:spacing w:line="360" w:lineRule="auto"/>
        <w:rPr>
          <w:b/>
        </w:rPr>
      </w:pPr>
      <w:r>
        <w:rPr>
          <w:b/>
          <w:kern w:val="0"/>
        </w:rPr>
        <w:t>4.4.1</w:t>
      </w:r>
      <w:r>
        <w:rPr>
          <w:b/>
          <w:bCs/>
        </w:rPr>
        <w:t>经营活动现金流归集、管理、使用及变化情况</w:t>
      </w:r>
    </w:p>
    <w:p w14:paraId="1D2E017A">
      <w:pPr>
        <w:spacing w:line="360" w:lineRule="auto"/>
        <w:ind w:firstLine="420" w:firstLineChars="200"/>
      </w:pPr>
      <w:r>
        <w:t>不动产项目的租金收入、物业管理费收入等收入统一由租户支付至项目公司。日常经营支出的划付流程为：运营机构提起付款申请，基金管理人复核数据及预算情况后通过付款申请并提交相关资料至托管行，托管行复核无误后进行划付。</w:t>
      </w:r>
    </w:p>
    <w:p w14:paraId="2BADB683">
      <w:pPr>
        <w:spacing w:line="360" w:lineRule="auto"/>
        <w:ind w:firstLine="420" w:firstLineChars="200"/>
      </w:pPr>
      <w:r>
        <w:t>本基金项目公司持有的不动产项目均为产业园项目，经营活动的现金流入主要包括租金收入、物业管理费收入、水电费收入、押金收入以及预收款项等，本报告期内，不动产项目公司经营性现金流入合计9,470.39万元，较上年同期10,091.40万元下降6.15%，主要受本期营业收入下降影响。经营活动现金流流出主要包括应付房产税、增值税等税费、维修费、佣金、运营管理费等成本支出、支付押金等，本报告期内，经营性现金流出合计2,535.12万元，较上年同期3,272.16万元下降22.52%，主要是物管费支出有所下降。</w:t>
      </w:r>
    </w:p>
    <w:p w14:paraId="4809B740">
      <w:pPr>
        <w:adjustRightInd w:val="0"/>
        <w:snapToGrid w:val="0"/>
        <w:spacing w:line="360" w:lineRule="auto"/>
        <w:rPr>
          <w:b/>
          <w:kern w:val="0"/>
        </w:rPr>
      </w:pPr>
      <w:r>
        <w:rPr>
          <w:b/>
          <w:kern w:val="0"/>
        </w:rPr>
        <w:t>4.4.2 来源于单一客户及其关联方的现金流占比超过10%的情况说明</w:t>
      </w:r>
    </w:p>
    <w:p w14:paraId="37C7F96D">
      <w:pPr>
        <w:spacing w:line="360" w:lineRule="auto"/>
        <w:ind w:firstLine="420" w:firstLineChars="200"/>
      </w:pPr>
      <w:r>
        <w:t>截至本报告期末，不存在来源于单一客户及其关联方的现金流占本基金总现金流比超过10%的情况。</w:t>
      </w:r>
    </w:p>
    <w:p w14:paraId="7D2D267F">
      <w:pPr>
        <w:adjustRightInd w:val="0"/>
        <w:snapToGrid w:val="0"/>
        <w:spacing w:line="360" w:lineRule="auto"/>
        <w:rPr>
          <w:b/>
        </w:rPr>
      </w:pPr>
      <w:r>
        <w:rPr>
          <w:b/>
          <w:kern w:val="0"/>
        </w:rPr>
        <w:t xml:space="preserve">4.4.3 </w:t>
      </w:r>
      <w:r>
        <w:rPr>
          <w:b/>
        </w:rPr>
        <w:t>对报告期内发生的影响未来项目正常现金流的重大情况与拟采取的相应措施的说明</w:t>
      </w:r>
    </w:p>
    <w:p w14:paraId="1D4315A8">
      <w:pPr>
        <w:spacing w:line="360" w:lineRule="auto"/>
        <w:ind w:firstLine="420" w:firstLineChars="200"/>
      </w:pPr>
      <w:r>
        <w:t>本报告期内，万海大厦、万融大厦、光明加速器二期项目整体经营情况承压，受宏观经济环境与市场供需变动双重因素影响，项目出租率在一定范围内有所波动，周边市场竞争激烈，各不动产项目的出租率及租金单价均承受了不同程度的经营压力，暂未发生影响未来项目正常现金流的重大情况。基金管理人将保持对区域市场、招商策略的关注。</w:t>
      </w:r>
    </w:p>
    <w:p w14:paraId="482AD8E3">
      <w:pPr>
        <w:spacing w:line="360" w:lineRule="auto"/>
        <w:ind w:firstLine="420" w:firstLineChars="200"/>
      </w:pPr>
      <w:r>
        <w:t>基金管理人高度重视不动产项目经营情况，已协同运营管理机构结合当前的经济环境、市场情况、周边园区竞争态势、租户的实际诉求，通过全方位拓展招商渠道和挖潜项目存量客户扩租；优化产品结构，灵活适配市场需求；加强存量客户前期调研，确保已签约客户的稳定性。通过一系列的改善措施，出租率总体维持在区域内行业合理水平，基金管理人与运营管理机构将进一步采取灵活招租、深化服务等一系列更有力的措施，积极转化储备客户，稳定存量客户，尽全力保障不动产项目收益。</w:t>
      </w:r>
    </w:p>
    <w:p w14:paraId="2ECF54F5">
      <w:pPr>
        <w:pStyle w:val="3"/>
        <w:rPr>
          <w:rFonts w:ascii="Times New Roman" w:hAnsi="Times New Roman" w:cs="Times New Roman"/>
          <w:kern w:val="0"/>
          <w:sz w:val="21"/>
          <w:szCs w:val="21"/>
        </w:rPr>
      </w:pPr>
      <w:bookmarkStart w:id="144" w:name="_Toc98602648"/>
      <w:bookmarkStart w:id="145" w:name="_Toc98512364"/>
      <w:bookmarkStart w:id="146" w:name="_Toc98601299"/>
      <w:bookmarkStart w:id="147" w:name="_Toc98508945"/>
      <w:bookmarkStart w:id="148" w:name="_Toc98602973"/>
      <w:bookmarkStart w:id="149" w:name="_Toc4805"/>
      <w:bookmarkStart w:id="150" w:name="_Toc98511608"/>
      <w:r>
        <w:rPr>
          <w:rFonts w:ascii="Times New Roman" w:hAnsi="Times New Roman" w:cs="Times New Roman"/>
          <w:kern w:val="0"/>
          <w:sz w:val="21"/>
          <w:szCs w:val="21"/>
        </w:rPr>
        <w:t>4.5 项目公司对外借入款项情况</w:t>
      </w:r>
      <w:bookmarkEnd w:id="144"/>
      <w:bookmarkEnd w:id="145"/>
      <w:bookmarkEnd w:id="146"/>
      <w:bookmarkEnd w:id="147"/>
      <w:bookmarkEnd w:id="148"/>
      <w:bookmarkEnd w:id="149"/>
      <w:bookmarkEnd w:id="150"/>
    </w:p>
    <w:p w14:paraId="62FB0255">
      <w:pPr>
        <w:adjustRightInd w:val="0"/>
        <w:snapToGrid w:val="0"/>
        <w:spacing w:line="360" w:lineRule="auto"/>
        <w:rPr>
          <w:b/>
        </w:rPr>
      </w:pPr>
      <w:r>
        <w:rPr>
          <w:b/>
          <w:kern w:val="0"/>
        </w:rPr>
        <w:t>4.5.1</w:t>
      </w:r>
      <w:r>
        <w:rPr>
          <w:b/>
        </w:rPr>
        <w:t>报告期内对外借入款项基本情况</w:t>
      </w:r>
    </w:p>
    <w:p w14:paraId="1036693A">
      <w:pPr>
        <w:spacing w:line="360" w:lineRule="auto"/>
        <w:ind w:firstLine="420" w:firstLineChars="200"/>
      </w:pPr>
      <w:r>
        <w:t xml:space="preserve">本基金招募书披露的招商银行并购贷款300,000,000元，已与招商银行签署协议，剩余未还款金额293,700,000元于2026年1月15日全部置换为经营性物业抵押贷款，并购贷款本报告期内剩余需要偿还的本金293,700,000元、利息713,854.17元已于置换日2026年1月15日全额偿还，本金293,700,000元置换为经营性物业抵押贷款，相关事项详见本基金2026年1月18日出具的临时公告。本报告期末，除该笔置换后的经营性物业抵押贷款外，无其他对外借入款项的情况，置换后的经营性物业抵押贷款的基本情况如下： </w:t>
      </w:r>
    </w:p>
    <w:p w14:paraId="47BCA998">
      <w:pPr>
        <w:spacing w:line="360" w:lineRule="auto"/>
        <w:ind w:firstLine="420" w:firstLineChars="200"/>
      </w:pPr>
      <w:r>
        <w:t>借款主体：深圳市万海大厦管理有限公司</w:t>
      </w:r>
    </w:p>
    <w:p w14:paraId="26D61761">
      <w:pPr>
        <w:spacing w:line="360" w:lineRule="auto"/>
        <w:ind w:firstLine="420" w:firstLineChars="200"/>
      </w:pPr>
      <w:r>
        <w:t xml:space="preserve">借款对象：招商银行股份有限公司深圳分行 </w:t>
      </w:r>
    </w:p>
    <w:p w14:paraId="6879152A">
      <w:pPr>
        <w:spacing w:line="360" w:lineRule="auto"/>
        <w:ind w:firstLine="420" w:firstLineChars="200"/>
      </w:pPr>
      <w:r>
        <w:t xml:space="preserve">借款形式：经营性物业抵押贷款 </w:t>
      </w:r>
    </w:p>
    <w:p w14:paraId="1E075CE7">
      <w:pPr>
        <w:spacing w:line="360" w:lineRule="auto"/>
        <w:ind w:firstLine="420" w:firstLineChars="200"/>
      </w:pPr>
      <w:r>
        <w:t xml:space="preserve">借款金额：人民币2.937亿元整 </w:t>
      </w:r>
    </w:p>
    <w:p w14:paraId="53A3977F">
      <w:pPr>
        <w:spacing w:line="360" w:lineRule="auto"/>
        <w:ind w:firstLine="420" w:firstLineChars="200"/>
      </w:pPr>
      <w:r>
        <w:t xml:space="preserve">借款利率：5年期以上贷款市场报价利率（LPR）减60个基本点（bps），本期为2.90%/年 </w:t>
      </w:r>
    </w:p>
    <w:p w14:paraId="541D9174">
      <w:pPr>
        <w:spacing w:line="360" w:lineRule="auto"/>
        <w:ind w:firstLine="420" w:firstLineChars="200"/>
      </w:pPr>
      <w:r>
        <w:t xml:space="preserve">借款起始日：2026年1月15日 </w:t>
      </w:r>
    </w:p>
    <w:p w14:paraId="4514E30E">
      <w:pPr>
        <w:spacing w:line="360" w:lineRule="auto"/>
        <w:ind w:firstLine="420" w:firstLineChars="200"/>
      </w:pPr>
      <w:r>
        <w:t xml:space="preserve">借款到期日：2041年1月14日 </w:t>
      </w:r>
    </w:p>
    <w:p w14:paraId="22999B9A">
      <w:pPr>
        <w:spacing w:line="360" w:lineRule="auto"/>
        <w:ind w:firstLine="420" w:firstLineChars="200"/>
      </w:pPr>
      <w:r>
        <w:t>增信措施：（1）不动产项目万海大厦1、2、3栋对应的全部租金收入质押担保；（2）不动产项目万海大厦1、2、3栋的不动产抵押担保。</w:t>
      </w:r>
    </w:p>
    <w:p w14:paraId="65563F36">
      <w:pPr>
        <w:spacing w:line="360" w:lineRule="auto"/>
        <w:ind w:firstLine="420" w:firstLineChars="200"/>
      </w:pPr>
      <w:r>
        <w:t>本期还款金额：本报告期内，偿还利息金额3,714,607.66元，本金金额1,468,500.00元。</w:t>
      </w:r>
    </w:p>
    <w:p w14:paraId="2739B346">
      <w:pPr>
        <w:spacing w:line="360" w:lineRule="auto"/>
        <w:ind w:firstLine="420" w:firstLineChars="200"/>
      </w:pPr>
      <w:r>
        <w:t>期末本金余额：人民币29,223.15万元整。</w:t>
      </w:r>
    </w:p>
    <w:p w14:paraId="52957415">
      <w:pPr>
        <w:spacing w:line="360" w:lineRule="auto"/>
        <w:ind w:firstLine="420" w:firstLineChars="200"/>
      </w:pPr>
      <w:r>
        <w:t>未来还款计划：借款合同期限内，每年6月21日及12月21日偿还本金1,468,500.00元，2041年1月14日偿还剩余本金205,590,000元。</w:t>
      </w:r>
    </w:p>
    <w:p w14:paraId="4A933779">
      <w:pPr>
        <w:adjustRightInd w:val="0"/>
        <w:snapToGrid w:val="0"/>
        <w:spacing w:line="360" w:lineRule="auto"/>
        <w:rPr>
          <w:b/>
        </w:rPr>
      </w:pPr>
      <w:r>
        <w:rPr>
          <w:b/>
          <w:kern w:val="0"/>
        </w:rPr>
        <w:t>4.5.2</w:t>
      </w:r>
      <w:r>
        <w:rPr>
          <w:b/>
        </w:rPr>
        <w:t>本期对外借入款项情况与上年同期的变化情况分析</w:t>
      </w:r>
    </w:p>
    <w:p w14:paraId="0CC401BD">
      <w:pPr>
        <w:spacing w:line="360" w:lineRule="auto"/>
        <w:ind w:firstLine="420" w:firstLineChars="200"/>
      </w:pPr>
      <w:r>
        <w:t>本报告期末的借款较上年同期，借款形式由并购贷款置换为经营性物业借款，借款利率从固定利率3.5%/年调整为5年期以上LPR减60个bps（本期为2.90%/年），借款期限延后至2041年1月14日，增信措施由万海大厦公司股权质押置换为万海大厦全部租金收入质押，借款本金减少176.85万元。</w:t>
      </w:r>
    </w:p>
    <w:p w14:paraId="56836EE6">
      <w:pPr>
        <w:adjustRightInd w:val="0"/>
        <w:snapToGrid w:val="0"/>
        <w:spacing w:line="360" w:lineRule="auto"/>
        <w:rPr>
          <w:b/>
          <w:kern w:val="0"/>
        </w:rPr>
      </w:pPr>
      <w:r>
        <w:rPr>
          <w:b/>
          <w:kern w:val="0"/>
        </w:rPr>
        <w:t>4.5.3对</w:t>
      </w:r>
      <w:r>
        <w:rPr>
          <w:rFonts w:hint="eastAsia"/>
          <w:b/>
          <w:kern w:val="0"/>
        </w:rPr>
        <w:t>不动产</w:t>
      </w:r>
      <w:r>
        <w:rPr>
          <w:b/>
          <w:kern w:val="0"/>
        </w:rPr>
        <w:t>项目报告期内对外借入款项不符合借款要求情况的说明</w:t>
      </w:r>
    </w:p>
    <w:p w14:paraId="0B42531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kern w:val="0"/>
        </w:rPr>
      </w:pPr>
      <w:r>
        <w:rPr>
          <w:kern w:val="0"/>
        </w:rPr>
        <w:t>未涉及。</w:t>
      </w:r>
    </w:p>
    <w:p w14:paraId="0A7A2B31">
      <w:pPr>
        <w:pStyle w:val="3"/>
        <w:spacing w:before="312" w:beforeLines="100" w:after="0"/>
        <w:rPr>
          <w:rFonts w:ascii="Times New Roman" w:hAnsi="Times New Roman" w:cs="Times New Roman"/>
          <w:kern w:val="0"/>
          <w:sz w:val="21"/>
          <w:szCs w:val="21"/>
        </w:rPr>
      </w:pPr>
      <w:bookmarkStart w:id="151" w:name="_Toc98511609"/>
      <w:bookmarkStart w:id="152" w:name="_Toc19696"/>
      <w:bookmarkStart w:id="153" w:name="_Toc98602974"/>
      <w:bookmarkStart w:id="154" w:name="_Toc98508946"/>
      <w:bookmarkStart w:id="155" w:name="_Toc98602649"/>
      <w:bookmarkStart w:id="156" w:name="_Toc98512365"/>
      <w:bookmarkStart w:id="157" w:name="_Toc98601300"/>
      <w:r>
        <w:rPr>
          <w:rFonts w:ascii="Times New Roman" w:hAnsi="Times New Roman" w:cs="Times New Roman"/>
          <w:kern w:val="0"/>
          <w:sz w:val="21"/>
          <w:szCs w:val="21"/>
        </w:rPr>
        <w:t xml:space="preserve">4.6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项目投资情况</w:t>
      </w:r>
      <w:bookmarkEnd w:id="151"/>
      <w:bookmarkEnd w:id="152"/>
      <w:bookmarkEnd w:id="153"/>
      <w:bookmarkEnd w:id="154"/>
      <w:bookmarkEnd w:id="155"/>
      <w:bookmarkEnd w:id="156"/>
      <w:bookmarkEnd w:id="157"/>
    </w:p>
    <w:p w14:paraId="0BD7B31F">
      <w:pPr>
        <w:adjustRightInd w:val="0"/>
        <w:snapToGrid w:val="0"/>
        <w:spacing w:line="360" w:lineRule="auto"/>
        <w:rPr>
          <w:b/>
          <w:kern w:val="0"/>
        </w:rPr>
      </w:pPr>
      <w:r>
        <w:rPr>
          <w:b/>
          <w:kern w:val="0"/>
        </w:rPr>
        <w:t>4.6.1报告期内购入或出售</w:t>
      </w:r>
      <w:r>
        <w:rPr>
          <w:rFonts w:hint="eastAsia"/>
          <w:b/>
          <w:kern w:val="0"/>
        </w:rPr>
        <w:t>不动产</w:t>
      </w:r>
      <w:r>
        <w:rPr>
          <w:b/>
          <w:kern w:val="0"/>
        </w:rPr>
        <w:t>项目情况</w:t>
      </w:r>
    </w:p>
    <w:p w14:paraId="230D9221">
      <w:pPr>
        <w:spacing w:line="360" w:lineRule="auto"/>
        <w:ind w:firstLine="420" w:firstLineChars="200"/>
      </w:pPr>
      <w:r>
        <w:t>本报告期内，无新购入不动产项目。拟新购入不动产的情况详见 2.3 不动产基金扩募情况。</w:t>
      </w:r>
    </w:p>
    <w:p w14:paraId="5AABC079">
      <w:pPr>
        <w:adjustRightInd w:val="0"/>
        <w:snapToGrid w:val="0"/>
        <w:spacing w:line="360" w:lineRule="auto"/>
        <w:rPr>
          <w:b/>
          <w:kern w:val="0"/>
        </w:rPr>
      </w:pPr>
      <w:r>
        <w:rPr>
          <w:b/>
          <w:kern w:val="0"/>
        </w:rPr>
        <w:t>4.6.2购入或出售</w:t>
      </w:r>
      <w:r>
        <w:rPr>
          <w:rFonts w:hint="eastAsia"/>
          <w:b/>
          <w:kern w:val="0"/>
        </w:rPr>
        <w:t>不动产</w:t>
      </w:r>
      <w:r>
        <w:rPr>
          <w:b/>
          <w:kern w:val="0"/>
        </w:rPr>
        <w:t>项目情况及对</w:t>
      </w:r>
      <w:r>
        <w:rPr>
          <w:rFonts w:hint="eastAsia"/>
          <w:b/>
          <w:kern w:val="0"/>
        </w:rPr>
        <w:t>不动产</w:t>
      </w:r>
      <w:r>
        <w:rPr>
          <w:b/>
          <w:kern w:val="0"/>
        </w:rPr>
        <w:t>基金运作、收益等方面的影响分析</w:t>
      </w:r>
    </w:p>
    <w:p w14:paraId="0A03BC8D">
      <w:pPr>
        <w:spacing w:line="360" w:lineRule="auto"/>
        <w:ind w:firstLine="420" w:firstLineChars="200"/>
      </w:pPr>
      <w:r>
        <w:t>未涉及。</w:t>
      </w:r>
    </w:p>
    <w:p w14:paraId="4C65117D">
      <w:pPr>
        <w:pStyle w:val="3"/>
        <w:spacing w:before="312" w:beforeLines="100" w:after="0"/>
        <w:rPr>
          <w:rFonts w:ascii="Times New Roman" w:hAnsi="Times New Roman" w:cs="Times New Roman"/>
          <w:kern w:val="0"/>
          <w:sz w:val="21"/>
          <w:szCs w:val="21"/>
        </w:rPr>
      </w:pPr>
      <w:bookmarkStart w:id="158" w:name="_Toc98511610"/>
      <w:bookmarkStart w:id="159" w:name="_Toc98512366"/>
      <w:bookmarkStart w:id="160" w:name="_Toc81411058"/>
      <w:bookmarkStart w:id="161" w:name="_Toc98601301"/>
      <w:bookmarkStart w:id="162" w:name="_Toc4876"/>
      <w:bookmarkStart w:id="163" w:name="_Toc98602650"/>
      <w:bookmarkStart w:id="164" w:name="_Toc98602975"/>
      <w:bookmarkStart w:id="165" w:name="_Toc98508947"/>
      <w:r>
        <w:rPr>
          <w:rFonts w:ascii="Times New Roman" w:hAnsi="Times New Roman" w:cs="Times New Roman"/>
          <w:kern w:val="0"/>
          <w:sz w:val="21"/>
          <w:szCs w:val="21"/>
        </w:rPr>
        <w:t>4.7 抵押、查封、扣押、冻结等他项权利限制的情况</w:t>
      </w:r>
      <w:bookmarkEnd w:id="158"/>
      <w:bookmarkEnd w:id="159"/>
      <w:bookmarkEnd w:id="160"/>
      <w:bookmarkEnd w:id="161"/>
      <w:bookmarkEnd w:id="162"/>
      <w:bookmarkEnd w:id="163"/>
      <w:bookmarkEnd w:id="164"/>
      <w:bookmarkEnd w:id="165"/>
    </w:p>
    <w:p w14:paraId="1AF8AC73">
      <w:pPr>
        <w:spacing w:line="360" w:lineRule="auto"/>
        <w:ind w:firstLine="420" w:firstLineChars="200"/>
      </w:pPr>
      <w:r>
        <w:t>根据本基金下设子公司深圳万海大厦管理有限责任公司（以下简称“万海大厦”）与招商银行股份有限公司深圳分行（以下简称“招商银行”）2026年1月15日签署的借款协议（协议编号为：755HT251226T000683），借款金额为293,700,000元，借款期限为2026年1月15日至2041年1月14日。主要质押、抵押事项如下：</w:t>
      </w:r>
    </w:p>
    <w:p w14:paraId="72BD448D">
      <w:pPr>
        <w:spacing w:line="360" w:lineRule="auto"/>
        <w:ind w:firstLine="420" w:firstLineChars="200"/>
      </w:pPr>
      <w:r>
        <w:t>（i）不动产项目万海大厦1、2、3栋对应的全部租金收入在本协议项下的债务向招商银行提供质押担保；</w:t>
      </w:r>
    </w:p>
    <w:p w14:paraId="5C5CBEF3">
      <w:pPr>
        <w:spacing w:line="360" w:lineRule="auto"/>
        <w:ind w:firstLine="420" w:firstLineChars="200"/>
      </w:pPr>
      <w:r>
        <w:t>（ii）万海大厦项目公司将其所持有的不动产项目万海大厦1、2、3栋的所有权在本协议项下的债务向招商银行提供不动产抵押担保。</w:t>
      </w:r>
    </w:p>
    <w:p w14:paraId="6D16689C">
      <w:pPr>
        <w:pStyle w:val="3"/>
        <w:rPr>
          <w:rFonts w:ascii="Times New Roman" w:hAnsi="Times New Roman" w:cs="Times New Roman"/>
          <w:sz w:val="21"/>
          <w:szCs w:val="21"/>
        </w:rPr>
      </w:pPr>
      <w:bookmarkStart w:id="166" w:name="_Toc98602651"/>
      <w:bookmarkStart w:id="167" w:name="_Toc25291"/>
      <w:bookmarkStart w:id="168" w:name="_Toc98602976"/>
      <w:bookmarkStart w:id="169" w:name="_Toc98512367"/>
      <w:bookmarkStart w:id="170" w:name="_Toc98508948"/>
      <w:bookmarkStart w:id="171" w:name="_Toc81411059"/>
      <w:bookmarkStart w:id="172" w:name="_Toc98511611"/>
      <w:bookmarkStart w:id="173" w:name="_Toc98601302"/>
      <w:r>
        <w:rPr>
          <w:rFonts w:ascii="Times New Roman" w:hAnsi="Times New Roman" w:cs="Times New Roman"/>
          <w:kern w:val="0"/>
          <w:sz w:val="21"/>
          <w:szCs w:val="21"/>
        </w:rPr>
        <w:t xml:space="preserve">4.8 </w:t>
      </w:r>
      <w:r>
        <w:rPr>
          <w:rFonts w:hint="eastAsia" w:ascii="Times New Roman" w:hAnsi="Times New Roman" w:cs="Times New Roman"/>
          <w:sz w:val="21"/>
          <w:szCs w:val="21"/>
        </w:rPr>
        <w:t>不动产</w:t>
      </w:r>
      <w:r>
        <w:rPr>
          <w:rFonts w:ascii="Times New Roman" w:hAnsi="Times New Roman" w:cs="Times New Roman"/>
          <w:sz w:val="21"/>
          <w:szCs w:val="21"/>
        </w:rPr>
        <w:t>项目相关保险的情况</w:t>
      </w:r>
      <w:bookmarkEnd w:id="166"/>
      <w:bookmarkEnd w:id="167"/>
      <w:bookmarkEnd w:id="168"/>
      <w:bookmarkEnd w:id="169"/>
      <w:bookmarkEnd w:id="170"/>
      <w:bookmarkEnd w:id="171"/>
      <w:bookmarkEnd w:id="172"/>
      <w:bookmarkEnd w:id="173"/>
    </w:p>
    <w:p w14:paraId="34EFD1B3">
      <w:pPr>
        <w:spacing w:line="360" w:lineRule="auto"/>
        <w:ind w:firstLine="420" w:firstLineChars="200"/>
      </w:pPr>
      <w:r>
        <w:t>不动产项目于2026年3月31日向中国人民保险财产有限公司深圳分公司购买财产一切险（含建筑物结构、机械设备及地震扩展条款的附加险）、公共责任保险，保险期限为2026年4月1日至2027年3月31日。</w:t>
      </w:r>
    </w:p>
    <w:p w14:paraId="0FB81DF0">
      <w:pPr>
        <w:spacing w:line="360" w:lineRule="auto"/>
        <w:ind w:firstLine="420" w:firstLineChars="200"/>
      </w:pPr>
      <w:r>
        <w:t>本报告期内,光明加速器二期项目公共责任保险结案1单，理赔金额为2,350.00元，财产一切险结案2单，理赔金额为18,050.59元；万融大厦、万海大厦未发生出险结案事项。</w:t>
      </w:r>
    </w:p>
    <w:p w14:paraId="7E1EE34C">
      <w:pPr>
        <w:pStyle w:val="3"/>
        <w:rPr>
          <w:rFonts w:ascii="Times New Roman" w:hAnsi="Times New Roman" w:cs="Times New Roman"/>
          <w:kern w:val="0"/>
          <w:sz w:val="21"/>
          <w:szCs w:val="21"/>
        </w:rPr>
      </w:pPr>
      <w:bookmarkStart w:id="174" w:name="_Toc19848"/>
      <w:bookmarkStart w:id="175" w:name="_Toc98512369"/>
      <w:bookmarkStart w:id="176" w:name="_Toc98508950"/>
      <w:bookmarkStart w:id="177" w:name="_Toc98602653"/>
      <w:bookmarkStart w:id="178" w:name="_Toc98601304"/>
      <w:bookmarkStart w:id="179" w:name="_Toc98602978"/>
      <w:bookmarkStart w:id="180" w:name="_Toc81411061"/>
      <w:bookmarkStart w:id="181" w:name="_Toc98511613"/>
      <w:r>
        <w:rPr>
          <w:rFonts w:ascii="Times New Roman" w:hAnsi="Times New Roman" w:cs="Times New Roman"/>
          <w:kern w:val="0"/>
          <w:sz w:val="21"/>
          <w:szCs w:val="21"/>
        </w:rPr>
        <w:t>4.9  重要</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项目生产经营状况、外部环境已经或者预计发生重大变化分析</w:t>
      </w:r>
      <w:bookmarkEnd w:id="174"/>
    </w:p>
    <w:p w14:paraId="0202C3F6">
      <w:pPr>
        <w:spacing w:line="360" w:lineRule="auto"/>
        <w:ind w:firstLine="420" w:firstLineChars="200"/>
      </w:pPr>
      <w:r>
        <w:t>未涉及。</w:t>
      </w:r>
    </w:p>
    <w:p w14:paraId="4215B443">
      <w:pPr>
        <w:pStyle w:val="3"/>
        <w:rPr>
          <w:rFonts w:ascii="Times New Roman" w:hAnsi="Times New Roman" w:cs="Times New Roman"/>
          <w:sz w:val="21"/>
          <w:szCs w:val="21"/>
        </w:rPr>
      </w:pPr>
      <w:bookmarkStart w:id="182" w:name="_Toc32469"/>
      <w:r>
        <w:rPr>
          <w:rFonts w:ascii="Times New Roman" w:hAnsi="Times New Roman" w:cs="Times New Roman"/>
          <w:b w:val="0"/>
          <w:kern w:val="0"/>
          <w:sz w:val="21"/>
          <w:szCs w:val="21"/>
        </w:rPr>
        <w:t>4.10</w:t>
      </w:r>
      <w:r>
        <w:rPr>
          <w:rFonts w:ascii="Times New Roman" w:hAnsi="Times New Roman" w:cs="Times New Roman"/>
          <w:sz w:val="21"/>
          <w:szCs w:val="21"/>
        </w:rPr>
        <w:t xml:space="preserve"> 其他需要说明的情况</w:t>
      </w:r>
      <w:bookmarkEnd w:id="175"/>
      <w:bookmarkEnd w:id="176"/>
      <w:bookmarkEnd w:id="177"/>
      <w:bookmarkEnd w:id="178"/>
      <w:bookmarkEnd w:id="179"/>
      <w:bookmarkEnd w:id="180"/>
      <w:bookmarkEnd w:id="181"/>
      <w:bookmarkEnd w:id="182"/>
    </w:p>
    <w:p w14:paraId="55B149E7">
      <w:pPr>
        <w:spacing w:line="360" w:lineRule="auto"/>
        <w:ind w:firstLine="420" w:firstLineChars="200"/>
      </w:pPr>
      <w:r>
        <w:t>未涉及。</w:t>
      </w:r>
    </w:p>
    <w:p w14:paraId="0D6CFB69">
      <w:pPr>
        <w:pStyle w:val="2"/>
        <w:spacing w:before="312" w:beforeLines="100" w:after="312" w:afterLines="100" w:line="360" w:lineRule="auto"/>
        <w:jc w:val="center"/>
        <w:rPr>
          <w:kern w:val="0"/>
          <w:sz w:val="21"/>
          <w:szCs w:val="21"/>
        </w:rPr>
      </w:pPr>
      <w:bookmarkStart w:id="183" w:name="_Toc22545"/>
      <w:bookmarkStart w:id="184" w:name="_Toc98508951"/>
      <w:bookmarkStart w:id="185" w:name="_Toc98602654"/>
      <w:bookmarkStart w:id="186" w:name="_Toc98602979"/>
      <w:bookmarkStart w:id="187" w:name="_Toc98511614"/>
      <w:bookmarkStart w:id="188" w:name="_Toc98512370"/>
      <w:bookmarkStart w:id="189" w:name="_Toc98601305"/>
      <w:r>
        <w:rPr>
          <w:kern w:val="0"/>
          <w:sz w:val="21"/>
          <w:szCs w:val="21"/>
        </w:rPr>
        <w:t>§5  除</w:t>
      </w:r>
      <w:r>
        <w:rPr>
          <w:rFonts w:hint="eastAsia"/>
          <w:kern w:val="0"/>
          <w:sz w:val="21"/>
          <w:szCs w:val="21"/>
        </w:rPr>
        <w:t>不动产</w:t>
      </w:r>
      <w:r>
        <w:rPr>
          <w:kern w:val="0"/>
          <w:sz w:val="21"/>
          <w:szCs w:val="21"/>
        </w:rPr>
        <w:t>资产支持证券之外的投资组合报告</w:t>
      </w:r>
      <w:bookmarkEnd w:id="183"/>
      <w:bookmarkEnd w:id="184"/>
      <w:bookmarkEnd w:id="185"/>
      <w:bookmarkEnd w:id="186"/>
      <w:bookmarkEnd w:id="187"/>
      <w:bookmarkEnd w:id="188"/>
      <w:bookmarkEnd w:id="189"/>
    </w:p>
    <w:p w14:paraId="28F5B27A">
      <w:pPr>
        <w:pStyle w:val="3"/>
        <w:rPr>
          <w:rFonts w:ascii="Times New Roman" w:hAnsi="Times New Roman" w:cs="Times New Roman"/>
          <w:kern w:val="0"/>
          <w:sz w:val="21"/>
          <w:szCs w:val="21"/>
        </w:rPr>
      </w:pPr>
      <w:bookmarkStart w:id="190" w:name="_Toc32742"/>
      <w:bookmarkStart w:id="191" w:name="_Toc98512371"/>
      <w:bookmarkStart w:id="192" w:name="_Toc98511615"/>
      <w:bookmarkStart w:id="193" w:name="_Toc98601306"/>
      <w:bookmarkStart w:id="194" w:name="_Toc98602655"/>
      <w:bookmarkStart w:id="195" w:name="_Toc98508952"/>
      <w:bookmarkStart w:id="196" w:name="_Toc98602980"/>
      <w:r>
        <w:rPr>
          <w:rFonts w:ascii="Times New Roman" w:hAnsi="Times New Roman" w:cs="Times New Roman"/>
          <w:kern w:val="0"/>
          <w:sz w:val="21"/>
          <w:szCs w:val="21"/>
        </w:rPr>
        <w:t>5.1 报告期末</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基金资产组合情况</w:t>
      </w:r>
      <w:bookmarkEnd w:id="190"/>
      <w:bookmarkEnd w:id="191"/>
      <w:bookmarkEnd w:id="192"/>
      <w:bookmarkEnd w:id="193"/>
      <w:bookmarkEnd w:id="194"/>
      <w:bookmarkEnd w:id="195"/>
      <w:bookmarkEnd w:id="196"/>
    </w:p>
    <w:p w14:paraId="74CCC929">
      <w:pPr>
        <w:pStyle w:val="4"/>
        <w:spacing w:line="360" w:lineRule="auto"/>
        <w:jc w:val="right"/>
      </w:pPr>
      <w:r>
        <w:t>单位：人民币元</w:t>
      </w:r>
    </w:p>
    <w:tbl>
      <w:tblPr>
        <w:tblStyle w:val="41"/>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410"/>
        <w:gridCol w:w="3260"/>
        <w:gridCol w:w="2835"/>
      </w:tblGrid>
      <w:tr w14:paraId="26B9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6F4E17BD">
            <w:pPr>
              <w:spacing w:before="29" w:line="360" w:lineRule="auto"/>
              <w:ind w:left="17"/>
              <w:jc w:val="center"/>
              <w:rPr>
                <w:kern w:val="0"/>
              </w:rPr>
            </w:pPr>
            <w:r>
              <w:rPr>
                <w:kern w:val="0"/>
              </w:rPr>
              <w:t>序号</w:t>
            </w:r>
          </w:p>
        </w:tc>
        <w:tc>
          <w:tcPr>
            <w:tcW w:w="2410" w:type="dxa"/>
            <w:vAlign w:val="center"/>
          </w:tcPr>
          <w:p w14:paraId="21F19297">
            <w:pPr>
              <w:spacing w:before="29" w:line="360" w:lineRule="auto"/>
              <w:ind w:left="17"/>
              <w:jc w:val="center"/>
              <w:rPr>
                <w:kern w:val="0"/>
              </w:rPr>
            </w:pPr>
            <w:r>
              <w:rPr>
                <w:kern w:val="0"/>
              </w:rPr>
              <w:t>项目</w:t>
            </w:r>
          </w:p>
        </w:tc>
        <w:tc>
          <w:tcPr>
            <w:tcW w:w="3260" w:type="dxa"/>
            <w:vAlign w:val="center"/>
          </w:tcPr>
          <w:p w14:paraId="4B91781B">
            <w:pPr>
              <w:spacing w:before="29" w:line="360" w:lineRule="auto"/>
              <w:ind w:left="17"/>
              <w:jc w:val="center"/>
              <w:rPr>
                <w:kern w:val="0"/>
              </w:rPr>
            </w:pPr>
            <w:r>
              <w:rPr>
                <w:kern w:val="0"/>
              </w:rPr>
              <w:t>金额(元)</w:t>
            </w:r>
          </w:p>
        </w:tc>
        <w:tc>
          <w:tcPr>
            <w:tcW w:w="2835" w:type="dxa"/>
            <w:vAlign w:val="center"/>
          </w:tcPr>
          <w:p w14:paraId="4ED4C757">
            <w:pPr>
              <w:spacing w:before="29" w:line="360" w:lineRule="auto"/>
              <w:ind w:left="17"/>
              <w:jc w:val="center"/>
              <w:rPr>
                <w:kern w:val="0"/>
              </w:rPr>
            </w:pPr>
            <w:r>
              <w:rPr>
                <w:kern w:val="0"/>
              </w:rPr>
              <w:t>占</w:t>
            </w:r>
            <w:r>
              <w:rPr>
                <w:rFonts w:hint="eastAsia"/>
                <w:kern w:val="0"/>
              </w:rPr>
              <w:t>不动产</w:t>
            </w:r>
            <w:r>
              <w:rPr>
                <w:kern w:val="0"/>
              </w:rPr>
              <w:t>资产支持证券之外的投资组合的比例（%）</w:t>
            </w:r>
          </w:p>
        </w:tc>
      </w:tr>
      <w:tr w14:paraId="1066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36A5A900">
            <w:pPr>
              <w:spacing w:before="29" w:line="360" w:lineRule="auto"/>
              <w:ind w:left="17"/>
              <w:jc w:val="center"/>
              <w:rPr>
                <w:kern w:val="0"/>
              </w:rPr>
            </w:pPr>
            <w:r>
              <w:rPr>
                <w:kern w:val="0"/>
              </w:rPr>
              <w:t>1</w:t>
            </w:r>
          </w:p>
        </w:tc>
        <w:tc>
          <w:tcPr>
            <w:tcW w:w="2410" w:type="dxa"/>
            <w:vAlign w:val="center"/>
          </w:tcPr>
          <w:p w14:paraId="0C514104">
            <w:pPr>
              <w:spacing w:before="29" w:line="360" w:lineRule="auto"/>
              <w:jc w:val="left"/>
              <w:rPr>
                <w:kern w:val="0"/>
              </w:rPr>
            </w:pPr>
            <w:r>
              <w:t>固定收益投资</w:t>
            </w:r>
          </w:p>
        </w:tc>
        <w:tc>
          <w:tcPr>
            <w:tcW w:w="3260" w:type="dxa"/>
            <w:vAlign w:val="center"/>
          </w:tcPr>
          <w:p w14:paraId="2437EC07">
            <w:pPr>
              <w:spacing w:before="29" w:line="360" w:lineRule="auto"/>
              <w:ind w:left="17"/>
              <w:jc w:val="right"/>
              <w:rPr>
                <w:kern w:val="0"/>
              </w:rPr>
            </w:pPr>
            <w:r>
              <w:rPr>
                <w:kern w:val="0"/>
              </w:rPr>
              <w:t>-</w:t>
            </w:r>
          </w:p>
        </w:tc>
        <w:tc>
          <w:tcPr>
            <w:tcW w:w="2835" w:type="dxa"/>
            <w:vAlign w:val="center"/>
          </w:tcPr>
          <w:p w14:paraId="4285A251">
            <w:pPr>
              <w:spacing w:before="29" w:line="360" w:lineRule="auto"/>
              <w:ind w:left="17"/>
              <w:jc w:val="right"/>
              <w:rPr>
                <w:kern w:val="0"/>
              </w:rPr>
            </w:pPr>
            <w:r>
              <w:rPr>
                <w:kern w:val="0"/>
              </w:rPr>
              <w:t>-</w:t>
            </w:r>
          </w:p>
        </w:tc>
      </w:tr>
      <w:tr w14:paraId="4DDD9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4BB583AE">
            <w:pPr>
              <w:spacing w:before="29" w:line="360" w:lineRule="auto"/>
              <w:ind w:left="17"/>
              <w:jc w:val="center"/>
            </w:pPr>
          </w:p>
        </w:tc>
        <w:tc>
          <w:tcPr>
            <w:tcW w:w="2410" w:type="dxa"/>
            <w:vAlign w:val="center"/>
          </w:tcPr>
          <w:p w14:paraId="0D8982EE">
            <w:pPr>
              <w:spacing w:before="29" w:line="360" w:lineRule="auto"/>
              <w:ind w:left="17"/>
              <w:jc w:val="left"/>
            </w:pPr>
            <w:r>
              <w:t>其中：债券</w:t>
            </w:r>
          </w:p>
        </w:tc>
        <w:tc>
          <w:tcPr>
            <w:tcW w:w="3260" w:type="dxa"/>
            <w:vAlign w:val="center"/>
          </w:tcPr>
          <w:p w14:paraId="6F709A55">
            <w:pPr>
              <w:spacing w:before="29" w:line="360" w:lineRule="auto"/>
              <w:ind w:left="17"/>
              <w:jc w:val="right"/>
            </w:pPr>
            <w:r>
              <w:t>-</w:t>
            </w:r>
          </w:p>
        </w:tc>
        <w:tc>
          <w:tcPr>
            <w:tcW w:w="2835" w:type="dxa"/>
            <w:vAlign w:val="center"/>
          </w:tcPr>
          <w:p w14:paraId="68D20DCC">
            <w:pPr>
              <w:spacing w:before="29" w:line="360" w:lineRule="auto"/>
              <w:ind w:left="17"/>
              <w:jc w:val="right"/>
              <w:rPr>
                <w:kern w:val="0"/>
              </w:rPr>
            </w:pPr>
            <w:r>
              <w:rPr>
                <w:kern w:val="0"/>
              </w:rPr>
              <w:t>-</w:t>
            </w:r>
          </w:p>
        </w:tc>
      </w:tr>
      <w:tr w14:paraId="00AD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4A4544F6">
            <w:pPr>
              <w:spacing w:before="29" w:line="360" w:lineRule="auto"/>
              <w:ind w:left="17"/>
              <w:jc w:val="center"/>
              <w:rPr>
                <w:kern w:val="0"/>
              </w:rPr>
            </w:pPr>
          </w:p>
        </w:tc>
        <w:tc>
          <w:tcPr>
            <w:tcW w:w="2410" w:type="dxa"/>
            <w:vAlign w:val="center"/>
          </w:tcPr>
          <w:p w14:paraId="5E737984">
            <w:pPr>
              <w:autoSpaceDE w:val="0"/>
              <w:autoSpaceDN w:val="0"/>
              <w:adjustRightInd w:val="0"/>
              <w:spacing w:before="29" w:line="360" w:lineRule="auto"/>
              <w:ind w:firstLine="630" w:firstLineChars="300"/>
              <w:jc w:val="left"/>
              <w:rPr>
                <w:kern w:val="0"/>
              </w:rPr>
            </w:pPr>
            <w:r>
              <w:rPr>
                <w:kern w:val="0"/>
              </w:rPr>
              <w:t>资产支持证券</w:t>
            </w:r>
          </w:p>
        </w:tc>
        <w:tc>
          <w:tcPr>
            <w:tcW w:w="3260" w:type="dxa"/>
            <w:vAlign w:val="center"/>
          </w:tcPr>
          <w:p w14:paraId="0F09A93A">
            <w:pPr>
              <w:spacing w:before="29" w:line="360" w:lineRule="auto"/>
              <w:ind w:left="17"/>
              <w:jc w:val="right"/>
              <w:rPr>
                <w:kern w:val="0"/>
              </w:rPr>
            </w:pPr>
            <w:r>
              <w:rPr>
                <w:kern w:val="0"/>
              </w:rPr>
              <w:t>-</w:t>
            </w:r>
          </w:p>
        </w:tc>
        <w:tc>
          <w:tcPr>
            <w:tcW w:w="2835" w:type="dxa"/>
            <w:vAlign w:val="center"/>
          </w:tcPr>
          <w:p w14:paraId="02FEC62E">
            <w:pPr>
              <w:spacing w:before="29" w:line="360" w:lineRule="auto"/>
              <w:ind w:left="17"/>
              <w:jc w:val="right"/>
              <w:rPr>
                <w:kern w:val="0"/>
              </w:rPr>
            </w:pPr>
            <w:r>
              <w:rPr>
                <w:kern w:val="0"/>
              </w:rPr>
              <w:t>-</w:t>
            </w:r>
          </w:p>
        </w:tc>
      </w:tr>
      <w:tr w14:paraId="70F1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28CE925E">
            <w:pPr>
              <w:spacing w:before="29" w:line="360" w:lineRule="auto"/>
              <w:ind w:left="17"/>
              <w:jc w:val="center"/>
              <w:rPr>
                <w:kern w:val="0"/>
              </w:rPr>
            </w:pPr>
            <w:r>
              <w:rPr>
                <w:kern w:val="0"/>
              </w:rPr>
              <w:t>2</w:t>
            </w:r>
          </w:p>
        </w:tc>
        <w:tc>
          <w:tcPr>
            <w:tcW w:w="2410" w:type="dxa"/>
            <w:vAlign w:val="center"/>
          </w:tcPr>
          <w:p w14:paraId="17D1D773">
            <w:pPr>
              <w:spacing w:before="29" w:line="360" w:lineRule="auto"/>
              <w:jc w:val="left"/>
              <w:rPr>
                <w:kern w:val="0"/>
              </w:rPr>
            </w:pPr>
            <w:r>
              <w:rPr>
                <w:kern w:val="0"/>
              </w:rPr>
              <w:t>买入返售金融资产</w:t>
            </w:r>
          </w:p>
        </w:tc>
        <w:tc>
          <w:tcPr>
            <w:tcW w:w="3260" w:type="dxa"/>
            <w:vAlign w:val="center"/>
          </w:tcPr>
          <w:p w14:paraId="684317B3">
            <w:pPr>
              <w:spacing w:before="29" w:line="360" w:lineRule="auto"/>
              <w:ind w:left="17"/>
              <w:jc w:val="right"/>
              <w:rPr>
                <w:kern w:val="0"/>
              </w:rPr>
            </w:pPr>
            <w:r>
              <w:rPr>
                <w:kern w:val="0"/>
              </w:rPr>
              <w:t>-</w:t>
            </w:r>
          </w:p>
        </w:tc>
        <w:tc>
          <w:tcPr>
            <w:tcW w:w="2835" w:type="dxa"/>
            <w:vAlign w:val="center"/>
          </w:tcPr>
          <w:p w14:paraId="07A5FDD9">
            <w:pPr>
              <w:spacing w:before="29" w:line="360" w:lineRule="auto"/>
              <w:ind w:left="17"/>
              <w:jc w:val="right"/>
              <w:rPr>
                <w:kern w:val="0"/>
              </w:rPr>
            </w:pPr>
            <w:r>
              <w:rPr>
                <w:kern w:val="0"/>
              </w:rPr>
              <w:t>-</w:t>
            </w:r>
          </w:p>
        </w:tc>
      </w:tr>
      <w:tr w14:paraId="1A32D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6EE7D63E">
            <w:pPr>
              <w:spacing w:before="29" w:line="360" w:lineRule="auto"/>
              <w:ind w:left="17"/>
              <w:jc w:val="center"/>
              <w:rPr>
                <w:kern w:val="0"/>
              </w:rPr>
            </w:pPr>
          </w:p>
        </w:tc>
        <w:tc>
          <w:tcPr>
            <w:tcW w:w="2410" w:type="dxa"/>
            <w:vAlign w:val="center"/>
          </w:tcPr>
          <w:p w14:paraId="4F130355">
            <w:pPr>
              <w:spacing w:before="29" w:line="360" w:lineRule="auto"/>
              <w:jc w:val="left"/>
              <w:rPr>
                <w:kern w:val="0"/>
              </w:rPr>
            </w:pPr>
            <w:r>
              <w:rPr>
                <w:kern w:val="0"/>
              </w:rPr>
              <w:t>其中：买断式回购的买入返售金融资产</w:t>
            </w:r>
          </w:p>
        </w:tc>
        <w:tc>
          <w:tcPr>
            <w:tcW w:w="3260" w:type="dxa"/>
            <w:vAlign w:val="center"/>
          </w:tcPr>
          <w:p w14:paraId="2773A2A1">
            <w:pPr>
              <w:spacing w:before="29" w:line="360" w:lineRule="auto"/>
              <w:ind w:left="17"/>
              <w:jc w:val="right"/>
              <w:rPr>
                <w:kern w:val="0"/>
              </w:rPr>
            </w:pPr>
            <w:r>
              <w:rPr>
                <w:kern w:val="0"/>
              </w:rPr>
              <w:t>-</w:t>
            </w:r>
          </w:p>
        </w:tc>
        <w:tc>
          <w:tcPr>
            <w:tcW w:w="2835" w:type="dxa"/>
            <w:vAlign w:val="center"/>
          </w:tcPr>
          <w:p w14:paraId="7E8B530E">
            <w:pPr>
              <w:spacing w:before="29" w:line="360" w:lineRule="auto"/>
              <w:ind w:left="17"/>
              <w:jc w:val="right"/>
              <w:rPr>
                <w:kern w:val="0"/>
              </w:rPr>
            </w:pPr>
            <w:r>
              <w:rPr>
                <w:kern w:val="0"/>
              </w:rPr>
              <w:t>-</w:t>
            </w:r>
          </w:p>
        </w:tc>
      </w:tr>
      <w:tr w14:paraId="46F8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2A7B9287">
            <w:pPr>
              <w:spacing w:before="29" w:line="360" w:lineRule="auto"/>
              <w:ind w:left="17"/>
              <w:jc w:val="center"/>
              <w:rPr>
                <w:kern w:val="0"/>
              </w:rPr>
            </w:pPr>
            <w:r>
              <w:rPr>
                <w:kern w:val="0"/>
              </w:rPr>
              <w:t>3</w:t>
            </w:r>
          </w:p>
        </w:tc>
        <w:tc>
          <w:tcPr>
            <w:tcW w:w="2410" w:type="dxa"/>
            <w:vAlign w:val="center"/>
          </w:tcPr>
          <w:p w14:paraId="61B1022F">
            <w:pPr>
              <w:spacing w:before="29" w:line="360" w:lineRule="auto"/>
              <w:jc w:val="left"/>
              <w:rPr>
                <w:kern w:val="0"/>
              </w:rPr>
            </w:pPr>
            <w:r>
              <w:t>货币资金</w:t>
            </w:r>
            <w:r>
              <w:rPr>
                <w:kern w:val="0"/>
              </w:rPr>
              <w:t>和结算备付金合计</w:t>
            </w:r>
          </w:p>
        </w:tc>
        <w:tc>
          <w:tcPr>
            <w:tcW w:w="3260" w:type="dxa"/>
            <w:vAlign w:val="center"/>
          </w:tcPr>
          <w:p w14:paraId="5EADA74E">
            <w:pPr>
              <w:spacing w:before="29" w:line="360" w:lineRule="auto"/>
              <w:ind w:left="17"/>
              <w:jc w:val="right"/>
              <w:rPr>
                <w:kern w:val="0"/>
              </w:rPr>
            </w:pPr>
            <w:r>
              <w:rPr>
                <w:kern w:val="0"/>
              </w:rPr>
              <w:t>3,280,288.30</w:t>
            </w:r>
          </w:p>
        </w:tc>
        <w:tc>
          <w:tcPr>
            <w:tcW w:w="2835" w:type="dxa"/>
            <w:vAlign w:val="center"/>
          </w:tcPr>
          <w:p w14:paraId="535D3069">
            <w:pPr>
              <w:spacing w:before="29" w:line="360" w:lineRule="auto"/>
              <w:ind w:left="17"/>
              <w:jc w:val="right"/>
              <w:rPr>
                <w:kern w:val="0"/>
              </w:rPr>
            </w:pPr>
            <w:r>
              <w:rPr>
                <w:kern w:val="0"/>
              </w:rPr>
              <w:t>100.00</w:t>
            </w:r>
          </w:p>
        </w:tc>
      </w:tr>
      <w:tr w14:paraId="538F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5C8BBE8B">
            <w:pPr>
              <w:spacing w:before="29" w:line="360" w:lineRule="auto"/>
              <w:ind w:left="17"/>
              <w:jc w:val="center"/>
              <w:rPr>
                <w:kern w:val="0"/>
              </w:rPr>
            </w:pPr>
            <w:r>
              <w:rPr>
                <w:kern w:val="0"/>
              </w:rPr>
              <w:t>4</w:t>
            </w:r>
          </w:p>
        </w:tc>
        <w:tc>
          <w:tcPr>
            <w:tcW w:w="2410" w:type="dxa"/>
            <w:vAlign w:val="center"/>
          </w:tcPr>
          <w:p w14:paraId="7819D3BA">
            <w:pPr>
              <w:spacing w:line="360" w:lineRule="auto"/>
              <w:jc w:val="left"/>
              <w:rPr>
                <w:kern w:val="0"/>
              </w:rPr>
            </w:pPr>
            <w:r>
              <w:rPr>
                <w:kern w:val="0"/>
              </w:rPr>
              <w:t>其他资产</w:t>
            </w:r>
          </w:p>
        </w:tc>
        <w:tc>
          <w:tcPr>
            <w:tcW w:w="3260" w:type="dxa"/>
            <w:vAlign w:val="center"/>
          </w:tcPr>
          <w:p w14:paraId="11DC82BB">
            <w:pPr>
              <w:spacing w:line="360" w:lineRule="auto"/>
              <w:jc w:val="right"/>
              <w:rPr>
                <w:kern w:val="0"/>
              </w:rPr>
            </w:pPr>
            <w:r>
              <w:rPr>
                <w:kern w:val="0"/>
              </w:rPr>
              <w:t>-</w:t>
            </w:r>
          </w:p>
        </w:tc>
        <w:tc>
          <w:tcPr>
            <w:tcW w:w="2835" w:type="dxa"/>
            <w:vAlign w:val="center"/>
          </w:tcPr>
          <w:p w14:paraId="2E5D3436">
            <w:pPr>
              <w:spacing w:line="360" w:lineRule="auto"/>
              <w:jc w:val="right"/>
              <w:rPr>
                <w:kern w:val="0"/>
              </w:rPr>
            </w:pPr>
            <w:r>
              <w:rPr>
                <w:kern w:val="0"/>
              </w:rPr>
              <w:t>-</w:t>
            </w:r>
          </w:p>
        </w:tc>
      </w:tr>
      <w:tr w14:paraId="7B20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545D161C">
            <w:pPr>
              <w:spacing w:before="29" w:line="360" w:lineRule="auto"/>
              <w:ind w:left="17"/>
              <w:jc w:val="center"/>
              <w:rPr>
                <w:kern w:val="0"/>
              </w:rPr>
            </w:pPr>
            <w:r>
              <w:rPr>
                <w:kern w:val="0"/>
              </w:rPr>
              <w:t>5</w:t>
            </w:r>
          </w:p>
        </w:tc>
        <w:tc>
          <w:tcPr>
            <w:tcW w:w="2410" w:type="dxa"/>
            <w:vAlign w:val="center"/>
          </w:tcPr>
          <w:p w14:paraId="12260C69">
            <w:pPr>
              <w:spacing w:line="360" w:lineRule="auto"/>
              <w:jc w:val="left"/>
              <w:rPr>
                <w:kern w:val="0"/>
              </w:rPr>
            </w:pPr>
            <w:r>
              <w:rPr>
                <w:kern w:val="0"/>
              </w:rPr>
              <w:t>合计</w:t>
            </w:r>
          </w:p>
        </w:tc>
        <w:tc>
          <w:tcPr>
            <w:tcW w:w="3260" w:type="dxa"/>
            <w:vAlign w:val="center"/>
          </w:tcPr>
          <w:p w14:paraId="58B6E29F">
            <w:pPr>
              <w:spacing w:line="360" w:lineRule="auto"/>
              <w:jc w:val="right"/>
              <w:rPr>
                <w:kern w:val="0"/>
              </w:rPr>
            </w:pPr>
            <w:r>
              <w:rPr>
                <w:kern w:val="0"/>
              </w:rPr>
              <w:t>3,280,288.30</w:t>
            </w:r>
          </w:p>
        </w:tc>
        <w:tc>
          <w:tcPr>
            <w:tcW w:w="2835" w:type="dxa"/>
            <w:vAlign w:val="center"/>
          </w:tcPr>
          <w:p w14:paraId="0FAD1FB5">
            <w:pPr>
              <w:spacing w:line="360" w:lineRule="auto"/>
              <w:jc w:val="right"/>
              <w:rPr>
                <w:kern w:val="0"/>
              </w:rPr>
            </w:pPr>
            <w:r>
              <w:rPr>
                <w:kern w:val="0"/>
              </w:rPr>
              <w:t>100.00</w:t>
            </w:r>
          </w:p>
        </w:tc>
      </w:tr>
    </w:tbl>
    <w:p w14:paraId="4E255000">
      <w:pPr>
        <w:pStyle w:val="3"/>
        <w:rPr>
          <w:rFonts w:ascii="Times New Roman" w:hAnsi="Times New Roman" w:cs="Times New Roman"/>
          <w:bCs w:val="0"/>
          <w:sz w:val="21"/>
          <w:szCs w:val="21"/>
        </w:rPr>
      </w:pPr>
      <w:bookmarkStart w:id="197" w:name="_Toc15609"/>
      <w:bookmarkStart w:id="198" w:name="_Toc98601310"/>
      <w:bookmarkStart w:id="199" w:name="_Toc98508956"/>
      <w:bookmarkStart w:id="200" w:name="_Toc98512375"/>
      <w:bookmarkStart w:id="201" w:name="_Toc98602984"/>
      <w:bookmarkStart w:id="202" w:name="_Toc98602659"/>
      <w:bookmarkStart w:id="203" w:name="_Toc98511619"/>
      <w:r>
        <w:rPr>
          <w:rFonts w:ascii="Times New Roman" w:hAnsi="Times New Roman" w:cs="Times New Roman"/>
          <w:kern w:val="0"/>
          <w:sz w:val="21"/>
          <w:szCs w:val="21"/>
        </w:rPr>
        <w:t xml:space="preserve">5.2 </w:t>
      </w:r>
      <w:r>
        <w:rPr>
          <w:rFonts w:ascii="Times New Roman" w:hAnsi="Times New Roman" w:cs="Times New Roman"/>
          <w:bCs w:val="0"/>
          <w:sz w:val="21"/>
          <w:szCs w:val="21"/>
        </w:rPr>
        <w:t>投资组合报告附注</w:t>
      </w:r>
      <w:bookmarkEnd w:id="197"/>
      <w:bookmarkEnd w:id="198"/>
      <w:bookmarkEnd w:id="199"/>
      <w:bookmarkEnd w:id="200"/>
      <w:bookmarkEnd w:id="201"/>
      <w:bookmarkEnd w:id="202"/>
      <w:bookmarkEnd w:id="203"/>
    </w:p>
    <w:p w14:paraId="087AE1E6">
      <w:pPr>
        <w:spacing w:line="360" w:lineRule="auto"/>
        <w:ind w:firstLine="420" w:firstLineChars="200"/>
      </w:pPr>
      <w:r>
        <w:t>基金管理人未发现本基金投资的前十名证券的发行主体出现本期被监管部门立案调查，或在报告编制日前一年内受到公开谴责、处罚的情形。</w:t>
      </w:r>
    </w:p>
    <w:p w14:paraId="628E8408">
      <w:pPr>
        <w:pStyle w:val="3"/>
        <w:rPr>
          <w:rFonts w:ascii="Times New Roman" w:hAnsi="Times New Roman" w:cs="Times New Roman"/>
          <w:sz w:val="21"/>
          <w:szCs w:val="21"/>
        </w:rPr>
      </w:pPr>
      <w:bookmarkStart w:id="204" w:name="_Toc98511622"/>
      <w:bookmarkStart w:id="205" w:name="_Toc98602987"/>
      <w:bookmarkStart w:id="206" w:name="_Toc98602662"/>
      <w:bookmarkStart w:id="207" w:name="_Toc81411064"/>
      <w:bookmarkStart w:id="208" w:name="_Toc98601313"/>
      <w:bookmarkStart w:id="209" w:name="_Toc98508959"/>
      <w:bookmarkStart w:id="210" w:name="_Toc98512378"/>
      <w:bookmarkStart w:id="211" w:name="_Toc14970"/>
      <w:r>
        <w:rPr>
          <w:rFonts w:ascii="Times New Roman" w:hAnsi="Times New Roman" w:cs="Times New Roman"/>
          <w:kern w:val="0"/>
          <w:sz w:val="21"/>
          <w:szCs w:val="21"/>
        </w:rPr>
        <w:t>5.3</w:t>
      </w:r>
      <w:r>
        <w:rPr>
          <w:rFonts w:ascii="Times New Roman" w:hAnsi="Times New Roman" w:cs="Times New Roman"/>
          <w:sz w:val="21"/>
          <w:szCs w:val="21"/>
        </w:rPr>
        <w:t xml:space="preserve"> 报告期内</w:t>
      </w:r>
      <w:r>
        <w:rPr>
          <w:rFonts w:hint="eastAsia" w:ascii="Times New Roman" w:hAnsi="Times New Roman" w:cs="Times New Roman"/>
          <w:sz w:val="21"/>
          <w:szCs w:val="21"/>
        </w:rPr>
        <w:t>不动产</w:t>
      </w:r>
      <w:r>
        <w:rPr>
          <w:rFonts w:ascii="Times New Roman" w:hAnsi="Times New Roman" w:cs="Times New Roman"/>
          <w:sz w:val="21"/>
          <w:szCs w:val="21"/>
        </w:rPr>
        <w:t>基金估值程序等事项的说明</w:t>
      </w:r>
      <w:bookmarkEnd w:id="204"/>
      <w:bookmarkEnd w:id="205"/>
      <w:bookmarkEnd w:id="206"/>
      <w:bookmarkEnd w:id="207"/>
      <w:bookmarkEnd w:id="208"/>
      <w:bookmarkEnd w:id="209"/>
      <w:bookmarkEnd w:id="210"/>
      <w:bookmarkEnd w:id="211"/>
    </w:p>
    <w:p w14:paraId="65558ED0">
      <w:pPr>
        <w:spacing w:line="360" w:lineRule="auto"/>
        <w:ind w:firstLine="420" w:firstLineChars="200"/>
      </w:pPr>
      <w:r>
        <w:t>本基金管理人按照企业会计准则、资产管理产品相关会计处理规定、中国证监会相关规定、中国证券投资基金业协会相关指引和基金合同关于估值的约定，对基金持有的投资品种进行估值。为确保基金估值工作符合以上规定，确保基金资产估值的公平、合理，有效维护投资人的利益，本基金管理人设立了博时基金管理有限公司估值委员会（以下简称“估值委员会”），制定了估值政策和估值程序。估值委员会成员由主管运营的公司领导、督察长、法律合规部负责人、风险管理部负责人、投资部门负责人、研究部负责人、运作部负责人等成员组成，基金经理原则上不参与估值委员会的工作，其估值建议经估值委员会成员评估后审慎采用。估值委员会成员均具备良好专业胜任能力和相关工作经历。估值委员会负责制订健全、有效的估值政策和程序；确保对投资品种进行估值时估值政策和程序的一贯性；定期对估值政策和程序进行评价，保证基金估值的公平、合理。</w:t>
      </w:r>
    </w:p>
    <w:p w14:paraId="65DA8DDF">
      <w:pPr>
        <w:spacing w:line="360" w:lineRule="auto"/>
        <w:ind w:firstLine="420" w:firstLineChars="200"/>
      </w:pPr>
      <w:r>
        <w:t>参与估值流程的各方还包括本基金托管人和会计师事务所。本基金托管人根据法律法规要求对基金估值及净值计算履行复核责任，当对估值原则及技术存有异议时，本基金托管人有责任要求本基金管理人作出合理解释，通过积极商讨达成一致意见。会计师事务所对估值委员会采用的相关估值模型、假设及参数的适当性发表审核意见并出具报告。上述参与估值流程各方之间不存在任何重大利益冲突。</w:t>
      </w:r>
    </w:p>
    <w:p w14:paraId="106C222B">
      <w:pPr>
        <w:spacing w:line="360" w:lineRule="auto"/>
        <w:ind w:firstLine="420" w:firstLineChars="200"/>
      </w:pPr>
      <w:r>
        <w:t>本基金管理人已与中债金融估值中心有限公司、中证指数有限公司签署服务协议，由其按约定提供相关债券品种、流通受限股票的估值数据。</w:t>
      </w:r>
    </w:p>
    <w:p w14:paraId="593F31C3">
      <w:pPr>
        <w:pStyle w:val="2"/>
        <w:spacing w:before="312" w:beforeLines="100" w:after="312" w:afterLines="100" w:line="360" w:lineRule="auto"/>
        <w:jc w:val="center"/>
        <w:rPr>
          <w:kern w:val="0"/>
          <w:sz w:val="21"/>
          <w:szCs w:val="21"/>
        </w:rPr>
      </w:pPr>
      <w:bookmarkStart w:id="212" w:name="_Toc98601315"/>
      <w:bookmarkStart w:id="213" w:name="_Toc98602989"/>
      <w:bookmarkStart w:id="214" w:name="_Toc98508961"/>
      <w:bookmarkStart w:id="215" w:name="_Toc98512380"/>
      <w:bookmarkStart w:id="216" w:name="_Toc27768"/>
      <w:bookmarkStart w:id="217" w:name="_Toc98602664"/>
      <w:bookmarkStart w:id="218" w:name="_Toc98511624"/>
      <w:r>
        <w:rPr>
          <w:kern w:val="0"/>
          <w:sz w:val="21"/>
          <w:szCs w:val="21"/>
        </w:rPr>
        <w:t>§6  管理人报告</w:t>
      </w:r>
      <w:bookmarkEnd w:id="212"/>
      <w:bookmarkEnd w:id="213"/>
      <w:bookmarkEnd w:id="214"/>
      <w:bookmarkEnd w:id="215"/>
      <w:bookmarkEnd w:id="216"/>
      <w:bookmarkEnd w:id="217"/>
      <w:bookmarkEnd w:id="218"/>
    </w:p>
    <w:p w14:paraId="6864FA34">
      <w:pPr>
        <w:pStyle w:val="3"/>
        <w:rPr>
          <w:rFonts w:ascii="Times New Roman" w:hAnsi="Times New Roman" w:cs="Times New Roman"/>
          <w:kern w:val="0"/>
          <w:sz w:val="21"/>
          <w:szCs w:val="21"/>
        </w:rPr>
      </w:pPr>
      <w:bookmarkStart w:id="219" w:name="_Toc98601316"/>
      <w:bookmarkStart w:id="220" w:name="_Toc98508962"/>
      <w:bookmarkStart w:id="221" w:name="_Toc98602990"/>
      <w:bookmarkStart w:id="222" w:name="_Toc15595"/>
      <w:bookmarkStart w:id="223" w:name="_Toc41399504"/>
      <w:bookmarkStart w:id="224" w:name="_Toc98511625"/>
      <w:bookmarkStart w:id="225" w:name="_Toc98512381"/>
      <w:bookmarkStart w:id="226" w:name="_Toc98602665"/>
      <w:r>
        <w:rPr>
          <w:rFonts w:ascii="Times New Roman" w:hAnsi="Times New Roman" w:cs="Times New Roman"/>
          <w:kern w:val="0"/>
          <w:sz w:val="21"/>
          <w:szCs w:val="21"/>
        </w:rPr>
        <w:t>6.1 基金管理人及主要负责人员情况</w:t>
      </w:r>
      <w:bookmarkEnd w:id="219"/>
      <w:bookmarkEnd w:id="220"/>
      <w:bookmarkEnd w:id="221"/>
      <w:bookmarkEnd w:id="222"/>
      <w:bookmarkEnd w:id="223"/>
      <w:bookmarkEnd w:id="224"/>
      <w:bookmarkEnd w:id="225"/>
      <w:bookmarkEnd w:id="226"/>
    </w:p>
    <w:p w14:paraId="04DF7A1B">
      <w:pPr>
        <w:adjustRightInd w:val="0"/>
        <w:snapToGrid w:val="0"/>
        <w:spacing w:line="360" w:lineRule="auto"/>
        <w:rPr>
          <w:b/>
        </w:rPr>
      </w:pPr>
      <w:r>
        <w:rPr>
          <w:b/>
          <w:kern w:val="0"/>
        </w:rPr>
        <w:t>6.1.1</w:t>
      </w:r>
      <w:r>
        <w:rPr>
          <w:b/>
        </w:rPr>
        <w:t xml:space="preserve"> 管理人及其管理</w:t>
      </w:r>
      <w:r>
        <w:rPr>
          <w:rFonts w:hint="eastAsia"/>
          <w:b/>
        </w:rPr>
        <w:t>不动产</w:t>
      </w:r>
      <w:r>
        <w:rPr>
          <w:b/>
        </w:rPr>
        <w:t>基金的经验</w:t>
      </w:r>
    </w:p>
    <w:p w14:paraId="409F760B">
      <w:pPr>
        <w:spacing w:line="360" w:lineRule="auto"/>
        <w:ind w:firstLine="420" w:firstLineChars="200"/>
      </w:pPr>
      <w:r>
        <w:t xml:space="preserve">本报告期内，博时基金作为本基金的管理人，已建立公募REITs产品治理结构、公募REITs产品核心团队、基础设施投资决策委员会，制定了产品决策流程及机制，发布了《博时基金基础设施证券投资基金投资管理制度》，《博时基金基础设施证券投资基金业务尽职调查制度》，《博时基金基础设施证券投资基金业务风险管理及内部控制手册》，《博时基金基础设施证券投资基金运营管理制度》。管理人与运营管理方已建立运营工作机制，共同制定了《运营管理手册》，《项目公司业务管理权责表》。 </w:t>
      </w:r>
    </w:p>
    <w:p w14:paraId="0C5C0FCA">
      <w:pPr>
        <w:spacing w:line="360" w:lineRule="auto"/>
        <w:ind w:firstLine="420" w:firstLineChars="200"/>
      </w:pPr>
      <w:r>
        <w:t>截至报告期末，博时基金共管理两只不动产投资信托基金。</w:t>
      </w:r>
    </w:p>
    <w:p w14:paraId="42D671C7">
      <w:pPr>
        <w:autoSpaceDE w:val="0"/>
        <w:autoSpaceDN w:val="0"/>
        <w:adjustRightInd w:val="0"/>
        <w:spacing w:line="360" w:lineRule="auto"/>
        <w:jc w:val="left"/>
        <w:rPr>
          <w:b/>
          <w:bCs/>
          <w:kern w:val="0"/>
        </w:rPr>
      </w:pPr>
      <w:r>
        <w:rPr>
          <w:b/>
          <w:kern w:val="0"/>
        </w:rPr>
        <w:t>6.1.2</w:t>
      </w:r>
      <w:r>
        <w:rPr>
          <w:b/>
        </w:rPr>
        <w:t xml:space="preserve"> </w:t>
      </w:r>
      <w:r>
        <w:rPr>
          <w:b/>
          <w:bCs/>
          <w:kern w:val="0"/>
        </w:rPr>
        <w:t>基金经理(或基金经理小组)简介</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707"/>
        <w:gridCol w:w="960"/>
        <w:gridCol w:w="1020"/>
        <w:gridCol w:w="1140"/>
        <w:gridCol w:w="2552"/>
        <w:gridCol w:w="1701"/>
      </w:tblGrid>
      <w:tr w14:paraId="54A6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993" w:type="dxa"/>
            <w:vMerge w:val="restart"/>
            <w:vAlign w:val="center"/>
          </w:tcPr>
          <w:p w14:paraId="37D7BE61">
            <w:pPr>
              <w:widowControl/>
              <w:spacing w:before="29" w:line="360" w:lineRule="auto"/>
              <w:ind w:left="17"/>
              <w:jc w:val="center"/>
              <w:rPr>
                <w:kern w:val="0"/>
              </w:rPr>
            </w:pPr>
            <w:r>
              <w:rPr>
                <w:kern w:val="0"/>
              </w:rPr>
              <w:t>姓名</w:t>
            </w:r>
          </w:p>
        </w:tc>
        <w:tc>
          <w:tcPr>
            <w:tcW w:w="707" w:type="dxa"/>
            <w:vMerge w:val="restart"/>
            <w:vAlign w:val="center"/>
          </w:tcPr>
          <w:p w14:paraId="6AAF55F8">
            <w:pPr>
              <w:widowControl/>
              <w:spacing w:before="29" w:line="360" w:lineRule="auto"/>
              <w:ind w:left="17"/>
              <w:jc w:val="center"/>
              <w:rPr>
                <w:kern w:val="0"/>
              </w:rPr>
            </w:pPr>
            <w:r>
              <w:rPr>
                <w:kern w:val="0"/>
              </w:rPr>
              <w:t>职务</w:t>
            </w:r>
          </w:p>
        </w:tc>
        <w:tc>
          <w:tcPr>
            <w:tcW w:w="1980" w:type="dxa"/>
            <w:gridSpan w:val="2"/>
            <w:vAlign w:val="center"/>
          </w:tcPr>
          <w:p w14:paraId="6381F6EA">
            <w:pPr>
              <w:autoSpaceDE w:val="0"/>
              <w:autoSpaceDN w:val="0"/>
              <w:adjustRightInd w:val="0"/>
              <w:spacing w:before="29" w:line="360" w:lineRule="auto"/>
              <w:ind w:left="17"/>
              <w:jc w:val="center"/>
              <w:rPr>
                <w:kern w:val="0"/>
              </w:rPr>
            </w:pPr>
            <w:r>
              <w:rPr>
                <w:kern w:val="0"/>
              </w:rPr>
              <w:t>任职期限</w:t>
            </w:r>
          </w:p>
        </w:tc>
        <w:tc>
          <w:tcPr>
            <w:tcW w:w="1140" w:type="dxa"/>
            <w:vMerge w:val="restart"/>
            <w:vAlign w:val="center"/>
          </w:tcPr>
          <w:p w14:paraId="0BEA5776">
            <w:pPr>
              <w:adjustRightInd w:val="0"/>
              <w:snapToGrid w:val="0"/>
              <w:spacing w:line="360" w:lineRule="auto"/>
              <w:rPr>
                <w:rStyle w:val="49"/>
              </w:rPr>
            </w:pPr>
            <w:r>
              <w:rPr>
                <w:rFonts w:hint="eastAsia"/>
              </w:rPr>
              <w:t>不动产</w:t>
            </w:r>
            <w:r>
              <w:t>项目运营或投资管理年限</w:t>
            </w:r>
          </w:p>
        </w:tc>
        <w:tc>
          <w:tcPr>
            <w:tcW w:w="2552" w:type="dxa"/>
            <w:vMerge w:val="restart"/>
          </w:tcPr>
          <w:p w14:paraId="382A0549">
            <w:pPr>
              <w:adjustRightInd w:val="0"/>
              <w:snapToGrid w:val="0"/>
              <w:spacing w:line="360" w:lineRule="auto"/>
            </w:pPr>
            <w:r>
              <w:rPr>
                <w:rFonts w:hint="eastAsia"/>
              </w:rPr>
              <w:t>不动产</w:t>
            </w:r>
            <w:r>
              <w:t>项目运营或投资管理经验</w:t>
            </w:r>
          </w:p>
        </w:tc>
        <w:tc>
          <w:tcPr>
            <w:tcW w:w="1701" w:type="dxa"/>
            <w:vMerge w:val="restart"/>
            <w:vAlign w:val="center"/>
          </w:tcPr>
          <w:p w14:paraId="3F199CEF">
            <w:pPr>
              <w:widowControl/>
              <w:spacing w:before="29" w:line="360" w:lineRule="auto"/>
              <w:ind w:left="17"/>
              <w:jc w:val="center"/>
              <w:rPr>
                <w:kern w:val="0"/>
              </w:rPr>
            </w:pPr>
            <w:r>
              <w:rPr>
                <w:kern w:val="0"/>
              </w:rPr>
              <w:t>说明</w:t>
            </w:r>
          </w:p>
        </w:tc>
      </w:tr>
      <w:tr w14:paraId="2D666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93" w:type="dxa"/>
            <w:vMerge w:val="continue"/>
            <w:vAlign w:val="center"/>
          </w:tcPr>
          <w:p w14:paraId="0A0D23D1">
            <w:pPr>
              <w:widowControl/>
              <w:spacing w:line="360" w:lineRule="auto"/>
              <w:jc w:val="left"/>
              <w:rPr>
                <w:kern w:val="0"/>
              </w:rPr>
            </w:pPr>
          </w:p>
        </w:tc>
        <w:tc>
          <w:tcPr>
            <w:tcW w:w="707" w:type="dxa"/>
            <w:vMerge w:val="continue"/>
            <w:vAlign w:val="center"/>
          </w:tcPr>
          <w:p w14:paraId="3523B8A8">
            <w:pPr>
              <w:widowControl/>
              <w:spacing w:line="360" w:lineRule="auto"/>
              <w:jc w:val="left"/>
              <w:rPr>
                <w:kern w:val="0"/>
              </w:rPr>
            </w:pPr>
          </w:p>
        </w:tc>
        <w:tc>
          <w:tcPr>
            <w:tcW w:w="960" w:type="dxa"/>
            <w:vAlign w:val="center"/>
          </w:tcPr>
          <w:p w14:paraId="366FD38F">
            <w:pPr>
              <w:autoSpaceDE w:val="0"/>
              <w:autoSpaceDN w:val="0"/>
              <w:adjustRightInd w:val="0"/>
              <w:spacing w:before="29" w:line="360" w:lineRule="auto"/>
              <w:ind w:left="17"/>
              <w:jc w:val="center"/>
              <w:rPr>
                <w:kern w:val="0"/>
              </w:rPr>
            </w:pPr>
            <w:r>
              <w:rPr>
                <w:kern w:val="0"/>
              </w:rPr>
              <w:t>任职日期</w:t>
            </w:r>
          </w:p>
        </w:tc>
        <w:tc>
          <w:tcPr>
            <w:tcW w:w="1020" w:type="dxa"/>
            <w:vAlign w:val="center"/>
          </w:tcPr>
          <w:p w14:paraId="7B13D635">
            <w:pPr>
              <w:autoSpaceDE w:val="0"/>
              <w:autoSpaceDN w:val="0"/>
              <w:adjustRightInd w:val="0"/>
              <w:spacing w:before="29" w:line="360" w:lineRule="auto"/>
              <w:ind w:left="17"/>
              <w:jc w:val="center"/>
              <w:rPr>
                <w:kern w:val="0"/>
              </w:rPr>
            </w:pPr>
            <w:r>
              <w:rPr>
                <w:kern w:val="0"/>
              </w:rPr>
              <w:t>离任日期</w:t>
            </w:r>
          </w:p>
        </w:tc>
        <w:tc>
          <w:tcPr>
            <w:tcW w:w="1140" w:type="dxa"/>
            <w:vMerge w:val="continue"/>
          </w:tcPr>
          <w:p w14:paraId="430DB779">
            <w:pPr>
              <w:widowControl/>
              <w:spacing w:line="360" w:lineRule="auto"/>
              <w:jc w:val="left"/>
              <w:rPr>
                <w:kern w:val="0"/>
              </w:rPr>
            </w:pPr>
          </w:p>
        </w:tc>
        <w:tc>
          <w:tcPr>
            <w:tcW w:w="2552" w:type="dxa"/>
            <w:vMerge w:val="continue"/>
          </w:tcPr>
          <w:p w14:paraId="00447F7E">
            <w:pPr>
              <w:widowControl/>
              <w:spacing w:line="360" w:lineRule="auto"/>
              <w:jc w:val="left"/>
              <w:rPr>
                <w:kern w:val="0"/>
              </w:rPr>
            </w:pPr>
          </w:p>
        </w:tc>
        <w:tc>
          <w:tcPr>
            <w:tcW w:w="1701" w:type="dxa"/>
            <w:vMerge w:val="continue"/>
            <w:vAlign w:val="center"/>
          </w:tcPr>
          <w:p w14:paraId="5EDBB2C7">
            <w:pPr>
              <w:widowControl/>
              <w:spacing w:line="360" w:lineRule="auto"/>
              <w:jc w:val="left"/>
              <w:rPr>
                <w:kern w:val="0"/>
              </w:rPr>
            </w:pPr>
          </w:p>
        </w:tc>
      </w:tr>
      <w:tr w14:paraId="71C9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E41F337">
            <w:pPr>
              <w:jc w:val="center"/>
            </w:pPr>
            <w:r>
              <w:t>刘玄</w:t>
            </w:r>
          </w:p>
        </w:tc>
        <w:tc>
          <w:tcPr>
            <w:tcW w:w="707" w:type="dxa"/>
            <w:vAlign w:val="center"/>
          </w:tcPr>
          <w:p w14:paraId="5820425E">
            <w:pPr>
              <w:jc w:val="center"/>
            </w:pPr>
            <w:r>
              <w:t>基金经理</w:t>
            </w:r>
          </w:p>
        </w:tc>
        <w:tc>
          <w:tcPr>
            <w:tcW w:w="960" w:type="dxa"/>
            <w:vAlign w:val="center"/>
          </w:tcPr>
          <w:p w14:paraId="285C9BA8">
            <w:pPr>
              <w:jc w:val="center"/>
            </w:pPr>
            <w:r>
              <w:t>2021-06-07</w:t>
            </w:r>
          </w:p>
        </w:tc>
        <w:tc>
          <w:tcPr>
            <w:tcW w:w="1020" w:type="dxa"/>
            <w:vAlign w:val="center"/>
          </w:tcPr>
          <w:p w14:paraId="12BE5B41">
            <w:pPr>
              <w:jc w:val="center"/>
            </w:pPr>
            <w:r>
              <w:t>-</w:t>
            </w:r>
          </w:p>
        </w:tc>
        <w:tc>
          <w:tcPr>
            <w:tcW w:w="1140" w:type="dxa"/>
            <w:vAlign w:val="center"/>
          </w:tcPr>
          <w:p w14:paraId="0F9A441D">
            <w:pPr>
              <w:jc w:val="center"/>
            </w:pPr>
            <w:r>
              <w:t>15.6</w:t>
            </w:r>
          </w:p>
        </w:tc>
        <w:tc>
          <w:tcPr>
            <w:tcW w:w="2552" w:type="dxa"/>
            <w:vAlign w:val="center"/>
          </w:tcPr>
          <w:p w14:paraId="290DAE17">
            <w:pPr>
              <w:jc w:val="both"/>
            </w:pPr>
            <w:r>
              <w:t>刘玄先生于2010年至2015年先后参与了河源东阳光工业园区、深圳市华南城仓储物流园区等多个不动产项目的市场调研、园区推广、运营方案设计、运营制度制定等运营管理工作；2016年加入博时资本后先后参与了南京朗诗绿色能源物业公司收费权项目等不动产项目的市场尽调、运营方案设计、运营及物管团队督导、服务体系完善、运营活动开展等运营管理工作；2021年起负责博时招蛇产园REIT的运营管理。</w:t>
            </w:r>
          </w:p>
        </w:tc>
        <w:tc>
          <w:tcPr>
            <w:vAlign w:val="center"/>
          </w:tcPr>
          <w:p w14:paraId="4FE582CD">
            <w:pPr>
              <w:jc w:val="both"/>
            </w:pPr>
            <w:r>
              <w:t>刘玄先生，硕士。2010年起先后在深圳市戴德梁行土地及房地产评估有限公司、平安信托、博时资本工作。2021年加入博时基金管理有限公司。现任博时招商蛇口产业园封闭式基础设施证券投资基金(2021年6月7日—至今)的基金经理。</w:t>
            </w:r>
          </w:p>
        </w:tc>
      </w:tr>
      <w:tr w14:paraId="7185E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66F634F">
            <w:pPr>
              <w:jc w:val="center"/>
            </w:pPr>
            <w:r>
              <w:t>王翘楚</w:t>
            </w:r>
          </w:p>
        </w:tc>
        <w:tc>
          <w:tcPr>
            <w:tcW w:w="707" w:type="dxa"/>
            <w:vAlign w:val="center"/>
          </w:tcPr>
          <w:p w14:paraId="46F01CD5">
            <w:pPr>
              <w:jc w:val="center"/>
            </w:pPr>
            <w:r>
              <w:t>基金经理</w:t>
            </w:r>
          </w:p>
        </w:tc>
        <w:tc>
          <w:tcPr>
            <w:tcW w:w="960" w:type="dxa"/>
            <w:vAlign w:val="center"/>
          </w:tcPr>
          <w:p w14:paraId="0BF7F1B2">
            <w:pPr>
              <w:jc w:val="center"/>
            </w:pPr>
            <w:r>
              <w:t>2021-06-07</w:t>
            </w:r>
          </w:p>
        </w:tc>
        <w:tc>
          <w:tcPr>
            <w:tcW w:w="1020" w:type="dxa"/>
            <w:vAlign w:val="center"/>
          </w:tcPr>
          <w:p w14:paraId="7A40A6C2">
            <w:pPr>
              <w:jc w:val="center"/>
            </w:pPr>
            <w:r>
              <w:t>-</w:t>
            </w:r>
          </w:p>
        </w:tc>
        <w:tc>
          <w:tcPr>
            <w:tcW w:w="1140" w:type="dxa"/>
            <w:vAlign w:val="center"/>
          </w:tcPr>
          <w:p w14:paraId="5722146A">
            <w:pPr>
              <w:jc w:val="center"/>
            </w:pPr>
            <w:r>
              <w:t>13.8</w:t>
            </w:r>
          </w:p>
        </w:tc>
        <w:tc>
          <w:tcPr>
            <w:tcW w:w="2552" w:type="dxa"/>
            <w:vAlign w:val="center"/>
          </w:tcPr>
          <w:p w14:paraId="4C31BDF0">
            <w:pPr>
              <w:jc w:val="both"/>
            </w:pPr>
            <w:r>
              <w:t>王翘楚女士于2012年至2015年期间参与了贵州公路、成自泸高速、四川成德绵高速、沧州路桥等不动产产品及华润投资停车场基金等多个不动产项目的投资运营管理；2015年加入博时资本后负责前海自贸投资园区基金、宁波工业物流基金、云南建工呈澄高速公路资产支持专项计划等不动产项目；2021年起负责博时招蛇产园REIT的运营管理。</w:t>
            </w:r>
          </w:p>
        </w:tc>
        <w:tc>
          <w:tcPr>
            <w:vAlign w:val="center"/>
          </w:tcPr>
          <w:p w14:paraId="0C64F0C9">
            <w:pPr>
              <w:jc w:val="both"/>
            </w:pPr>
            <w:r>
              <w:t>王翘楚女士，硕士。2012年起先后在华润集团、博时资本工作。2020年加入博时基金管理有限公司。现任博时招商蛇口产业园封闭式基础设施证券投资基金(2021年6月7日—至今)的基金经理。</w:t>
            </w:r>
          </w:p>
        </w:tc>
      </w:tr>
      <w:tr w14:paraId="4E19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385348F">
            <w:pPr>
              <w:jc w:val="center"/>
            </w:pPr>
            <w:r>
              <w:t>胡海滨</w:t>
            </w:r>
          </w:p>
        </w:tc>
        <w:tc>
          <w:tcPr>
            <w:tcW w:w="707" w:type="dxa"/>
            <w:vAlign w:val="center"/>
          </w:tcPr>
          <w:p w14:paraId="315781BE">
            <w:pPr>
              <w:jc w:val="center"/>
            </w:pPr>
            <w:r>
              <w:t>基金经理</w:t>
            </w:r>
          </w:p>
        </w:tc>
        <w:tc>
          <w:tcPr>
            <w:tcW w:w="960" w:type="dxa"/>
            <w:vAlign w:val="center"/>
          </w:tcPr>
          <w:p w14:paraId="0F68EA63">
            <w:pPr>
              <w:jc w:val="center"/>
            </w:pPr>
            <w:r>
              <w:t>2021-06-07</w:t>
            </w:r>
          </w:p>
        </w:tc>
        <w:tc>
          <w:tcPr>
            <w:tcW w:w="1020" w:type="dxa"/>
            <w:vAlign w:val="center"/>
          </w:tcPr>
          <w:p w14:paraId="006DFDEE">
            <w:pPr>
              <w:jc w:val="center"/>
            </w:pPr>
            <w:r>
              <w:t>2026-05-25</w:t>
            </w:r>
          </w:p>
        </w:tc>
        <w:tc>
          <w:tcPr>
            <w:tcW w:w="1140" w:type="dxa"/>
            <w:vAlign w:val="center"/>
          </w:tcPr>
          <w:p w14:paraId="7D2F5D24">
            <w:pPr>
              <w:jc w:val="center"/>
            </w:pPr>
            <w:r>
              <w:t>11.6</w:t>
            </w:r>
          </w:p>
        </w:tc>
        <w:tc>
          <w:tcPr>
            <w:tcW w:w="2552" w:type="dxa"/>
            <w:vAlign w:val="center"/>
          </w:tcPr>
          <w:p w14:paraId="1119E154">
            <w:pPr>
              <w:jc w:val="both"/>
            </w:pPr>
            <w:r>
              <w:t>胡海滨先生于2015年起至今，期间负责过康景资产支持专项计划、合生资产支持专项计划、时代物业资产支持专项计划、上海电气资产支持专项计划、博时招蛇产园REIT等多只资产证券化/不动产物业/不动产REITs项目的投资管理。</w:t>
            </w:r>
          </w:p>
        </w:tc>
        <w:tc>
          <w:tcPr>
            <w:vAlign w:val="center"/>
          </w:tcPr>
          <w:p w14:paraId="398DA690">
            <w:pPr>
              <w:jc w:val="both"/>
            </w:pPr>
            <w:r>
              <w:t>胡海滨先生，硕士。2005年起先后在联想（北京）有限公司、信达证券、长城证券工作。2020年加入博时基金管理有限公司。历任投资经理、博时招商蛇口产业园封闭式基础设施证券投资基金(2021年6月7日-2026年5月25日)基金经理。</w:t>
            </w:r>
          </w:p>
        </w:tc>
      </w:tr>
      <w:tr w14:paraId="2B96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21A5A6E">
            <w:pPr>
              <w:jc w:val="center"/>
            </w:pPr>
            <w:r>
              <w:t>李慧娟</w:t>
            </w:r>
          </w:p>
        </w:tc>
        <w:tc>
          <w:tcPr>
            <w:tcW w:w="707" w:type="dxa"/>
            <w:vAlign w:val="center"/>
          </w:tcPr>
          <w:p w14:paraId="7063CBD5">
            <w:pPr>
              <w:jc w:val="center"/>
            </w:pPr>
            <w:r>
              <w:t>基金经理</w:t>
            </w:r>
          </w:p>
        </w:tc>
        <w:tc>
          <w:tcPr>
            <w:tcW w:w="960" w:type="dxa"/>
            <w:vAlign w:val="center"/>
          </w:tcPr>
          <w:p w14:paraId="61849765">
            <w:pPr>
              <w:jc w:val="center"/>
            </w:pPr>
            <w:r>
              <w:t>2025-10-17</w:t>
            </w:r>
          </w:p>
        </w:tc>
        <w:tc>
          <w:tcPr>
            <w:tcW w:w="1020" w:type="dxa"/>
            <w:vAlign w:val="center"/>
          </w:tcPr>
          <w:p w14:paraId="59610705">
            <w:pPr>
              <w:jc w:val="center"/>
            </w:pPr>
            <w:r>
              <w:t>-</w:t>
            </w:r>
          </w:p>
        </w:tc>
        <w:tc>
          <w:tcPr>
            <w:tcW w:w="1140" w:type="dxa"/>
            <w:vAlign w:val="center"/>
          </w:tcPr>
          <w:p w14:paraId="1CF44207">
            <w:pPr>
              <w:jc w:val="center"/>
            </w:pPr>
            <w:r>
              <w:t>9.7</w:t>
            </w:r>
          </w:p>
        </w:tc>
        <w:tc>
          <w:tcPr>
            <w:tcW w:w="2552" w:type="dxa"/>
            <w:vAlign w:val="center"/>
          </w:tcPr>
          <w:p w14:paraId="20EEA87D">
            <w:pPr>
              <w:jc w:val="both"/>
            </w:pPr>
            <w:r>
              <w:t>李慧娟女士于2016年10月至2021年11月先后参与了蛇口网谷园区、南海意库、光明科技园等多个不动产项目的预算管理提升方案制定、日常财务工作、重大财务事项及预算审核、业务管理架构梳理、内控制度建设及内控风险措施改进等方面的运营管理工作。2021年12月加入博时基金，现主要从事2021年国内首批发行的9支公募REITs项目之一的“博时蛇口产园REIT”项目存续期的运营管理工作，主要负责公募基金、不动产资产运营的潜在风险进行分析、预判，并制定处置预案；定期报告/临时公告的披露；预算审核及预算管控。同时参与了博时基金其他已中标不动产Reits项目运营及财务尽调、估值逻辑评估、落实存续期管理方案等方面的工作。满足5年以上不动产投资/运营管理经验要求。</w:t>
            </w:r>
          </w:p>
        </w:tc>
        <w:tc>
          <w:tcPr>
            <w:vAlign w:val="center"/>
          </w:tcPr>
          <w:p w14:paraId="12C44C1C">
            <w:pPr>
              <w:jc w:val="both"/>
            </w:pPr>
            <w:r>
              <w:t>李慧娟女士，硕士。2007年起先后在安永华明会计师事务所、中国信息技术有限公司、招商局蛇口工业区控股股份有限公司工作。2021年加入博时基金管理有限公司。历任博时招商蛇口产业园封闭式基础设施证券投资基金(2022年8月3日-2024年5月31日)、博时津开科工产业园封闭式基础设施证券投资基金(2024年8月28日-2025年10月17日)的基金经理。现任博时招商蛇口产业园封闭式基础设施证券投资基金(2025年10月17日—至今)的基金经理。</w:t>
            </w:r>
          </w:p>
        </w:tc>
      </w:tr>
    </w:tbl>
    <w:p w14:paraId="0DF2C225">
      <w:pPr>
        <w:spacing w:line="360" w:lineRule="auto"/>
        <w:ind w:firstLine="420" w:firstLineChars="200"/>
      </w:pPr>
      <w:r>
        <w:t>注：不动产项目运营或投资管理年限从基金经理首次参与不动产项目运营或者投资项目计算。上述任职日期、离任日期根据本基金管理人对外披露的任免日期填写。</w:t>
      </w:r>
    </w:p>
    <w:p w14:paraId="1B0510D7">
      <w:pPr>
        <w:pStyle w:val="3"/>
        <w:rPr>
          <w:rFonts w:ascii="Times New Roman" w:hAnsi="Times New Roman" w:cs="Times New Roman"/>
          <w:kern w:val="0"/>
          <w:sz w:val="21"/>
          <w:szCs w:val="21"/>
        </w:rPr>
      </w:pPr>
      <w:bookmarkStart w:id="227" w:name="_Toc98511626"/>
      <w:bookmarkStart w:id="228" w:name="_Toc98508963"/>
      <w:bookmarkStart w:id="229" w:name="_Toc98512382"/>
      <w:bookmarkStart w:id="230" w:name="_Toc98602666"/>
      <w:bookmarkStart w:id="231" w:name="_Toc98601317"/>
      <w:bookmarkStart w:id="232" w:name="_Toc86080592"/>
      <w:bookmarkStart w:id="233" w:name="_Toc98602991"/>
      <w:bookmarkStart w:id="234" w:name="_Toc9849"/>
      <w:r>
        <w:rPr>
          <w:rFonts w:ascii="Times New Roman" w:hAnsi="Times New Roman" w:cs="Times New Roman"/>
          <w:kern w:val="0"/>
          <w:sz w:val="21"/>
          <w:szCs w:val="21"/>
        </w:rPr>
        <w:t xml:space="preserve">6.2 </w:t>
      </w:r>
      <w:bookmarkEnd w:id="227"/>
      <w:bookmarkEnd w:id="228"/>
      <w:bookmarkEnd w:id="229"/>
      <w:bookmarkEnd w:id="230"/>
      <w:bookmarkEnd w:id="231"/>
      <w:bookmarkEnd w:id="232"/>
      <w:bookmarkEnd w:id="233"/>
      <w:r>
        <w:rPr>
          <w:rFonts w:ascii="Times New Roman" w:hAnsi="Times New Roman" w:cs="Times New Roman"/>
          <w:kern w:val="0"/>
          <w:sz w:val="21"/>
          <w:szCs w:val="21"/>
        </w:rPr>
        <w:t>管理人在报告期内对</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基金的投资运作决策和主动管理情况</w:t>
      </w:r>
      <w:bookmarkEnd w:id="234"/>
    </w:p>
    <w:p w14:paraId="3805DDD2">
      <w:pPr>
        <w:autoSpaceDE w:val="0"/>
        <w:autoSpaceDN w:val="0"/>
        <w:adjustRightInd w:val="0"/>
        <w:spacing w:line="360" w:lineRule="auto"/>
        <w:jc w:val="left"/>
        <w:rPr>
          <w:b/>
          <w:kern w:val="0"/>
        </w:rPr>
      </w:pPr>
      <w:r>
        <w:rPr>
          <w:b/>
          <w:kern w:val="0"/>
        </w:rPr>
        <w:t>6.2.1 管理人对报告期内本</w:t>
      </w:r>
      <w:r>
        <w:rPr>
          <w:rFonts w:hint="eastAsia"/>
          <w:b/>
          <w:kern w:val="0"/>
        </w:rPr>
        <w:t>不动产</w:t>
      </w:r>
      <w:r>
        <w:rPr>
          <w:b/>
          <w:kern w:val="0"/>
        </w:rPr>
        <w:t>基金运作遵规守信情况的说明</w:t>
      </w:r>
    </w:p>
    <w:p w14:paraId="2C63C300">
      <w:pPr>
        <w:spacing w:line="360" w:lineRule="auto"/>
        <w:ind w:firstLine="420" w:firstLineChars="200"/>
      </w:pPr>
      <w:r>
        <w:t>在本报告期内，本基金管理人严格遵循了《中华人民共和国证券投资基金法》及其各项实施细则、本基金基金合同和其他相关法律法规的规定，并本着诚实信用、勤勉尽责、取信于市场、取信于社会的原则管理和运用基金资产，为基金持有人谋求最大利益。本报告期内，基金投资管理符合有关法规和基金合同的规定，没有损害基金持有人利益的行为。</w:t>
      </w:r>
    </w:p>
    <w:p w14:paraId="0A3CA800">
      <w:pPr>
        <w:autoSpaceDE w:val="0"/>
        <w:autoSpaceDN w:val="0"/>
        <w:adjustRightInd w:val="0"/>
        <w:spacing w:line="360" w:lineRule="auto"/>
        <w:jc w:val="left"/>
        <w:rPr>
          <w:b/>
          <w:kern w:val="0"/>
        </w:rPr>
      </w:pPr>
      <w:bookmarkStart w:id="235" w:name="_Toc98601318"/>
      <w:bookmarkStart w:id="236" w:name="_Toc86080593"/>
      <w:bookmarkStart w:id="237" w:name="_Toc98508964"/>
      <w:bookmarkStart w:id="238" w:name="_Toc98511627"/>
      <w:bookmarkStart w:id="239" w:name="_Toc98512383"/>
      <w:bookmarkStart w:id="240" w:name="_Toc98602667"/>
      <w:bookmarkStart w:id="241" w:name="_Toc98602992"/>
      <w:r>
        <w:rPr>
          <w:b/>
          <w:kern w:val="0"/>
        </w:rPr>
        <w:t>6.2.2 管理人对报告期内公平交易制度及执行情况的专项说明</w:t>
      </w:r>
      <w:bookmarkEnd w:id="235"/>
      <w:bookmarkEnd w:id="236"/>
      <w:bookmarkEnd w:id="237"/>
      <w:bookmarkEnd w:id="238"/>
      <w:bookmarkEnd w:id="239"/>
      <w:bookmarkEnd w:id="240"/>
      <w:bookmarkEnd w:id="241"/>
    </w:p>
    <w:p w14:paraId="5405C909">
      <w:pPr>
        <w:spacing w:line="360" w:lineRule="auto"/>
        <w:ind w:firstLine="420" w:firstLineChars="200"/>
      </w:pPr>
      <w:r>
        <w:t>报告期内，根据《证券投资基金管理公司公平交易制度指导意见》的相关要求，公司进一步完善了公平交易管理机制，通过系统及人工相结合的方式，分别对一级市场及二级市场的权益类及固定收益类投资的公平交易原则、流程，按照境内及境外业务进行了详细规范，同时也通过强化事后分析评估监督机制来确保公司公平对待管理的不同投资组合。</w:t>
      </w:r>
    </w:p>
    <w:p w14:paraId="7CFE5195">
      <w:pPr>
        <w:autoSpaceDE w:val="0"/>
        <w:autoSpaceDN w:val="0"/>
        <w:adjustRightInd w:val="0"/>
        <w:spacing w:line="360" w:lineRule="auto"/>
        <w:jc w:val="left"/>
        <w:rPr>
          <w:b/>
          <w:kern w:val="0"/>
        </w:rPr>
      </w:pPr>
      <w:bookmarkStart w:id="242" w:name="_Toc86080594"/>
      <w:bookmarkStart w:id="243" w:name="_Toc98512384"/>
      <w:bookmarkStart w:id="244" w:name="_Toc98508965"/>
      <w:bookmarkStart w:id="245" w:name="_Toc98602993"/>
      <w:bookmarkStart w:id="246" w:name="_Toc98602668"/>
      <w:bookmarkStart w:id="247" w:name="_Toc98601319"/>
      <w:bookmarkStart w:id="248" w:name="_Toc98511628"/>
      <w:r>
        <w:rPr>
          <w:b/>
          <w:kern w:val="0"/>
        </w:rPr>
        <w:t xml:space="preserve">6.2.3 </w:t>
      </w:r>
      <w:bookmarkEnd w:id="242"/>
      <w:r>
        <w:rPr>
          <w:b/>
          <w:kern w:val="0"/>
        </w:rPr>
        <w:t>管理人对报告期内</w:t>
      </w:r>
      <w:r>
        <w:rPr>
          <w:rFonts w:hint="eastAsia"/>
          <w:b/>
          <w:kern w:val="0"/>
        </w:rPr>
        <w:t>不动产</w:t>
      </w:r>
      <w:r>
        <w:rPr>
          <w:b/>
          <w:kern w:val="0"/>
        </w:rPr>
        <w:t>基金的投资和运营分析</w:t>
      </w:r>
      <w:bookmarkEnd w:id="243"/>
      <w:bookmarkEnd w:id="244"/>
      <w:bookmarkEnd w:id="245"/>
      <w:bookmarkEnd w:id="246"/>
      <w:bookmarkEnd w:id="247"/>
      <w:bookmarkEnd w:id="248"/>
    </w:p>
    <w:p w14:paraId="3C540D3A">
      <w:pPr>
        <w:spacing w:line="360" w:lineRule="auto"/>
        <w:ind w:firstLine="420" w:firstLineChars="200"/>
      </w:pPr>
      <w:r>
        <w:t>本基金的合格投资主要为货币基金，根据备选货币基金的基金规模、年化收益率、基金管理人、单日申赎上限、赎回到账时限、申赎费用等因素综合考虑并进行筛选。基于上述筛选标准，本报告期内的具体操作如下：本基金及其下属的专项计划账户、项目公司账户未新增购买货币基金；为满足本基金分红及专项计划税费支付需求，累计赎回货币基金15,000,000.00元。</w:t>
      </w:r>
    </w:p>
    <w:p w14:paraId="438CAFDF">
      <w:pPr>
        <w:spacing w:line="360" w:lineRule="auto"/>
        <w:ind w:firstLine="420" w:firstLineChars="200"/>
      </w:pPr>
      <w:r>
        <w:t>报告期内，基金投资的不动产项目运营情况详见报告“4.不动产项目基本情况”。</w:t>
      </w:r>
    </w:p>
    <w:p w14:paraId="0743E9D6">
      <w:pPr>
        <w:autoSpaceDE w:val="0"/>
        <w:autoSpaceDN w:val="0"/>
        <w:adjustRightInd w:val="0"/>
        <w:spacing w:line="360" w:lineRule="auto"/>
        <w:jc w:val="left"/>
        <w:rPr>
          <w:b/>
          <w:kern w:val="0"/>
        </w:rPr>
      </w:pPr>
      <w:bookmarkStart w:id="249" w:name="_Toc32400"/>
      <w:bookmarkStart w:id="250" w:name="_Toc98512385"/>
      <w:bookmarkStart w:id="251" w:name="_Toc98602994"/>
      <w:bookmarkStart w:id="252" w:name="_Toc98602669"/>
      <w:bookmarkStart w:id="253" w:name="_Toc98508966"/>
      <w:bookmarkStart w:id="254" w:name="_Toc98511629"/>
      <w:bookmarkStart w:id="255" w:name="_Toc98601320"/>
      <w:r>
        <w:rPr>
          <w:b/>
          <w:kern w:val="0"/>
        </w:rPr>
        <w:t>6.2.4 管理人对报告期内</w:t>
      </w:r>
      <w:r>
        <w:rPr>
          <w:rFonts w:hint="eastAsia"/>
          <w:b/>
          <w:kern w:val="0"/>
        </w:rPr>
        <w:t>不动产</w:t>
      </w:r>
      <w:r>
        <w:rPr>
          <w:b/>
          <w:kern w:val="0"/>
        </w:rPr>
        <w:t>基金收益分配情况的说明</w:t>
      </w:r>
      <w:bookmarkEnd w:id="249"/>
      <w:bookmarkEnd w:id="250"/>
      <w:bookmarkEnd w:id="251"/>
      <w:bookmarkEnd w:id="252"/>
      <w:bookmarkEnd w:id="253"/>
      <w:bookmarkEnd w:id="254"/>
      <w:bookmarkEnd w:id="255"/>
    </w:p>
    <w:p w14:paraId="663DD207">
      <w:pPr>
        <w:spacing w:line="360" w:lineRule="auto"/>
        <w:ind w:firstLine="420" w:firstLineChars="200"/>
      </w:pPr>
      <w:r>
        <w:t>本基金于2026年4月进行了2025年度第三次现金分红，收益分配基准日2025年12月31日，每10份基金份额发放红利0.2310元人民币，分红金额为32,827,929.51元。</w:t>
      </w:r>
    </w:p>
    <w:p w14:paraId="33421255">
      <w:pPr>
        <w:spacing w:line="360" w:lineRule="auto"/>
        <w:ind w:firstLine="420" w:firstLineChars="200"/>
      </w:pPr>
      <w:r>
        <w:t>基金管理人在计算年度可供分配金额过程中，将合并净利润调整为息税折旧及摊销前利润（EBITDA），并在此基础上进行了以下项目的调整：本基金发行份额募集的资金、购买不动产项目的支出、应收和应付项目的变动、支付的利息及所得税费用、未来合理的相关支出预留、期初现金余额等。</w:t>
      </w:r>
    </w:p>
    <w:p w14:paraId="40A1D103">
      <w:pPr>
        <w:spacing w:line="360" w:lineRule="auto"/>
        <w:ind w:firstLine="420" w:firstLineChars="200"/>
      </w:pPr>
      <w:r>
        <w:t>经上述项目调整后，本基金2025年1月1日至收益分配基准日2025年12月31日期间的本年累计可供分配金额为人民币120,616,413.57元，实际分红金额为117,953,400.84元，实际分红比例为97.79%，其中：第一次实际分红金额为56,702,854.01元（实际分红时间为2025年9月）、第二次实际分红金额为28,422,617.32元（实际分红时间为2025年12月），第三次实际分红金额为32,827,929.51元（实际分红时间为2026年4月）。</w:t>
      </w:r>
    </w:p>
    <w:p w14:paraId="536E78D4">
      <w:pPr>
        <w:spacing w:line="360" w:lineRule="auto"/>
        <w:ind w:firstLine="420" w:firstLineChars="200"/>
      </w:pPr>
      <w:r>
        <w:t>本报告期内分红符合“应当以90%以上合并基金年度可供分配利润以现金形式分配给投资者”、“收益分配分配在符合分配条件的情况下每年分红不得低于一次”的监管要求及合同约定，履行了公司相应的内部审批程序，并按监管要求进行了公告。</w:t>
      </w:r>
    </w:p>
    <w:p w14:paraId="05DC05E0">
      <w:pPr>
        <w:autoSpaceDE w:val="0"/>
        <w:autoSpaceDN w:val="0"/>
        <w:adjustRightInd w:val="0"/>
        <w:spacing w:line="360" w:lineRule="auto"/>
        <w:jc w:val="left"/>
        <w:rPr>
          <w:b/>
          <w:kern w:val="0"/>
        </w:rPr>
      </w:pPr>
      <w:bookmarkStart w:id="256" w:name="_Toc123732485"/>
      <w:bookmarkStart w:id="257" w:name="_Toc167195442"/>
      <w:r>
        <w:rPr>
          <w:b/>
          <w:kern w:val="0"/>
        </w:rPr>
        <w:t>6.2.5 管理人对关联交易采取的内部控制措施及相关利益冲突的防范措施</w:t>
      </w:r>
      <w:bookmarkEnd w:id="256"/>
      <w:bookmarkEnd w:id="257"/>
    </w:p>
    <w:p w14:paraId="64DA1EC4">
      <w:pPr>
        <w:spacing w:line="360" w:lineRule="auto"/>
        <w:ind w:firstLine="420" w:firstLineChars="200"/>
      </w:pPr>
      <w:r>
        <w:t>公司制定了《博时基金管理有限公司关联交易管理制度》，明确了公司及所管理组合的关联交易管理要求与流程；建立了利益冲突识别及处理、利益输送防范相关制度及机制，并在报告期内有效执行。</w:t>
      </w:r>
    </w:p>
    <w:p w14:paraId="1EDB2E7B">
      <w:pPr>
        <w:autoSpaceDE w:val="0"/>
        <w:autoSpaceDN w:val="0"/>
        <w:adjustRightInd w:val="0"/>
        <w:spacing w:line="360" w:lineRule="auto"/>
        <w:jc w:val="left"/>
        <w:rPr>
          <w:b/>
          <w:kern w:val="0"/>
        </w:rPr>
      </w:pPr>
      <w:bookmarkStart w:id="258" w:name="_Toc167195443"/>
      <w:bookmarkStart w:id="259" w:name="_Toc98511632"/>
      <w:bookmarkStart w:id="260" w:name="_Toc98601323"/>
      <w:bookmarkStart w:id="261" w:name="_Toc86080597"/>
      <w:bookmarkStart w:id="262" w:name="_Toc98512388"/>
      <w:bookmarkStart w:id="263" w:name="_Toc123732486"/>
      <w:bookmarkStart w:id="264" w:name="_Toc98602672"/>
      <w:bookmarkStart w:id="265" w:name="_Toc98602997"/>
      <w:bookmarkStart w:id="266" w:name="_Toc98508969"/>
      <w:r>
        <w:rPr>
          <w:b/>
          <w:kern w:val="0"/>
        </w:rPr>
        <w:t>6.2.6 管理人内部关于本</w:t>
      </w:r>
      <w:r>
        <w:rPr>
          <w:rFonts w:hint="eastAsia"/>
          <w:b/>
          <w:kern w:val="0"/>
        </w:rPr>
        <w:t>不动产</w:t>
      </w:r>
      <w:r>
        <w:rPr>
          <w:b/>
          <w:kern w:val="0"/>
        </w:rPr>
        <w:t>基金的监察稽核情况</w:t>
      </w:r>
      <w:bookmarkEnd w:id="258"/>
      <w:bookmarkEnd w:id="259"/>
      <w:bookmarkEnd w:id="260"/>
      <w:bookmarkEnd w:id="261"/>
      <w:bookmarkEnd w:id="262"/>
      <w:bookmarkEnd w:id="263"/>
      <w:bookmarkEnd w:id="264"/>
      <w:bookmarkEnd w:id="265"/>
      <w:bookmarkEnd w:id="266"/>
    </w:p>
    <w:p w14:paraId="59B2B882">
      <w:pPr>
        <w:spacing w:line="360" w:lineRule="auto"/>
        <w:ind w:firstLine="420" w:firstLineChars="200"/>
      </w:pPr>
      <w:r>
        <w:t>报告期内，本基金管理人的经营运作严格遵守国家有关法律法规和行业监管规则，持续健全内控体系，完善内控制度、机制和流程，夯实内控管理基础；强化对基金投资运作和公司经营管理的合规性监察，通过实时监控、预警提示、定期检查、专项审计等方式，及时发现问题，提出改进建议并跟踪改进落实情况。公司风险管理部牵头开展内控管理工作，推动内控机制完善与执行；公司法律合规部对公司遵守各项法规和管理制度及旗下各基金履行合同义务的情况进行核查，发现违规隐患及时提示有关业务人员并向管理层报告；公司审计部针对基金投研交、市场销售、后台运营、信息技术等开展内部审计项目，作出独立客观的监督、评价和建议。</w:t>
      </w:r>
    </w:p>
    <w:p w14:paraId="5992E007">
      <w:pPr>
        <w:spacing w:line="360" w:lineRule="auto"/>
        <w:ind w:firstLine="420" w:firstLineChars="200"/>
      </w:pPr>
      <w:r>
        <w:t>报告期内，内控制度方面，公司根据法律、法规的规定及公司内部管理需求，进一步健全内控管理机制，新建或修订了《博时基金离任审计暂行管理制度》《博时基金业绩比较基准管理制度》《博时基金个人信息安全管理制度》《博时基金公募基金分红管理规定》《博时基金投资者教育工作管理规定》《博时基金信息技术应急管理规定》等制度文件。系统建设方面，持续对“新一代决策支持系统”、“指标中心”、“博时产品管理系统”、“统一风险管理平台”等管理平台系统功能进行迭代更新，探索完善“合规管理平台”中应用模块的数智化功能，进一步提升公司市场体系、投研体系、后台运作、风险合规管理的系统支持能力。基金销售方面，在新基金发行和老基金持续营销的过程中，严格规范基金销售业务，按照《公开募集证券投资基金销售机构监督管理办法》、《证券期货经营机构私募资产管理业务管理办法》及内部制度的规定，审查宣传推介材料，选择有代销资格的代销机构销售基金，并积极做好投资者教育工作。</w:t>
      </w:r>
    </w:p>
    <w:p w14:paraId="7FB9C88B">
      <w:pPr>
        <w:pStyle w:val="3"/>
        <w:rPr>
          <w:rFonts w:ascii="Times New Roman" w:hAnsi="Times New Roman" w:cs="Times New Roman"/>
          <w:kern w:val="0"/>
          <w:sz w:val="21"/>
          <w:szCs w:val="21"/>
        </w:rPr>
      </w:pPr>
      <w:bookmarkStart w:id="267" w:name="_Toc28300"/>
      <w:bookmarkStart w:id="268" w:name="_Toc98508989"/>
      <w:bookmarkStart w:id="269" w:name="_Toc98602692"/>
      <w:bookmarkStart w:id="270" w:name="_Toc98511652"/>
      <w:bookmarkStart w:id="271" w:name="_Toc98601343"/>
      <w:bookmarkStart w:id="272" w:name="_Toc98512408"/>
      <w:bookmarkStart w:id="273" w:name="_Toc98603017"/>
      <w:bookmarkStart w:id="274" w:name="_Toc86080611"/>
      <w:bookmarkStart w:id="275" w:name="_Toc86080613"/>
      <w:r>
        <w:rPr>
          <w:rFonts w:ascii="Times New Roman" w:hAnsi="Times New Roman" w:cs="Times New Roman"/>
          <w:kern w:val="0"/>
          <w:sz w:val="21"/>
          <w:szCs w:val="21"/>
        </w:rPr>
        <w:t>6.3  管理人在报告期内对</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基金的运营管理职责的落实情况</w:t>
      </w:r>
      <w:bookmarkEnd w:id="267"/>
    </w:p>
    <w:p w14:paraId="154F853E">
      <w:pPr>
        <w:autoSpaceDE w:val="0"/>
        <w:autoSpaceDN w:val="0"/>
        <w:adjustRightInd w:val="0"/>
        <w:spacing w:line="360" w:lineRule="auto"/>
        <w:jc w:val="left"/>
        <w:rPr>
          <w:b/>
          <w:kern w:val="0"/>
        </w:rPr>
      </w:pPr>
      <w:r>
        <w:rPr>
          <w:b/>
          <w:kern w:val="0"/>
        </w:rPr>
        <w:t>6.3.1 管理人在报告期内主动采取的运营管理措施</w:t>
      </w:r>
    </w:p>
    <w:p w14:paraId="26B76208">
      <w:pPr>
        <w:spacing w:line="360" w:lineRule="auto"/>
        <w:ind w:firstLine="420" w:firstLineChars="200"/>
      </w:pPr>
      <w:r>
        <w:t>在本报告期内，本基金管理人严格遵循《中华人民共和国证券投资基金法》及其各项实施细则、本基金基金合同和其他不动产REITs的相关法律法规的规定，秉持诚实信用、勤勉尽责的原则运营和管理基金资产，制定了完善的权责体系，从运营、招商、回款、预算、财务管理等方面深入管理，全力保障基金持有人利益。</w:t>
      </w:r>
    </w:p>
    <w:p w14:paraId="6438A3D2">
      <w:pPr>
        <w:autoSpaceDE w:val="0"/>
        <w:autoSpaceDN w:val="0"/>
        <w:adjustRightInd w:val="0"/>
        <w:spacing w:line="360" w:lineRule="auto"/>
        <w:jc w:val="left"/>
        <w:rPr>
          <w:b/>
          <w:kern w:val="0"/>
        </w:rPr>
      </w:pPr>
      <w:r>
        <w:rPr>
          <w:b/>
          <w:kern w:val="0"/>
        </w:rPr>
        <w:t>6.3.2 管理人在报告期内的重大事项决策情况</w:t>
      </w:r>
    </w:p>
    <w:p w14:paraId="6BF1A41A">
      <w:pPr>
        <w:spacing w:line="360" w:lineRule="auto"/>
        <w:ind w:firstLine="420" w:firstLineChars="200"/>
      </w:pPr>
      <w:r>
        <w:t>本报告期内，本基金管理人严格遵循了《中华人民共和国证券投资基金法》及其各项实施细则、本基金基金合同和其他不动产REITs的相关法律法规、基金管理人及项目公司相关制度法规的规定对重大事项进行决策。本报告期内，决策的重大事项主要包括：基金分红决策、项目公司内部购债方案、项目公司资本性支出方案、年度预算及运营方案等。</w:t>
      </w:r>
    </w:p>
    <w:p w14:paraId="30315A1B">
      <w:pPr>
        <w:autoSpaceDE w:val="0"/>
        <w:autoSpaceDN w:val="0"/>
        <w:adjustRightInd w:val="0"/>
        <w:spacing w:line="360" w:lineRule="auto"/>
        <w:jc w:val="left"/>
        <w:rPr>
          <w:b/>
          <w:kern w:val="0"/>
        </w:rPr>
      </w:pPr>
      <w:r>
        <w:rPr>
          <w:b/>
          <w:kern w:val="0"/>
        </w:rPr>
        <w:t>6.3.3 管理人在报告期内对运营管理机构的检查和考核情况</w:t>
      </w:r>
    </w:p>
    <w:p w14:paraId="705A7D92">
      <w:pPr>
        <w:spacing w:line="360" w:lineRule="auto"/>
        <w:ind w:firstLine="420" w:firstLineChars="200"/>
      </w:pPr>
      <w:r>
        <w:t>本基金聘请的运营管理机构为深圳市招商创业有限公司（以下简称“招商创业”或“运营管理机构”）。本报告期内，招商创业严格遵守公募REITs上市各项监管规定，落实基金管理方要求，积极履行委托运营管理协议要求。本报告期内，本基金管理人对运营管理机构进行了1次半年度档案检查，不定期对运营情况进行抽查。</w:t>
      </w:r>
    </w:p>
    <w:p w14:paraId="5A9039FB">
      <w:pPr>
        <w:autoSpaceDE w:val="0"/>
        <w:autoSpaceDN w:val="0"/>
        <w:adjustRightInd w:val="0"/>
        <w:spacing w:line="360" w:lineRule="auto"/>
        <w:jc w:val="left"/>
        <w:rPr>
          <w:b/>
          <w:kern w:val="0"/>
        </w:rPr>
      </w:pPr>
      <w:r>
        <w:rPr>
          <w:b/>
          <w:kern w:val="0"/>
        </w:rPr>
        <w:t>6.3.4 管理人在报告期内其他对运营管理机构的监督情况</w:t>
      </w:r>
    </w:p>
    <w:p w14:paraId="6A0D3A68">
      <w:pPr>
        <w:spacing w:line="360" w:lineRule="auto"/>
        <w:ind w:firstLine="420" w:firstLineChars="200"/>
      </w:pPr>
      <w:r>
        <w:t>本报告期内，基金管理人执行月度例会机制，通过收集、审核项目运营月度报告的方式，定期沟通不动产项目的安全管理、现金流情况、不动产项目外立面改造及其他重大事项，并不定期根据本基金制定的相关权责进行资料复核及审批、不定期沟通其他重大事项。</w:t>
      </w:r>
    </w:p>
    <w:p w14:paraId="18869B06">
      <w:pPr>
        <w:pStyle w:val="3"/>
        <w:rPr>
          <w:rFonts w:ascii="Times New Roman" w:hAnsi="Times New Roman" w:cs="Times New Roman"/>
          <w:kern w:val="0"/>
          <w:sz w:val="21"/>
          <w:szCs w:val="21"/>
        </w:rPr>
      </w:pPr>
      <w:bookmarkStart w:id="276" w:name="_Toc1999"/>
      <w:r>
        <w:rPr>
          <w:rFonts w:ascii="Times New Roman" w:hAnsi="Times New Roman" w:cs="Times New Roman"/>
          <w:kern w:val="0"/>
          <w:sz w:val="21"/>
          <w:szCs w:val="21"/>
        </w:rPr>
        <w:t>6.4  管理人在报告期内的信息披露工作开展情况</w:t>
      </w:r>
      <w:bookmarkEnd w:id="276"/>
    </w:p>
    <w:p w14:paraId="7EF5F697">
      <w:pPr>
        <w:autoSpaceDE w:val="0"/>
        <w:autoSpaceDN w:val="0"/>
        <w:adjustRightInd w:val="0"/>
        <w:spacing w:line="360" w:lineRule="auto"/>
        <w:jc w:val="left"/>
        <w:rPr>
          <w:b/>
          <w:kern w:val="0"/>
        </w:rPr>
      </w:pPr>
      <w:r>
        <w:rPr>
          <w:b/>
          <w:kern w:val="0"/>
        </w:rPr>
        <w:t>6.4.1 报告期内信息披露事务负责人的履职情况</w:t>
      </w:r>
    </w:p>
    <w:p w14:paraId="5E59D648">
      <w:pPr>
        <w:spacing w:line="360" w:lineRule="auto"/>
        <w:ind w:firstLine="420" w:firstLineChars="200"/>
      </w:pPr>
      <w:r>
        <w:t xml:space="preserve">报告期内，信息披露事务负责人严格遵循《公开募集证券投资基金信息披露管理办法》等法规要求，高效统筹信息披露事务。通过完善制度流程、细化操作指引，确保信息披露内容真实、准确、完整，并及时披露。牵头建立跨部门协作机制，实现数据交叉核验与风险动态监测。  </w:t>
      </w:r>
    </w:p>
    <w:p w14:paraId="558E6402">
      <w:pPr>
        <w:spacing w:line="360" w:lineRule="auto"/>
        <w:ind w:firstLine="420" w:firstLineChars="200"/>
      </w:pPr>
      <w:r>
        <w:t xml:space="preserve">投资者沟通方面，搭建多元化信息传递渠道，通过官网公告、线上说明会及投教专栏等，主动解读市场关切与基金运作动态，同步强化舆情监测与风险预警。  </w:t>
      </w:r>
    </w:p>
    <w:p w14:paraId="3D01EEA6">
      <w:pPr>
        <w:spacing w:line="360" w:lineRule="auto"/>
        <w:ind w:firstLine="420" w:firstLineChars="200"/>
      </w:pPr>
      <w:r>
        <w:t>全年履职过程严守合规底线，有效保障投资者知情权与市场公平性，为基金稳健运作提供坚实支撑。</w:t>
      </w:r>
    </w:p>
    <w:p w14:paraId="0E2D3072">
      <w:pPr>
        <w:autoSpaceDE w:val="0"/>
        <w:autoSpaceDN w:val="0"/>
        <w:adjustRightInd w:val="0"/>
        <w:spacing w:line="360" w:lineRule="auto"/>
        <w:jc w:val="left"/>
        <w:rPr>
          <w:b/>
          <w:kern w:val="0"/>
        </w:rPr>
      </w:pPr>
      <w:r>
        <w:rPr>
          <w:b/>
          <w:kern w:val="0"/>
        </w:rPr>
        <w:t>6.4.2 报告期内信息披露事务负责人的变更情况</w:t>
      </w:r>
    </w:p>
    <w:p w14:paraId="76A84C98">
      <w:pPr>
        <w:spacing w:line="360" w:lineRule="auto"/>
        <w:ind w:firstLine="420" w:firstLineChars="200"/>
      </w:pPr>
      <w:r>
        <w:t>本报告期内，本基金管理人信息披露事务负责人未发生变更。</w:t>
      </w:r>
    </w:p>
    <w:p w14:paraId="318F527D">
      <w:pPr>
        <w:autoSpaceDE w:val="0"/>
        <w:autoSpaceDN w:val="0"/>
        <w:adjustRightInd w:val="0"/>
        <w:spacing w:line="360" w:lineRule="auto"/>
        <w:jc w:val="left"/>
        <w:rPr>
          <w:b/>
          <w:kern w:val="0"/>
        </w:rPr>
      </w:pPr>
      <w:r>
        <w:rPr>
          <w:b/>
          <w:kern w:val="0"/>
        </w:rPr>
        <w:t>6.4.3 报告期内信息披露管理制度的落实情况</w:t>
      </w:r>
    </w:p>
    <w:p w14:paraId="625C5535">
      <w:pPr>
        <w:spacing w:line="360" w:lineRule="auto"/>
        <w:ind w:firstLine="420" w:firstLineChars="200"/>
      </w:pPr>
      <w:r>
        <w:t>基金管理人严格遵循《公开募集证券投资基金信息披露管理办法》及公司内部信息披露管理制度的规定，建立信息披露文件制作、复核、审核、发布及归档等机制，加强技术赋能与全流程管控，并通过全流程系统化管理的方式全面提升信息披露质效。内幕信息管理方面，公司通过建立敏感信息知情人登记等制度约束，权限分级、操作留痕等技术手段规范敏感信息流转。暂缓与豁免信息披露方面，公司仅在符合监管规定的情形下审慎适用豁免条款，并需经信息披露事务负责人审批。信息披露相关档案管理方面，信息披露文件按类型分类存档，纸质文件由管理人留存备查，电子文件通过专用系统存储备份。</w:t>
      </w:r>
    </w:p>
    <w:p w14:paraId="0B3DBD41">
      <w:pPr>
        <w:pStyle w:val="2"/>
        <w:spacing w:before="312" w:beforeLines="100" w:after="312" w:afterLines="100" w:line="360" w:lineRule="auto"/>
        <w:jc w:val="center"/>
        <w:rPr>
          <w:kern w:val="0"/>
          <w:sz w:val="21"/>
          <w:szCs w:val="21"/>
        </w:rPr>
      </w:pPr>
      <w:bookmarkStart w:id="277" w:name="_Toc10371"/>
      <w:r>
        <w:rPr>
          <w:kern w:val="0"/>
          <w:sz w:val="21"/>
          <w:szCs w:val="21"/>
        </w:rPr>
        <w:t>§7  运营管理机构报告</w:t>
      </w:r>
      <w:bookmarkEnd w:id="277"/>
    </w:p>
    <w:p w14:paraId="5A9228C6">
      <w:pPr>
        <w:pStyle w:val="3"/>
        <w:rPr>
          <w:rFonts w:ascii="Times New Roman" w:hAnsi="Times New Roman" w:cs="Times New Roman"/>
          <w:kern w:val="0"/>
          <w:sz w:val="21"/>
          <w:szCs w:val="21"/>
        </w:rPr>
      </w:pPr>
      <w:bookmarkStart w:id="278" w:name="_Toc32285"/>
      <w:r>
        <w:rPr>
          <w:rFonts w:ascii="Times New Roman" w:hAnsi="Times New Roman" w:cs="Times New Roman"/>
          <w:kern w:val="0"/>
          <w:sz w:val="21"/>
          <w:szCs w:val="21"/>
        </w:rPr>
        <w:t>7.1  报告期内运营管理机构管理职责履行情况</w:t>
      </w:r>
      <w:bookmarkEnd w:id="278"/>
    </w:p>
    <w:p w14:paraId="34331CAE">
      <w:pPr>
        <w:autoSpaceDE w:val="0"/>
        <w:autoSpaceDN w:val="0"/>
        <w:adjustRightInd w:val="0"/>
        <w:spacing w:line="360" w:lineRule="auto"/>
        <w:jc w:val="left"/>
        <w:rPr>
          <w:b/>
          <w:kern w:val="0"/>
        </w:rPr>
      </w:pPr>
      <w:r>
        <w:rPr>
          <w:b/>
          <w:kern w:val="0"/>
        </w:rPr>
        <w:t>7.1.1 报告期内运营管理协议的落实情况</w:t>
      </w:r>
    </w:p>
    <w:p w14:paraId="27E01681">
      <w:pPr>
        <w:spacing w:line="360" w:lineRule="auto"/>
        <w:ind w:firstLine="420" w:firstLineChars="200"/>
      </w:pPr>
      <w:r>
        <w:t>本报告期内，本基金聘请的运营管理机构为深圳市招商创业有限公司（以下简称“招商创业”）。主要履职内容包括：项目招商及经营管理、客户服务及物业公司管理、履行运营管理协议约定的其他职责等，不存在违反运营管理服务协议相关条款的重大情形。</w:t>
      </w:r>
    </w:p>
    <w:p w14:paraId="5ACC1DCA">
      <w:pPr>
        <w:autoSpaceDE w:val="0"/>
        <w:autoSpaceDN w:val="0"/>
        <w:adjustRightInd w:val="0"/>
        <w:spacing w:line="360" w:lineRule="auto"/>
        <w:jc w:val="left"/>
        <w:rPr>
          <w:b/>
          <w:kern w:val="0"/>
        </w:rPr>
      </w:pPr>
      <w:r>
        <w:rPr>
          <w:b/>
          <w:kern w:val="0"/>
        </w:rPr>
        <w:t>7.1.2 报告期内运营管理机构遵规守信情况声明</w:t>
      </w:r>
    </w:p>
    <w:p w14:paraId="639FC0CC">
      <w:pPr>
        <w:spacing w:line="360" w:lineRule="auto"/>
        <w:ind w:firstLine="420" w:firstLineChars="200"/>
      </w:pPr>
      <w:r>
        <w:t>本报告期内，运营管理机构招商创业严格遵守监管制度、本基金合同、运营管理协议的要求，诚实信用、勤勉尽责。</w:t>
      </w:r>
    </w:p>
    <w:p w14:paraId="02B439F7">
      <w:pPr>
        <w:autoSpaceDE w:val="0"/>
        <w:autoSpaceDN w:val="0"/>
        <w:adjustRightInd w:val="0"/>
        <w:spacing w:line="360" w:lineRule="auto"/>
        <w:jc w:val="left"/>
        <w:rPr>
          <w:b/>
          <w:kern w:val="0"/>
        </w:rPr>
      </w:pPr>
      <w:r>
        <w:rPr>
          <w:b/>
          <w:kern w:val="0"/>
        </w:rPr>
        <w:t>7.1.3 报告期内运营管理机构采取的运营管理措施以及效果</w:t>
      </w:r>
    </w:p>
    <w:p w14:paraId="572062C4">
      <w:pPr>
        <w:spacing w:line="360" w:lineRule="auto"/>
        <w:ind w:firstLine="420" w:firstLineChars="200"/>
      </w:pPr>
      <w:r>
        <w:t>本报告期内，运营管理机构主要采取以下措施保障项目资产运营：通过精准招商，全方位拓展招商渠道和挖潜项目存量客户扩租；组织渠道踩盘、产业招商推介等活动；深化运营，确保已签约客户的稳定性；灵活适配，确保招商的灵活性。通过采取上述措施，有效减小了项目资产受市场下行压力和竞品项目大量入市的影响，基金年度可供分配完成率基本符合预期。</w:t>
      </w:r>
    </w:p>
    <w:p w14:paraId="1079CF3A">
      <w:pPr>
        <w:pStyle w:val="3"/>
        <w:rPr>
          <w:rFonts w:ascii="Times New Roman" w:hAnsi="Times New Roman" w:cs="Times New Roman"/>
          <w:kern w:val="0"/>
          <w:sz w:val="21"/>
          <w:szCs w:val="21"/>
        </w:rPr>
      </w:pPr>
      <w:bookmarkStart w:id="279" w:name="_Toc7833"/>
      <w:r>
        <w:rPr>
          <w:rFonts w:ascii="Times New Roman" w:hAnsi="Times New Roman" w:cs="Times New Roman"/>
          <w:kern w:val="0"/>
          <w:sz w:val="21"/>
          <w:szCs w:val="21"/>
        </w:rPr>
        <w:t>7.2  报告期内运营管理机构配合信息披露工作开展情况</w:t>
      </w:r>
      <w:bookmarkEnd w:id="279"/>
    </w:p>
    <w:p w14:paraId="2C0F9C45">
      <w:pPr>
        <w:autoSpaceDE w:val="0"/>
        <w:autoSpaceDN w:val="0"/>
        <w:adjustRightInd w:val="0"/>
        <w:spacing w:line="360" w:lineRule="auto"/>
        <w:jc w:val="left"/>
        <w:rPr>
          <w:b/>
          <w:kern w:val="0"/>
        </w:rPr>
      </w:pPr>
      <w:r>
        <w:rPr>
          <w:b/>
          <w:kern w:val="0"/>
        </w:rPr>
        <w:t>7.2.1 信息披露事务负责人的履职情况</w:t>
      </w:r>
    </w:p>
    <w:p w14:paraId="6DEABF62">
      <w:pPr>
        <w:spacing w:line="360" w:lineRule="auto"/>
        <w:ind w:firstLine="420" w:firstLineChars="200"/>
      </w:pPr>
      <w:r>
        <w:t>运营管理机构已指定信息披露负责人，本报告期内积极组织和协调信息披露事务，能够及时与基金管理人主动沟通突发事宜，积极组织协调投资人现场调研、年报发布会及其他投资人沟通联络事项。</w:t>
      </w:r>
    </w:p>
    <w:p w14:paraId="61BCF4E8">
      <w:pPr>
        <w:autoSpaceDE w:val="0"/>
        <w:autoSpaceDN w:val="0"/>
        <w:adjustRightInd w:val="0"/>
        <w:spacing w:line="360" w:lineRule="auto"/>
        <w:jc w:val="left"/>
        <w:rPr>
          <w:b/>
          <w:kern w:val="0"/>
        </w:rPr>
      </w:pPr>
      <w:r>
        <w:rPr>
          <w:b/>
          <w:kern w:val="0"/>
        </w:rPr>
        <w:t>7.2.2 信息披露事务负责人的变更情况</w:t>
      </w:r>
    </w:p>
    <w:p w14:paraId="290C4E1C">
      <w:pPr>
        <w:spacing w:line="360" w:lineRule="auto"/>
        <w:ind w:firstLine="420" w:firstLineChars="200"/>
      </w:pPr>
      <w:r>
        <w:t>本报告期内，未发生运营管理机构信息披露事务负责人变更的情况。</w:t>
      </w:r>
    </w:p>
    <w:p w14:paraId="581D5C3E">
      <w:pPr>
        <w:autoSpaceDE w:val="0"/>
        <w:autoSpaceDN w:val="0"/>
        <w:adjustRightInd w:val="0"/>
        <w:spacing w:line="360" w:lineRule="auto"/>
        <w:jc w:val="left"/>
        <w:rPr>
          <w:b/>
          <w:kern w:val="0"/>
        </w:rPr>
      </w:pPr>
      <w:r>
        <w:rPr>
          <w:b/>
          <w:kern w:val="0"/>
        </w:rPr>
        <w:t>7.2.3 信息披露配合制度的落实情况</w:t>
      </w:r>
    </w:p>
    <w:p w14:paraId="796888B7">
      <w:pPr>
        <w:spacing w:line="360" w:lineRule="auto"/>
        <w:ind w:firstLine="420" w:firstLineChars="200"/>
      </w:pPr>
      <w:r>
        <w:t>运营管理机构已制定《博时蛇口产园REIT项目信息披露配合管理办法》，明确约定了信息披露事务的主管部门及职责，信息披露事务负责人的选任、具体职责及其履职保障，信息披露审核及发布规范，内幕信息管理规范，信息披露暂缓、豁免的内部管理机制，以及信息披露文件、相关决策过程或者履职记录等资料的档案管理制度。本报告期内，运营管理机构严格遵守上述《博时蛇口产园REIT项目信息披露配合管理办法》，配合基金管理人完成不动产投资信托基金的信息披露，遵守保密义务，确保内部信息管理到位。</w:t>
      </w:r>
    </w:p>
    <w:p w14:paraId="3A51DEA6">
      <w:pPr>
        <w:autoSpaceDE w:val="0"/>
        <w:autoSpaceDN w:val="0"/>
        <w:adjustRightInd w:val="0"/>
        <w:spacing w:line="360" w:lineRule="auto"/>
        <w:jc w:val="left"/>
        <w:rPr>
          <w:b/>
          <w:kern w:val="0"/>
        </w:rPr>
      </w:pPr>
      <w:r>
        <w:rPr>
          <w:b/>
          <w:kern w:val="0"/>
        </w:rPr>
        <w:t>7.2.4 配合信息披露情况</w:t>
      </w:r>
    </w:p>
    <w:p w14:paraId="71D75E0B">
      <w:pPr>
        <w:spacing w:line="360" w:lineRule="auto"/>
        <w:ind w:firstLine="420" w:firstLineChars="200"/>
      </w:pPr>
      <w:r>
        <w:t>本报告期内，运营管理机构积极配合本基金信息披露事务，对临时公告、定期报告需要运营管理机构确认的内容进行复核确认，积极参加监管机构及基金管理人组织的相关培训。</w:t>
      </w:r>
    </w:p>
    <w:p w14:paraId="6E3FC0BB">
      <w:pPr>
        <w:pStyle w:val="2"/>
        <w:spacing w:before="312" w:beforeLines="100" w:after="312" w:afterLines="100" w:line="360" w:lineRule="auto"/>
        <w:jc w:val="center"/>
        <w:rPr>
          <w:kern w:val="0"/>
          <w:sz w:val="21"/>
          <w:szCs w:val="21"/>
        </w:rPr>
      </w:pPr>
      <w:bookmarkStart w:id="280" w:name="_Toc16376"/>
      <w:r>
        <w:rPr>
          <w:kern w:val="0"/>
          <w:sz w:val="21"/>
          <w:szCs w:val="21"/>
        </w:rPr>
        <w:t>§8  其他业务参与人履职报告</w:t>
      </w:r>
      <w:bookmarkEnd w:id="280"/>
    </w:p>
    <w:p w14:paraId="4271B0EF">
      <w:pPr>
        <w:pStyle w:val="3"/>
        <w:rPr>
          <w:rFonts w:ascii="Times New Roman" w:hAnsi="Times New Roman" w:cs="Times New Roman"/>
          <w:kern w:val="0"/>
          <w:sz w:val="21"/>
          <w:szCs w:val="21"/>
        </w:rPr>
      </w:pPr>
      <w:bookmarkStart w:id="281" w:name="_Toc24404"/>
      <w:r>
        <w:rPr>
          <w:rFonts w:ascii="Times New Roman" w:hAnsi="Times New Roman" w:cs="Times New Roman"/>
          <w:kern w:val="0"/>
          <w:sz w:val="21"/>
          <w:szCs w:val="21"/>
        </w:rPr>
        <w:t>8.1  托管人报告</w:t>
      </w:r>
      <w:bookmarkEnd w:id="281"/>
    </w:p>
    <w:p w14:paraId="1E9DA05C">
      <w:pPr>
        <w:autoSpaceDE w:val="0"/>
        <w:autoSpaceDN w:val="0"/>
        <w:adjustRightInd w:val="0"/>
        <w:spacing w:line="360" w:lineRule="auto"/>
        <w:jc w:val="left"/>
        <w:rPr>
          <w:b/>
          <w:kern w:val="0"/>
        </w:rPr>
      </w:pPr>
      <w:r>
        <w:rPr>
          <w:b/>
          <w:kern w:val="0"/>
        </w:rPr>
        <w:t>8.1.1 报告期内本基金托管人遵规守信情况声明</w:t>
      </w:r>
    </w:p>
    <w:p w14:paraId="10EA4827">
      <w:pPr>
        <w:spacing w:line="360" w:lineRule="auto"/>
        <w:ind w:firstLine="420" w:firstLineChars="200"/>
      </w:pPr>
      <w:r>
        <w:t>托管人声明:</w:t>
      </w:r>
    </w:p>
    <w:p w14:paraId="201DB39A">
      <w:pPr>
        <w:spacing w:line="360" w:lineRule="auto"/>
        <w:ind w:firstLine="420" w:firstLineChars="200"/>
      </w:pPr>
      <w:r>
        <w:t>招商银行（以下简称“本基金托管人”）具备完善的公司治理结构、内部稽核监控制度和风险控制制度，在履行托管职责中，严格遵守有关法律法规规定、基金合同和托管协议约定，尽职尽责地履行托管义务并安全保管托管资产。</w:t>
      </w:r>
    </w:p>
    <w:p w14:paraId="2E7FEE0B">
      <w:pPr>
        <w:autoSpaceDE w:val="0"/>
        <w:autoSpaceDN w:val="0"/>
        <w:adjustRightInd w:val="0"/>
        <w:spacing w:line="360" w:lineRule="auto"/>
        <w:jc w:val="left"/>
        <w:rPr>
          <w:b/>
          <w:kern w:val="0"/>
        </w:rPr>
      </w:pPr>
      <w:r>
        <w:rPr>
          <w:b/>
          <w:kern w:val="0"/>
        </w:rPr>
        <w:t>8.1.2 托管人对报告期内本</w:t>
      </w:r>
      <w:r>
        <w:rPr>
          <w:rFonts w:hint="eastAsia"/>
          <w:b/>
          <w:kern w:val="0"/>
        </w:rPr>
        <w:t>不动产</w:t>
      </w:r>
      <w:r>
        <w:rPr>
          <w:b/>
          <w:kern w:val="0"/>
        </w:rPr>
        <w:t>基金资金账户、</w:t>
      </w:r>
      <w:r>
        <w:rPr>
          <w:rFonts w:hint="eastAsia"/>
          <w:b/>
          <w:kern w:val="0"/>
        </w:rPr>
        <w:t>不动产</w:t>
      </w:r>
      <w:r>
        <w:rPr>
          <w:b/>
          <w:kern w:val="0"/>
        </w:rPr>
        <w:t>项目运营收支账户等重要账户资金的监督情况</w:t>
      </w:r>
    </w:p>
    <w:p w14:paraId="7CDBE054">
      <w:pPr>
        <w:spacing w:line="360" w:lineRule="auto"/>
        <w:ind w:firstLine="420" w:firstLineChars="200"/>
      </w:pPr>
      <w:r>
        <w:t>本报告期内，本基金托管人根据法律法规规定、基金合同和托管协议约定，对本基金资金账户、不动产项目运营收支账户等重要资金账户及资金流向进行了监督，未发现基金管理人存在损害基金份额持有人利益的行为。</w:t>
      </w:r>
    </w:p>
    <w:p w14:paraId="1A39E988">
      <w:pPr>
        <w:autoSpaceDE w:val="0"/>
        <w:autoSpaceDN w:val="0"/>
        <w:adjustRightInd w:val="0"/>
        <w:spacing w:line="360" w:lineRule="auto"/>
        <w:jc w:val="left"/>
        <w:rPr>
          <w:b/>
          <w:kern w:val="0"/>
        </w:rPr>
      </w:pPr>
      <w:r>
        <w:rPr>
          <w:b/>
          <w:kern w:val="0"/>
        </w:rPr>
        <w:t>8.1.3 托管人对报告期内</w:t>
      </w:r>
      <w:r>
        <w:rPr>
          <w:rFonts w:hint="eastAsia"/>
          <w:b/>
          <w:kern w:val="0"/>
        </w:rPr>
        <w:t>不动产</w:t>
      </w:r>
      <w:r>
        <w:rPr>
          <w:b/>
          <w:kern w:val="0"/>
        </w:rPr>
        <w:t>基金运作的监督情况</w:t>
      </w:r>
    </w:p>
    <w:p w14:paraId="3AC0D95A">
      <w:pPr>
        <w:spacing w:line="360" w:lineRule="auto"/>
        <w:ind w:firstLine="420" w:firstLineChars="200"/>
      </w:pPr>
      <w:r>
        <w:t>本报告期内，本基金托管人根据法律法规规定、基金合同和托管协议约定，对不动产基金的投资运作、收益分配进行了监督和复核；对基金管理人为不动产项目购买足额保险、借入款项安排进行了监督，未发现基金管理人存在损害基金份额持有人利益的行为。</w:t>
      </w:r>
    </w:p>
    <w:p w14:paraId="135F2E76">
      <w:pPr>
        <w:autoSpaceDE w:val="0"/>
        <w:autoSpaceDN w:val="0"/>
        <w:adjustRightInd w:val="0"/>
        <w:spacing w:line="360" w:lineRule="auto"/>
        <w:jc w:val="left"/>
        <w:rPr>
          <w:b/>
          <w:kern w:val="0"/>
        </w:rPr>
      </w:pPr>
      <w:r>
        <w:rPr>
          <w:b/>
          <w:kern w:val="0"/>
        </w:rPr>
        <w:t>8.1.4 托管人在报告期内履行信息披露相关义务情况</w:t>
      </w:r>
    </w:p>
    <w:p w14:paraId="45861366">
      <w:pPr>
        <w:spacing w:line="360" w:lineRule="auto"/>
        <w:ind w:firstLine="420" w:firstLineChars="200"/>
      </w:pPr>
      <w:r>
        <w:t>本报告期内，在管理人提供的各项数据和信息真实、准确、有效的前提下，在托管人能够知悉和掌握的情况范围内，本基金托管人根据法律法规规定、基金合同和托管协议约定的信息披露条款，对本报告中的财务指标、净值表现、财务会计报告、投资组合报告及管理人资产确认计量过程等内容进行了复核，认为以上内容真实、准确、完整，不存在虚假记载、误导性陈述或者重大遗漏。</w:t>
      </w:r>
    </w:p>
    <w:p w14:paraId="1E5E4BC3">
      <w:pPr>
        <w:pStyle w:val="3"/>
        <w:rPr>
          <w:rFonts w:ascii="Times New Roman" w:hAnsi="Times New Roman" w:cs="Times New Roman"/>
          <w:kern w:val="0"/>
          <w:sz w:val="21"/>
          <w:szCs w:val="21"/>
        </w:rPr>
      </w:pPr>
      <w:bookmarkStart w:id="282" w:name="_Toc4868"/>
      <w:r>
        <w:rPr>
          <w:rFonts w:ascii="Times New Roman" w:hAnsi="Times New Roman" w:cs="Times New Roman"/>
          <w:kern w:val="0"/>
          <w:sz w:val="21"/>
          <w:szCs w:val="21"/>
        </w:rPr>
        <w:t>8.2  资产支持证券管理人报告</w:t>
      </w:r>
      <w:bookmarkEnd w:id="282"/>
    </w:p>
    <w:p w14:paraId="228D2985">
      <w:pPr>
        <w:autoSpaceDE w:val="0"/>
        <w:autoSpaceDN w:val="0"/>
        <w:adjustRightInd w:val="0"/>
        <w:spacing w:line="360" w:lineRule="auto"/>
        <w:jc w:val="left"/>
        <w:rPr>
          <w:b/>
          <w:kern w:val="0"/>
        </w:rPr>
      </w:pPr>
      <w:r>
        <w:rPr>
          <w:b/>
          <w:kern w:val="0"/>
        </w:rPr>
        <w:t>8.2.1 报告期内</w:t>
      </w:r>
      <w:r>
        <w:rPr>
          <w:rFonts w:hint="eastAsia"/>
          <w:b/>
          <w:kern w:val="0"/>
        </w:rPr>
        <w:t>不动产</w:t>
      </w:r>
      <w:r>
        <w:rPr>
          <w:b/>
          <w:kern w:val="0"/>
        </w:rPr>
        <w:t>资产支持专项计划作为项目公司股东的股东权利情况</w:t>
      </w:r>
    </w:p>
    <w:p w14:paraId="1C7E9734">
      <w:pPr>
        <w:spacing w:line="360" w:lineRule="auto"/>
        <w:ind w:firstLine="420" w:firstLineChars="200"/>
      </w:pPr>
      <w:r>
        <w:t>本报告期内，不动产资产支持专项计划作为不动产项目公司单一股东，根据《中华人民共和国公司法》及公司章程的相关规定，依法享有并行使相应的股东权利，未发现项目公司发生侵害股东利益的相关情形。</w:t>
      </w:r>
    </w:p>
    <w:p w14:paraId="3F7B6F19">
      <w:pPr>
        <w:autoSpaceDE w:val="0"/>
        <w:autoSpaceDN w:val="0"/>
        <w:adjustRightInd w:val="0"/>
        <w:spacing w:line="360" w:lineRule="auto"/>
        <w:jc w:val="left"/>
        <w:rPr>
          <w:b/>
          <w:kern w:val="0"/>
        </w:rPr>
      </w:pPr>
      <w:r>
        <w:rPr>
          <w:b/>
          <w:kern w:val="0"/>
        </w:rPr>
        <w:t>8.2.2 作为项目公司债权人的权利情况</w:t>
      </w:r>
    </w:p>
    <w:p w14:paraId="7D61D750">
      <w:pPr>
        <w:spacing w:line="360" w:lineRule="auto"/>
        <w:ind w:firstLine="420" w:firstLineChars="200"/>
      </w:pPr>
      <w:r>
        <w:t>本报告期内，不动产资产支持专项计划作为不动产项目公司债权人，依法享有并行使了债权人的各项权利。不动产项目公司严格按照《债权确认及重组协议》、《借款协议》等合同的规定足额按时还本付息，借款金额具体详阅“4.3.2 重要不动产项目公司的主要资产负债科目分析”章节。资产支持证券管理人通过监督项目公司财务情况、运营情况等，合法保障专项计划债权权利，维护专项计划及投资人的合法权益。</w:t>
      </w:r>
    </w:p>
    <w:p w14:paraId="2D8E11F9">
      <w:pPr>
        <w:autoSpaceDE w:val="0"/>
        <w:autoSpaceDN w:val="0"/>
        <w:adjustRightInd w:val="0"/>
        <w:spacing w:line="360" w:lineRule="auto"/>
        <w:jc w:val="left"/>
        <w:rPr>
          <w:b/>
          <w:kern w:val="0"/>
        </w:rPr>
      </w:pPr>
      <w:r>
        <w:rPr>
          <w:b/>
          <w:kern w:val="0"/>
        </w:rPr>
        <w:t>8.2.3 报告期内</w:t>
      </w:r>
      <w:r>
        <w:rPr>
          <w:rFonts w:hint="eastAsia"/>
          <w:b/>
          <w:kern w:val="0"/>
        </w:rPr>
        <w:t>不动产</w:t>
      </w:r>
      <w:r>
        <w:rPr>
          <w:b/>
          <w:kern w:val="0"/>
        </w:rPr>
        <w:t>资产支持专项计划信息披露情况</w:t>
      </w:r>
    </w:p>
    <w:p w14:paraId="3E544550">
      <w:pPr>
        <w:spacing w:line="360" w:lineRule="auto"/>
        <w:ind w:firstLine="420" w:firstLineChars="200"/>
      </w:pPr>
      <w:r>
        <w:t>本报告期内，不动产资产支持专项计划严格按照相关法律法规、计划说明书等相关规定，严格履行信息披露义务，资产支持证券持有人能够充分了解专项计划运作的情况，其合法权益得到有效保障。</w:t>
      </w:r>
    </w:p>
    <w:p w14:paraId="41F3EF52">
      <w:pPr>
        <w:autoSpaceDE w:val="0"/>
        <w:autoSpaceDN w:val="0"/>
        <w:adjustRightInd w:val="0"/>
        <w:spacing w:line="360" w:lineRule="auto"/>
        <w:jc w:val="left"/>
        <w:rPr>
          <w:b/>
          <w:kern w:val="0"/>
        </w:rPr>
      </w:pPr>
      <w:r>
        <w:rPr>
          <w:b/>
          <w:kern w:val="0"/>
        </w:rPr>
        <w:t>8.2.4 报告期内资产支持证券管理人遵规守信情况以及其他规定或者约定的职责履行情况</w:t>
      </w:r>
    </w:p>
    <w:p w14:paraId="79C1E43F">
      <w:pPr>
        <w:spacing w:line="360" w:lineRule="auto"/>
        <w:ind w:firstLine="420" w:firstLineChars="200"/>
      </w:pPr>
      <w:r>
        <w:t>本报告期内，资产支持证券管理人在资产管理过程中严格按照法律法规及计划说明书的相关规定，勤勉尽责积极履行专项计划资产管理职责，积极督促运营管理机构、物业管理方、托管人等资产证券化业务参与机构按照规定履行各自义务，未发现损害资产支持证券投资者利益的行为。</w:t>
      </w:r>
    </w:p>
    <w:p w14:paraId="25DB329F">
      <w:pPr>
        <w:pStyle w:val="3"/>
        <w:rPr>
          <w:rFonts w:ascii="Times New Roman" w:hAnsi="Times New Roman" w:cs="Times New Roman"/>
          <w:kern w:val="0"/>
          <w:sz w:val="21"/>
          <w:szCs w:val="21"/>
        </w:rPr>
      </w:pPr>
      <w:bookmarkStart w:id="283" w:name="_Toc11800"/>
      <w:r>
        <w:rPr>
          <w:rFonts w:ascii="Times New Roman" w:hAnsi="Times New Roman" w:cs="Times New Roman"/>
          <w:kern w:val="0"/>
          <w:sz w:val="21"/>
          <w:szCs w:val="21"/>
        </w:rPr>
        <w:t>8.3  原始权益人报告</w:t>
      </w:r>
      <w:bookmarkEnd w:id="283"/>
    </w:p>
    <w:p w14:paraId="6531CFBB">
      <w:pPr>
        <w:autoSpaceDE w:val="0"/>
        <w:autoSpaceDN w:val="0"/>
        <w:adjustRightInd w:val="0"/>
        <w:spacing w:line="360" w:lineRule="auto"/>
        <w:jc w:val="left"/>
        <w:rPr>
          <w:b/>
          <w:kern w:val="0"/>
        </w:rPr>
      </w:pPr>
      <w:r>
        <w:rPr>
          <w:b/>
          <w:kern w:val="0"/>
        </w:rPr>
        <w:t>8.3.1 报告期内原始权益人或者其同一控制下关联方卖出战略配售取得的</w:t>
      </w:r>
      <w:r>
        <w:rPr>
          <w:rFonts w:hint="eastAsia"/>
          <w:b/>
          <w:kern w:val="0"/>
        </w:rPr>
        <w:t>不动产</w:t>
      </w:r>
      <w:r>
        <w:rPr>
          <w:b/>
          <w:kern w:val="0"/>
        </w:rPr>
        <w:t>基金份额情况</w:t>
      </w:r>
    </w:p>
    <w:p w14:paraId="42FB2E32">
      <w:pPr>
        <w:spacing w:line="360" w:lineRule="auto"/>
        <w:ind w:firstLine="420" w:firstLineChars="200"/>
      </w:pPr>
      <w:r>
        <w:t>报告期内原始权益人或其同一控制下关联方未卖出战略配售份额。</w:t>
      </w:r>
    </w:p>
    <w:p w14:paraId="39281845">
      <w:pPr>
        <w:autoSpaceDE w:val="0"/>
        <w:autoSpaceDN w:val="0"/>
        <w:adjustRightInd w:val="0"/>
        <w:spacing w:line="360" w:lineRule="auto"/>
        <w:jc w:val="left"/>
        <w:rPr>
          <w:b/>
          <w:kern w:val="0"/>
        </w:rPr>
      </w:pPr>
      <w:r>
        <w:rPr>
          <w:b/>
          <w:kern w:val="0"/>
        </w:rPr>
        <w:t>8.3.2 报告期末原始权益人或者其同一控制下关联方持有</w:t>
      </w:r>
      <w:r>
        <w:rPr>
          <w:rFonts w:hint="eastAsia"/>
          <w:b/>
          <w:kern w:val="0"/>
        </w:rPr>
        <w:t>不动产</w:t>
      </w:r>
      <w:r>
        <w:rPr>
          <w:b/>
          <w:kern w:val="0"/>
        </w:rPr>
        <w:t>基金份额情况</w:t>
      </w:r>
    </w:p>
    <w:p w14:paraId="5237DC51">
      <w:pPr>
        <w:spacing w:line="360" w:lineRule="auto"/>
        <w:ind w:firstLine="420" w:firstLineChars="200"/>
      </w:pPr>
      <w:r>
        <w:t>报告期内原始权益人或其同一控制下关联方合计持有454,761,877份不动产基金份额。其中：招商局蛇口工业区控股股份有限公司持有288,000,000份，招商局光明科技园有限公司持有166,761,877份。</w:t>
      </w:r>
    </w:p>
    <w:p w14:paraId="440BF3AE">
      <w:pPr>
        <w:autoSpaceDE w:val="0"/>
        <w:autoSpaceDN w:val="0"/>
        <w:adjustRightInd w:val="0"/>
        <w:spacing w:line="360" w:lineRule="auto"/>
        <w:jc w:val="left"/>
        <w:rPr>
          <w:b/>
          <w:kern w:val="0"/>
        </w:rPr>
      </w:pPr>
      <w:r>
        <w:rPr>
          <w:b/>
          <w:kern w:val="0"/>
        </w:rPr>
        <w:t>8.3.3 报告期内原始权益人及其一致行动人增持计划和进展情况</w:t>
      </w:r>
    </w:p>
    <w:p w14:paraId="19903567">
      <w:pPr>
        <w:spacing w:line="360" w:lineRule="auto"/>
        <w:ind w:firstLine="420" w:firstLineChars="200"/>
      </w:pPr>
      <w:r>
        <w:t>未涉及。</w:t>
      </w:r>
    </w:p>
    <w:p w14:paraId="4C5D6611">
      <w:pPr>
        <w:autoSpaceDE w:val="0"/>
        <w:autoSpaceDN w:val="0"/>
        <w:adjustRightInd w:val="0"/>
        <w:spacing w:line="360" w:lineRule="auto"/>
        <w:jc w:val="left"/>
        <w:rPr>
          <w:b/>
          <w:kern w:val="0"/>
        </w:rPr>
      </w:pPr>
      <w:r>
        <w:rPr>
          <w:b/>
          <w:kern w:val="0"/>
        </w:rPr>
        <w:t>8.3.4 报告期内信息披露配合义务的落实情况</w:t>
      </w:r>
    </w:p>
    <w:p w14:paraId="3621761D">
      <w:pPr>
        <w:spacing w:line="360" w:lineRule="auto"/>
        <w:ind w:firstLine="420" w:firstLineChars="200"/>
      </w:pPr>
      <w:r>
        <w:t>报告期内招商局蛇口工业区控股股份有限公司及其子公司招商局光明科技园有限公司严格遵守《中华人民共和国证券法》、《上市公司信息披露管理办法》、《深圳证券交易所上市公司自律监管指引第五号-信息披露事务管理》和不动产投资信托基金相关信息披露业务指引，制定了信息披露事务管理制度，保密制度及内幕信息知情人登记制度，严格规范内部信息管理，同时招商局蛇口工业区控股股份有限公司的子公司，博时蛇口产园REIT的运营机构招商创业制定了《博时蛇口产园REIT项目信息披露配合管理办法》，配合基金管理人完成不动产投资信托基金的信息披露，遵守保密义务。同时，配合基金管理人基金开展形式多样的投资者关系活动，涵盖定期举办经营业绩说明会、投资者交流活动，及时回应投资者问题，增强投资者对基金的认可。</w:t>
      </w:r>
    </w:p>
    <w:p w14:paraId="3CBD0B81">
      <w:pPr>
        <w:autoSpaceDE w:val="0"/>
        <w:autoSpaceDN w:val="0"/>
        <w:adjustRightInd w:val="0"/>
        <w:spacing w:line="360" w:lineRule="auto"/>
        <w:jc w:val="left"/>
        <w:rPr>
          <w:b/>
          <w:kern w:val="0"/>
        </w:rPr>
      </w:pPr>
      <w:r>
        <w:rPr>
          <w:b/>
          <w:kern w:val="0"/>
        </w:rPr>
        <w:t>8.3.5 报告期内其他可能对基金份额持有人权益产生重大影响的重大变化情况</w:t>
      </w:r>
    </w:p>
    <w:p w14:paraId="3B6F2CF4">
      <w:pPr>
        <w:spacing w:line="360" w:lineRule="auto"/>
        <w:ind w:firstLine="420" w:firstLineChars="200"/>
      </w:pPr>
      <w:r>
        <w:t>未涉及。</w:t>
      </w:r>
    </w:p>
    <w:p w14:paraId="36BDE9C2">
      <w:pPr>
        <w:pStyle w:val="2"/>
        <w:spacing w:before="312" w:beforeLines="100" w:after="312" w:afterLines="100" w:line="360" w:lineRule="auto"/>
        <w:jc w:val="center"/>
        <w:rPr>
          <w:kern w:val="0"/>
          <w:sz w:val="21"/>
          <w:szCs w:val="21"/>
        </w:rPr>
      </w:pPr>
      <w:bookmarkStart w:id="284" w:name="_Toc14370"/>
      <w:r>
        <w:rPr>
          <w:kern w:val="0"/>
          <w:sz w:val="21"/>
          <w:szCs w:val="21"/>
        </w:rPr>
        <w:t>§9  中期财务报告</w:t>
      </w:r>
      <w:bookmarkEnd w:id="268"/>
      <w:bookmarkEnd w:id="269"/>
      <w:bookmarkEnd w:id="270"/>
      <w:bookmarkEnd w:id="271"/>
      <w:bookmarkEnd w:id="272"/>
      <w:bookmarkEnd w:id="273"/>
      <w:bookmarkEnd w:id="274"/>
      <w:r>
        <w:rPr>
          <w:kern w:val="0"/>
          <w:sz w:val="21"/>
          <w:szCs w:val="21"/>
        </w:rPr>
        <w:t>（未经审计）</w:t>
      </w:r>
      <w:bookmarkEnd w:id="284"/>
    </w:p>
    <w:p w14:paraId="2EBD9B5B">
      <w:pPr>
        <w:pStyle w:val="3"/>
        <w:rPr>
          <w:rFonts w:ascii="Times New Roman" w:hAnsi="Times New Roman" w:cs="Times New Roman"/>
          <w:sz w:val="21"/>
          <w:szCs w:val="21"/>
        </w:rPr>
      </w:pPr>
      <w:bookmarkStart w:id="285" w:name="_Toc98601344"/>
      <w:bookmarkStart w:id="286" w:name="_Toc98512409"/>
      <w:bookmarkStart w:id="287" w:name="_Toc98511653"/>
      <w:bookmarkStart w:id="288" w:name="_Toc20261"/>
      <w:bookmarkStart w:id="289" w:name="_Toc98603018"/>
      <w:bookmarkStart w:id="290" w:name="_Toc86080612"/>
      <w:bookmarkStart w:id="291" w:name="_Toc98508990"/>
      <w:bookmarkStart w:id="292" w:name="_Toc98602693"/>
      <w:r>
        <w:rPr>
          <w:rFonts w:ascii="Times New Roman" w:hAnsi="Times New Roman" w:cs="Times New Roman"/>
          <w:kern w:val="0"/>
          <w:sz w:val="21"/>
          <w:szCs w:val="21"/>
        </w:rPr>
        <w:t>9.1</w:t>
      </w:r>
      <w:r>
        <w:rPr>
          <w:rFonts w:ascii="Times New Roman" w:hAnsi="Times New Roman" w:cs="Times New Roman"/>
          <w:sz w:val="21"/>
          <w:szCs w:val="21"/>
        </w:rPr>
        <w:t xml:space="preserve"> 资产负债表</w:t>
      </w:r>
      <w:bookmarkEnd w:id="285"/>
      <w:bookmarkEnd w:id="286"/>
      <w:bookmarkEnd w:id="287"/>
      <w:bookmarkEnd w:id="288"/>
      <w:bookmarkEnd w:id="289"/>
      <w:bookmarkEnd w:id="290"/>
      <w:bookmarkEnd w:id="291"/>
      <w:bookmarkEnd w:id="292"/>
    </w:p>
    <w:p w14:paraId="3AFDD0C5">
      <w:pPr>
        <w:spacing w:line="360" w:lineRule="auto"/>
        <w:outlineLvl w:val="2"/>
        <w:rPr>
          <w:b/>
        </w:rPr>
      </w:pPr>
      <w:bookmarkStart w:id="293" w:name="_Toc96424948"/>
      <w:bookmarkStart w:id="294" w:name="_Toc98602694"/>
      <w:bookmarkStart w:id="295" w:name="_Toc98601345"/>
      <w:r>
        <w:rPr>
          <w:b/>
          <w:kern w:val="0"/>
        </w:rPr>
        <w:t>9.1.1</w:t>
      </w:r>
      <w:r>
        <w:rPr>
          <w:b/>
        </w:rPr>
        <w:t xml:space="preserve">  合并资产负债表</w:t>
      </w:r>
      <w:bookmarkEnd w:id="293"/>
      <w:bookmarkEnd w:id="294"/>
      <w:bookmarkEnd w:id="295"/>
    </w:p>
    <w:p w14:paraId="363EDFD2">
      <w:pPr>
        <w:spacing w:line="360" w:lineRule="auto"/>
        <w:rPr>
          <w:b/>
        </w:rPr>
      </w:pPr>
      <w:r>
        <w:t>会计主体：博时招商蛇口产业园封闭式基础设施证券投资基金</w:t>
      </w:r>
    </w:p>
    <w:p w14:paraId="251D555B">
      <w:pPr>
        <w:spacing w:line="360" w:lineRule="auto"/>
      </w:pPr>
      <w:r>
        <w:t>报告截止日：2026年6月30日</w:t>
      </w:r>
    </w:p>
    <w:p w14:paraId="71604445">
      <w:pPr>
        <w:spacing w:line="360" w:lineRule="auto"/>
        <w:ind w:right="565" w:rightChars="269"/>
        <w:jc w:val="right"/>
        <w:rPr>
          <w:b/>
        </w:rPr>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1701"/>
        <w:gridCol w:w="2410"/>
        <w:gridCol w:w="2411"/>
      </w:tblGrid>
      <w:tr w14:paraId="65E0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top w:val="single" w:color="auto" w:sz="4" w:space="0"/>
            </w:tcBorders>
            <w:vAlign w:val="center"/>
          </w:tcPr>
          <w:p w14:paraId="1527FE75">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资 产</w:t>
            </w:r>
          </w:p>
        </w:tc>
        <w:tc>
          <w:tcPr>
            <w:tcW w:w="1701" w:type="dxa"/>
            <w:tcBorders>
              <w:top w:val="single" w:color="auto" w:sz="4" w:space="0"/>
            </w:tcBorders>
            <w:vAlign w:val="center"/>
          </w:tcPr>
          <w:p w14:paraId="3A599DDB">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附注号</w:t>
            </w:r>
          </w:p>
        </w:tc>
        <w:tc>
          <w:tcPr>
            <w:tcW w:w="2410" w:type="dxa"/>
            <w:tcBorders>
              <w:top w:val="single" w:color="auto" w:sz="4" w:space="0"/>
            </w:tcBorders>
            <w:vAlign w:val="center"/>
          </w:tcPr>
          <w:p w14:paraId="1B099BC0">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本期末</w:t>
            </w:r>
          </w:p>
          <w:p w14:paraId="5AA8C946">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kern w:val="2"/>
                <w:sz w:val="21"/>
                <w:szCs w:val="21"/>
              </w:rPr>
              <w:t>2026年6月30日</w:t>
            </w:r>
          </w:p>
        </w:tc>
        <w:tc>
          <w:tcPr>
            <w:tcW w:w="2411" w:type="dxa"/>
            <w:tcBorders>
              <w:top w:val="single" w:color="auto" w:sz="4" w:space="0"/>
            </w:tcBorders>
            <w:vAlign w:val="center"/>
          </w:tcPr>
          <w:p w14:paraId="183E68EF">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上年度末</w:t>
            </w:r>
          </w:p>
          <w:p w14:paraId="2D4C5EE2">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2025年12月31日</w:t>
            </w:r>
          </w:p>
        </w:tc>
      </w:tr>
      <w:tr w14:paraId="5260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7DBAE336">
            <w:pPr>
              <w:pStyle w:val="36"/>
              <w:spacing w:line="360" w:lineRule="auto"/>
              <w:rPr>
                <w:rFonts w:ascii="Times New Roman" w:hAnsi="Times New Roman" w:cs="Times New Roman"/>
                <w:b/>
                <w:sz w:val="21"/>
                <w:szCs w:val="21"/>
              </w:rPr>
            </w:pPr>
            <w:r>
              <w:rPr>
                <w:rFonts w:ascii="Times New Roman" w:hAnsi="Times New Roman" w:cs="Times New Roman"/>
                <w:b/>
                <w:sz w:val="21"/>
                <w:szCs w:val="21"/>
              </w:rPr>
              <w:t>资 产：</w:t>
            </w:r>
          </w:p>
        </w:tc>
        <w:tc>
          <w:tcPr>
            <w:tcW w:w="1701" w:type="dxa"/>
            <w:vAlign w:val="center"/>
          </w:tcPr>
          <w:p w14:paraId="05AB9365">
            <w:pPr>
              <w:pStyle w:val="36"/>
              <w:spacing w:line="360" w:lineRule="auto"/>
              <w:jc w:val="center"/>
              <w:rPr>
                <w:rFonts w:ascii="Times New Roman" w:hAnsi="Times New Roman" w:cs="Times New Roman"/>
                <w:sz w:val="21"/>
                <w:szCs w:val="21"/>
              </w:rPr>
            </w:pPr>
          </w:p>
        </w:tc>
        <w:tc>
          <w:tcPr>
            <w:tcW w:w="2410" w:type="dxa"/>
          </w:tcPr>
          <w:p w14:paraId="22423813">
            <w:pPr>
              <w:pStyle w:val="36"/>
              <w:spacing w:line="360" w:lineRule="auto"/>
              <w:rPr>
                <w:rFonts w:ascii="Times New Roman" w:hAnsi="Times New Roman" w:cs="Times New Roman"/>
                <w:sz w:val="21"/>
                <w:szCs w:val="21"/>
              </w:rPr>
            </w:pPr>
          </w:p>
        </w:tc>
        <w:tc>
          <w:tcPr>
            <w:tcW w:w="2411" w:type="dxa"/>
          </w:tcPr>
          <w:p w14:paraId="616DF516">
            <w:pPr>
              <w:pStyle w:val="36"/>
              <w:spacing w:line="360" w:lineRule="auto"/>
              <w:rPr>
                <w:rFonts w:ascii="Times New Roman" w:hAnsi="Times New Roman" w:cs="Times New Roman"/>
                <w:sz w:val="21"/>
                <w:szCs w:val="21"/>
              </w:rPr>
            </w:pPr>
          </w:p>
        </w:tc>
      </w:tr>
      <w:tr w14:paraId="22958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F6DB7A7">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货币资金</w:t>
            </w:r>
          </w:p>
        </w:tc>
        <w:tc>
          <w:tcPr>
            <w:tcW w:w="1701" w:type="dxa"/>
            <w:vAlign w:val="center"/>
          </w:tcPr>
          <w:p w14:paraId="3F2B56B6">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w:t>
            </w:r>
          </w:p>
        </w:tc>
        <w:tc>
          <w:tcPr>
            <w:tcW w:w="2410" w:type="dxa"/>
            <w:vAlign w:val="center"/>
          </w:tcPr>
          <w:p w14:paraId="7CAA642C">
            <w:pPr>
              <w:spacing w:line="360" w:lineRule="auto"/>
              <w:jc w:val="right"/>
            </w:pPr>
            <w:r>
              <w:t>46,611,366.15</w:t>
            </w:r>
          </w:p>
        </w:tc>
        <w:tc>
          <w:tcPr>
            <w:tcW w:w="2411" w:type="dxa"/>
            <w:vAlign w:val="center"/>
          </w:tcPr>
          <w:p w14:paraId="2FD1E6F1">
            <w:pPr>
              <w:spacing w:line="360" w:lineRule="auto"/>
              <w:jc w:val="right"/>
            </w:pPr>
            <w:r>
              <w:t>11,307,169.25</w:t>
            </w:r>
          </w:p>
        </w:tc>
      </w:tr>
      <w:tr w14:paraId="7CE3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D985A16">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结算备付金</w:t>
            </w:r>
          </w:p>
        </w:tc>
        <w:tc>
          <w:tcPr>
            <w:tcW w:w="1701" w:type="dxa"/>
            <w:vAlign w:val="center"/>
          </w:tcPr>
          <w:p w14:paraId="38C4D43C">
            <w:pPr>
              <w:pStyle w:val="36"/>
              <w:spacing w:line="360" w:lineRule="auto"/>
              <w:jc w:val="center"/>
              <w:rPr>
                <w:rFonts w:ascii="Times New Roman" w:hAnsi="Times New Roman" w:cs="Times New Roman"/>
                <w:sz w:val="21"/>
                <w:szCs w:val="21"/>
              </w:rPr>
            </w:pPr>
          </w:p>
        </w:tc>
        <w:tc>
          <w:tcPr>
            <w:tcW w:w="2410" w:type="dxa"/>
            <w:vAlign w:val="center"/>
          </w:tcPr>
          <w:p w14:paraId="720EDE41">
            <w:pPr>
              <w:spacing w:line="360" w:lineRule="auto"/>
              <w:jc w:val="right"/>
            </w:pPr>
            <w:r>
              <w:t>-</w:t>
            </w:r>
          </w:p>
        </w:tc>
        <w:tc>
          <w:tcPr>
            <w:tcW w:w="2411" w:type="dxa"/>
            <w:vAlign w:val="center"/>
          </w:tcPr>
          <w:p w14:paraId="3F71695C">
            <w:pPr>
              <w:spacing w:line="360" w:lineRule="auto"/>
              <w:jc w:val="right"/>
            </w:pPr>
            <w:r>
              <w:t>-</w:t>
            </w:r>
          </w:p>
        </w:tc>
      </w:tr>
      <w:tr w14:paraId="42FA6611">
        <w:tblPrEx>
          <w:tblCellMar>
            <w:top w:w="0" w:type="dxa"/>
            <w:left w:w="108" w:type="dxa"/>
            <w:bottom w:w="0" w:type="dxa"/>
            <w:right w:w="108" w:type="dxa"/>
          </w:tblCellMar>
        </w:tblPrEx>
        <w:trPr>
          <w:trHeight w:val="300" w:hRule="atLeast"/>
        </w:trPr>
        <w:tc>
          <w:tcPr>
            <w:tcW w:w="2518" w:type="dxa"/>
            <w:vAlign w:val="center"/>
          </w:tcPr>
          <w:p w14:paraId="4AD9B4C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存出保证金</w:t>
            </w:r>
          </w:p>
        </w:tc>
        <w:tc>
          <w:tcPr>
            <w:tcW w:w="1701" w:type="dxa"/>
            <w:vAlign w:val="center"/>
          </w:tcPr>
          <w:p w14:paraId="1CF80F94">
            <w:pPr>
              <w:pStyle w:val="36"/>
              <w:spacing w:line="360" w:lineRule="auto"/>
              <w:jc w:val="center"/>
              <w:rPr>
                <w:rFonts w:ascii="Times New Roman" w:hAnsi="Times New Roman" w:cs="Times New Roman"/>
                <w:sz w:val="21"/>
                <w:szCs w:val="21"/>
              </w:rPr>
            </w:pPr>
          </w:p>
        </w:tc>
        <w:tc>
          <w:tcPr>
            <w:tcW w:w="2410" w:type="dxa"/>
            <w:vAlign w:val="center"/>
          </w:tcPr>
          <w:p w14:paraId="737A74D5">
            <w:pPr>
              <w:spacing w:line="360" w:lineRule="auto"/>
              <w:jc w:val="right"/>
            </w:pPr>
            <w:r>
              <w:t>-</w:t>
            </w:r>
          </w:p>
        </w:tc>
        <w:tc>
          <w:tcPr>
            <w:tcW w:w="2411" w:type="dxa"/>
            <w:vAlign w:val="center"/>
          </w:tcPr>
          <w:p w14:paraId="3BE107F0">
            <w:pPr>
              <w:spacing w:line="360" w:lineRule="auto"/>
              <w:jc w:val="right"/>
            </w:pPr>
            <w:r>
              <w:t>-</w:t>
            </w:r>
          </w:p>
        </w:tc>
      </w:tr>
      <w:tr w14:paraId="7401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B2A78E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衍生金融资产</w:t>
            </w:r>
          </w:p>
        </w:tc>
        <w:tc>
          <w:tcPr>
            <w:tcW w:w="1701" w:type="dxa"/>
            <w:vAlign w:val="center"/>
          </w:tcPr>
          <w:p w14:paraId="476C66B8">
            <w:pPr>
              <w:pStyle w:val="36"/>
              <w:spacing w:line="360" w:lineRule="auto"/>
              <w:jc w:val="center"/>
              <w:rPr>
                <w:rFonts w:ascii="Times New Roman" w:hAnsi="Times New Roman" w:cs="Times New Roman"/>
                <w:sz w:val="21"/>
                <w:szCs w:val="21"/>
              </w:rPr>
            </w:pPr>
          </w:p>
        </w:tc>
        <w:tc>
          <w:tcPr>
            <w:tcW w:w="2410" w:type="dxa"/>
            <w:vAlign w:val="center"/>
          </w:tcPr>
          <w:p w14:paraId="24AD7AE9">
            <w:pPr>
              <w:spacing w:line="360" w:lineRule="auto"/>
              <w:jc w:val="right"/>
            </w:pPr>
            <w:r>
              <w:t>-</w:t>
            </w:r>
          </w:p>
        </w:tc>
        <w:tc>
          <w:tcPr>
            <w:tcW w:w="2411" w:type="dxa"/>
            <w:vAlign w:val="center"/>
          </w:tcPr>
          <w:p w14:paraId="2E50FCDC">
            <w:pPr>
              <w:spacing w:line="360" w:lineRule="auto"/>
              <w:jc w:val="right"/>
            </w:pPr>
            <w:r>
              <w:t>-</w:t>
            </w:r>
          </w:p>
        </w:tc>
      </w:tr>
      <w:tr w14:paraId="1648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718B49A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交易性金融资产</w:t>
            </w:r>
          </w:p>
        </w:tc>
        <w:tc>
          <w:tcPr>
            <w:tcW w:w="1701" w:type="dxa"/>
            <w:vAlign w:val="center"/>
          </w:tcPr>
          <w:p w14:paraId="079466C1">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9.5.6.2</w:t>
            </w:r>
          </w:p>
        </w:tc>
        <w:tc>
          <w:tcPr>
            <w:tcW w:w="2410" w:type="dxa"/>
            <w:vAlign w:val="center"/>
          </w:tcPr>
          <w:p w14:paraId="6336B5AE">
            <w:pPr>
              <w:spacing w:line="360" w:lineRule="auto"/>
              <w:jc w:val="right"/>
            </w:pPr>
            <w:r>
              <w:t>67,415,095.54</w:t>
            </w:r>
          </w:p>
        </w:tc>
        <w:tc>
          <w:tcPr>
            <w:tcW w:w="2411" w:type="dxa"/>
            <w:vAlign w:val="center"/>
          </w:tcPr>
          <w:p w14:paraId="44E4BD8F">
            <w:pPr>
              <w:spacing w:line="360" w:lineRule="auto"/>
              <w:jc w:val="right"/>
            </w:pPr>
            <w:r>
              <w:t>81,889,696.90</w:t>
            </w:r>
          </w:p>
        </w:tc>
      </w:tr>
      <w:tr w14:paraId="021A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9836D74">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买入返售金融资产</w:t>
            </w:r>
          </w:p>
        </w:tc>
        <w:tc>
          <w:tcPr>
            <w:tcW w:w="1701" w:type="dxa"/>
            <w:vAlign w:val="center"/>
          </w:tcPr>
          <w:p w14:paraId="120AA3D4">
            <w:pPr>
              <w:pStyle w:val="36"/>
              <w:spacing w:line="360" w:lineRule="auto"/>
              <w:jc w:val="center"/>
              <w:rPr>
                <w:rFonts w:ascii="Times New Roman" w:hAnsi="Times New Roman" w:cs="Times New Roman"/>
                <w:sz w:val="21"/>
                <w:szCs w:val="21"/>
              </w:rPr>
            </w:pPr>
          </w:p>
        </w:tc>
        <w:tc>
          <w:tcPr>
            <w:tcW w:w="2410" w:type="dxa"/>
            <w:vAlign w:val="center"/>
          </w:tcPr>
          <w:p w14:paraId="3D3BC7B2">
            <w:pPr>
              <w:spacing w:line="360" w:lineRule="auto"/>
              <w:jc w:val="right"/>
            </w:pPr>
            <w:r>
              <w:t>-</w:t>
            </w:r>
          </w:p>
        </w:tc>
        <w:tc>
          <w:tcPr>
            <w:tcW w:w="2411" w:type="dxa"/>
            <w:vAlign w:val="center"/>
          </w:tcPr>
          <w:p w14:paraId="3968BCAC">
            <w:pPr>
              <w:spacing w:line="360" w:lineRule="auto"/>
              <w:jc w:val="right"/>
            </w:pPr>
            <w:r>
              <w:t>-</w:t>
            </w:r>
          </w:p>
        </w:tc>
      </w:tr>
      <w:tr w14:paraId="2B359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F954A8E">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债权投资</w:t>
            </w:r>
          </w:p>
        </w:tc>
        <w:tc>
          <w:tcPr>
            <w:tcW w:w="1701" w:type="dxa"/>
            <w:vAlign w:val="center"/>
          </w:tcPr>
          <w:p w14:paraId="7D5A02C0">
            <w:pPr>
              <w:pStyle w:val="36"/>
              <w:spacing w:line="360" w:lineRule="auto"/>
              <w:jc w:val="center"/>
              <w:rPr>
                <w:rFonts w:ascii="Times New Roman" w:hAnsi="Times New Roman" w:cs="Times New Roman"/>
                <w:sz w:val="21"/>
                <w:szCs w:val="21"/>
              </w:rPr>
            </w:pPr>
          </w:p>
        </w:tc>
        <w:tc>
          <w:tcPr>
            <w:tcW w:w="2410" w:type="dxa"/>
            <w:vAlign w:val="center"/>
          </w:tcPr>
          <w:p w14:paraId="01287671">
            <w:pPr>
              <w:spacing w:line="360" w:lineRule="auto"/>
              <w:jc w:val="right"/>
            </w:pPr>
            <w:r>
              <w:t>-</w:t>
            </w:r>
          </w:p>
        </w:tc>
        <w:tc>
          <w:tcPr>
            <w:tcW w:w="2411" w:type="dxa"/>
            <w:vAlign w:val="center"/>
          </w:tcPr>
          <w:p w14:paraId="085475BE">
            <w:pPr>
              <w:spacing w:line="360" w:lineRule="auto"/>
              <w:jc w:val="right"/>
            </w:pPr>
            <w:r>
              <w:t>-</w:t>
            </w:r>
          </w:p>
        </w:tc>
      </w:tr>
      <w:tr w14:paraId="05461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32E9D1E">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其他债权投资</w:t>
            </w:r>
          </w:p>
        </w:tc>
        <w:tc>
          <w:tcPr>
            <w:tcW w:w="1701" w:type="dxa"/>
            <w:vAlign w:val="center"/>
          </w:tcPr>
          <w:p w14:paraId="6E4E552F">
            <w:pPr>
              <w:pStyle w:val="36"/>
              <w:spacing w:line="360" w:lineRule="auto"/>
              <w:jc w:val="center"/>
              <w:rPr>
                <w:rFonts w:ascii="Times New Roman" w:hAnsi="Times New Roman" w:cs="Times New Roman"/>
                <w:sz w:val="21"/>
                <w:szCs w:val="21"/>
              </w:rPr>
            </w:pPr>
          </w:p>
        </w:tc>
        <w:tc>
          <w:tcPr>
            <w:tcW w:w="2410" w:type="dxa"/>
            <w:vAlign w:val="center"/>
          </w:tcPr>
          <w:p w14:paraId="4E26E6F5">
            <w:pPr>
              <w:spacing w:line="360" w:lineRule="auto"/>
              <w:jc w:val="right"/>
            </w:pPr>
            <w:r>
              <w:t>-</w:t>
            </w:r>
          </w:p>
        </w:tc>
        <w:tc>
          <w:tcPr>
            <w:tcW w:w="2411" w:type="dxa"/>
            <w:vAlign w:val="center"/>
          </w:tcPr>
          <w:p w14:paraId="45771AA6">
            <w:pPr>
              <w:spacing w:line="360" w:lineRule="auto"/>
              <w:jc w:val="right"/>
            </w:pPr>
            <w:r>
              <w:t>-</w:t>
            </w:r>
          </w:p>
        </w:tc>
      </w:tr>
      <w:tr w14:paraId="77328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DE21297">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其他权益工具投资</w:t>
            </w:r>
          </w:p>
        </w:tc>
        <w:tc>
          <w:tcPr>
            <w:tcW w:w="1701" w:type="dxa"/>
            <w:vAlign w:val="center"/>
          </w:tcPr>
          <w:p w14:paraId="14F00A78">
            <w:pPr>
              <w:pStyle w:val="36"/>
              <w:spacing w:line="360" w:lineRule="auto"/>
              <w:jc w:val="center"/>
              <w:rPr>
                <w:rFonts w:ascii="Times New Roman" w:hAnsi="Times New Roman" w:cs="Times New Roman"/>
                <w:sz w:val="21"/>
                <w:szCs w:val="21"/>
              </w:rPr>
            </w:pPr>
          </w:p>
        </w:tc>
        <w:tc>
          <w:tcPr>
            <w:tcW w:w="2410" w:type="dxa"/>
            <w:vAlign w:val="center"/>
          </w:tcPr>
          <w:p w14:paraId="57CE4860">
            <w:pPr>
              <w:spacing w:line="360" w:lineRule="auto"/>
              <w:jc w:val="right"/>
            </w:pPr>
            <w:r>
              <w:t>-</w:t>
            </w:r>
          </w:p>
        </w:tc>
        <w:tc>
          <w:tcPr>
            <w:tcW w:w="2411" w:type="dxa"/>
            <w:vAlign w:val="center"/>
          </w:tcPr>
          <w:p w14:paraId="1FBB8037">
            <w:pPr>
              <w:spacing w:line="360" w:lineRule="auto"/>
              <w:jc w:val="right"/>
            </w:pPr>
            <w:r>
              <w:t>-</w:t>
            </w:r>
          </w:p>
        </w:tc>
      </w:tr>
      <w:tr w14:paraId="20C7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top w:val="single" w:color="auto" w:sz="4" w:space="0"/>
              <w:left w:val="single" w:color="auto" w:sz="4" w:space="0"/>
              <w:bottom w:val="single" w:color="auto" w:sz="4" w:space="0"/>
              <w:right w:val="single" w:color="auto" w:sz="4" w:space="0"/>
            </w:tcBorders>
            <w:vAlign w:val="center"/>
          </w:tcPr>
          <w:p w14:paraId="67CC896E">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应收票据</w:t>
            </w:r>
          </w:p>
        </w:tc>
        <w:tc>
          <w:tcPr>
            <w:tcW w:w="1701" w:type="dxa"/>
            <w:tcBorders>
              <w:top w:val="single" w:color="auto" w:sz="4" w:space="0"/>
              <w:left w:val="single" w:color="auto" w:sz="4" w:space="0"/>
              <w:bottom w:val="single" w:color="auto" w:sz="4" w:space="0"/>
              <w:right w:val="single" w:color="auto" w:sz="4" w:space="0"/>
            </w:tcBorders>
            <w:vAlign w:val="center"/>
          </w:tcPr>
          <w:p w14:paraId="2CC12597">
            <w:pPr>
              <w:pStyle w:val="36"/>
              <w:spacing w:line="360" w:lineRule="auto"/>
              <w:jc w:val="center"/>
              <w:rPr>
                <w:rFonts w:ascii="Times New Roman" w:hAnsi="Times New Roman" w:cs="Times New Roman"/>
                <w:sz w:val="21"/>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08CBE986">
            <w:pPr>
              <w:spacing w:line="360" w:lineRule="auto"/>
              <w:jc w:val="right"/>
            </w:pPr>
            <w:r>
              <w:t>-</w:t>
            </w:r>
          </w:p>
        </w:tc>
        <w:tc>
          <w:tcPr>
            <w:tcW w:w="2411" w:type="dxa"/>
            <w:tcBorders>
              <w:top w:val="single" w:color="auto" w:sz="4" w:space="0"/>
              <w:left w:val="single" w:color="auto" w:sz="4" w:space="0"/>
              <w:bottom w:val="single" w:color="auto" w:sz="4" w:space="0"/>
              <w:right w:val="single" w:color="auto" w:sz="4" w:space="0"/>
            </w:tcBorders>
            <w:vAlign w:val="center"/>
          </w:tcPr>
          <w:p w14:paraId="11CA8117">
            <w:pPr>
              <w:spacing w:line="360" w:lineRule="auto"/>
              <w:jc w:val="right"/>
            </w:pPr>
            <w:r>
              <w:t>-</w:t>
            </w:r>
          </w:p>
        </w:tc>
      </w:tr>
      <w:tr w14:paraId="5A9FD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E5CD03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应收账款</w:t>
            </w:r>
          </w:p>
        </w:tc>
        <w:tc>
          <w:tcPr>
            <w:tcW w:w="1701" w:type="dxa"/>
            <w:vAlign w:val="center"/>
          </w:tcPr>
          <w:p w14:paraId="19ABF352">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9.5.6.3</w:t>
            </w:r>
          </w:p>
        </w:tc>
        <w:tc>
          <w:tcPr>
            <w:tcW w:w="2410" w:type="dxa"/>
            <w:vAlign w:val="center"/>
          </w:tcPr>
          <w:p w14:paraId="74A24C81">
            <w:pPr>
              <w:spacing w:line="360" w:lineRule="auto"/>
              <w:jc w:val="right"/>
            </w:pPr>
            <w:r>
              <w:t>14,354,241.80</w:t>
            </w:r>
          </w:p>
        </w:tc>
        <w:tc>
          <w:tcPr>
            <w:tcW w:w="2411" w:type="dxa"/>
            <w:vAlign w:val="center"/>
          </w:tcPr>
          <w:p w14:paraId="115DE827">
            <w:pPr>
              <w:spacing w:line="360" w:lineRule="auto"/>
              <w:jc w:val="right"/>
            </w:pPr>
            <w:r>
              <w:t>10,333,157.16</w:t>
            </w:r>
          </w:p>
        </w:tc>
      </w:tr>
      <w:tr w14:paraId="450D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184273C">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应收清算款</w:t>
            </w:r>
          </w:p>
        </w:tc>
        <w:tc>
          <w:tcPr>
            <w:tcW w:w="1701" w:type="dxa"/>
            <w:vAlign w:val="center"/>
          </w:tcPr>
          <w:p w14:paraId="05E1F0CF">
            <w:pPr>
              <w:pStyle w:val="36"/>
              <w:spacing w:line="360" w:lineRule="auto"/>
              <w:jc w:val="center"/>
              <w:rPr>
                <w:rFonts w:ascii="Times New Roman" w:hAnsi="Times New Roman" w:cs="Times New Roman"/>
                <w:sz w:val="21"/>
                <w:szCs w:val="21"/>
              </w:rPr>
            </w:pPr>
          </w:p>
        </w:tc>
        <w:tc>
          <w:tcPr>
            <w:tcW w:w="2410" w:type="dxa"/>
            <w:vAlign w:val="center"/>
          </w:tcPr>
          <w:p w14:paraId="47DFD7AB">
            <w:pPr>
              <w:spacing w:line="360" w:lineRule="auto"/>
              <w:jc w:val="right"/>
            </w:pPr>
            <w:r>
              <w:t>-</w:t>
            </w:r>
          </w:p>
        </w:tc>
        <w:tc>
          <w:tcPr>
            <w:tcW w:w="2411" w:type="dxa"/>
            <w:vAlign w:val="center"/>
          </w:tcPr>
          <w:p w14:paraId="716183E0">
            <w:pPr>
              <w:spacing w:line="360" w:lineRule="auto"/>
              <w:jc w:val="right"/>
            </w:pPr>
            <w:r>
              <w:t>-</w:t>
            </w:r>
          </w:p>
        </w:tc>
      </w:tr>
      <w:tr w14:paraId="61F6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213FD11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应收利息</w:t>
            </w:r>
          </w:p>
        </w:tc>
        <w:tc>
          <w:tcPr>
            <w:tcW w:w="1701" w:type="dxa"/>
            <w:vAlign w:val="center"/>
          </w:tcPr>
          <w:p w14:paraId="2845A5EB">
            <w:pPr>
              <w:pStyle w:val="36"/>
              <w:spacing w:line="360" w:lineRule="auto"/>
              <w:jc w:val="center"/>
              <w:rPr>
                <w:rFonts w:ascii="Times New Roman" w:hAnsi="Times New Roman" w:cs="Times New Roman"/>
                <w:sz w:val="21"/>
                <w:szCs w:val="21"/>
              </w:rPr>
            </w:pPr>
          </w:p>
        </w:tc>
        <w:tc>
          <w:tcPr>
            <w:tcW w:w="2410" w:type="dxa"/>
            <w:vAlign w:val="center"/>
          </w:tcPr>
          <w:p w14:paraId="12FAE930">
            <w:pPr>
              <w:spacing w:line="360" w:lineRule="auto"/>
              <w:jc w:val="right"/>
            </w:pPr>
            <w:r>
              <w:t>-</w:t>
            </w:r>
          </w:p>
        </w:tc>
        <w:tc>
          <w:tcPr>
            <w:tcW w:w="2411" w:type="dxa"/>
            <w:vAlign w:val="center"/>
          </w:tcPr>
          <w:p w14:paraId="3ED08E7C">
            <w:pPr>
              <w:spacing w:line="360" w:lineRule="auto"/>
              <w:jc w:val="right"/>
            </w:pPr>
            <w:r>
              <w:t>-</w:t>
            </w:r>
          </w:p>
        </w:tc>
      </w:tr>
      <w:tr w14:paraId="30C2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BBFD2EE">
            <w:pPr>
              <w:pStyle w:val="36"/>
              <w:spacing w:line="360" w:lineRule="auto"/>
              <w:ind w:left="468"/>
              <w:rPr>
                <w:rFonts w:ascii="Times New Roman" w:hAnsi="Times New Roman" w:cs="Times New Roman"/>
                <w:sz w:val="21"/>
                <w:szCs w:val="21"/>
              </w:rPr>
            </w:pPr>
            <w:r>
              <w:rPr>
                <w:rFonts w:ascii="Times New Roman" w:hAnsi="Times New Roman" w:cs="Times New Roman"/>
                <w:sz w:val="21"/>
                <w:szCs w:val="21"/>
              </w:rPr>
              <w:t>应收股利</w:t>
            </w:r>
          </w:p>
        </w:tc>
        <w:tc>
          <w:tcPr>
            <w:tcW w:w="1701" w:type="dxa"/>
            <w:vAlign w:val="center"/>
          </w:tcPr>
          <w:p w14:paraId="690BD989">
            <w:pPr>
              <w:pStyle w:val="36"/>
              <w:spacing w:line="360" w:lineRule="auto"/>
              <w:jc w:val="center"/>
              <w:rPr>
                <w:rFonts w:ascii="Times New Roman" w:hAnsi="Times New Roman" w:cs="Times New Roman"/>
                <w:sz w:val="21"/>
                <w:szCs w:val="21"/>
              </w:rPr>
            </w:pPr>
          </w:p>
        </w:tc>
        <w:tc>
          <w:tcPr>
            <w:tcW w:w="2410" w:type="dxa"/>
            <w:vAlign w:val="center"/>
          </w:tcPr>
          <w:p w14:paraId="06A55E40">
            <w:pPr>
              <w:spacing w:line="360" w:lineRule="auto"/>
              <w:jc w:val="right"/>
            </w:pPr>
            <w:r>
              <w:t>-</w:t>
            </w:r>
          </w:p>
        </w:tc>
        <w:tc>
          <w:tcPr>
            <w:tcW w:w="2411" w:type="dxa"/>
            <w:vAlign w:val="center"/>
          </w:tcPr>
          <w:p w14:paraId="111D6BEF">
            <w:pPr>
              <w:spacing w:line="360" w:lineRule="auto"/>
              <w:jc w:val="right"/>
            </w:pPr>
            <w:r>
              <w:t>-</w:t>
            </w:r>
          </w:p>
        </w:tc>
      </w:tr>
      <w:tr w14:paraId="46BF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2D56E7E9">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应收申购款</w:t>
            </w:r>
          </w:p>
        </w:tc>
        <w:tc>
          <w:tcPr>
            <w:tcW w:w="1701" w:type="dxa"/>
            <w:vAlign w:val="center"/>
          </w:tcPr>
          <w:p w14:paraId="7A0BB241">
            <w:pPr>
              <w:pStyle w:val="36"/>
              <w:spacing w:line="360" w:lineRule="auto"/>
              <w:jc w:val="center"/>
              <w:rPr>
                <w:rFonts w:ascii="Times New Roman" w:hAnsi="Times New Roman" w:cs="Times New Roman"/>
                <w:sz w:val="21"/>
                <w:szCs w:val="21"/>
              </w:rPr>
            </w:pPr>
          </w:p>
        </w:tc>
        <w:tc>
          <w:tcPr>
            <w:tcW w:w="2410" w:type="dxa"/>
            <w:vAlign w:val="center"/>
          </w:tcPr>
          <w:p w14:paraId="2DC254EF">
            <w:pPr>
              <w:spacing w:line="360" w:lineRule="auto"/>
              <w:jc w:val="right"/>
            </w:pPr>
            <w:r>
              <w:t>-</w:t>
            </w:r>
          </w:p>
        </w:tc>
        <w:tc>
          <w:tcPr>
            <w:tcW w:w="2411" w:type="dxa"/>
            <w:vAlign w:val="center"/>
          </w:tcPr>
          <w:p w14:paraId="13412F44">
            <w:pPr>
              <w:spacing w:line="360" w:lineRule="auto"/>
              <w:jc w:val="right"/>
            </w:pPr>
            <w:r>
              <w:t>-</w:t>
            </w:r>
          </w:p>
        </w:tc>
      </w:tr>
      <w:tr w14:paraId="1212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287F017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存货</w:t>
            </w:r>
          </w:p>
        </w:tc>
        <w:tc>
          <w:tcPr>
            <w:tcW w:w="1701" w:type="dxa"/>
            <w:vAlign w:val="center"/>
          </w:tcPr>
          <w:p w14:paraId="2B68768B">
            <w:pPr>
              <w:pStyle w:val="36"/>
              <w:spacing w:line="360" w:lineRule="auto"/>
              <w:jc w:val="center"/>
              <w:rPr>
                <w:rFonts w:ascii="Times New Roman" w:hAnsi="Times New Roman" w:cs="Times New Roman"/>
                <w:sz w:val="21"/>
                <w:szCs w:val="21"/>
              </w:rPr>
            </w:pPr>
          </w:p>
        </w:tc>
        <w:tc>
          <w:tcPr>
            <w:tcW w:w="2410" w:type="dxa"/>
            <w:vAlign w:val="center"/>
          </w:tcPr>
          <w:p w14:paraId="61988870">
            <w:pPr>
              <w:spacing w:line="360" w:lineRule="auto"/>
              <w:jc w:val="right"/>
            </w:pPr>
            <w:r>
              <w:t>-</w:t>
            </w:r>
          </w:p>
        </w:tc>
        <w:tc>
          <w:tcPr>
            <w:tcW w:w="2411" w:type="dxa"/>
            <w:vAlign w:val="center"/>
          </w:tcPr>
          <w:p w14:paraId="33B717A4">
            <w:pPr>
              <w:spacing w:line="360" w:lineRule="auto"/>
              <w:jc w:val="right"/>
            </w:pPr>
            <w:r>
              <w:t>-</w:t>
            </w:r>
          </w:p>
        </w:tc>
      </w:tr>
      <w:tr w14:paraId="0ED9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732CDEBC">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合同资产</w:t>
            </w:r>
          </w:p>
        </w:tc>
        <w:tc>
          <w:tcPr>
            <w:tcW w:w="1701" w:type="dxa"/>
            <w:vAlign w:val="center"/>
          </w:tcPr>
          <w:p w14:paraId="1B69BBB9">
            <w:pPr>
              <w:pStyle w:val="36"/>
              <w:spacing w:line="360" w:lineRule="auto"/>
              <w:jc w:val="center"/>
              <w:rPr>
                <w:rFonts w:ascii="Times New Roman" w:hAnsi="Times New Roman" w:cs="Times New Roman"/>
                <w:sz w:val="21"/>
                <w:szCs w:val="21"/>
              </w:rPr>
            </w:pPr>
          </w:p>
        </w:tc>
        <w:tc>
          <w:tcPr>
            <w:tcW w:w="2410" w:type="dxa"/>
            <w:vAlign w:val="center"/>
          </w:tcPr>
          <w:p w14:paraId="42537190">
            <w:pPr>
              <w:spacing w:line="360" w:lineRule="auto"/>
              <w:jc w:val="right"/>
            </w:pPr>
            <w:r>
              <w:t>-</w:t>
            </w:r>
          </w:p>
        </w:tc>
        <w:tc>
          <w:tcPr>
            <w:tcW w:w="2411" w:type="dxa"/>
            <w:vAlign w:val="center"/>
          </w:tcPr>
          <w:p w14:paraId="1638747C">
            <w:pPr>
              <w:spacing w:line="360" w:lineRule="auto"/>
              <w:jc w:val="right"/>
            </w:pPr>
            <w:r>
              <w:t>-</w:t>
            </w:r>
          </w:p>
        </w:tc>
      </w:tr>
      <w:tr w14:paraId="0072F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9B7393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持有待售资产</w:t>
            </w:r>
          </w:p>
        </w:tc>
        <w:tc>
          <w:tcPr>
            <w:tcW w:w="1701" w:type="dxa"/>
            <w:vAlign w:val="center"/>
          </w:tcPr>
          <w:p w14:paraId="151B3952">
            <w:pPr>
              <w:pStyle w:val="36"/>
              <w:spacing w:line="360" w:lineRule="auto"/>
              <w:jc w:val="center"/>
              <w:rPr>
                <w:rFonts w:ascii="Times New Roman" w:hAnsi="Times New Roman" w:cs="Times New Roman"/>
                <w:sz w:val="21"/>
                <w:szCs w:val="21"/>
              </w:rPr>
            </w:pPr>
          </w:p>
        </w:tc>
        <w:tc>
          <w:tcPr>
            <w:tcW w:w="2410" w:type="dxa"/>
            <w:vAlign w:val="center"/>
          </w:tcPr>
          <w:p w14:paraId="5072AAB2">
            <w:pPr>
              <w:spacing w:line="360" w:lineRule="auto"/>
              <w:jc w:val="right"/>
            </w:pPr>
            <w:r>
              <w:t>-</w:t>
            </w:r>
          </w:p>
        </w:tc>
        <w:tc>
          <w:tcPr>
            <w:tcW w:w="2411" w:type="dxa"/>
            <w:vAlign w:val="center"/>
          </w:tcPr>
          <w:p w14:paraId="5A0B5970">
            <w:pPr>
              <w:spacing w:line="360" w:lineRule="auto"/>
              <w:jc w:val="right"/>
            </w:pPr>
            <w:r>
              <w:t>-</w:t>
            </w:r>
          </w:p>
        </w:tc>
      </w:tr>
      <w:tr w14:paraId="2941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4A0327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长期股权投资</w:t>
            </w:r>
          </w:p>
        </w:tc>
        <w:tc>
          <w:tcPr>
            <w:tcW w:w="1701" w:type="dxa"/>
            <w:vAlign w:val="center"/>
          </w:tcPr>
          <w:p w14:paraId="20BC3BF3">
            <w:pPr>
              <w:pStyle w:val="36"/>
              <w:spacing w:line="360" w:lineRule="auto"/>
              <w:jc w:val="center"/>
              <w:rPr>
                <w:rFonts w:ascii="Times New Roman" w:hAnsi="Times New Roman" w:cs="Times New Roman"/>
                <w:sz w:val="21"/>
                <w:szCs w:val="21"/>
              </w:rPr>
            </w:pPr>
          </w:p>
        </w:tc>
        <w:tc>
          <w:tcPr>
            <w:tcW w:w="2410" w:type="dxa"/>
            <w:vAlign w:val="center"/>
          </w:tcPr>
          <w:p w14:paraId="705493DE">
            <w:pPr>
              <w:spacing w:line="360" w:lineRule="auto"/>
              <w:jc w:val="right"/>
            </w:pPr>
            <w:r>
              <w:t>-</w:t>
            </w:r>
          </w:p>
        </w:tc>
        <w:tc>
          <w:tcPr>
            <w:tcW w:w="2411" w:type="dxa"/>
            <w:vAlign w:val="center"/>
          </w:tcPr>
          <w:p w14:paraId="77B9AD7F">
            <w:pPr>
              <w:spacing w:line="360" w:lineRule="auto"/>
              <w:jc w:val="right"/>
            </w:pPr>
            <w:r>
              <w:t>-</w:t>
            </w:r>
          </w:p>
        </w:tc>
      </w:tr>
      <w:tr w14:paraId="1BA7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E326694">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投资性房地产</w:t>
            </w:r>
          </w:p>
        </w:tc>
        <w:tc>
          <w:tcPr>
            <w:tcW w:w="1701" w:type="dxa"/>
            <w:vAlign w:val="center"/>
          </w:tcPr>
          <w:p w14:paraId="4E961514">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9.5.6.4</w:t>
            </w:r>
          </w:p>
        </w:tc>
        <w:tc>
          <w:tcPr>
            <w:tcW w:w="2410" w:type="dxa"/>
            <w:vAlign w:val="center"/>
          </w:tcPr>
          <w:p w14:paraId="6EB38DE2">
            <w:pPr>
              <w:spacing w:line="360" w:lineRule="auto"/>
              <w:jc w:val="right"/>
            </w:pPr>
            <w:r>
              <w:t>3,268,352,491.58</w:t>
            </w:r>
          </w:p>
        </w:tc>
        <w:tc>
          <w:tcPr>
            <w:tcW w:w="2411" w:type="dxa"/>
            <w:vAlign w:val="center"/>
          </w:tcPr>
          <w:p w14:paraId="79570D56">
            <w:pPr>
              <w:spacing w:line="360" w:lineRule="auto"/>
              <w:jc w:val="right"/>
            </w:pPr>
            <w:r>
              <w:t>3,313,884,673.70</w:t>
            </w:r>
          </w:p>
        </w:tc>
      </w:tr>
      <w:tr w14:paraId="316F3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60D2B7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固定资产</w:t>
            </w:r>
          </w:p>
        </w:tc>
        <w:tc>
          <w:tcPr>
            <w:tcW w:w="1701" w:type="dxa"/>
            <w:vAlign w:val="center"/>
          </w:tcPr>
          <w:p w14:paraId="4249A8CF">
            <w:pPr>
              <w:pStyle w:val="36"/>
              <w:spacing w:line="360" w:lineRule="auto"/>
              <w:jc w:val="center"/>
              <w:rPr>
                <w:rFonts w:ascii="Times New Roman" w:hAnsi="Times New Roman" w:cs="Times New Roman"/>
                <w:sz w:val="21"/>
                <w:szCs w:val="21"/>
              </w:rPr>
            </w:pPr>
          </w:p>
        </w:tc>
        <w:tc>
          <w:tcPr>
            <w:tcW w:w="2410" w:type="dxa"/>
            <w:vAlign w:val="center"/>
          </w:tcPr>
          <w:p w14:paraId="1EDDDD9A">
            <w:pPr>
              <w:spacing w:line="360" w:lineRule="auto"/>
              <w:jc w:val="right"/>
            </w:pPr>
            <w:r>
              <w:t>-</w:t>
            </w:r>
          </w:p>
        </w:tc>
        <w:tc>
          <w:tcPr>
            <w:tcW w:w="2411" w:type="dxa"/>
            <w:vAlign w:val="center"/>
          </w:tcPr>
          <w:p w14:paraId="408B0C9A">
            <w:pPr>
              <w:spacing w:line="360" w:lineRule="auto"/>
              <w:jc w:val="right"/>
            </w:pPr>
            <w:r>
              <w:t>-</w:t>
            </w:r>
          </w:p>
        </w:tc>
      </w:tr>
      <w:tr w14:paraId="09B9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2B1154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在建工程</w:t>
            </w:r>
          </w:p>
        </w:tc>
        <w:tc>
          <w:tcPr>
            <w:tcW w:w="1701" w:type="dxa"/>
            <w:vAlign w:val="center"/>
          </w:tcPr>
          <w:p w14:paraId="2E88F35F">
            <w:pPr>
              <w:pStyle w:val="36"/>
              <w:spacing w:line="360" w:lineRule="auto"/>
              <w:jc w:val="center"/>
              <w:rPr>
                <w:rFonts w:ascii="Times New Roman" w:hAnsi="Times New Roman" w:cs="Times New Roman"/>
                <w:sz w:val="21"/>
                <w:szCs w:val="21"/>
              </w:rPr>
            </w:pPr>
          </w:p>
        </w:tc>
        <w:tc>
          <w:tcPr>
            <w:tcW w:w="2410" w:type="dxa"/>
            <w:vAlign w:val="center"/>
          </w:tcPr>
          <w:p w14:paraId="56ED430D">
            <w:pPr>
              <w:spacing w:line="360" w:lineRule="auto"/>
              <w:jc w:val="right"/>
            </w:pPr>
            <w:r>
              <w:t>-</w:t>
            </w:r>
          </w:p>
        </w:tc>
        <w:tc>
          <w:tcPr>
            <w:tcW w:w="2411" w:type="dxa"/>
            <w:vAlign w:val="center"/>
          </w:tcPr>
          <w:p w14:paraId="673224C2">
            <w:pPr>
              <w:spacing w:line="360" w:lineRule="auto"/>
              <w:jc w:val="right"/>
            </w:pPr>
            <w:r>
              <w:t>-</w:t>
            </w:r>
          </w:p>
        </w:tc>
      </w:tr>
      <w:tr w14:paraId="67B9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D4A673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使用权资产</w:t>
            </w:r>
          </w:p>
        </w:tc>
        <w:tc>
          <w:tcPr>
            <w:tcW w:w="1701" w:type="dxa"/>
            <w:vAlign w:val="center"/>
          </w:tcPr>
          <w:p w14:paraId="4A6570A8">
            <w:pPr>
              <w:pStyle w:val="36"/>
              <w:spacing w:line="360" w:lineRule="auto"/>
              <w:jc w:val="center"/>
              <w:rPr>
                <w:rFonts w:ascii="Times New Roman" w:hAnsi="Times New Roman" w:cs="Times New Roman"/>
                <w:sz w:val="21"/>
                <w:szCs w:val="21"/>
              </w:rPr>
            </w:pPr>
          </w:p>
        </w:tc>
        <w:tc>
          <w:tcPr>
            <w:tcW w:w="2410" w:type="dxa"/>
            <w:vAlign w:val="center"/>
          </w:tcPr>
          <w:p w14:paraId="309FBD2A">
            <w:pPr>
              <w:spacing w:line="360" w:lineRule="auto"/>
              <w:jc w:val="right"/>
            </w:pPr>
            <w:r>
              <w:t>-</w:t>
            </w:r>
          </w:p>
        </w:tc>
        <w:tc>
          <w:tcPr>
            <w:tcW w:w="2411" w:type="dxa"/>
            <w:vAlign w:val="center"/>
          </w:tcPr>
          <w:p w14:paraId="7B28CFD1">
            <w:pPr>
              <w:spacing w:line="360" w:lineRule="auto"/>
              <w:jc w:val="right"/>
            </w:pPr>
            <w:r>
              <w:t>-</w:t>
            </w:r>
          </w:p>
        </w:tc>
      </w:tr>
      <w:tr w14:paraId="6EC1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301571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无形资产</w:t>
            </w:r>
          </w:p>
        </w:tc>
        <w:tc>
          <w:tcPr>
            <w:tcW w:w="1701" w:type="dxa"/>
            <w:vAlign w:val="center"/>
          </w:tcPr>
          <w:p w14:paraId="7575DE9F">
            <w:pPr>
              <w:pStyle w:val="36"/>
              <w:spacing w:line="360" w:lineRule="auto"/>
              <w:jc w:val="center"/>
              <w:rPr>
                <w:rFonts w:ascii="Times New Roman" w:hAnsi="Times New Roman" w:cs="Times New Roman"/>
                <w:sz w:val="21"/>
                <w:szCs w:val="21"/>
              </w:rPr>
            </w:pPr>
          </w:p>
        </w:tc>
        <w:tc>
          <w:tcPr>
            <w:tcW w:w="2410" w:type="dxa"/>
            <w:vAlign w:val="center"/>
          </w:tcPr>
          <w:p w14:paraId="45EA637C">
            <w:pPr>
              <w:spacing w:line="360" w:lineRule="auto"/>
              <w:jc w:val="right"/>
            </w:pPr>
            <w:r>
              <w:t>-</w:t>
            </w:r>
          </w:p>
        </w:tc>
        <w:tc>
          <w:tcPr>
            <w:tcW w:w="2411" w:type="dxa"/>
            <w:vAlign w:val="center"/>
          </w:tcPr>
          <w:p w14:paraId="4BF77146">
            <w:pPr>
              <w:spacing w:line="360" w:lineRule="auto"/>
              <w:jc w:val="right"/>
            </w:pPr>
            <w:r>
              <w:t>-</w:t>
            </w:r>
          </w:p>
        </w:tc>
      </w:tr>
      <w:tr w14:paraId="0451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E78027D">
            <w:pPr>
              <w:pStyle w:val="36"/>
              <w:spacing w:line="360" w:lineRule="auto"/>
              <w:ind w:left="496"/>
              <w:rPr>
                <w:rFonts w:ascii="Times New Roman" w:hAnsi="Times New Roman" w:cs="Times New Roman"/>
                <w:sz w:val="21"/>
                <w:szCs w:val="21"/>
              </w:rPr>
            </w:pPr>
            <w:r>
              <w:rPr>
                <w:rFonts w:ascii="Times New Roman" w:hAnsi="Times New Roman" w:cs="Times New Roman"/>
                <w:sz w:val="21"/>
                <w:szCs w:val="21"/>
              </w:rPr>
              <w:t>开发支出</w:t>
            </w:r>
          </w:p>
        </w:tc>
        <w:tc>
          <w:tcPr>
            <w:tcW w:w="1701" w:type="dxa"/>
            <w:vAlign w:val="center"/>
          </w:tcPr>
          <w:p w14:paraId="2D042FEE">
            <w:pPr>
              <w:pStyle w:val="36"/>
              <w:spacing w:line="360" w:lineRule="auto"/>
              <w:jc w:val="center"/>
              <w:rPr>
                <w:rFonts w:ascii="Times New Roman" w:hAnsi="Times New Roman" w:cs="Times New Roman"/>
                <w:sz w:val="21"/>
                <w:szCs w:val="21"/>
              </w:rPr>
            </w:pPr>
          </w:p>
        </w:tc>
        <w:tc>
          <w:tcPr>
            <w:tcW w:w="2410" w:type="dxa"/>
            <w:vAlign w:val="center"/>
          </w:tcPr>
          <w:p w14:paraId="14AF91FC">
            <w:pPr>
              <w:spacing w:line="360" w:lineRule="auto"/>
              <w:jc w:val="right"/>
            </w:pPr>
            <w:r>
              <w:t>-</w:t>
            </w:r>
          </w:p>
        </w:tc>
        <w:tc>
          <w:tcPr>
            <w:tcW w:w="2411" w:type="dxa"/>
            <w:vAlign w:val="center"/>
          </w:tcPr>
          <w:p w14:paraId="2E801FD4">
            <w:pPr>
              <w:spacing w:line="360" w:lineRule="auto"/>
              <w:jc w:val="right"/>
            </w:pPr>
            <w:r>
              <w:t>-</w:t>
            </w:r>
          </w:p>
        </w:tc>
      </w:tr>
      <w:tr w14:paraId="662F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21C19B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商誉</w:t>
            </w:r>
          </w:p>
        </w:tc>
        <w:tc>
          <w:tcPr>
            <w:tcW w:w="1701" w:type="dxa"/>
            <w:vAlign w:val="center"/>
          </w:tcPr>
          <w:p w14:paraId="1B13145D">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9.5.6.5</w:t>
            </w:r>
          </w:p>
        </w:tc>
        <w:tc>
          <w:tcPr>
            <w:tcW w:w="2410" w:type="dxa"/>
            <w:vAlign w:val="center"/>
          </w:tcPr>
          <w:p w14:paraId="460104EF">
            <w:pPr>
              <w:spacing w:line="360" w:lineRule="auto"/>
              <w:jc w:val="right"/>
            </w:pPr>
            <w:r>
              <w:t>54,060,646.30</w:t>
            </w:r>
          </w:p>
        </w:tc>
        <w:tc>
          <w:tcPr>
            <w:tcW w:w="2411" w:type="dxa"/>
            <w:vAlign w:val="center"/>
          </w:tcPr>
          <w:p w14:paraId="302713CD">
            <w:pPr>
              <w:spacing w:line="360" w:lineRule="auto"/>
              <w:jc w:val="right"/>
            </w:pPr>
            <w:r>
              <w:t>54,060,646.30</w:t>
            </w:r>
          </w:p>
        </w:tc>
      </w:tr>
      <w:tr w14:paraId="5820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3232834">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长期待摊费用</w:t>
            </w:r>
          </w:p>
        </w:tc>
        <w:tc>
          <w:tcPr>
            <w:tcW w:w="1701" w:type="dxa"/>
            <w:vAlign w:val="center"/>
          </w:tcPr>
          <w:p w14:paraId="36CA3785">
            <w:pPr>
              <w:pStyle w:val="36"/>
              <w:spacing w:line="360" w:lineRule="auto"/>
              <w:jc w:val="center"/>
              <w:rPr>
                <w:rFonts w:ascii="Times New Roman" w:hAnsi="Times New Roman" w:cs="Times New Roman"/>
                <w:sz w:val="21"/>
                <w:szCs w:val="21"/>
              </w:rPr>
            </w:pPr>
          </w:p>
        </w:tc>
        <w:tc>
          <w:tcPr>
            <w:tcW w:w="2410" w:type="dxa"/>
            <w:vAlign w:val="center"/>
          </w:tcPr>
          <w:p w14:paraId="06C0C0FC">
            <w:pPr>
              <w:spacing w:line="360" w:lineRule="auto"/>
              <w:jc w:val="right"/>
            </w:pPr>
            <w:r>
              <w:t>2,086,722.14</w:t>
            </w:r>
          </w:p>
        </w:tc>
        <w:tc>
          <w:tcPr>
            <w:tcW w:w="2411" w:type="dxa"/>
            <w:vAlign w:val="center"/>
          </w:tcPr>
          <w:p w14:paraId="2BB84AF5">
            <w:pPr>
              <w:spacing w:line="360" w:lineRule="auto"/>
              <w:jc w:val="right"/>
            </w:pPr>
            <w:r>
              <w:t>85,962.30</w:t>
            </w:r>
          </w:p>
        </w:tc>
      </w:tr>
      <w:tr w14:paraId="5F32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ABB358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递延所得税资产</w:t>
            </w:r>
          </w:p>
        </w:tc>
        <w:tc>
          <w:tcPr>
            <w:tcW w:w="1701" w:type="dxa"/>
            <w:vAlign w:val="center"/>
          </w:tcPr>
          <w:p w14:paraId="2B0054A8">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9.5.6.6</w:t>
            </w:r>
          </w:p>
        </w:tc>
        <w:tc>
          <w:tcPr>
            <w:tcW w:w="2410" w:type="dxa"/>
            <w:vAlign w:val="center"/>
          </w:tcPr>
          <w:p w14:paraId="46BC6CC0">
            <w:pPr>
              <w:spacing w:line="360" w:lineRule="auto"/>
              <w:jc w:val="right"/>
            </w:pPr>
            <w:r>
              <w:t>-</w:t>
            </w:r>
          </w:p>
        </w:tc>
        <w:tc>
          <w:tcPr>
            <w:tcW w:w="2411" w:type="dxa"/>
            <w:vAlign w:val="center"/>
          </w:tcPr>
          <w:p w14:paraId="45A4D2AC">
            <w:pPr>
              <w:spacing w:line="360" w:lineRule="auto"/>
              <w:jc w:val="right"/>
            </w:pPr>
            <w:r>
              <w:t>-</w:t>
            </w:r>
          </w:p>
        </w:tc>
      </w:tr>
      <w:tr w14:paraId="1E24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0513872">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其他资产</w:t>
            </w:r>
          </w:p>
        </w:tc>
        <w:tc>
          <w:tcPr>
            <w:tcW w:w="1701" w:type="dxa"/>
            <w:vAlign w:val="center"/>
          </w:tcPr>
          <w:p w14:paraId="06EF356D">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9.5.6.7</w:t>
            </w:r>
          </w:p>
        </w:tc>
        <w:tc>
          <w:tcPr>
            <w:tcW w:w="2410" w:type="dxa"/>
            <w:vAlign w:val="center"/>
          </w:tcPr>
          <w:p w14:paraId="21E13911">
            <w:pPr>
              <w:spacing w:line="360" w:lineRule="auto"/>
              <w:jc w:val="right"/>
            </w:pPr>
            <w:r>
              <w:t>25,983,677.17</w:t>
            </w:r>
          </w:p>
        </w:tc>
        <w:tc>
          <w:tcPr>
            <w:tcW w:w="2411" w:type="dxa"/>
            <w:vAlign w:val="center"/>
          </w:tcPr>
          <w:p w14:paraId="585709EE">
            <w:pPr>
              <w:spacing w:line="360" w:lineRule="auto"/>
              <w:jc w:val="right"/>
            </w:pPr>
            <w:r>
              <w:t>28,492,760.07</w:t>
            </w:r>
          </w:p>
        </w:tc>
      </w:tr>
      <w:tr w14:paraId="2CE0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67067F2">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资产总计</w:t>
            </w:r>
          </w:p>
        </w:tc>
        <w:tc>
          <w:tcPr>
            <w:tcW w:w="1701" w:type="dxa"/>
            <w:vAlign w:val="center"/>
          </w:tcPr>
          <w:p w14:paraId="21507473">
            <w:pPr>
              <w:pStyle w:val="36"/>
              <w:spacing w:line="360" w:lineRule="auto"/>
              <w:jc w:val="center"/>
              <w:rPr>
                <w:rFonts w:ascii="Times New Roman" w:hAnsi="Times New Roman" w:cs="Times New Roman"/>
                <w:sz w:val="21"/>
                <w:szCs w:val="21"/>
              </w:rPr>
            </w:pPr>
          </w:p>
        </w:tc>
        <w:tc>
          <w:tcPr>
            <w:tcW w:w="2410" w:type="dxa"/>
            <w:vAlign w:val="center"/>
          </w:tcPr>
          <w:p w14:paraId="269028D6">
            <w:pPr>
              <w:spacing w:line="360" w:lineRule="auto"/>
              <w:jc w:val="right"/>
            </w:pPr>
            <w:r>
              <w:t>3,478,864,240.68</w:t>
            </w:r>
          </w:p>
        </w:tc>
        <w:tc>
          <w:tcPr>
            <w:tcW w:w="2411" w:type="dxa"/>
            <w:vAlign w:val="center"/>
          </w:tcPr>
          <w:p w14:paraId="037B510B">
            <w:pPr>
              <w:spacing w:line="360" w:lineRule="auto"/>
              <w:jc w:val="right"/>
            </w:pPr>
            <w:r>
              <w:t>3,500,054,065.68</w:t>
            </w:r>
          </w:p>
        </w:tc>
      </w:tr>
      <w:tr w14:paraId="22B7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6759E44">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负债和所有者权益</w:t>
            </w:r>
          </w:p>
        </w:tc>
        <w:tc>
          <w:tcPr>
            <w:tcW w:w="1701" w:type="dxa"/>
            <w:vAlign w:val="center"/>
          </w:tcPr>
          <w:p w14:paraId="29457809">
            <w:pPr>
              <w:pStyle w:val="36"/>
              <w:spacing w:line="360" w:lineRule="auto"/>
              <w:jc w:val="center"/>
              <w:rPr>
                <w:rFonts w:ascii="Times New Roman" w:hAnsi="Times New Roman" w:cs="Times New Roman"/>
                <w:b/>
                <w:sz w:val="21"/>
                <w:szCs w:val="21"/>
              </w:rPr>
            </w:pPr>
          </w:p>
        </w:tc>
        <w:tc>
          <w:tcPr>
            <w:tcW w:w="2410" w:type="dxa"/>
            <w:vAlign w:val="center"/>
          </w:tcPr>
          <w:p w14:paraId="691AC93C">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本期末</w:t>
            </w:r>
          </w:p>
          <w:p w14:paraId="43A6E614">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kern w:val="2"/>
                <w:sz w:val="21"/>
                <w:szCs w:val="21"/>
              </w:rPr>
              <w:t>2026年6月30日</w:t>
            </w:r>
          </w:p>
        </w:tc>
        <w:tc>
          <w:tcPr>
            <w:tcW w:w="2411" w:type="dxa"/>
            <w:vAlign w:val="center"/>
          </w:tcPr>
          <w:p w14:paraId="74D55A97">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上年度末</w:t>
            </w:r>
          </w:p>
          <w:p w14:paraId="38013E14">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2025年12月31日</w:t>
            </w:r>
          </w:p>
        </w:tc>
      </w:tr>
      <w:tr w14:paraId="6A38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F60E522">
            <w:pPr>
              <w:pStyle w:val="36"/>
              <w:spacing w:line="360" w:lineRule="auto"/>
              <w:rPr>
                <w:rFonts w:ascii="Times New Roman" w:hAnsi="Times New Roman" w:cs="Times New Roman"/>
                <w:b/>
                <w:sz w:val="21"/>
                <w:szCs w:val="21"/>
              </w:rPr>
            </w:pPr>
            <w:r>
              <w:rPr>
                <w:rFonts w:ascii="Times New Roman" w:hAnsi="Times New Roman" w:cs="Times New Roman"/>
                <w:b/>
                <w:sz w:val="21"/>
                <w:szCs w:val="21"/>
              </w:rPr>
              <w:t>负 债：</w:t>
            </w:r>
          </w:p>
        </w:tc>
        <w:tc>
          <w:tcPr>
            <w:tcW w:w="1701" w:type="dxa"/>
            <w:vAlign w:val="center"/>
          </w:tcPr>
          <w:p w14:paraId="73434402">
            <w:pPr>
              <w:pStyle w:val="36"/>
              <w:spacing w:line="360" w:lineRule="auto"/>
              <w:jc w:val="center"/>
              <w:rPr>
                <w:rFonts w:ascii="Times New Roman" w:hAnsi="Times New Roman" w:cs="Times New Roman"/>
                <w:sz w:val="21"/>
                <w:szCs w:val="21"/>
              </w:rPr>
            </w:pPr>
          </w:p>
        </w:tc>
        <w:tc>
          <w:tcPr>
            <w:tcW w:w="2410" w:type="dxa"/>
          </w:tcPr>
          <w:p w14:paraId="7694E7E6">
            <w:pPr>
              <w:pStyle w:val="36"/>
              <w:spacing w:line="360" w:lineRule="auto"/>
              <w:rPr>
                <w:rFonts w:ascii="Times New Roman" w:hAnsi="Times New Roman" w:cs="Times New Roman"/>
                <w:sz w:val="21"/>
                <w:szCs w:val="21"/>
              </w:rPr>
            </w:pPr>
          </w:p>
        </w:tc>
        <w:tc>
          <w:tcPr>
            <w:tcW w:w="2411" w:type="dxa"/>
          </w:tcPr>
          <w:p w14:paraId="49916767">
            <w:pPr>
              <w:pStyle w:val="36"/>
              <w:spacing w:line="360" w:lineRule="auto"/>
              <w:rPr>
                <w:rFonts w:ascii="Times New Roman" w:hAnsi="Times New Roman" w:cs="Times New Roman"/>
                <w:sz w:val="21"/>
                <w:szCs w:val="21"/>
              </w:rPr>
            </w:pPr>
          </w:p>
        </w:tc>
      </w:tr>
      <w:tr w14:paraId="797A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CB2D64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短期借款</w:t>
            </w:r>
          </w:p>
        </w:tc>
        <w:tc>
          <w:tcPr>
            <w:tcW w:w="1701" w:type="dxa"/>
            <w:vAlign w:val="center"/>
          </w:tcPr>
          <w:p w14:paraId="13D38FDB">
            <w:pPr>
              <w:pStyle w:val="36"/>
              <w:spacing w:line="360" w:lineRule="auto"/>
              <w:jc w:val="center"/>
              <w:rPr>
                <w:rFonts w:ascii="Times New Roman" w:hAnsi="Times New Roman" w:cs="Times New Roman"/>
                <w:sz w:val="21"/>
                <w:szCs w:val="21"/>
              </w:rPr>
            </w:pPr>
          </w:p>
        </w:tc>
        <w:tc>
          <w:tcPr>
            <w:tcW w:w="2410" w:type="dxa"/>
            <w:vAlign w:val="center"/>
          </w:tcPr>
          <w:p w14:paraId="36427629">
            <w:pPr>
              <w:spacing w:line="360" w:lineRule="auto"/>
              <w:jc w:val="right"/>
            </w:pPr>
            <w:r>
              <w:t>-</w:t>
            </w:r>
          </w:p>
        </w:tc>
        <w:tc>
          <w:tcPr>
            <w:tcW w:w="2411" w:type="dxa"/>
            <w:vAlign w:val="center"/>
          </w:tcPr>
          <w:p w14:paraId="2EBBE62D">
            <w:pPr>
              <w:spacing w:line="360" w:lineRule="auto"/>
              <w:jc w:val="right"/>
            </w:pPr>
            <w:r>
              <w:t>-</w:t>
            </w:r>
          </w:p>
        </w:tc>
      </w:tr>
      <w:tr w14:paraId="74B3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C37C6B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衍生金融负债</w:t>
            </w:r>
          </w:p>
        </w:tc>
        <w:tc>
          <w:tcPr>
            <w:tcW w:w="1701" w:type="dxa"/>
            <w:vAlign w:val="center"/>
          </w:tcPr>
          <w:p w14:paraId="62CEE4E5">
            <w:pPr>
              <w:pStyle w:val="36"/>
              <w:spacing w:line="360" w:lineRule="auto"/>
              <w:jc w:val="center"/>
              <w:rPr>
                <w:rFonts w:ascii="Times New Roman" w:hAnsi="Times New Roman" w:cs="Times New Roman"/>
                <w:sz w:val="21"/>
                <w:szCs w:val="21"/>
              </w:rPr>
            </w:pPr>
          </w:p>
        </w:tc>
        <w:tc>
          <w:tcPr>
            <w:tcW w:w="2410" w:type="dxa"/>
            <w:vAlign w:val="center"/>
          </w:tcPr>
          <w:p w14:paraId="3630088C">
            <w:pPr>
              <w:spacing w:line="360" w:lineRule="auto"/>
              <w:jc w:val="right"/>
            </w:pPr>
            <w:r>
              <w:t>-</w:t>
            </w:r>
          </w:p>
        </w:tc>
        <w:tc>
          <w:tcPr>
            <w:tcW w:w="2411" w:type="dxa"/>
            <w:vAlign w:val="center"/>
          </w:tcPr>
          <w:p w14:paraId="6BC4B727">
            <w:pPr>
              <w:spacing w:line="360" w:lineRule="auto"/>
              <w:jc w:val="right"/>
            </w:pPr>
            <w:r>
              <w:t>-</w:t>
            </w:r>
          </w:p>
        </w:tc>
      </w:tr>
      <w:tr w14:paraId="27A6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ACF408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交易性金融负债</w:t>
            </w:r>
          </w:p>
        </w:tc>
        <w:tc>
          <w:tcPr>
            <w:tcW w:w="1701" w:type="dxa"/>
            <w:vAlign w:val="center"/>
          </w:tcPr>
          <w:p w14:paraId="1BEA942B">
            <w:pPr>
              <w:pStyle w:val="36"/>
              <w:spacing w:line="360" w:lineRule="auto"/>
              <w:jc w:val="center"/>
              <w:rPr>
                <w:rFonts w:ascii="Times New Roman" w:hAnsi="Times New Roman" w:cs="Times New Roman"/>
                <w:sz w:val="21"/>
                <w:szCs w:val="21"/>
              </w:rPr>
            </w:pPr>
          </w:p>
        </w:tc>
        <w:tc>
          <w:tcPr>
            <w:tcW w:w="2410" w:type="dxa"/>
            <w:vAlign w:val="center"/>
          </w:tcPr>
          <w:p w14:paraId="11430067">
            <w:pPr>
              <w:spacing w:line="360" w:lineRule="auto"/>
              <w:jc w:val="right"/>
            </w:pPr>
            <w:r>
              <w:t>-</w:t>
            </w:r>
          </w:p>
        </w:tc>
        <w:tc>
          <w:tcPr>
            <w:tcW w:w="2411" w:type="dxa"/>
            <w:vAlign w:val="center"/>
          </w:tcPr>
          <w:p w14:paraId="52732D88">
            <w:pPr>
              <w:spacing w:line="360" w:lineRule="auto"/>
              <w:jc w:val="right"/>
            </w:pPr>
            <w:r>
              <w:t>-</w:t>
            </w:r>
          </w:p>
        </w:tc>
      </w:tr>
      <w:tr w14:paraId="27E7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3FE7C026">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卖出回购金融资产款</w:t>
            </w:r>
          </w:p>
        </w:tc>
        <w:tc>
          <w:tcPr>
            <w:tcW w:w="1701" w:type="dxa"/>
            <w:vAlign w:val="center"/>
          </w:tcPr>
          <w:p w14:paraId="38C34EDE">
            <w:pPr>
              <w:pStyle w:val="36"/>
              <w:spacing w:line="360" w:lineRule="auto"/>
              <w:jc w:val="center"/>
              <w:rPr>
                <w:rFonts w:ascii="Times New Roman" w:hAnsi="Times New Roman" w:cs="Times New Roman"/>
                <w:sz w:val="21"/>
                <w:szCs w:val="21"/>
              </w:rPr>
            </w:pPr>
          </w:p>
        </w:tc>
        <w:tc>
          <w:tcPr>
            <w:tcW w:w="2410" w:type="dxa"/>
            <w:vAlign w:val="center"/>
          </w:tcPr>
          <w:p w14:paraId="37B5650E">
            <w:pPr>
              <w:spacing w:line="360" w:lineRule="auto"/>
              <w:jc w:val="right"/>
            </w:pPr>
            <w:r>
              <w:t>-</w:t>
            </w:r>
          </w:p>
        </w:tc>
        <w:tc>
          <w:tcPr>
            <w:tcW w:w="2411" w:type="dxa"/>
            <w:vAlign w:val="center"/>
          </w:tcPr>
          <w:p w14:paraId="44F28BB9">
            <w:pPr>
              <w:spacing w:line="360" w:lineRule="auto"/>
              <w:jc w:val="right"/>
            </w:pPr>
            <w:r>
              <w:t>-</w:t>
            </w:r>
          </w:p>
        </w:tc>
      </w:tr>
      <w:tr w14:paraId="47A82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top w:val="single" w:color="auto" w:sz="4" w:space="0"/>
              <w:left w:val="single" w:color="auto" w:sz="4" w:space="0"/>
              <w:bottom w:val="single" w:color="auto" w:sz="4" w:space="0"/>
              <w:right w:val="single" w:color="auto" w:sz="4" w:space="0"/>
            </w:tcBorders>
            <w:vAlign w:val="center"/>
          </w:tcPr>
          <w:p w14:paraId="6758A04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应付票据</w:t>
            </w:r>
          </w:p>
        </w:tc>
        <w:tc>
          <w:tcPr>
            <w:tcW w:w="1701" w:type="dxa"/>
            <w:tcBorders>
              <w:top w:val="single" w:color="auto" w:sz="4" w:space="0"/>
              <w:left w:val="single" w:color="auto" w:sz="4" w:space="0"/>
              <w:bottom w:val="single" w:color="auto" w:sz="4" w:space="0"/>
              <w:right w:val="single" w:color="auto" w:sz="4" w:space="0"/>
            </w:tcBorders>
            <w:vAlign w:val="center"/>
          </w:tcPr>
          <w:p w14:paraId="4E0965BC">
            <w:pPr>
              <w:pStyle w:val="36"/>
              <w:spacing w:line="360" w:lineRule="auto"/>
              <w:jc w:val="center"/>
              <w:rPr>
                <w:rFonts w:ascii="Times New Roman" w:hAnsi="Times New Roman" w:cs="Times New Roman"/>
                <w:sz w:val="21"/>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5990C200">
            <w:pPr>
              <w:spacing w:line="360" w:lineRule="auto"/>
              <w:jc w:val="right"/>
            </w:pPr>
            <w:r>
              <w:t>-</w:t>
            </w:r>
          </w:p>
        </w:tc>
        <w:tc>
          <w:tcPr>
            <w:tcW w:w="2411" w:type="dxa"/>
            <w:tcBorders>
              <w:top w:val="single" w:color="auto" w:sz="4" w:space="0"/>
              <w:left w:val="single" w:color="auto" w:sz="4" w:space="0"/>
              <w:bottom w:val="single" w:color="auto" w:sz="4" w:space="0"/>
              <w:right w:val="single" w:color="auto" w:sz="4" w:space="0"/>
            </w:tcBorders>
            <w:vAlign w:val="center"/>
          </w:tcPr>
          <w:p w14:paraId="216F58A3">
            <w:pPr>
              <w:spacing w:line="360" w:lineRule="auto"/>
              <w:jc w:val="right"/>
            </w:pPr>
            <w:r>
              <w:t>-</w:t>
            </w:r>
          </w:p>
        </w:tc>
      </w:tr>
      <w:tr w14:paraId="0BB6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92694B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应付账款</w:t>
            </w:r>
          </w:p>
        </w:tc>
        <w:tc>
          <w:tcPr>
            <w:tcW w:w="1701" w:type="dxa"/>
            <w:vAlign w:val="center"/>
          </w:tcPr>
          <w:p w14:paraId="7822E3C6">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9.5.6.8</w:t>
            </w:r>
          </w:p>
        </w:tc>
        <w:tc>
          <w:tcPr>
            <w:tcW w:w="2410" w:type="dxa"/>
            <w:vAlign w:val="center"/>
          </w:tcPr>
          <w:p w14:paraId="6D8919D7">
            <w:pPr>
              <w:spacing w:line="360" w:lineRule="auto"/>
              <w:jc w:val="right"/>
            </w:pPr>
            <w:r>
              <w:t>3,119,206.31</w:t>
            </w:r>
          </w:p>
        </w:tc>
        <w:tc>
          <w:tcPr>
            <w:tcW w:w="2411" w:type="dxa"/>
            <w:vAlign w:val="center"/>
          </w:tcPr>
          <w:p w14:paraId="3FB13123">
            <w:pPr>
              <w:spacing w:line="360" w:lineRule="auto"/>
              <w:jc w:val="right"/>
            </w:pPr>
            <w:r>
              <w:t>1,755,996.34</w:t>
            </w:r>
          </w:p>
        </w:tc>
      </w:tr>
      <w:tr w14:paraId="0131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7FA5EBE1">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应付职工薪酬</w:t>
            </w:r>
          </w:p>
        </w:tc>
        <w:tc>
          <w:tcPr>
            <w:tcW w:w="1701" w:type="dxa"/>
            <w:vAlign w:val="center"/>
          </w:tcPr>
          <w:p w14:paraId="1B5713CC">
            <w:pPr>
              <w:pStyle w:val="36"/>
              <w:spacing w:line="360" w:lineRule="auto"/>
              <w:jc w:val="center"/>
              <w:rPr>
                <w:rFonts w:ascii="Times New Roman" w:hAnsi="Times New Roman" w:cs="Times New Roman"/>
                <w:sz w:val="21"/>
                <w:szCs w:val="21"/>
              </w:rPr>
            </w:pPr>
          </w:p>
        </w:tc>
        <w:tc>
          <w:tcPr>
            <w:tcW w:w="2410" w:type="dxa"/>
            <w:vAlign w:val="center"/>
          </w:tcPr>
          <w:p w14:paraId="769F32BA">
            <w:pPr>
              <w:spacing w:line="360" w:lineRule="auto"/>
              <w:jc w:val="right"/>
            </w:pPr>
            <w:r>
              <w:t>-</w:t>
            </w:r>
          </w:p>
        </w:tc>
        <w:tc>
          <w:tcPr>
            <w:tcW w:w="2411" w:type="dxa"/>
            <w:vAlign w:val="center"/>
          </w:tcPr>
          <w:p w14:paraId="5469FD8F">
            <w:pPr>
              <w:spacing w:line="360" w:lineRule="auto"/>
              <w:jc w:val="right"/>
            </w:pPr>
            <w:r>
              <w:t>-</w:t>
            </w:r>
          </w:p>
        </w:tc>
      </w:tr>
      <w:tr w14:paraId="77DB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5831FB28">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应付清算款</w:t>
            </w:r>
          </w:p>
        </w:tc>
        <w:tc>
          <w:tcPr>
            <w:tcW w:w="1701" w:type="dxa"/>
            <w:vAlign w:val="center"/>
          </w:tcPr>
          <w:p w14:paraId="107D0B6C">
            <w:pPr>
              <w:pStyle w:val="36"/>
              <w:spacing w:line="360" w:lineRule="auto"/>
              <w:jc w:val="center"/>
              <w:rPr>
                <w:rFonts w:ascii="Times New Roman" w:hAnsi="Times New Roman" w:cs="Times New Roman"/>
                <w:sz w:val="21"/>
                <w:szCs w:val="21"/>
              </w:rPr>
            </w:pPr>
          </w:p>
        </w:tc>
        <w:tc>
          <w:tcPr>
            <w:tcW w:w="2410" w:type="dxa"/>
            <w:vAlign w:val="center"/>
          </w:tcPr>
          <w:p w14:paraId="282BDDAA">
            <w:pPr>
              <w:spacing w:line="360" w:lineRule="auto"/>
              <w:jc w:val="right"/>
            </w:pPr>
            <w:r>
              <w:t>-</w:t>
            </w:r>
          </w:p>
        </w:tc>
        <w:tc>
          <w:tcPr>
            <w:tcW w:w="2411" w:type="dxa"/>
            <w:vAlign w:val="center"/>
          </w:tcPr>
          <w:p w14:paraId="35E39BC6">
            <w:pPr>
              <w:spacing w:line="360" w:lineRule="auto"/>
              <w:jc w:val="right"/>
            </w:pPr>
            <w:r>
              <w:t>-</w:t>
            </w:r>
          </w:p>
        </w:tc>
      </w:tr>
      <w:tr w14:paraId="627B0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647E93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应付赎回款</w:t>
            </w:r>
          </w:p>
        </w:tc>
        <w:tc>
          <w:tcPr>
            <w:tcW w:w="1701" w:type="dxa"/>
            <w:vAlign w:val="center"/>
          </w:tcPr>
          <w:p w14:paraId="4FCA6082">
            <w:pPr>
              <w:pStyle w:val="36"/>
              <w:spacing w:line="360" w:lineRule="auto"/>
              <w:jc w:val="center"/>
              <w:rPr>
                <w:rFonts w:ascii="Times New Roman" w:hAnsi="Times New Roman" w:cs="Times New Roman"/>
                <w:sz w:val="21"/>
                <w:szCs w:val="21"/>
              </w:rPr>
            </w:pPr>
          </w:p>
        </w:tc>
        <w:tc>
          <w:tcPr>
            <w:tcW w:w="2410" w:type="dxa"/>
            <w:vAlign w:val="center"/>
          </w:tcPr>
          <w:p w14:paraId="21E5354B">
            <w:pPr>
              <w:spacing w:line="360" w:lineRule="auto"/>
              <w:jc w:val="right"/>
            </w:pPr>
            <w:r>
              <w:t>-</w:t>
            </w:r>
          </w:p>
        </w:tc>
        <w:tc>
          <w:tcPr>
            <w:tcW w:w="2411" w:type="dxa"/>
            <w:vAlign w:val="center"/>
          </w:tcPr>
          <w:p w14:paraId="713A3E75">
            <w:pPr>
              <w:spacing w:line="360" w:lineRule="auto"/>
              <w:jc w:val="right"/>
            </w:pPr>
            <w:r>
              <w:t>-</w:t>
            </w:r>
          </w:p>
        </w:tc>
      </w:tr>
      <w:tr w14:paraId="7FCC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24047D8B">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应付管理人报酬</w:t>
            </w:r>
          </w:p>
        </w:tc>
        <w:tc>
          <w:tcPr>
            <w:tcW w:w="1701" w:type="dxa"/>
            <w:vAlign w:val="center"/>
          </w:tcPr>
          <w:p w14:paraId="5B50FEAF">
            <w:pPr>
              <w:pStyle w:val="36"/>
              <w:spacing w:line="360" w:lineRule="auto"/>
              <w:jc w:val="center"/>
              <w:rPr>
                <w:rFonts w:ascii="Times New Roman" w:hAnsi="Times New Roman" w:cs="Times New Roman"/>
                <w:sz w:val="21"/>
                <w:szCs w:val="21"/>
              </w:rPr>
            </w:pPr>
          </w:p>
        </w:tc>
        <w:tc>
          <w:tcPr>
            <w:tcW w:w="2410" w:type="dxa"/>
            <w:vAlign w:val="center"/>
          </w:tcPr>
          <w:p w14:paraId="4D475A76">
            <w:pPr>
              <w:spacing w:line="360" w:lineRule="auto"/>
              <w:jc w:val="right"/>
            </w:pPr>
            <w:r>
              <w:t>3,058,129.36</w:t>
            </w:r>
          </w:p>
        </w:tc>
        <w:tc>
          <w:tcPr>
            <w:tcW w:w="2411" w:type="dxa"/>
            <w:vAlign w:val="center"/>
          </w:tcPr>
          <w:p w14:paraId="4566475E">
            <w:pPr>
              <w:spacing w:line="360" w:lineRule="auto"/>
              <w:jc w:val="right"/>
            </w:pPr>
            <w:r>
              <w:t>6,311,679.25</w:t>
            </w:r>
          </w:p>
        </w:tc>
      </w:tr>
      <w:tr w14:paraId="741C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EF72D82">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应付托管费</w:t>
            </w:r>
          </w:p>
        </w:tc>
        <w:tc>
          <w:tcPr>
            <w:tcW w:w="1701" w:type="dxa"/>
            <w:vAlign w:val="center"/>
          </w:tcPr>
          <w:p w14:paraId="1B99BB8E">
            <w:pPr>
              <w:pStyle w:val="36"/>
              <w:spacing w:line="360" w:lineRule="auto"/>
              <w:jc w:val="center"/>
              <w:rPr>
                <w:rFonts w:ascii="Times New Roman" w:hAnsi="Times New Roman" w:cs="Times New Roman"/>
                <w:sz w:val="21"/>
                <w:szCs w:val="21"/>
              </w:rPr>
            </w:pPr>
          </w:p>
        </w:tc>
        <w:tc>
          <w:tcPr>
            <w:tcW w:w="2410" w:type="dxa"/>
            <w:vAlign w:val="center"/>
          </w:tcPr>
          <w:p w14:paraId="73BCFCA4">
            <w:pPr>
              <w:spacing w:line="360" w:lineRule="auto"/>
              <w:jc w:val="right"/>
            </w:pPr>
            <w:r>
              <w:t>228,646.07</w:t>
            </w:r>
          </w:p>
        </w:tc>
        <w:tc>
          <w:tcPr>
            <w:tcW w:w="2411" w:type="dxa"/>
            <w:vAlign w:val="center"/>
          </w:tcPr>
          <w:p w14:paraId="3435196A">
            <w:pPr>
              <w:spacing w:line="360" w:lineRule="auto"/>
              <w:jc w:val="right"/>
            </w:pPr>
            <w:r>
              <w:t>476,622.57</w:t>
            </w:r>
          </w:p>
        </w:tc>
      </w:tr>
      <w:tr w14:paraId="0B3E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CDDBFF2">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应付投资顾问费</w:t>
            </w:r>
          </w:p>
        </w:tc>
        <w:tc>
          <w:tcPr>
            <w:tcW w:w="1701" w:type="dxa"/>
            <w:vAlign w:val="center"/>
          </w:tcPr>
          <w:p w14:paraId="32194D34">
            <w:pPr>
              <w:pStyle w:val="36"/>
              <w:spacing w:line="360" w:lineRule="auto"/>
              <w:jc w:val="center"/>
              <w:rPr>
                <w:rFonts w:ascii="Times New Roman" w:hAnsi="Times New Roman" w:cs="Times New Roman"/>
                <w:sz w:val="21"/>
                <w:szCs w:val="21"/>
              </w:rPr>
            </w:pPr>
          </w:p>
        </w:tc>
        <w:tc>
          <w:tcPr>
            <w:tcW w:w="2410" w:type="dxa"/>
            <w:vAlign w:val="center"/>
          </w:tcPr>
          <w:p w14:paraId="0FB396C4">
            <w:pPr>
              <w:spacing w:line="360" w:lineRule="auto"/>
              <w:jc w:val="right"/>
            </w:pPr>
            <w:r>
              <w:t>-</w:t>
            </w:r>
          </w:p>
        </w:tc>
        <w:tc>
          <w:tcPr>
            <w:tcW w:w="2411" w:type="dxa"/>
            <w:vAlign w:val="center"/>
          </w:tcPr>
          <w:p w14:paraId="77AB8CA1">
            <w:pPr>
              <w:spacing w:line="360" w:lineRule="auto"/>
              <w:jc w:val="right"/>
            </w:pPr>
            <w:r>
              <w:t>-</w:t>
            </w:r>
          </w:p>
        </w:tc>
      </w:tr>
      <w:tr w14:paraId="1D29E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A514566">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应交税费</w:t>
            </w:r>
          </w:p>
        </w:tc>
        <w:tc>
          <w:tcPr>
            <w:tcW w:w="1701" w:type="dxa"/>
            <w:vAlign w:val="center"/>
          </w:tcPr>
          <w:p w14:paraId="6AE0140C">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9.5.6.9</w:t>
            </w:r>
          </w:p>
        </w:tc>
        <w:tc>
          <w:tcPr>
            <w:tcW w:w="2410" w:type="dxa"/>
            <w:vAlign w:val="center"/>
          </w:tcPr>
          <w:p w14:paraId="316E00D4">
            <w:pPr>
              <w:spacing w:line="360" w:lineRule="auto"/>
              <w:jc w:val="right"/>
            </w:pPr>
            <w:r>
              <w:t>8,597,569.46</w:t>
            </w:r>
          </w:p>
        </w:tc>
        <w:tc>
          <w:tcPr>
            <w:tcW w:w="2411" w:type="dxa"/>
            <w:vAlign w:val="center"/>
          </w:tcPr>
          <w:p w14:paraId="64229137">
            <w:pPr>
              <w:spacing w:line="360" w:lineRule="auto"/>
              <w:jc w:val="right"/>
            </w:pPr>
            <w:r>
              <w:t>2,868,361.34</w:t>
            </w:r>
          </w:p>
        </w:tc>
      </w:tr>
      <w:tr w14:paraId="1F4CD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AA0ADB8">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应付利息</w:t>
            </w:r>
          </w:p>
        </w:tc>
        <w:tc>
          <w:tcPr>
            <w:tcW w:w="1701" w:type="dxa"/>
            <w:vAlign w:val="center"/>
          </w:tcPr>
          <w:p w14:paraId="313568FA">
            <w:pPr>
              <w:pStyle w:val="36"/>
              <w:spacing w:line="360" w:lineRule="auto"/>
              <w:jc w:val="center"/>
              <w:rPr>
                <w:rFonts w:ascii="Times New Roman" w:hAnsi="Times New Roman" w:cs="Times New Roman"/>
                <w:sz w:val="21"/>
                <w:szCs w:val="21"/>
              </w:rPr>
            </w:pPr>
          </w:p>
        </w:tc>
        <w:tc>
          <w:tcPr>
            <w:tcW w:w="2410" w:type="dxa"/>
            <w:vAlign w:val="center"/>
          </w:tcPr>
          <w:p w14:paraId="6908FF55">
            <w:pPr>
              <w:spacing w:line="360" w:lineRule="auto"/>
              <w:jc w:val="right"/>
            </w:pPr>
            <w:r>
              <w:t>-</w:t>
            </w:r>
          </w:p>
        </w:tc>
        <w:tc>
          <w:tcPr>
            <w:tcW w:w="2411" w:type="dxa"/>
            <w:vAlign w:val="center"/>
          </w:tcPr>
          <w:p w14:paraId="193848C8">
            <w:pPr>
              <w:spacing w:line="360" w:lineRule="auto"/>
              <w:jc w:val="right"/>
            </w:pPr>
            <w:r>
              <w:t>-</w:t>
            </w:r>
          </w:p>
        </w:tc>
      </w:tr>
      <w:tr w14:paraId="1119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327DA5D">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应付利润</w:t>
            </w:r>
          </w:p>
        </w:tc>
        <w:tc>
          <w:tcPr>
            <w:tcW w:w="1701" w:type="dxa"/>
            <w:vAlign w:val="center"/>
          </w:tcPr>
          <w:p w14:paraId="0AF114F4">
            <w:pPr>
              <w:pStyle w:val="36"/>
              <w:spacing w:line="360" w:lineRule="auto"/>
              <w:jc w:val="center"/>
              <w:rPr>
                <w:rFonts w:ascii="Times New Roman" w:hAnsi="Times New Roman" w:cs="Times New Roman"/>
                <w:sz w:val="21"/>
                <w:szCs w:val="21"/>
              </w:rPr>
            </w:pPr>
          </w:p>
        </w:tc>
        <w:tc>
          <w:tcPr>
            <w:tcW w:w="2410" w:type="dxa"/>
            <w:vAlign w:val="center"/>
          </w:tcPr>
          <w:p w14:paraId="5DBD8F15">
            <w:pPr>
              <w:spacing w:line="360" w:lineRule="auto"/>
              <w:jc w:val="right"/>
            </w:pPr>
            <w:r>
              <w:t>-</w:t>
            </w:r>
          </w:p>
        </w:tc>
        <w:tc>
          <w:tcPr>
            <w:tcW w:w="2411" w:type="dxa"/>
            <w:vAlign w:val="center"/>
          </w:tcPr>
          <w:p w14:paraId="4C270C8B">
            <w:pPr>
              <w:spacing w:line="360" w:lineRule="auto"/>
              <w:jc w:val="right"/>
            </w:pPr>
            <w:r>
              <w:t>-</w:t>
            </w:r>
          </w:p>
        </w:tc>
      </w:tr>
      <w:tr w14:paraId="292F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top w:val="single" w:color="auto" w:sz="4" w:space="0"/>
              <w:left w:val="single" w:color="auto" w:sz="4" w:space="0"/>
              <w:bottom w:val="single" w:color="auto" w:sz="4" w:space="0"/>
              <w:right w:val="single" w:color="auto" w:sz="4" w:space="0"/>
            </w:tcBorders>
            <w:vAlign w:val="center"/>
          </w:tcPr>
          <w:p w14:paraId="08AB770C">
            <w:pPr>
              <w:pStyle w:val="36"/>
              <w:spacing w:line="360" w:lineRule="auto"/>
              <w:ind w:firstLine="420" w:firstLineChars="200"/>
              <w:rPr>
                <w:rFonts w:ascii="Times New Roman" w:hAnsi="Times New Roman" w:cs="Times New Roman"/>
                <w:bCs/>
                <w:sz w:val="21"/>
                <w:szCs w:val="21"/>
              </w:rPr>
            </w:pPr>
            <w:r>
              <w:rPr>
                <w:rFonts w:ascii="Times New Roman" w:hAnsi="Times New Roman" w:cs="Times New Roman"/>
                <w:bCs/>
                <w:sz w:val="21"/>
                <w:szCs w:val="21"/>
              </w:rPr>
              <w:t>合同负债</w:t>
            </w:r>
          </w:p>
        </w:tc>
        <w:tc>
          <w:tcPr>
            <w:tcW w:w="1701" w:type="dxa"/>
            <w:tcBorders>
              <w:top w:val="single" w:color="auto" w:sz="4" w:space="0"/>
              <w:left w:val="single" w:color="auto" w:sz="4" w:space="0"/>
              <w:bottom w:val="single" w:color="auto" w:sz="4" w:space="0"/>
              <w:right w:val="single" w:color="auto" w:sz="4" w:space="0"/>
            </w:tcBorders>
            <w:vAlign w:val="center"/>
          </w:tcPr>
          <w:p w14:paraId="3502BE82">
            <w:pPr>
              <w:pStyle w:val="36"/>
              <w:spacing w:line="360" w:lineRule="auto"/>
              <w:jc w:val="center"/>
              <w:rPr>
                <w:rFonts w:ascii="Times New Roman" w:hAnsi="Times New Roman" w:cs="Times New Roman"/>
                <w:sz w:val="21"/>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45534F14">
            <w:pPr>
              <w:spacing w:line="360" w:lineRule="auto"/>
              <w:jc w:val="right"/>
            </w:pPr>
            <w:r>
              <w:t>55,863.55</w:t>
            </w:r>
          </w:p>
        </w:tc>
        <w:tc>
          <w:tcPr>
            <w:tcW w:w="2411" w:type="dxa"/>
            <w:tcBorders>
              <w:top w:val="single" w:color="auto" w:sz="4" w:space="0"/>
              <w:left w:val="single" w:color="auto" w:sz="4" w:space="0"/>
              <w:bottom w:val="single" w:color="auto" w:sz="4" w:space="0"/>
              <w:right w:val="single" w:color="auto" w:sz="4" w:space="0"/>
            </w:tcBorders>
            <w:vAlign w:val="center"/>
          </w:tcPr>
          <w:p w14:paraId="280D818B">
            <w:pPr>
              <w:spacing w:line="360" w:lineRule="auto"/>
              <w:jc w:val="right"/>
            </w:pPr>
            <w:r>
              <w:t>65,935.06</w:t>
            </w:r>
          </w:p>
        </w:tc>
      </w:tr>
      <w:tr w14:paraId="1A94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top w:val="single" w:color="auto" w:sz="4" w:space="0"/>
              <w:left w:val="single" w:color="auto" w:sz="4" w:space="0"/>
              <w:bottom w:val="single" w:color="auto" w:sz="4" w:space="0"/>
              <w:right w:val="single" w:color="auto" w:sz="4" w:space="0"/>
            </w:tcBorders>
            <w:vAlign w:val="center"/>
          </w:tcPr>
          <w:p w14:paraId="1B442A7E">
            <w:pPr>
              <w:pStyle w:val="36"/>
              <w:spacing w:line="360" w:lineRule="auto"/>
              <w:ind w:firstLine="420" w:firstLineChars="200"/>
              <w:rPr>
                <w:rFonts w:ascii="Times New Roman" w:hAnsi="Times New Roman" w:cs="Times New Roman"/>
                <w:bCs/>
                <w:sz w:val="21"/>
                <w:szCs w:val="21"/>
              </w:rPr>
            </w:pPr>
            <w:r>
              <w:rPr>
                <w:rFonts w:ascii="Times New Roman" w:hAnsi="Times New Roman" w:cs="Times New Roman"/>
                <w:bCs/>
                <w:sz w:val="21"/>
                <w:szCs w:val="21"/>
              </w:rPr>
              <w:t>持有待售负债</w:t>
            </w:r>
          </w:p>
        </w:tc>
        <w:tc>
          <w:tcPr>
            <w:tcW w:w="1701" w:type="dxa"/>
            <w:tcBorders>
              <w:top w:val="single" w:color="auto" w:sz="4" w:space="0"/>
              <w:left w:val="single" w:color="auto" w:sz="4" w:space="0"/>
              <w:bottom w:val="single" w:color="auto" w:sz="4" w:space="0"/>
              <w:right w:val="single" w:color="auto" w:sz="4" w:space="0"/>
            </w:tcBorders>
            <w:vAlign w:val="center"/>
          </w:tcPr>
          <w:p w14:paraId="211EE38A">
            <w:pPr>
              <w:pStyle w:val="36"/>
              <w:spacing w:line="360" w:lineRule="auto"/>
              <w:jc w:val="center"/>
              <w:rPr>
                <w:rFonts w:ascii="Times New Roman" w:hAnsi="Times New Roman" w:cs="Times New Roman"/>
                <w:sz w:val="21"/>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390BEEB7">
            <w:pPr>
              <w:spacing w:line="360" w:lineRule="auto"/>
              <w:jc w:val="right"/>
            </w:pPr>
            <w:r>
              <w:t>-</w:t>
            </w:r>
          </w:p>
        </w:tc>
        <w:tc>
          <w:tcPr>
            <w:tcW w:w="2411" w:type="dxa"/>
            <w:tcBorders>
              <w:top w:val="single" w:color="auto" w:sz="4" w:space="0"/>
              <w:left w:val="single" w:color="auto" w:sz="4" w:space="0"/>
              <w:bottom w:val="single" w:color="auto" w:sz="4" w:space="0"/>
              <w:right w:val="single" w:color="auto" w:sz="4" w:space="0"/>
            </w:tcBorders>
            <w:vAlign w:val="center"/>
          </w:tcPr>
          <w:p w14:paraId="19D1A432">
            <w:pPr>
              <w:spacing w:line="360" w:lineRule="auto"/>
              <w:jc w:val="right"/>
            </w:pPr>
            <w:r>
              <w:t>-</w:t>
            </w:r>
          </w:p>
        </w:tc>
      </w:tr>
      <w:tr w14:paraId="78D1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top w:val="single" w:color="auto" w:sz="4" w:space="0"/>
              <w:left w:val="single" w:color="auto" w:sz="4" w:space="0"/>
              <w:bottom w:val="single" w:color="auto" w:sz="4" w:space="0"/>
              <w:right w:val="single" w:color="auto" w:sz="4" w:space="0"/>
            </w:tcBorders>
          </w:tcPr>
          <w:p w14:paraId="5A26C276">
            <w:pPr>
              <w:pStyle w:val="36"/>
              <w:spacing w:line="360" w:lineRule="auto"/>
              <w:ind w:firstLine="420" w:firstLineChars="200"/>
              <w:rPr>
                <w:rFonts w:ascii="Times New Roman" w:hAnsi="Times New Roman" w:cs="Times New Roman"/>
                <w:bCs/>
                <w:sz w:val="21"/>
                <w:szCs w:val="21"/>
              </w:rPr>
            </w:pPr>
            <w:r>
              <w:rPr>
                <w:rFonts w:ascii="Times New Roman" w:hAnsi="Times New Roman" w:cs="Times New Roman"/>
                <w:sz w:val="21"/>
                <w:szCs w:val="21"/>
              </w:rPr>
              <w:t>长期借款</w:t>
            </w:r>
          </w:p>
        </w:tc>
        <w:tc>
          <w:tcPr>
            <w:tcW w:w="1701" w:type="dxa"/>
            <w:tcBorders>
              <w:top w:val="single" w:color="auto" w:sz="4" w:space="0"/>
              <w:left w:val="single" w:color="auto" w:sz="4" w:space="0"/>
              <w:bottom w:val="single" w:color="auto" w:sz="4" w:space="0"/>
              <w:right w:val="single" w:color="auto" w:sz="4" w:space="0"/>
            </w:tcBorders>
            <w:vAlign w:val="center"/>
          </w:tcPr>
          <w:p w14:paraId="1BFF17EA">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9.5.6.10</w:t>
            </w:r>
          </w:p>
        </w:tc>
        <w:tc>
          <w:tcPr>
            <w:tcW w:w="2410" w:type="dxa"/>
            <w:tcBorders>
              <w:top w:val="single" w:color="auto" w:sz="4" w:space="0"/>
              <w:left w:val="single" w:color="auto" w:sz="4" w:space="0"/>
              <w:bottom w:val="single" w:color="auto" w:sz="4" w:space="0"/>
              <w:right w:val="single" w:color="auto" w:sz="4" w:space="0"/>
            </w:tcBorders>
            <w:vAlign w:val="center"/>
          </w:tcPr>
          <w:p w14:paraId="244526D4">
            <w:pPr>
              <w:spacing w:line="360" w:lineRule="auto"/>
              <w:jc w:val="right"/>
            </w:pPr>
            <w:r>
              <w:t>292,491,750.83</w:t>
            </w:r>
          </w:p>
        </w:tc>
        <w:tc>
          <w:tcPr>
            <w:tcW w:w="2411" w:type="dxa"/>
            <w:tcBorders>
              <w:top w:val="single" w:color="auto" w:sz="4" w:space="0"/>
              <w:left w:val="single" w:color="auto" w:sz="4" w:space="0"/>
              <w:bottom w:val="single" w:color="auto" w:sz="4" w:space="0"/>
              <w:right w:val="single" w:color="auto" w:sz="4" w:space="0"/>
            </w:tcBorders>
            <w:vAlign w:val="center"/>
          </w:tcPr>
          <w:p w14:paraId="0BEF5D0C">
            <w:pPr>
              <w:spacing w:line="360" w:lineRule="auto"/>
              <w:jc w:val="right"/>
            </w:pPr>
            <w:r>
              <w:t>294,014,095.83</w:t>
            </w:r>
          </w:p>
        </w:tc>
      </w:tr>
      <w:tr w14:paraId="04EBD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28A6CE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预计负债</w:t>
            </w:r>
          </w:p>
        </w:tc>
        <w:tc>
          <w:tcPr>
            <w:tcW w:w="1701" w:type="dxa"/>
            <w:vAlign w:val="center"/>
          </w:tcPr>
          <w:p w14:paraId="6380593E">
            <w:pPr>
              <w:pStyle w:val="36"/>
              <w:spacing w:line="360" w:lineRule="auto"/>
              <w:jc w:val="center"/>
              <w:rPr>
                <w:rFonts w:ascii="Times New Roman" w:hAnsi="Times New Roman" w:cs="Times New Roman"/>
                <w:sz w:val="21"/>
                <w:szCs w:val="21"/>
              </w:rPr>
            </w:pPr>
          </w:p>
        </w:tc>
        <w:tc>
          <w:tcPr>
            <w:tcW w:w="2410" w:type="dxa"/>
            <w:vAlign w:val="center"/>
          </w:tcPr>
          <w:p w14:paraId="4DEC8760">
            <w:pPr>
              <w:spacing w:line="360" w:lineRule="auto"/>
              <w:jc w:val="right"/>
            </w:pPr>
            <w:r>
              <w:t>-</w:t>
            </w:r>
          </w:p>
        </w:tc>
        <w:tc>
          <w:tcPr>
            <w:tcW w:w="2411" w:type="dxa"/>
            <w:vAlign w:val="center"/>
          </w:tcPr>
          <w:p w14:paraId="06123E47">
            <w:pPr>
              <w:spacing w:line="360" w:lineRule="auto"/>
              <w:jc w:val="right"/>
            </w:pPr>
            <w:r>
              <w:t>-</w:t>
            </w:r>
          </w:p>
        </w:tc>
      </w:tr>
      <w:tr w14:paraId="1FBD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701D85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租赁负债</w:t>
            </w:r>
          </w:p>
        </w:tc>
        <w:tc>
          <w:tcPr>
            <w:tcW w:w="1701" w:type="dxa"/>
            <w:vAlign w:val="center"/>
          </w:tcPr>
          <w:p w14:paraId="4CD520A0">
            <w:pPr>
              <w:pStyle w:val="36"/>
              <w:spacing w:line="360" w:lineRule="auto"/>
              <w:jc w:val="center"/>
              <w:rPr>
                <w:rFonts w:ascii="Times New Roman" w:hAnsi="Times New Roman" w:cs="Times New Roman"/>
                <w:sz w:val="21"/>
                <w:szCs w:val="21"/>
              </w:rPr>
            </w:pPr>
          </w:p>
        </w:tc>
        <w:tc>
          <w:tcPr>
            <w:tcW w:w="2410" w:type="dxa"/>
            <w:vAlign w:val="center"/>
          </w:tcPr>
          <w:p w14:paraId="27517B9C">
            <w:pPr>
              <w:spacing w:line="360" w:lineRule="auto"/>
              <w:jc w:val="right"/>
            </w:pPr>
            <w:r>
              <w:t>-</w:t>
            </w:r>
          </w:p>
        </w:tc>
        <w:tc>
          <w:tcPr>
            <w:tcW w:w="2411" w:type="dxa"/>
            <w:vAlign w:val="center"/>
          </w:tcPr>
          <w:p w14:paraId="7BFFCF35">
            <w:pPr>
              <w:spacing w:line="360" w:lineRule="auto"/>
              <w:jc w:val="right"/>
            </w:pPr>
            <w:r>
              <w:t>-</w:t>
            </w:r>
          </w:p>
        </w:tc>
      </w:tr>
      <w:tr w14:paraId="2FC7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365A6C2F">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递延收益</w:t>
            </w:r>
          </w:p>
        </w:tc>
        <w:tc>
          <w:tcPr>
            <w:tcW w:w="1701" w:type="dxa"/>
            <w:vAlign w:val="center"/>
          </w:tcPr>
          <w:p w14:paraId="45F50BDC">
            <w:pPr>
              <w:pStyle w:val="36"/>
              <w:spacing w:line="360" w:lineRule="auto"/>
              <w:jc w:val="center"/>
              <w:rPr>
                <w:rFonts w:ascii="Times New Roman" w:hAnsi="Times New Roman" w:cs="Times New Roman"/>
                <w:sz w:val="21"/>
                <w:szCs w:val="21"/>
              </w:rPr>
            </w:pPr>
          </w:p>
        </w:tc>
        <w:tc>
          <w:tcPr>
            <w:tcW w:w="2410" w:type="dxa"/>
            <w:vAlign w:val="center"/>
          </w:tcPr>
          <w:p w14:paraId="64D4C705">
            <w:pPr>
              <w:spacing w:line="360" w:lineRule="auto"/>
              <w:jc w:val="right"/>
            </w:pPr>
            <w:r>
              <w:t>-</w:t>
            </w:r>
          </w:p>
        </w:tc>
        <w:tc>
          <w:tcPr>
            <w:tcW w:w="2411" w:type="dxa"/>
            <w:vAlign w:val="center"/>
          </w:tcPr>
          <w:p w14:paraId="51E3EB53">
            <w:pPr>
              <w:spacing w:line="360" w:lineRule="auto"/>
              <w:jc w:val="right"/>
            </w:pPr>
            <w:r>
              <w:t>-</w:t>
            </w:r>
          </w:p>
        </w:tc>
      </w:tr>
      <w:tr w14:paraId="4A5B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965ED0D">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递延所得税负债</w:t>
            </w:r>
          </w:p>
        </w:tc>
        <w:tc>
          <w:tcPr>
            <w:tcW w:w="1701" w:type="dxa"/>
            <w:vAlign w:val="center"/>
          </w:tcPr>
          <w:p w14:paraId="7643D4ED">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9.5.6.6</w:t>
            </w:r>
          </w:p>
        </w:tc>
        <w:tc>
          <w:tcPr>
            <w:tcW w:w="2410" w:type="dxa"/>
            <w:vAlign w:val="center"/>
          </w:tcPr>
          <w:p w14:paraId="234C73B2">
            <w:pPr>
              <w:spacing w:line="360" w:lineRule="auto"/>
              <w:jc w:val="right"/>
            </w:pPr>
            <w:r>
              <w:t>121,417,838.38</w:t>
            </w:r>
          </w:p>
        </w:tc>
        <w:tc>
          <w:tcPr>
            <w:tcW w:w="2411" w:type="dxa"/>
            <w:vAlign w:val="center"/>
          </w:tcPr>
          <w:p w14:paraId="46FF4736">
            <w:pPr>
              <w:spacing w:line="360" w:lineRule="auto"/>
              <w:jc w:val="right"/>
            </w:pPr>
            <w:r>
              <w:t>132,800,883.92</w:t>
            </w:r>
          </w:p>
        </w:tc>
      </w:tr>
      <w:tr w14:paraId="36F0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39A4E558">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其他负债</w:t>
            </w:r>
          </w:p>
        </w:tc>
        <w:tc>
          <w:tcPr>
            <w:tcW w:w="1701" w:type="dxa"/>
            <w:vAlign w:val="center"/>
          </w:tcPr>
          <w:p w14:paraId="05FF3617">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9.5.6.11</w:t>
            </w:r>
          </w:p>
        </w:tc>
        <w:tc>
          <w:tcPr>
            <w:tcW w:w="2410" w:type="dxa"/>
            <w:vAlign w:val="center"/>
          </w:tcPr>
          <w:p w14:paraId="2ACAD105">
            <w:pPr>
              <w:spacing w:line="360" w:lineRule="auto"/>
              <w:jc w:val="right"/>
            </w:pPr>
            <w:r>
              <w:t>45,504,139.36</w:t>
            </w:r>
          </w:p>
        </w:tc>
        <w:tc>
          <w:tcPr>
            <w:tcW w:w="2411" w:type="dxa"/>
            <w:vAlign w:val="center"/>
          </w:tcPr>
          <w:p w14:paraId="41C17D4A">
            <w:pPr>
              <w:spacing w:line="360" w:lineRule="auto"/>
              <w:jc w:val="right"/>
            </w:pPr>
            <w:r>
              <w:t>43,960,098.67</w:t>
            </w:r>
          </w:p>
        </w:tc>
      </w:tr>
      <w:tr w14:paraId="1147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3E279A73">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负债合计</w:t>
            </w:r>
          </w:p>
        </w:tc>
        <w:tc>
          <w:tcPr>
            <w:tcW w:w="1701" w:type="dxa"/>
            <w:vAlign w:val="center"/>
          </w:tcPr>
          <w:p w14:paraId="105CF38A">
            <w:pPr>
              <w:pStyle w:val="36"/>
              <w:spacing w:line="360" w:lineRule="auto"/>
              <w:jc w:val="center"/>
              <w:rPr>
                <w:rFonts w:ascii="Times New Roman" w:hAnsi="Times New Roman" w:cs="Times New Roman"/>
                <w:sz w:val="21"/>
                <w:szCs w:val="21"/>
              </w:rPr>
            </w:pPr>
          </w:p>
        </w:tc>
        <w:tc>
          <w:tcPr>
            <w:tcW w:w="2410" w:type="dxa"/>
            <w:vAlign w:val="center"/>
          </w:tcPr>
          <w:p w14:paraId="58F7ACBA">
            <w:pPr>
              <w:spacing w:line="360" w:lineRule="auto"/>
              <w:jc w:val="right"/>
            </w:pPr>
            <w:r>
              <w:t>474,473,143.32</w:t>
            </w:r>
          </w:p>
        </w:tc>
        <w:tc>
          <w:tcPr>
            <w:tcW w:w="2411" w:type="dxa"/>
            <w:vAlign w:val="center"/>
          </w:tcPr>
          <w:p w14:paraId="30AA533B">
            <w:pPr>
              <w:spacing w:line="360" w:lineRule="auto"/>
              <w:jc w:val="right"/>
            </w:pPr>
            <w:r>
              <w:t>482,253,672.98</w:t>
            </w:r>
          </w:p>
        </w:tc>
      </w:tr>
      <w:tr w14:paraId="7DA7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0CB6A1CD">
            <w:pPr>
              <w:pStyle w:val="36"/>
              <w:spacing w:line="360" w:lineRule="auto"/>
              <w:rPr>
                <w:rFonts w:ascii="Times New Roman" w:hAnsi="Times New Roman" w:cs="Times New Roman"/>
                <w:b/>
                <w:sz w:val="21"/>
                <w:szCs w:val="21"/>
              </w:rPr>
            </w:pPr>
            <w:r>
              <w:rPr>
                <w:rFonts w:ascii="Times New Roman" w:hAnsi="Times New Roman" w:cs="Times New Roman"/>
                <w:b/>
                <w:sz w:val="21"/>
                <w:szCs w:val="21"/>
              </w:rPr>
              <w:t>所有者权益：</w:t>
            </w:r>
          </w:p>
        </w:tc>
        <w:tc>
          <w:tcPr>
            <w:tcW w:w="1701" w:type="dxa"/>
            <w:vAlign w:val="center"/>
          </w:tcPr>
          <w:p w14:paraId="5569FF5A">
            <w:pPr>
              <w:pStyle w:val="36"/>
              <w:spacing w:line="360" w:lineRule="auto"/>
              <w:jc w:val="center"/>
              <w:rPr>
                <w:rFonts w:ascii="Times New Roman" w:hAnsi="Times New Roman" w:cs="Times New Roman"/>
                <w:sz w:val="21"/>
                <w:szCs w:val="21"/>
              </w:rPr>
            </w:pPr>
          </w:p>
        </w:tc>
        <w:tc>
          <w:tcPr>
            <w:tcW w:w="2410" w:type="dxa"/>
          </w:tcPr>
          <w:p w14:paraId="5E75FD47">
            <w:pPr>
              <w:pStyle w:val="36"/>
              <w:spacing w:line="360" w:lineRule="auto"/>
              <w:rPr>
                <w:rFonts w:ascii="Times New Roman" w:hAnsi="Times New Roman" w:cs="Times New Roman"/>
                <w:sz w:val="21"/>
                <w:szCs w:val="21"/>
              </w:rPr>
            </w:pPr>
          </w:p>
        </w:tc>
        <w:tc>
          <w:tcPr>
            <w:tcW w:w="2411" w:type="dxa"/>
          </w:tcPr>
          <w:p w14:paraId="6F8287F9">
            <w:pPr>
              <w:pStyle w:val="36"/>
              <w:spacing w:line="360" w:lineRule="auto"/>
              <w:rPr>
                <w:rFonts w:ascii="Times New Roman" w:hAnsi="Times New Roman" w:cs="Times New Roman"/>
                <w:sz w:val="21"/>
                <w:szCs w:val="21"/>
              </w:rPr>
            </w:pPr>
          </w:p>
        </w:tc>
      </w:tr>
      <w:tr w14:paraId="6A1B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640CD7E">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实收基金</w:t>
            </w:r>
          </w:p>
        </w:tc>
        <w:tc>
          <w:tcPr>
            <w:tcW w:w="1701" w:type="dxa"/>
            <w:vAlign w:val="center"/>
          </w:tcPr>
          <w:p w14:paraId="4F1816F1">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9.5.6.12</w:t>
            </w:r>
          </w:p>
        </w:tc>
        <w:tc>
          <w:tcPr>
            <w:tcW w:w="2410" w:type="dxa"/>
            <w:vAlign w:val="center"/>
          </w:tcPr>
          <w:p w14:paraId="6A34EFEB">
            <w:pPr>
              <w:spacing w:line="360" w:lineRule="auto"/>
              <w:jc w:val="right"/>
            </w:pPr>
            <w:r>
              <w:t>1,421,130,866.00</w:t>
            </w:r>
          </w:p>
        </w:tc>
        <w:tc>
          <w:tcPr>
            <w:tcW w:w="2411" w:type="dxa"/>
            <w:vAlign w:val="center"/>
          </w:tcPr>
          <w:p w14:paraId="0BE4F872">
            <w:pPr>
              <w:spacing w:line="360" w:lineRule="auto"/>
              <w:jc w:val="right"/>
            </w:pPr>
            <w:r>
              <w:t>1,421,130,866.00</w:t>
            </w:r>
          </w:p>
        </w:tc>
      </w:tr>
      <w:tr w14:paraId="368C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99547C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其他权益工具</w:t>
            </w:r>
          </w:p>
        </w:tc>
        <w:tc>
          <w:tcPr>
            <w:tcW w:w="1701" w:type="dxa"/>
            <w:vAlign w:val="center"/>
          </w:tcPr>
          <w:p w14:paraId="7EEE7766">
            <w:pPr>
              <w:pStyle w:val="36"/>
              <w:spacing w:line="360" w:lineRule="auto"/>
              <w:jc w:val="center"/>
              <w:rPr>
                <w:rFonts w:ascii="Times New Roman" w:hAnsi="Times New Roman" w:cs="Times New Roman"/>
                <w:sz w:val="21"/>
                <w:szCs w:val="21"/>
              </w:rPr>
            </w:pPr>
          </w:p>
        </w:tc>
        <w:tc>
          <w:tcPr>
            <w:tcW w:w="2410" w:type="dxa"/>
            <w:vAlign w:val="center"/>
          </w:tcPr>
          <w:p w14:paraId="1D677E6A">
            <w:pPr>
              <w:spacing w:line="360" w:lineRule="auto"/>
              <w:jc w:val="right"/>
            </w:pPr>
            <w:r>
              <w:t>-</w:t>
            </w:r>
          </w:p>
        </w:tc>
        <w:tc>
          <w:tcPr>
            <w:tcW w:w="2411" w:type="dxa"/>
            <w:vAlign w:val="center"/>
          </w:tcPr>
          <w:p w14:paraId="266973D0">
            <w:pPr>
              <w:spacing w:line="360" w:lineRule="auto"/>
              <w:jc w:val="right"/>
            </w:pPr>
            <w:r>
              <w:t>-</w:t>
            </w:r>
          </w:p>
        </w:tc>
      </w:tr>
      <w:tr w14:paraId="048C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4FF25AF7">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资本公积</w:t>
            </w:r>
          </w:p>
        </w:tc>
        <w:tc>
          <w:tcPr>
            <w:tcW w:w="1701" w:type="dxa"/>
            <w:vAlign w:val="center"/>
          </w:tcPr>
          <w:p w14:paraId="1F988801">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9.5.6.13</w:t>
            </w:r>
          </w:p>
        </w:tc>
        <w:tc>
          <w:tcPr>
            <w:tcW w:w="2410" w:type="dxa"/>
            <w:vAlign w:val="center"/>
          </w:tcPr>
          <w:p w14:paraId="39A652C6">
            <w:pPr>
              <w:spacing w:line="360" w:lineRule="auto"/>
              <w:jc w:val="right"/>
            </w:pPr>
            <w:r>
              <w:t>1,901,808,511.21</w:t>
            </w:r>
          </w:p>
        </w:tc>
        <w:tc>
          <w:tcPr>
            <w:tcW w:w="2411" w:type="dxa"/>
            <w:vAlign w:val="center"/>
          </w:tcPr>
          <w:p w14:paraId="3CC2498D">
            <w:pPr>
              <w:spacing w:line="360" w:lineRule="auto"/>
              <w:jc w:val="right"/>
            </w:pPr>
            <w:r>
              <w:t>1,901,808,511.21</w:t>
            </w:r>
          </w:p>
        </w:tc>
      </w:tr>
      <w:tr w14:paraId="013B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B704AA1">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其他综合收益</w:t>
            </w:r>
          </w:p>
        </w:tc>
        <w:tc>
          <w:tcPr>
            <w:tcW w:w="1701" w:type="dxa"/>
            <w:vAlign w:val="center"/>
          </w:tcPr>
          <w:p w14:paraId="3DEBB19E">
            <w:pPr>
              <w:pStyle w:val="36"/>
              <w:spacing w:line="360" w:lineRule="auto"/>
              <w:jc w:val="center"/>
              <w:rPr>
                <w:rFonts w:ascii="Times New Roman" w:hAnsi="Times New Roman" w:cs="Times New Roman"/>
                <w:sz w:val="21"/>
                <w:szCs w:val="21"/>
              </w:rPr>
            </w:pPr>
          </w:p>
        </w:tc>
        <w:tc>
          <w:tcPr>
            <w:tcW w:w="2410" w:type="dxa"/>
            <w:vAlign w:val="center"/>
          </w:tcPr>
          <w:p w14:paraId="1609DDE8">
            <w:pPr>
              <w:spacing w:line="360" w:lineRule="auto"/>
              <w:jc w:val="right"/>
            </w:pPr>
            <w:r>
              <w:t>-</w:t>
            </w:r>
          </w:p>
        </w:tc>
        <w:tc>
          <w:tcPr>
            <w:tcW w:w="2411" w:type="dxa"/>
            <w:vAlign w:val="center"/>
          </w:tcPr>
          <w:p w14:paraId="1392C927">
            <w:pPr>
              <w:spacing w:line="360" w:lineRule="auto"/>
              <w:jc w:val="right"/>
            </w:pPr>
            <w:r>
              <w:t>-</w:t>
            </w:r>
          </w:p>
        </w:tc>
      </w:tr>
      <w:tr w14:paraId="4FB8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65E972F2">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专项储备</w:t>
            </w:r>
          </w:p>
        </w:tc>
        <w:tc>
          <w:tcPr>
            <w:tcW w:w="1701" w:type="dxa"/>
            <w:vAlign w:val="center"/>
          </w:tcPr>
          <w:p w14:paraId="47EBA61A">
            <w:pPr>
              <w:pStyle w:val="36"/>
              <w:spacing w:line="360" w:lineRule="auto"/>
              <w:jc w:val="center"/>
              <w:rPr>
                <w:rFonts w:ascii="Times New Roman" w:hAnsi="Times New Roman" w:cs="Times New Roman"/>
                <w:sz w:val="21"/>
                <w:szCs w:val="21"/>
              </w:rPr>
            </w:pPr>
          </w:p>
        </w:tc>
        <w:tc>
          <w:tcPr>
            <w:tcW w:w="2410" w:type="dxa"/>
            <w:vAlign w:val="center"/>
          </w:tcPr>
          <w:p w14:paraId="364FFFE0">
            <w:pPr>
              <w:spacing w:line="360" w:lineRule="auto"/>
              <w:jc w:val="right"/>
            </w:pPr>
            <w:r>
              <w:t>-</w:t>
            </w:r>
          </w:p>
        </w:tc>
        <w:tc>
          <w:tcPr>
            <w:tcW w:w="2411" w:type="dxa"/>
            <w:vAlign w:val="center"/>
          </w:tcPr>
          <w:p w14:paraId="3617F257">
            <w:pPr>
              <w:spacing w:line="360" w:lineRule="auto"/>
              <w:jc w:val="right"/>
            </w:pPr>
            <w:r>
              <w:t>-</w:t>
            </w:r>
          </w:p>
        </w:tc>
      </w:tr>
      <w:tr w14:paraId="5DDE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tcBorders>
              <w:bottom w:val="single" w:color="auto" w:sz="4" w:space="0"/>
            </w:tcBorders>
            <w:vAlign w:val="center"/>
          </w:tcPr>
          <w:p w14:paraId="00ED71BC">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盈余公积</w:t>
            </w:r>
          </w:p>
        </w:tc>
        <w:tc>
          <w:tcPr>
            <w:tcW w:w="1701" w:type="dxa"/>
            <w:tcBorders>
              <w:bottom w:val="single" w:color="auto" w:sz="4" w:space="0"/>
            </w:tcBorders>
            <w:vAlign w:val="center"/>
          </w:tcPr>
          <w:p w14:paraId="3030EF3F">
            <w:pPr>
              <w:pStyle w:val="36"/>
              <w:spacing w:line="360" w:lineRule="auto"/>
              <w:jc w:val="center"/>
              <w:rPr>
                <w:rFonts w:ascii="Times New Roman" w:hAnsi="Times New Roman" w:cs="Times New Roman"/>
                <w:sz w:val="21"/>
                <w:szCs w:val="21"/>
              </w:rPr>
            </w:pPr>
          </w:p>
        </w:tc>
        <w:tc>
          <w:tcPr>
            <w:tcW w:w="2410" w:type="dxa"/>
            <w:tcBorders>
              <w:bottom w:val="single" w:color="auto" w:sz="4" w:space="0"/>
            </w:tcBorders>
            <w:vAlign w:val="center"/>
          </w:tcPr>
          <w:p w14:paraId="60571555">
            <w:pPr>
              <w:spacing w:line="360" w:lineRule="auto"/>
              <w:jc w:val="right"/>
            </w:pPr>
            <w:r>
              <w:t>-</w:t>
            </w:r>
          </w:p>
        </w:tc>
        <w:tc>
          <w:tcPr>
            <w:tcW w:w="2411" w:type="dxa"/>
            <w:tcBorders>
              <w:bottom w:val="single" w:color="auto" w:sz="4" w:space="0"/>
            </w:tcBorders>
            <w:vAlign w:val="center"/>
          </w:tcPr>
          <w:p w14:paraId="07DA543B">
            <w:pPr>
              <w:spacing w:line="360" w:lineRule="auto"/>
              <w:jc w:val="right"/>
            </w:pPr>
            <w:r>
              <w:t>-</w:t>
            </w:r>
          </w:p>
        </w:tc>
      </w:tr>
      <w:tr w14:paraId="1C27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2D3C17CE">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未分配利润</w:t>
            </w:r>
          </w:p>
        </w:tc>
        <w:tc>
          <w:tcPr>
            <w:tcW w:w="1701" w:type="dxa"/>
            <w:vAlign w:val="center"/>
          </w:tcPr>
          <w:p w14:paraId="756A1266">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9.5.6.14</w:t>
            </w:r>
          </w:p>
        </w:tc>
        <w:tc>
          <w:tcPr>
            <w:tcW w:w="2410" w:type="dxa"/>
            <w:vAlign w:val="center"/>
          </w:tcPr>
          <w:p w14:paraId="0150C7B9">
            <w:pPr>
              <w:spacing w:line="360" w:lineRule="auto"/>
              <w:jc w:val="right"/>
            </w:pPr>
            <w:r>
              <w:t>-318,548,279.85</w:t>
            </w:r>
          </w:p>
        </w:tc>
        <w:tc>
          <w:tcPr>
            <w:tcW w:w="2411" w:type="dxa"/>
            <w:vAlign w:val="center"/>
          </w:tcPr>
          <w:p w14:paraId="130AB0A5">
            <w:pPr>
              <w:spacing w:line="360" w:lineRule="auto"/>
              <w:jc w:val="right"/>
            </w:pPr>
            <w:r>
              <w:t>-305,138,984.51</w:t>
            </w:r>
          </w:p>
        </w:tc>
      </w:tr>
      <w:tr w14:paraId="66DF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2B91220F">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所有者权益合计</w:t>
            </w:r>
          </w:p>
        </w:tc>
        <w:tc>
          <w:tcPr>
            <w:tcW w:w="1701" w:type="dxa"/>
            <w:vAlign w:val="center"/>
          </w:tcPr>
          <w:p w14:paraId="79D4531A">
            <w:pPr>
              <w:pStyle w:val="36"/>
              <w:spacing w:line="360" w:lineRule="auto"/>
              <w:jc w:val="center"/>
              <w:rPr>
                <w:rFonts w:ascii="Times New Roman" w:hAnsi="Times New Roman" w:cs="Times New Roman"/>
                <w:sz w:val="21"/>
                <w:szCs w:val="21"/>
              </w:rPr>
            </w:pPr>
          </w:p>
        </w:tc>
        <w:tc>
          <w:tcPr>
            <w:tcW w:w="2410" w:type="dxa"/>
            <w:vAlign w:val="center"/>
          </w:tcPr>
          <w:p w14:paraId="61851719">
            <w:pPr>
              <w:spacing w:line="360" w:lineRule="auto"/>
              <w:jc w:val="right"/>
            </w:pPr>
            <w:r>
              <w:t>3,004,391,097.36</w:t>
            </w:r>
          </w:p>
        </w:tc>
        <w:tc>
          <w:tcPr>
            <w:tcW w:w="2411" w:type="dxa"/>
            <w:vAlign w:val="center"/>
          </w:tcPr>
          <w:p w14:paraId="49D40C0C">
            <w:pPr>
              <w:spacing w:line="360" w:lineRule="auto"/>
              <w:jc w:val="right"/>
            </w:pPr>
            <w:r>
              <w:t>3,017,800,392.70</w:t>
            </w:r>
          </w:p>
        </w:tc>
      </w:tr>
      <w:tr w14:paraId="316B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8" w:type="dxa"/>
            <w:vAlign w:val="center"/>
          </w:tcPr>
          <w:p w14:paraId="15F97DF8">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负债和所有者权益总计</w:t>
            </w:r>
          </w:p>
        </w:tc>
        <w:tc>
          <w:tcPr>
            <w:tcW w:w="1701" w:type="dxa"/>
            <w:vAlign w:val="center"/>
          </w:tcPr>
          <w:p w14:paraId="1F624081">
            <w:pPr>
              <w:pStyle w:val="36"/>
              <w:spacing w:line="360" w:lineRule="auto"/>
              <w:jc w:val="center"/>
              <w:rPr>
                <w:rFonts w:ascii="Times New Roman" w:hAnsi="Times New Roman" w:cs="Times New Roman"/>
                <w:sz w:val="21"/>
                <w:szCs w:val="21"/>
              </w:rPr>
            </w:pPr>
          </w:p>
        </w:tc>
        <w:tc>
          <w:tcPr>
            <w:tcW w:w="2410" w:type="dxa"/>
            <w:vAlign w:val="center"/>
          </w:tcPr>
          <w:p w14:paraId="17514B30">
            <w:pPr>
              <w:spacing w:line="360" w:lineRule="auto"/>
              <w:jc w:val="right"/>
            </w:pPr>
            <w:r>
              <w:t>3,478,864,240.68</w:t>
            </w:r>
          </w:p>
        </w:tc>
        <w:tc>
          <w:tcPr>
            <w:tcW w:w="2411" w:type="dxa"/>
            <w:vAlign w:val="center"/>
          </w:tcPr>
          <w:p w14:paraId="24BE3E5D">
            <w:pPr>
              <w:spacing w:line="360" w:lineRule="auto"/>
              <w:jc w:val="right"/>
            </w:pPr>
            <w:r>
              <w:t>3,500,054,065.68</w:t>
            </w:r>
          </w:p>
        </w:tc>
      </w:tr>
    </w:tbl>
    <w:p w14:paraId="380B56BF">
      <w:pPr>
        <w:adjustRightInd w:val="0"/>
        <w:snapToGrid w:val="0"/>
        <w:spacing w:line="360" w:lineRule="auto"/>
        <w:ind w:firstLine="420" w:firstLineChars="200"/>
        <w:jc w:val="left"/>
        <w:rPr>
          <w:rFonts w:hint="eastAsia"/>
        </w:rPr>
      </w:pPr>
      <w:r>
        <w:t>注：报告截止日2026年6月30日，基金份额净值2.1141元，基金份额总额1,421,130,866.00份。</w:t>
      </w:r>
    </w:p>
    <w:p w14:paraId="260BC012">
      <w:pPr>
        <w:spacing w:line="360" w:lineRule="auto"/>
        <w:outlineLvl w:val="2"/>
        <w:rPr>
          <w:b/>
        </w:rPr>
      </w:pPr>
      <w:bookmarkStart w:id="296" w:name="_Toc98602695"/>
      <w:bookmarkStart w:id="297" w:name="_Toc96424949"/>
      <w:bookmarkStart w:id="298" w:name="_Toc98601346"/>
      <w:r>
        <w:rPr>
          <w:b/>
          <w:kern w:val="0"/>
        </w:rPr>
        <w:t>9.1.2</w:t>
      </w:r>
      <w:r>
        <w:rPr>
          <w:b/>
        </w:rPr>
        <w:t xml:space="preserve">  个别资产负债表</w:t>
      </w:r>
      <w:bookmarkEnd w:id="296"/>
      <w:bookmarkEnd w:id="297"/>
      <w:bookmarkEnd w:id="298"/>
    </w:p>
    <w:p w14:paraId="2BD42E7C">
      <w:pPr>
        <w:spacing w:line="360" w:lineRule="auto"/>
        <w:rPr>
          <w:b/>
        </w:rPr>
      </w:pPr>
      <w:r>
        <w:t>会计主体：博时招商蛇口产业园封闭式基础设施证券投资基金</w:t>
      </w:r>
    </w:p>
    <w:p w14:paraId="06080A84">
      <w:pPr>
        <w:spacing w:line="360" w:lineRule="auto"/>
      </w:pPr>
      <w:r>
        <w:t>报告截止日：2026年6月30日</w:t>
      </w:r>
    </w:p>
    <w:p w14:paraId="7D8817A8">
      <w:pPr>
        <w:spacing w:line="360" w:lineRule="auto"/>
        <w:ind w:right="565" w:rightChars="269"/>
        <w:jc w:val="right"/>
        <w:rPr>
          <w:b/>
        </w:rPr>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7"/>
        <w:gridCol w:w="1187"/>
        <w:gridCol w:w="2121"/>
        <w:gridCol w:w="2395"/>
      </w:tblGrid>
      <w:tr w14:paraId="30DEC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tcBorders>
              <w:top w:val="single" w:color="auto" w:sz="4" w:space="0"/>
            </w:tcBorders>
            <w:vAlign w:val="center"/>
          </w:tcPr>
          <w:p w14:paraId="69008097">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资 产</w:t>
            </w:r>
          </w:p>
        </w:tc>
        <w:tc>
          <w:tcPr>
            <w:tcW w:w="1187" w:type="dxa"/>
            <w:tcBorders>
              <w:top w:val="single" w:color="auto" w:sz="4" w:space="0"/>
            </w:tcBorders>
            <w:vAlign w:val="center"/>
          </w:tcPr>
          <w:p w14:paraId="535204BC">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附注号</w:t>
            </w:r>
          </w:p>
        </w:tc>
        <w:tc>
          <w:tcPr>
            <w:tcW w:w="2121" w:type="dxa"/>
            <w:tcBorders>
              <w:top w:val="single" w:color="auto" w:sz="4" w:space="0"/>
            </w:tcBorders>
            <w:vAlign w:val="center"/>
          </w:tcPr>
          <w:p w14:paraId="0C8C7F02">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本期末</w:t>
            </w:r>
          </w:p>
          <w:p w14:paraId="04F139FC">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kern w:val="2"/>
                <w:sz w:val="21"/>
                <w:szCs w:val="21"/>
              </w:rPr>
              <w:t>2026年6月30日</w:t>
            </w:r>
          </w:p>
        </w:tc>
        <w:tc>
          <w:tcPr>
            <w:tcW w:w="2395" w:type="dxa"/>
            <w:tcBorders>
              <w:top w:val="single" w:color="auto" w:sz="4" w:space="0"/>
            </w:tcBorders>
            <w:vAlign w:val="center"/>
          </w:tcPr>
          <w:p w14:paraId="354A2C40">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上年度末</w:t>
            </w:r>
          </w:p>
          <w:p w14:paraId="79905376">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2025年12月31日</w:t>
            </w:r>
          </w:p>
        </w:tc>
      </w:tr>
      <w:tr w14:paraId="5357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DDBB853">
            <w:pPr>
              <w:pStyle w:val="36"/>
              <w:spacing w:line="360" w:lineRule="auto"/>
              <w:rPr>
                <w:rFonts w:ascii="Times New Roman" w:hAnsi="Times New Roman" w:cs="Times New Roman"/>
                <w:b/>
                <w:sz w:val="21"/>
                <w:szCs w:val="21"/>
              </w:rPr>
            </w:pPr>
            <w:r>
              <w:rPr>
                <w:rFonts w:ascii="Times New Roman" w:hAnsi="Times New Roman" w:cs="Times New Roman"/>
                <w:b/>
                <w:sz w:val="21"/>
                <w:szCs w:val="21"/>
              </w:rPr>
              <w:t>资 产：</w:t>
            </w:r>
          </w:p>
        </w:tc>
        <w:tc>
          <w:tcPr>
            <w:tcW w:w="1187" w:type="dxa"/>
            <w:vAlign w:val="center"/>
          </w:tcPr>
          <w:p w14:paraId="213B2FB5">
            <w:pPr>
              <w:pStyle w:val="36"/>
              <w:spacing w:line="360" w:lineRule="auto"/>
              <w:jc w:val="center"/>
              <w:rPr>
                <w:rFonts w:ascii="Times New Roman" w:hAnsi="Times New Roman" w:cs="Times New Roman"/>
                <w:sz w:val="21"/>
                <w:szCs w:val="21"/>
              </w:rPr>
            </w:pPr>
          </w:p>
        </w:tc>
        <w:tc>
          <w:tcPr>
            <w:tcW w:w="2121" w:type="dxa"/>
          </w:tcPr>
          <w:p w14:paraId="76A1E76D">
            <w:pPr>
              <w:pStyle w:val="36"/>
              <w:spacing w:line="360" w:lineRule="auto"/>
              <w:rPr>
                <w:rFonts w:ascii="Times New Roman" w:hAnsi="Times New Roman" w:cs="Times New Roman"/>
                <w:sz w:val="21"/>
                <w:szCs w:val="21"/>
              </w:rPr>
            </w:pPr>
          </w:p>
        </w:tc>
        <w:tc>
          <w:tcPr>
            <w:tcW w:w="2395" w:type="dxa"/>
          </w:tcPr>
          <w:p w14:paraId="3C383509">
            <w:pPr>
              <w:pStyle w:val="36"/>
              <w:spacing w:line="360" w:lineRule="auto"/>
              <w:rPr>
                <w:rFonts w:ascii="Times New Roman" w:hAnsi="Times New Roman" w:cs="Times New Roman"/>
                <w:sz w:val="21"/>
                <w:szCs w:val="21"/>
              </w:rPr>
            </w:pPr>
          </w:p>
        </w:tc>
      </w:tr>
      <w:tr w14:paraId="5D8B9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5EA095BD">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货币资金</w:t>
            </w:r>
          </w:p>
        </w:tc>
        <w:tc>
          <w:tcPr>
            <w:tcW w:w="1187" w:type="dxa"/>
            <w:vAlign w:val="center"/>
          </w:tcPr>
          <w:p w14:paraId="519D4B8D">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9.5.16.1</w:t>
            </w:r>
          </w:p>
        </w:tc>
        <w:tc>
          <w:tcPr>
            <w:tcW w:w="2121" w:type="dxa"/>
            <w:vAlign w:val="center"/>
          </w:tcPr>
          <w:p w14:paraId="1A683C89">
            <w:pPr>
              <w:spacing w:line="360" w:lineRule="auto"/>
              <w:jc w:val="right"/>
            </w:pPr>
            <w:r>
              <w:t>3,280,288.30</w:t>
            </w:r>
          </w:p>
        </w:tc>
        <w:tc>
          <w:tcPr>
            <w:tcW w:w="2395" w:type="dxa"/>
            <w:vAlign w:val="center"/>
          </w:tcPr>
          <w:p w14:paraId="2BE72538">
            <w:pPr>
              <w:spacing w:line="360" w:lineRule="auto"/>
              <w:jc w:val="right"/>
            </w:pPr>
            <w:r>
              <w:t>207,808.29</w:t>
            </w:r>
          </w:p>
        </w:tc>
      </w:tr>
      <w:tr w14:paraId="736D2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4F99349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结算备付金</w:t>
            </w:r>
          </w:p>
        </w:tc>
        <w:tc>
          <w:tcPr>
            <w:tcW w:w="1187" w:type="dxa"/>
            <w:vAlign w:val="center"/>
          </w:tcPr>
          <w:p w14:paraId="4383E8F0">
            <w:pPr>
              <w:pStyle w:val="36"/>
              <w:spacing w:line="360" w:lineRule="auto"/>
              <w:jc w:val="center"/>
              <w:rPr>
                <w:rFonts w:ascii="Times New Roman" w:hAnsi="Times New Roman" w:cs="Times New Roman"/>
                <w:sz w:val="21"/>
                <w:szCs w:val="21"/>
              </w:rPr>
            </w:pPr>
          </w:p>
        </w:tc>
        <w:tc>
          <w:tcPr>
            <w:tcW w:w="2121" w:type="dxa"/>
            <w:vAlign w:val="center"/>
          </w:tcPr>
          <w:p w14:paraId="368C15BB">
            <w:pPr>
              <w:spacing w:line="360" w:lineRule="auto"/>
              <w:jc w:val="right"/>
            </w:pPr>
            <w:r>
              <w:t>-</w:t>
            </w:r>
          </w:p>
        </w:tc>
        <w:tc>
          <w:tcPr>
            <w:tcW w:w="2395" w:type="dxa"/>
            <w:vAlign w:val="center"/>
          </w:tcPr>
          <w:p w14:paraId="372A78E8">
            <w:pPr>
              <w:spacing w:line="360" w:lineRule="auto"/>
              <w:jc w:val="right"/>
            </w:pPr>
            <w:r>
              <w:t>-</w:t>
            </w:r>
          </w:p>
        </w:tc>
      </w:tr>
      <w:tr w14:paraId="4AF5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3E1E67D1">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存出保证金</w:t>
            </w:r>
          </w:p>
        </w:tc>
        <w:tc>
          <w:tcPr>
            <w:tcW w:w="1187" w:type="dxa"/>
            <w:vAlign w:val="center"/>
          </w:tcPr>
          <w:p w14:paraId="2F818A2E">
            <w:pPr>
              <w:pStyle w:val="36"/>
              <w:spacing w:line="360" w:lineRule="auto"/>
              <w:jc w:val="center"/>
              <w:rPr>
                <w:rFonts w:ascii="Times New Roman" w:hAnsi="Times New Roman" w:cs="Times New Roman"/>
                <w:sz w:val="21"/>
                <w:szCs w:val="21"/>
              </w:rPr>
            </w:pPr>
          </w:p>
        </w:tc>
        <w:tc>
          <w:tcPr>
            <w:tcW w:w="2121" w:type="dxa"/>
            <w:vAlign w:val="center"/>
          </w:tcPr>
          <w:p w14:paraId="179EC49B">
            <w:pPr>
              <w:spacing w:line="360" w:lineRule="auto"/>
              <w:jc w:val="right"/>
            </w:pPr>
            <w:r>
              <w:t>-</w:t>
            </w:r>
          </w:p>
        </w:tc>
        <w:tc>
          <w:tcPr>
            <w:tcW w:w="2395" w:type="dxa"/>
            <w:vAlign w:val="center"/>
          </w:tcPr>
          <w:p w14:paraId="40E92322">
            <w:pPr>
              <w:spacing w:line="360" w:lineRule="auto"/>
              <w:jc w:val="right"/>
            </w:pPr>
            <w:r>
              <w:t>-</w:t>
            </w:r>
          </w:p>
        </w:tc>
      </w:tr>
      <w:tr w14:paraId="4EED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4DBBEAB9">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衍生金融资产</w:t>
            </w:r>
          </w:p>
        </w:tc>
        <w:tc>
          <w:tcPr>
            <w:tcW w:w="1187" w:type="dxa"/>
            <w:vAlign w:val="center"/>
          </w:tcPr>
          <w:p w14:paraId="3D28902D">
            <w:pPr>
              <w:pStyle w:val="36"/>
              <w:spacing w:line="360" w:lineRule="auto"/>
              <w:jc w:val="center"/>
              <w:rPr>
                <w:rFonts w:ascii="Times New Roman" w:hAnsi="Times New Roman" w:cs="Times New Roman"/>
                <w:sz w:val="21"/>
                <w:szCs w:val="21"/>
              </w:rPr>
            </w:pPr>
          </w:p>
        </w:tc>
        <w:tc>
          <w:tcPr>
            <w:tcW w:w="2121" w:type="dxa"/>
            <w:vAlign w:val="center"/>
          </w:tcPr>
          <w:p w14:paraId="582FE770">
            <w:pPr>
              <w:spacing w:line="360" w:lineRule="auto"/>
              <w:jc w:val="right"/>
            </w:pPr>
            <w:r>
              <w:t>-</w:t>
            </w:r>
          </w:p>
        </w:tc>
        <w:tc>
          <w:tcPr>
            <w:tcW w:w="2395" w:type="dxa"/>
            <w:vAlign w:val="center"/>
          </w:tcPr>
          <w:p w14:paraId="40CE8C67">
            <w:pPr>
              <w:spacing w:line="360" w:lineRule="auto"/>
              <w:jc w:val="right"/>
            </w:pPr>
            <w:r>
              <w:t>-</w:t>
            </w:r>
          </w:p>
        </w:tc>
      </w:tr>
      <w:tr w14:paraId="262E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7B172282">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交易性金融资产</w:t>
            </w:r>
          </w:p>
        </w:tc>
        <w:tc>
          <w:tcPr>
            <w:tcW w:w="1187" w:type="dxa"/>
            <w:vAlign w:val="center"/>
          </w:tcPr>
          <w:p w14:paraId="4193C432">
            <w:pPr>
              <w:pStyle w:val="36"/>
              <w:spacing w:line="360" w:lineRule="auto"/>
              <w:jc w:val="center"/>
              <w:rPr>
                <w:rFonts w:ascii="Times New Roman" w:hAnsi="Times New Roman" w:cs="Times New Roman"/>
                <w:sz w:val="21"/>
                <w:szCs w:val="21"/>
              </w:rPr>
            </w:pPr>
          </w:p>
        </w:tc>
        <w:tc>
          <w:tcPr>
            <w:tcW w:w="2121" w:type="dxa"/>
            <w:vAlign w:val="center"/>
          </w:tcPr>
          <w:p w14:paraId="5CDA8C74">
            <w:pPr>
              <w:spacing w:line="360" w:lineRule="auto"/>
              <w:jc w:val="right"/>
            </w:pPr>
            <w:r>
              <w:t>-</w:t>
            </w:r>
          </w:p>
        </w:tc>
        <w:tc>
          <w:tcPr>
            <w:tcW w:w="2395" w:type="dxa"/>
            <w:vAlign w:val="center"/>
          </w:tcPr>
          <w:p w14:paraId="474B1342">
            <w:pPr>
              <w:spacing w:line="360" w:lineRule="auto"/>
              <w:jc w:val="right"/>
            </w:pPr>
            <w:r>
              <w:t>-</w:t>
            </w:r>
          </w:p>
        </w:tc>
      </w:tr>
      <w:tr w14:paraId="54F0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86FA0D6">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债权投资</w:t>
            </w:r>
          </w:p>
        </w:tc>
        <w:tc>
          <w:tcPr>
            <w:tcW w:w="1187" w:type="dxa"/>
            <w:vAlign w:val="center"/>
          </w:tcPr>
          <w:p w14:paraId="1D7A0EBB">
            <w:pPr>
              <w:pStyle w:val="36"/>
              <w:spacing w:line="360" w:lineRule="auto"/>
              <w:jc w:val="center"/>
              <w:rPr>
                <w:rFonts w:ascii="Times New Roman" w:hAnsi="Times New Roman" w:cs="Times New Roman"/>
                <w:sz w:val="21"/>
                <w:szCs w:val="21"/>
              </w:rPr>
            </w:pPr>
          </w:p>
        </w:tc>
        <w:tc>
          <w:tcPr>
            <w:tcW w:w="2121" w:type="dxa"/>
            <w:vAlign w:val="center"/>
          </w:tcPr>
          <w:p w14:paraId="6E93DF5E">
            <w:pPr>
              <w:spacing w:line="360" w:lineRule="auto"/>
              <w:jc w:val="right"/>
            </w:pPr>
            <w:r>
              <w:t>-</w:t>
            </w:r>
          </w:p>
        </w:tc>
        <w:tc>
          <w:tcPr>
            <w:tcW w:w="2395" w:type="dxa"/>
            <w:vAlign w:val="center"/>
          </w:tcPr>
          <w:p w14:paraId="39ED0545">
            <w:pPr>
              <w:spacing w:line="360" w:lineRule="auto"/>
              <w:jc w:val="right"/>
            </w:pPr>
            <w:r>
              <w:t>-</w:t>
            </w:r>
          </w:p>
        </w:tc>
      </w:tr>
      <w:tr w14:paraId="4B02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1726EBB7">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其他债权投资</w:t>
            </w:r>
          </w:p>
        </w:tc>
        <w:tc>
          <w:tcPr>
            <w:tcW w:w="1187" w:type="dxa"/>
            <w:vAlign w:val="center"/>
          </w:tcPr>
          <w:p w14:paraId="4B2D7DE8">
            <w:pPr>
              <w:pStyle w:val="36"/>
              <w:spacing w:line="360" w:lineRule="auto"/>
              <w:jc w:val="center"/>
              <w:rPr>
                <w:rFonts w:ascii="Times New Roman" w:hAnsi="Times New Roman" w:cs="Times New Roman"/>
                <w:sz w:val="21"/>
                <w:szCs w:val="21"/>
              </w:rPr>
            </w:pPr>
          </w:p>
        </w:tc>
        <w:tc>
          <w:tcPr>
            <w:tcW w:w="2121" w:type="dxa"/>
            <w:vAlign w:val="center"/>
          </w:tcPr>
          <w:p w14:paraId="2B44107D">
            <w:pPr>
              <w:spacing w:line="360" w:lineRule="auto"/>
              <w:jc w:val="right"/>
            </w:pPr>
            <w:r>
              <w:t>-</w:t>
            </w:r>
          </w:p>
        </w:tc>
        <w:tc>
          <w:tcPr>
            <w:tcW w:w="2395" w:type="dxa"/>
            <w:vAlign w:val="center"/>
          </w:tcPr>
          <w:p w14:paraId="6D3951C4">
            <w:pPr>
              <w:spacing w:line="360" w:lineRule="auto"/>
              <w:jc w:val="right"/>
            </w:pPr>
            <w:r>
              <w:t>-</w:t>
            </w:r>
          </w:p>
        </w:tc>
      </w:tr>
      <w:tr w14:paraId="1F20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42E1C0B4">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其他权益工具投资</w:t>
            </w:r>
          </w:p>
        </w:tc>
        <w:tc>
          <w:tcPr>
            <w:tcW w:w="1187" w:type="dxa"/>
            <w:vAlign w:val="center"/>
          </w:tcPr>
          <w:p w14:paraId="69AA80DF">
            <w:pPr>
              <w:pStyle w:val="36"/>
              <w:spacing w:line="360" w:lineRule="auto"/>
              <w:jc w:val="center"/>
              <w:rPr>
                <w:rFonts w:ascii="Times New Roman" w:hAnsi="Times New Roman" w:cs="Times New Roman"/>
                <w:sz w:val="21"/>
                <w:szCs w:val="21"/>
              </w:rPr>
            </w:pPr>
          </w:p>
        </w:tc>
        <w:tc>
          <w:tcPr>
            <w:tcW w:w="2121" w:type="dxa"/>
            <w:vAlign w:val="center"/>
          </w:tcPr>
          <w:p w14:paraId="4D1ECFCA">
            <w:pPr>
              <w:spacing w:line="360" w:lineRule="auto"/>
              <w:jc w:val="right"/>
            </w:pPr>
            <w:r>
              <w:t>-</w:t>
            </w:r>
          </w:p>
        </w:tc>
        <w:tc>
          <w:tcPr>
            <w:tcW w:w="2395" w:type="dxa"/>
            <w:vAlign w:val="center"/>
          </w:tcPr>
          <w:p w14:paraId="32165DFD">
            <w:pPr>
              <w:spacing w:line="360" w:lineRule="auto"/>
              <w:jc w:val="right"/>
            </w:pPr>
            <w:r>
              <w:t>-</w:t>
            </w:r>
          </w:p>
        </w:tc>
      </w:tr>
      <w:tr w14:paraId="5226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3AC52176">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买入返售金融资产</w:t>
            </w:r>
          </w:p>
        </w:tc>
        <w:tc>
          <w:tcPr>
            <w:tcW w:w="1187" w:type="dxa"/>
            <w:vAlign w:val="center"/>
          </w:tcPr>
          <w:p w14:paraId="37A18E8C">
            <w:pPr>
              <w:pStyle w:val="36"/>
              <w:spacing w:line="360" w:lineRule="auto"/>
              <w:jc w:val="center"/>
              <w:rPr>
                <w:rFonts w:ascii="Times New Roman" w:hAnsi="Times New Roman" w:cs="Times New Roman"/>
                <w:sz w:val="21"/>
                <w:szCs w:val="21"/>
              </w:rPr>
            </w:pPr>
          </w:p>
        </w:tc>
        <w:tc>
          <w:tcPr>
            <w:tcW w:w="2121" w:type="dxa"/>
            <w:vAlign w:val="center"/>
          </w:tcPr>
          <w:p w14:paraId="4BE6732A">
            <w:pPr>
              <w:spacing w:line="360" w:lineRule="auto"/>
              <w:jc w:val="right"/>
            </w:pPr>
            <w:r>
              <w:t>-</w:t>
            </w:r>
          </w:p>
        </w:tc>
        <w:tc>
          <w:tcPr>
            <w:tcW w:w="2395" w:type="dxa"/>
            <w:vAlign w:val="center"/>
          </w:tcPr>
          <w:p w14:paraId="62DCF815">
            <w:pPr>
              <w:spacing w:line="360" w:lineRule="auto"/>
              <w:jc w:val="right"/>
            </w:pPr>
            <w:r>
              <w:t>-</w:t>
            </w:r>
          </w:p>
        </w:tc>
      </w:tr>
      <w:tr w14:paraId="552F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1F41900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应收清算款</w:t>
            </w:r>
          </w:p>
        </w:tc>
        <w:tc>
          <w:tcPr>
            <w:tcW w:w="1187" w:type="dxa"/>
            <w:vAlign w:val="center"/>
          </w:tcPr>
          <w:p w14:paraId="313E8088">
            <w:pPr>
              <w:pStyle w:val="36"/>
              <w:spacing w:line="360" w:lineRule="auto"/>
              <w:jc w:val="center"/>
              <w:rPr>
                <w:rFonts w:ascii="Times New Roman" w:hAnsi="Times New Roman" w:cs="Times New Roman"/>
                <w:sz w:val="21"/>
                <w:szCs w:val="21"/>
              </w:rPr>
            </w:pPr>
          </w:p>
        </w:tc>
        <w:tc>
          <w:tcPr>
            <w:tcW w:w="2121" w:type="dxa"/>
            <w:vAlign w:val="center"/>
          </w:tcPr>
          <w:p w14:paraId="45D5B926">
            <w:pPr>
              <w:spacing w:line="360" w:lineRule="auto"/>
              <w:jc w:val="right"/>
            </w:pPr>
            <w:r>
              <w:t>-</w:t>
            </w:r>
          </w:p>
        </w:tc>
        <w:tc>
          <w:tcPr>
            <w:tcW w:w="2395" w:type="dxa"/>
            <w:vAlign w:val="center"/>
          </w:tcPr>
          <w:p w14:paraId="332CB52E">
            <w:pPr>
              <w:spacing w:line="360" w:lineRule="auto"/>
              <w:jc w:val="right"/>
            </w:pPr>
            <w:r>
              <w:t>-</w:t>
            </w:r>
          </w:p>
        </w:tc>
      </w:tr>
      <w:tr w14:paraId="0A0A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1A375628">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应收利息</w:t>
            </w:r>
          </w:p>
        </w:tc>
        <w:tc>
          <w:tcPr>
            <w:tcW w:w="1187" w:type="dxa"/>
            <w:vAlign w:val="center"/>
          </w:tcPr>
          <w:p w14:paraId="57F0F7CC">
            <w:pPr>
              <w:pStyle w:val="36"/>
              <w:spacing w:line="360" w:lineRule="auto"/>
              <w:jc w:val="center"/>
              <w:rPr>
                <w:rFonts w:ascii="Times New Roman" w:hAnsi="Times New Roman" w:cs="Times New Roman"/>
                <w:sz w:val="21"/>
                <w:szCs w:val="21"/>
              </w:rPr>
            </w:pPr>
          </w:p>
        </w:tc>
        <w:tc>
          <w:tcPr>
            <w:tcW w:w="2121" w:type="dxa"/>
            <w:vAlign w:val="center"/>
          </w:tcPr>
          <w:p w14:paraId="525F40F3">
            <w:pPr>
              <w:spacing w:line="360" w:lineRule="auto"/>
              <w:jc w:val="right"/>
            </w:pPr>
            <w:r>
              <w:t>-</w:t>
            </w:r>
          </w:p>
        </w:tc>
        <w:tc>
          <w:tcPr>
            <w:tcW w:w="2395" w:type="dxa"/>
            <w:vAlign w:val="center"/>
          </w:tcPr>
          <w:p w14:paraId="2B4B7D13">
            <w:pPr>
              <w:spacing w:line="360" w:lineRule="auto"/>
              <w:jc w:val="right"/>
            </w:pPr>
            <w:r>
              <w:t>-</w:t>
            </w:r>
          </w:p>
        </w:tc>
      </w:tr>
      <w:tr w14:paraId="1B82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3F308CB5">
            <w:pPr>
              <w:pStyle w:val="36"/>
              <w:spacing w:line="360" w:lineRule="auto"/>
              <w:ind w:left="468"/>
              <w:rPr>
                <w:rFonts w:ascii="Times New Roman" w:hAnsi="Times New Roman" w:cs="Times New Roman"/>
                <w:sz w:val="21"/>
                <w:szCs w:val="21"/>
              </w:rPr>
            </w:pPr>
            <w:r>
              <w:rPr>
                <w:rFonts w:ascii="Times New Roman" w:hAnsi="Times New Roman" w:cs="Times New Roman"/>
                <w:sz w:val="21"/>
                <w:szCs w:val="21"/>
              </w:rPr>
              <w:t>应收股利</w:t>
            </w:r>
          </w:p>
        </w:tc>
        <w:tc>
          <w:tcPr>
            <w:tcW w:w="1187" w:type="dxa"/>
            <w:vAlign w:val="center"/>
          </w:tcPr>
          <w:p w14:paraId="4492CD20">
            <w:pPr>
              <w:pStyle w:val="36"/>
              <w:spacing w:line="360" w:lineRule="auto"/>
              <w:jc w:val="center"/>
              <w:rPr>
                <w:rFonts w:ascii="Times New Roman" w:hAnsi="Times New Roman" w:cs="Times New Roman"/>
                <w:sz w:val="21"/>
                <w:szCs w:val="21"/>
              </w:rPr>
            </w:pPr>
          </w:p>
        </w:tc>
        <w:tc>
          <w:tcPr>
            <w:tcW w:w="2121" w:type="dxa"/>
            <w:vAlign w:val="center"/>
          </w:tcPr>
          <w:p w14:paraId="4ED42881">
            <w:pPr>
              <w:spacing w:line="360" w:lineRule="auto"/>
              <w:jc w:val="right"/>
            </w:pPr>
            <w:r>
              <w:t>-</w:t>
            </w:r>
          </w:p>
        </w:tc>
        <w:tc>
          <w:tcPr>
            <w:tcW w:w="2395" w:type="dxa"/>
            <w:vAlign w:val="center"/>
          </w:tcPr>
          <w:p w14:paraId="3C22BB93">
            <w:pPr>
              <w:spacing w:line="360" w:lineRule="auto"/>
              <w:jc w:val="right"/>
            </w:pPr>
            <w:r>
              <w:t>-</w:t>
            </w:r>
          </w:p>
        </w:tc>
      </w:tr>
      <w:tr w14:paraId="5EE7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0225C719">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应收申购款</w:t>
            </w:r>
          </w:p>
        </w:tc>
        <w:tc>
          <w:tcPr>
            <w:tcW w:w="1187" w:type="dxa"/>
            <w:vAlign w:val="center"/>
          </w:tcPr>
          <w:p w14:paraId="7E53CA4B">
            <w:pPr>
              <w:pStyle w:val="36"/>
              <w:spacing w:line="360" w:lineRule="auto"/>
              <w:jc w:val="center"/>
              <w:rPr>
                <w:rFonts w:ascii="Times New Roman" w:hAnsi="Times New Roman" w:cs="Times New Roman"/>
                <w:sz w:val="21"/>
                <w:szCs w:val="21"/>
              </w:rPr>
            </w:pPr>
          </w:p>
        </w:tc>
        <w:tc>
          <w:tcPr>
            <w:tcW w:w="2121" w:type="dxa"/>
            <w:vAlign w:val="center"/>
          </w:tcPr>
          <w:p w14:paraId="6F8492A3">
            <w:pPr>
              <w:spacing w:line="360" w:lineRule="auto"/>
              <w:jc w:val="right"/>
            </w:pPr>
            <w:r>
              <w:t>-</w:t>
            </w:r>
          </w:p>
        </w:tc>
        <w:tc>
          <w:tcPr>
            <w:tcW w:w="2395" w:type="dxa"/>
            <w:vAlign w:val="center"/>
          </w:tcPr>
          <w:p w14:paraId="4BFA5DA4">
            <w:pPr>
              <w:spacing w:line="360" w:lineRule="auto"/>
              <w:jc w:val="right"/>
            </w:pPr>
            <w:r>
              <w:t>-</w:t>
            </w:r>
          </w:p>
        </w:tc>
      </w:tr>
      <w:tr w14:paraId="4B6A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8DFE45E">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长期股权投资</w:t>
            </w:r>
          </w:p>
        </w:tc>
        <w:tc>
          <w:tcPr>
            <w:tcW w:w="1187" w:type="dxa"/>
            <w:vAlign w:val="center"/>
          </w:tcPr>
          <w:p w14:paraId="7048CCD4">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9.5.16.2</w:t>
            </w:r>
          </w:p>
        </w:tc>
        <w:tc>
          <w:tcPr>
            <w:tcW w:w="2121" w:type="dxa"/>
            <w:vAlign w:val="center"/>
          </w:tcPr>
          <w:p w14:paraId="33E6C353">
            <w:pPr>
              <w:spacing w:line="360" w:lineRule="auto"/>
              <w:jc w:val="right"/>
            </w:pPr>
            <w:r>
              <w:t>3,133,106,141.07</w:t>
            </w:r>
          </w:p>
        </w:tc>
        <w:tc>
          <w:tcPr>
            <w:tcW w:w="2395" w:type="dxa"/>
            <w:vAlign w:val="center"/>
          </w:tcPr>
          <w:p w14:paraId="36E0069E">
            <w:pPr>
              <w:spacing w:line="360" w:lineRule="auto"/>
              <w:jc w:val="right"/>
            </w:pPr>
            <w:r>
              <w:t>3,133,106,141.07</w:t>
            </w:r>
          </w:p>
        </w:tc>
      </w:tr>
      <w:tr w14:paraId="71F2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56DA60C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其他资产</w:t>
            </w:r>
          </w:p>
        </w:tc>
        <w:tc>
          <w:tcPr>
            <w:tcW w:w="1187" w:type="dxa"/>
            <w:vAlign w:val="center"/>
          </w:tcPr>
          <w:p w14:paraId="12C00931">
            <w:pPr>
              <w:pStyle w:val="36"/>
              <w:spacing w:line="360" w:lineRule="auto"/>
              <w:jc w:val="center"/>
              <w:rPr>
                <w:rFonts w:ascii="Times New Roman" w:hAnsi="Times New Roman" w:cs="Times New Roman"/>
                <w:sz w:val="21"/>
                <w:szCs w:val="21"/>
              </w:rPr>
            </w:pPr>
          </w:p>
        </w:tc>
        <w:tc>
          <w:tcPr>
            <w:tcW w:w="2121" w:type="dxa"/>
            <w:vAlign w:val="center"/>
          </w:tcPr>
          <w:p w14:paraId="6C2D4E2D">
            <w:pPr>
              <w:spacing w:line="360" w:lineRule="auto"/>
              <w:jc w:val="right"/>
            </w:pPr>
            <w:r>
              <w:t>-</w:t>
            </w:r>
          </w:p>
        </w:tc>
        <w:tc>
          <w:tcPr>
            <w:tcW w:w="2395" w:type="dxa"/>
            <w:vAlign w:val="center"/>
          </w:tcPr>
          <w:p w14:paraId="211D0917">
            <w:pPr>
              <w:spacing w:line="360" w:lineRule="auto"/>
              <w:jc w:val="right"/>
            </w:pPr>
            <w:r>
              <w:t>-</w:t>
            </w:r>
          </w:p>
        </w:tc>
      </w:tr>
      <w:tr w14:paraId="07E2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7BF93F0C">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资产总计</w:t>
            </w:r>
          </w:p>
        </w:tc>
        <w:tc>
          <w:tcPr>
            <w:tcW w:w="1187" w:type="dxa"/>
            <w:vAlign w:val="center"/>
          </w:tcPr>
          <w:p w14:paraId="23F4AF44">
            <w:pPr>
              <w:pStyle w:val="36"/>
              <w:spacing w:line="360" w:lineRule="auto"/>
              <w:jc w:val="center"/>
              <w:rPr>
                <w:rFonts w:ascii="Times New Roman" w:hAnsi="Times New Roman" w:cs="Times New Roman"/>
                <w:sz w:val="21"/>
                <w:szCs w:val="21"/>
              </w:rPr>
            </w:pPr>
          </w:p>
        </w:tc>
        <w:tc>
          <w:tcPr>
            <w:tcW w:w="2121" w:type="dxa"/>
            <w:vAlign w:val="center"/>
          </w:tcPr>
          <w:p w14:paraId="7CF47993">
            <w:pPr>
              <w:spacing w:line="360" w:lineRule="auto"/>
              <w:jc w:val="right"/>
            </w:pPr>
            <w:r>
              <w:t>3,136,386,429.37</w:t>
            </w:r>
          </w:p>
        </w:tc>
        <w:tc>
          <w:tcPr>
            <w:tcW w:w="2395" w:type="dxa"/>
            <w:vAlign w:val="center"/>
          </w:tcPr>
          <w:p w14:paraId="49E8ED3E">
            <w:pPr>
              <w:spacing w:line="360" w:lineRule="auto"/>
              <w:jc w:val="right"/>
            </w:pPr>
            <w:r>
              <w:t>3,133,313,949.36</w:t>
            </w:r>
          </w:p>
        </w:tc>
      </w:tr>
      <w:tr w14:paraId="2952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108945BB">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负债和所有者权益</w:t>
            </w:r>
          </w:p>
        </w:tc>
        <w:tc>
          <w:tcPr>
            <w:tcW w:w="1187" w:type="dxa"/>
            <w:vAlign w:val="center"/>
          </w:tcPr>
          <w:p w14:paraId="7D44DCD7">
            <w:pPr>
              <w:pStyle w:val="36"/>
              <w:spacing w:line="360" w:lineRule="auto"/>
              <w:jc w:val="center"/>
              <w:rPr>
                <w:rFonts w:ascii="Times New Roman" w:hAnsi="Times New Roman" w:cs="Times New Roman"/>
                <w:b/>
                <w:sz w:val="21"/>
                <w:szCs w:val="21"/>
              </w:rPr>
            </w:pPr>
          </w:p>
        </w:tc>
        <w:tc>
          <w:tcPr>
            <w:tcW w:w="2121" w:type="dxa"/>
            <w:vAlign w:val="center"/>
          </w:tcPr>
          <w:p w14:paraId="55D91000">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本期末</w:t>
            </w:r>
          </w:p>
          <w:p w14:paraId="0347BF6C">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kern w:val="2"/>
                <w:sz w:val="21"/>
                <w:szCs w:val="21"/>
              </w:rPr>
              <w:t>2026年6月30日</w:t>
            </w:r>
          </w:p>
        </w:tc>
        <w:tc>
          <w:tcPr>
            <w:tcW w:w="2395" w:type="dxa"/>
            <w:vAlign w:val="center"/>
          </w:tcPr>
          <w:p w14:paraId="72874987">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上年度末</w:t>
            </w:r>
          </w:p>
          <w:p w14:paraId="4B1CC232">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2025年12月31日</w:t>
            </w:r>
          </w:p>
        </w:tc>
      </w:tr>
      <w:tr w14:paraId="454D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9F03ACA">
            <w:pPr>
              <w:pStyle w:val="36"/>
              <w:spacing w:line="360" w:lineRule="auto"/>
              <w:rPr>
                <w:rFonts w:ascii="Times New Roman" w:hAnsi="Times New Roman" w:cs="Times New Roman"/>
                <w:b/>
                <w:sz w:val="21"/>
                <w:szCs w:val="21"/>
              </w:rPr>
            </w:pPr>
            <w:r>
              <w:rPr>
                <w:rFonts w:ascii="Times New Roman" w:hAnsi="Times New Roman" w:cs="Times New Roman"/>
                <w:b/>
                <w:sz w:val="21"/>
                <w:szCs w:val="21"/>
              </w:rPr>
              <w:t>负 债：</w:t>
            </w:r>
          </w:p>
        </w:tc>
        <w:tc>
          <w:tcPr>
            <w:tcW w:w="1187" w:type="dxa"/>
            <w:vAlign w:val="center"/>
          </w:tcPr>
          <w:p w14:paraId="400C5689">
            <w:pPr>
              <w:pStyle w:val="36"/>
              <w:spacing w:line="360" w:lineRule="auto"/>
              <w:jc w:val="center"/>
              <w:rPr>
                <w:rFonts w:ascii="Times New Roman" w:hAnsi="Times New Roman" w:cs="Times New Roman"/>
                <w:sz w:val="21"/>
                <w:szCs w:val="21"/>
              </w:rPr>
            </w:pPr>
          </w:p>
        </w:tc>
        <w:tc>
          <w:tcPr>
            <w:tcW w:w="2121" w:type="dxa"/>
          </w:tcPr>
          <w:p w14:paraId="3460A8FA">
            <w:pPr>
              <w:pStyle w:val="36"/>
              <w:spacing w:line="360" w:lineRule="auto"/>
              <w:rPr>
                <w:rFonts w:ascii="Times New Roman" w:hAnsi="Times New Roman" w:cs="Times New Roman"/>
                <w:sz w:val="21"/>
                <w:szCs w:val="21"/>
              </w:rPr>
            </w:pPr>
          </w:p>
        </w:tc>
        <w:tc>
          <w:tcPr>
            <w:tcW w:w="2395" w:type="dxa"/>
          </w:tcPr>
          <w:p w14:paraId="7B3F452D">
            <w:pPr>
              <w:pStyle w:val="36"/>
              <w:spacing w:line="360" w:lineRule="auto"/>
              <w:rPr>
                <w:rFonts w:ascii="Times New Roman" w:hAnsi="Times New Roman" w:cs="Times New Roman"/>
                <w:sz w:val="21"/>
                <w:szCs w:val="21"/>
              </w:rPr>
            </w:pPr>
          </w:p>
        </w:tc>
      </w:tr>
      <w:tr w14:paraId="7507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52996324">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短期借款</w:t>
            </w:r>
          </w:p>
        </w:tc>
        <w:tc>
          <w:tcPr>
            <w:tcW w:w="1187" w:type="dxa"/>
            <w:vAlign w:val="center"/>
          </w:tcPr>
          <w:p w14:paraId="617D49EC">
            <w:pPr>
              <w:pStyle w:val="36"/>
              <w:spacing w:line="360" w:lineRule="auto"/>
              <w:jc w:val="center"/>
              <w:rPr>
                <w:rFonts w:ascii="Times New Roman" w:hAnsi="Times New Roman" w:cs="Times New Roman"/>
                <w:sz w:val="21"/>
                <w:szCs w:val="21"/>
              </w:rPr>
            </w:pPr>
          </w:p>
        </w:tc>
        <w:tc>
          <w:tcPr>
            <w:tcW w:w="2121" w:type="dxa"/>
            <w:vAlign w:val="center"/>
          </w:tcPr>
          <w:p w14:paraId="1E89C784">
            <w:pPr>
              <w:spacing w:line="360" w:lineRule="auto"/>
              <w:jc w:val="right"/>
            </w:pPr>
            <w:r>
              <w:t>-</w:t>
            </w:r>
          </w:p>
        </w:tc>
        <w:tc>
          <w:tcPr>
            <w:tcW w:w="2395" w:type="dxa"/>
            <w:vAlign w:val="center"/>
          </w:tcPr>
          <w:p w14:paraId="26B7D232">
            <w:pPr>
              <w:spacing w:line="360" w:lineRule="auto"/>
              <w:jc w:val="right"/>
            </w:pPr>
            <w:r>
              <w:t>-</w:t>
            </w:r>
          </w:p>
        </w:tc>
      </w:tr>
      <w:tr w14:paraId="0677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3CDF801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衍生金融负债</w:t>
            </w:r>
          </w:p>
        </w:tc>
        <w:tc>
          <w:tcPr>
            <w:tcW w:w="1187" w:type="dxa"/>
            <w:vAlign w:val="center"/>
          </w:tcPr>
          <w:p w14:paraId="65413BBB">
            <w:pPr>
              <w:pStyle w:val="36"/>
              <w:spacing w:line="360" w:lineRule="auto"/>
              <w:jc w:val="center"/>
              <w:rPr>
                <w:rFonts w:ascii="Times New Roman" w:hAnsi="Times New Roman" w:cs="Times New Roman"/>
                <w:sz w:val="21"/>
                <w:szCs w:val="21"/>
              </w:rPr>
            </w:pPr>
          </w:p>
        </w:tc>
        <w:tc>
          <w:tcPr>
            <w:tcW w:w="2121" w:type="dxa"/>
            <w:vAlign w:val="center"/>
          </w:tcPr>
          <w:p w14:paraId="129D652E">
            <w:pPr>
              <w:spacing w:line="360" w:lineRule="auto"/>
              <w:jc w:val="right"/>
            </w:pPr>
            <w:r>
              <w:t>-</w:t>
            </w:r>
          </w:p>
        </w:tc>
        <w:tc>
          <w:tcPr>
            <w:tcW w:w="2395" w:type="dxa"/>
            <w:vAlign w:val="center"/>
          </w:tcPr>
          <w:p w14:paraId="3B3F4CEF">
            <w:pPr>
              <w:spacing w:line="360" w:lineRule="auto"/>
              <w:jc w:val="right"/>
            </w:pPr>
            <w:r>
              <w:t>-</w:t>
            </w:r>
          </w:p>
        </w:tc>
      </w:tr>
      <w:tr w14:paraId="3075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281E2219">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交易性金融负债</w:t>
            </w:r>
          </w:p>
        </w:tc>
        <w:tc>
          <w:tcPr>
            <w:tcW w:w="1187" w:type="dxa"/>
            <w:vAlign w:val="center"/>
          </w:tcPr>
          <w:p w14:paraId="270ED3AE">
            <w:pPr>
              <w:pStyle w:val="36"/>
              <w:spacing w:line="360" w:lineRule="auto"/>
              <w:jc w:val="center"/>
              <w:rPr>
                <w:rFonts w:ascii="Times New Roman" w:hAnsi="Times New Roman" w:cs="Times New Roman"/>
                <w:sz w:val="21"/>
                <w:szCs w:val="21"/>
              </w:rPr>
            </w:pPr>
          </w:p>
        </w:tc>
        <w:tc>
          <w:tcPr>
            <w:tcW w:w="2121" w:type="dxa"/>
            <w:vAlign w:val="center"/>
          </w:tcPr>
          <w:p w14:paraId="7EDB6F55">
            <w:pPr>
              <w:spacing w:line="360" w:lineRule="auto"/>
              <w:jc w:val="right"/>
            </w:pPr>
            <w:r>
              <w:t>-</w:t>
            </w:r>
          </w:p>
        </w:tc>
        <w:tc>
          <w:tcPr>
            <w:tcW w:w="2395" w:type="dxa"/>
            <w:vAlign w:val="center"/>
          </w:tcPr>
          <w:p w14:paraId="434B07C4">
            <w:pPr>
              <w:spacing w:line="360" w:lineRule="auto"/>
              <w:jc w:val="right"/>
            </w:pPr>
            <w:r>
              <w:t>-</w:t>
            </w:r>
          </w:p>
        </w:tc>
      </w:tr>
      <w:tr w14:paraId="74225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2EC6C480">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卖出回购金融资产款</w:t>
            </w:r>
          </w:p>
        </w:tc>
        <w:tc>
          <w:tcPr>
            <w:tcW w:w="1187" w:type="dxa"/>
            <w:vAlign w:val="center"/>
          </w:tcPr>
          <w:p w14:paraId="1A6D2D81">
            <w:pPr>
              <w:pStyle w:val="36"/>
              <w:spacing w:line="360" w:lineRule="auto"/>
              <w:jc w:val="center"/>
              <w:rPr>
                <w:rFonts w:ascii="Times New Roman" w:hAnsi="Times New Roman" w:cs="Times New Roman"/>
                <w:sz w:val="21"/>
                <w:szCs w:val="21"/>
              </w:rPr>
            </w:pPr>
          </w:p>
        </w:tc>
        <w:tc>
          <w:tcPr>
            <w:tcW w:w="2121" w:type="dxa"/>
            <w:vAlign w:val="center"/>
          </w:tcPr>
          <w:p w14:paraId="697780E2">
            <w:pPr>
              <w:spacing w:line="360" w:lineRule="auto"/>
              <w:jc w:val="right"/>
            </w:pPr>
            <w:r>
              <w:t>-</w:t>
            </w:r>
          </w:p>
        </w:tc>
        <w:tc>
          <w:tcPr>
            <w:tcW w:w="2395" w:type="dxa"/>
            <w:vAlign w:val="center"/>
          </w:tcPr>
          <w:p w14:paraId="289841D5">
            <w:pPr>
              <w:spacing w:line="360" w:lineRule="auto"/>
              <w:jc w:val="right"/>
            </w:pPr>
            <w:r>
              <w:t>-</w:t>
            </w:r>
          </w:p>
        </w:tc>
      </w:tr>
      <w:tr w14:paraId="6658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4C2FFA9">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应付清算款</w:t>
            </w:r>
          </w:p>
        </w:tc>
        <w:tc>
          <w:tcPr>
            <w:tcW w:w="1187" w:type="dxa"/>
            <w:vAlign w:val="center"/>
          </w:tcPr>
          <w:p w14:paraId="27D6F626">
            <w:pPr>
              <w:pStyle w:val="36"/>
              <w:spacing w:line="360" w:lineRule="auto"/>
              <w:jc w:val="center"/>
              <w:rPr>
                <w:rFonts w:ascii="Times New Roman" w:hAnsi="Times New Roman" w:cs="Times New Roman"/>
                <w:sz w:val="21"/>
                <w:szCs w:val="21"/>
              </w:rPr>
            </w:pPr>
          </w:p>
        </w:tc>
        <w:tc>
          <w:tcPr>
            <w:tcW w:w="2121" w:type="dxa"/>
            <w:vAlign w:val="center"/>
          </w:tcPr>
          <w:p w14:paraId="7CADDE07">
            <w:pPr>
              <w:spacing w:line="360" w:lineRule="auto"/>
              <w:jc w:val="right"/>
            </w:pPr>
            <w:r>
              <w:t>-</w:t>
            </w:r>
          </w:p>
        </w:tc>
        <w:tc>
          <w:tcPr>
            <w:tcW w:w="2395" w:type="dxa"/>
            <w:vAlign w:val="center"/>
          </w:tcPr>
          <w:p w14:paraId="352BA4A9">
            <w:pPr>
              <w:spacing w:line="360" w:lineRule="auto"/>
              <w:jc w:val="right"/>
            </w:pPr>
            <w:r>
              <w:t>-</w:t>
            </w:r>
          </w:p>
        </w:tc>
      </w:tr>
      <w:tr w14:paraId="42FD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73E9044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应付赎回款</w:t>
            </w:r>
          </w:p>
        </w:tc>
        <w:tc>
          <w:tcPr>
            <w:tcW w:w="1187" w:type="dxa"/>
            <w:vAlign w:val="center"/>
          </w:tcPr>
          <w:p w14:paraId="4D55751A">
            <w:pPr>
              <w:pStyle w:val="36"/>
              <w:spacing w:line="360" w:lineRule="auto"/>
              <w:jc w:val="center"/>
              <w:rPr>
                <w:rFonts w:ascii="Times New Roman" w:hAnsi="Times New Roman" w:cs="Times New Roman"/>
                <w:sz w:val="21"/>
                <w:szCs w:val="21"/>
              </w:rPr>
            </w:pPr>
          </w:p>
        </w:tc>
        <w:tc>
          <w:tcPr>
            <w:tcW w:w="2121" w:type="dxa"/>
            <w:vAlign w:val="center"/>
          </w:tcPr>
          <w:p w14:paraId="627A3C89">
            <w:pPr>
              <w:spacing w:line="360" w:lineRule="auto"/>
              <w:jc w:val="right"/>
            </w:pPr>
            <w:r>
              <w:t>-</w:t>
            </w:r>
          </w:p>
        </w:tc>
        <w:tc>
          <w:tcPr>
            <w:tcW w:w="2395" w:type="dxa"/>
            <w:vAlign w:val="center"/>
          </w:tcPr>
          <w:p w14:paraId="067148A9">
            <w:pPr>
              <w:spacing w:line="360" w:lineRule="auto"/>
              <w:jc w:val="right"/>
            </w:pPr>
            <w:r>
              <w:t>-</w:t>
            </w:r>
          </w:p>
        </w:tc>
      </w:tr>
      <w:tr w14:paraId="543E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080CDAE4">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应付管理人报酬</w:t>
            </w:r>
          </w:p>
        </w:tc>
        <w:tc>
          <w:tcPr>
            <w:tcW w:w="1187" w:type="dxa"/>
            <w:vAlign w:val="center"/>
          </w:tcPr>
          <w:p w14:paraId="703618D8">
            <w:pPr>
              <w:pStyle w:val="36"/>
              <w:spacing w:line="360" w:lineRule="auto"/>
              <w:jc w:val="center"/>
              <w:rPr>
                <w:rFonts w:ascii="Times New Roman" w:hAnsi="Times New Roman" w:cs="Times New Roman"/>
                <w:sz w:val="21"/>
                <w:szCs w:val="21"/>
              </w:rPr>
            </w:pPr>
          </w:p>
        </w:tc>
        <w:tc>
          <w:tcPr>
            <w:tcW w:w="2121" w:type="dxa"/>
            <w:vAlign w:val="center"/>
          </w:tcPr>
          <w:p w14:paraId="66640343">
            <w:pPr>
              <w:spacing w:line="360" w:lineRule="auto"/>
              <w:jc w:val="right"/>
            </w:pPr>
            <w:r>
              <w:t>2,168,247.35</w:t>
            </w:r>
          </w:p>
        </w:tc>
        <w:tc>
          <w:tcPr>
            <w:tcW w:w="2395" w:type="dxa"/>
            <w:vAlign w:val="center"/>
          </w:tcPr>
          <w:p w14:paraId="25DE17A7">
            <w:pPr>
              <w:spacing w:line="360" w:lineRule="auto"/>
              <w:jc w:val="right"/>
            </w:pPr>
            <w:r>
              <w:t>4,465,360.46</w:t>
            </w:r>
          </w:p>
        </w:tc>
      </w:tr>
      <w:tr w14:paraId="1449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7166E871">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应付托管费</w:t>
            </w:r>
          </w:p>
        </w:tc>
        <w:tc>
          <w:tcPr>
            <w:tcW w:w="1187" w:type="dxa"/>
            <w:vAlign w:val="center"/>
          </w:tcPr>
          <w:p w14:paraId="13F0208E">
            <w:pPr>
              <w:pStyle w:val="36"/>
              <w:spacing w:line="360" w:lineRule="auto"/>
              <w:jc w:val="center"/>
              <w:rPr>
                <w:rFonts w:ascii="Times New Roman" w:hAnsi="Times New Roman" w:cs="Times New Roman"/>
                <w:sz w:val="21"/>
                <w:szCs w:val="21"/>
              </w:rPr>
            </w:pPr>
          </w:p>
        </w:tc>
        <w:tc>
          <w:tcPr>
            <w:tcW w:w="2121" w:type="dxa"/>
            <w:vAlign w:val="center"/>
          </w:tcPr>
          <w:p w14:paraId="7E1D9178">
            <w:pPr>
              <w:spacing w:line="360" w:lineRule="auto"/>
              <w:jc w:val="right"/>
            </w:pPr>
            <w:r>
              <w:t>228,646.07</w:t>
            </w:r>
          </w:p>
        </w:tc>
        <w:tc>
          <w:tcPr>
            <w:tcW w:w="2395" w:type="dxa"/>
            <w:vAlign w:val="center"/>
          </w:tcPr>
          <w:p w14:paraId="4F62970A">
            <w:pPr>
              <w:spacing w:line="360" w:lineRule="auto"/>
              <w:jc w:val="right"/>
            </w:pPr>
            <w:r>
              <w:t>476,622.57</w:t>
            </w:r>
          </w:p>
        </w:tc>
      </w:tr>
      <w:tr w14:paraId="762D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55F368B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应付投资顾问费</w:t>
            </w:r>
          </w:p>
        </w:tc>
        <w:tc>
          <w:tcPr>
            <w:tcW w:w="1187" w:type="dxa"/>
            <w:vAlign w:val="center"/>
          </w:tcPr>
          <w:p w14:paraId="76047B4F">
            <w:pPr>
              <w:pStyle w:val="36"/>
              <w:spacing w:line="360" w:lineRule="auto"/>
              <w:jc w:val="center"/>
              <w:rPr>
                <w:rFonts w:ascii="Times New Roman" w:hAnsi="Times New Roman" w:cs="Times New Roman"/>
                <w:sz w:val="21"/>
                <w:szCs w:val="21"/>
              </w:rPr>
            </w:pPr>
          </w:p>
        </w:tc>
        <w:tc>
          <w:tcPr>
            <w:tcW w:w="2121" w:type="dxa"/>
            <w:vAlign w:val="center"/>
          </w:tcPr>
          <w:p w14:paraId="24FB6F33">
            <w:pPr>
              <w:spacing w:line="360" w:lineRule="auto"/>
              <w:jc w:val="right"/>
            </w:pPr>
            <w:r>
              <w:t>-</w:t>
            </w:r>
          </w:p>
        </w:tc>
        <w:tc>
          <w:tcPr>
            <w:tcW w:w="2395" w:type="dxa"/>
            <w:vAlign w:val="center"/>
          </w:tcPr>
          <w:p w14:paraId="5CE5C7C6">
            <w:pPr>
              <w:spacing w:line="360" w:lineRule="auto"/>
              <w:jc w:val="right"/>
            </w:pPr>
            <w:r>
              <w:t>-</w:t>
            </w:r>
          </w:p>
        </w:tc>
      </w:tr>
      <w:tr w14:paraId="1F23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59C563AC">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应交税费</w:t>
            </w:r>
          </w:p>
        </w:tc>
        <w:tc>
          <w:tcPr>
            <w:tcW w:w="1187" w:type="dxa"/>
            <w:vAlign w:val="center"/>
          </w:tcPr>
          <w:p w14:paraId="048DA890">
            <w:pPr>
              <w:pStyle w:val="36"/>
              <w:spacing w:line="360" w:lineRule="auto"/>
              <w:jc w:val="center"/>
              <w:rPr>
                <w:rFonts w:ascii="Times New Roman" w:hAnsi="Times New Roman" w:cs="Times New Roman"/>
                <w:sz w:val="21"/>
                <w:szCs w:val="21"/>
              </w:rPr>
            </w:pPr>
          </w:p>
        </w:tc>
        <w:tc>
          <w:tcPr>
            <w:tcW w:w="2121" w:type="dxa"/>
            <w:vAlign w:val="center"/>
          </w:tcPr>
          <w:p w14:paraId="49883F14">
            <w:pPr>
              <w:spacing w:line="360" w:lineRule="auto"/>
              <w:jc w:val="right"/>
            </w:pPr>
            <w:r>
              <w:t>-</w:t>
            </w:r>
          </w:p>
        </w:tc>
        <w:tc>
          <w:tcPr>
            <w:tcW w:w="2395" w:type="dxa"/>
            <w:vAlign w:val="center"/>
          </w:tcPr>
          <w:p w14:paraId="0AE8C6E6">
            <w:pPr>
              <w:spacing w:line="360" w:lineRule="auto"/>
              <w:jc w:val="right"/>
            </w:pPr>
            <w:r>
              <w:t>-</w:t>
            </w:r>
          </w:p>
        </w:tc>
      </w:tr>
      <w:tr w14:paraId="4F16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2030BD55">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应付利息</w:t>
            </w:r>
          </w:p>
        </w:tc>
        <w:tc>
          <w:tcPr>
            <w:tcW w:w="1187" w:type="dxa"/>
            <w:vAlign w:val="center"/>
          </w:tcPr>
          <w:p w14:paraId="08DC1D54">
            <w:pPr>
              <w:pStyle w:val="36"/>
              <w:spacing w:line="360" w:lineRule="auto"/>
              <w:jc w:val="center"/>
              <w:rPr>
                <w:rFonts w:ascii="Times New Roman" w:hAnsi="Times New Roman" w:cs="Times New Roman"/>
                <w:sz w:val="21"/>
                <w:szCs w:val="21"/>
              </w:rPr>
            </w:pPr>
          </w:p>
        </w:tc>
        <w:tc>
          <w:tcPr>
            <w:tcW w:w="2121" w:type="dxa"/>
            <w:vAlign w:val="center"/>
          </w:tcPr>
          <w:p w14:paraId="7F5DE2DF">
            <w:pPr>
              <w:spacing w:line="360" w:lineRule="auto"/>
              <w:jc w:val="right"/>
            </w:pPr>
            <w:r>
              <w:t>-</w:t>
            </w:r>
          </w:p>
        </w:tc>
        <w:tc>
          <w:tcPr>
            <w:tcW w:w="2395" w:type="dxa"/>
            <w:vAlign w:val="center"/>
          </w:tcPr>
          <w:p w14:paraId="4FD59087">
            <w:pPr>
              <w:spacing w:line="360" w:lineRule="auto"/>
              <w:jc w:val="right"/>
            </w:pPr>
            <w:r>
              <w:t>-</w:t>
            </w:r>
          </w:p>
        </w:tc>
      </w:tr>
      <w:tr w14:paraId="2786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2A6AF54A">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应付利润</w:t>
            </w:r>
          </w:p>
        </w:tc>
        <w:tc>
          <w:tcPr>
            <w:tcW w:w="1187" w:type="dxa"/>
            <w:vAlign w:val="center"/>
          </w:tcPr>
          <w:p w14:paraId="6450F012">
            <w:pPr>
              <w:pStyle w:val="36"/>
              <w:spacing w:line="360" w:lineRule="auto"/>
              <w:jc w:val="center"/>
              <w:rPr>
                <w:rFonts w:ascii="Times New Roman" w:hAnsi="Times New Roman" w:cs="Times New Roman"/>
                <w:sz w:val="21"/>
                <w:szCs w:val="21"/>
              </w:rPr>
            </w:pPr>
          </w:p>
        </w:tc>
        <w:tc>
          <w:tcPr>
            <w:tcW w:w="2121" w:type="dxa"/>
            <w:vAlign w:val="center"/>
          </w:tcPr>
          <w:p w14:paraId="1016DABA">
            <w:pPr>
              <w:spacing w:line="360" w:lineRule="auto"/>
              <w:jc w:val="right"/>
            </w:pPr>
            <w:r>
              <w:t>-</w:t>
            </w:r>
          </w:p>
        </w:tc>
        <w:tc>
          <w:tcPr>
            <w:tcW w:w="2395" w:type="dxa"/>
            <w:vAlign w:val="center"/>
          </w:tcPr>
          <w:p w14:paraId="57D1D288">
            <w:pPr>
              <w:spacing w:line="360" w:lineRule="auto"/>
              <w:jc w:val="right"/>
            </w:pPr>
            <w:r>
              <w:t>-</w:t>
            </w:r>
          </w:p>
        </w:tc>
      </w:tr>
      <w:tr w14:paraId="293C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7178939D">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其他负债</w:t>
            </w:r>
          </w:p>
        </w:tc>
        <w:tc>
          <w:tcPr>
            <w:tcW w:w="1187" w:type="dxa"/>
            <w:vAlign w:val="center"/>
          </w:tcPr>
          <w:p w14:paraId="39C3D955">
            <w:pPr>
              <w:pStyle w:val="36"/>
              <w:spacing w:line="360" w:lineRule="auto"/>
              <w:jc w:val="center"/>
              <w:rPr>
                <w:rFonts w:ascii="Times New Roman" w:hAnsi="Times New Roman" w:cs="Times New Roman"/>
                <w:sz w:val="21"/>
                <w:szCs w:val="21"/>
              </w:rPr>
            </w:pPr>
          </w:p>
        </w:tc>
        <w:tc>
          <w:tcPr>
            <w:tcW w:w="2121" w:type="dxa"/>
            <w:vAlign w:val="center"/>
          </w:tcPr>
          <w:p w14:paraId="29756FEA">
            <w:pPr>
              <w:spacing w:line="360" w:lineRule="auto"/>
              <w:jc w:val="right"/>
            </w:pPr>
            <w:r>
              <w:t>948,035.79</w:t>
            </w:r>
          </w:p>
        </w:tc>
        <w:tc>
          <w:tcPr>
            <w:tcW w:w="2395" w:type="dxa"/>
            <w:vAlign w:val="center"/>
          </w:tcPr>
          <w:p w14:paraId="19533C47">
            <w:pPr>
              <w:spacing w:line="360" w:lineRule="auto"/>
              <w:jc w:val="right"/>
            </w:pPr>
            <w:r>
              <w:t>868,000.00</w:t>
            </w:r>
          </w:p>
        </w:tc>
      </w:tr>
      <w:tr w14:paraId="3FB01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02F9A18E">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负债合计</w:t>
            </w:r>
          </w:p>
        </w:tc>
        <w:tc>
          <w:tcPr>
            <w:tcW w:w="1187" w:type="dxa"/>
            <w:vAlign w:val="center"/>
          </w:tcPr>
          <w:p w14:paraId="3DB76495">
            <w:pPr>
              <w:pStyle w:val="36"/>
              <w:spacing w:line="360" w:lineRule="auto"/>
              <w:jc w:val="center"/>
              <w:rPr>
                <w:rFonts w:ascii="Times New Roman" w:hAnsi="Times New Roman" w:cs="Times New Roman"/>
                <w:sz w:val="21"/>
                <w:szCs w:val="21"/>
              </w:rPr>
            </w:pPr>
          </w:p>
        </w:tc>
        <w:tc>
          <w:tcPr>
            <w:tcW w:w="2121" w:type="dxa"/>
            <w:vAlign w:val="center"/>
          </w:tcPr>
          <w:p w14:paraId="3F9A711D">
            <w:pPr>
              <w:spacing w:line="360" w:lineRule="auto"/>
              <w:jc w:val="right"/>
            </w:pPr>
            <w:r>
              <w:t>3,344,929.21</w:t>
            </w:r>
          </w:p>
        </w:tc>
        <w:tc>
          <w:tcPr>
            <w:tcW w:w="2395" w:type="dxa"/>
            <w:vAlign w:val="center"/>
          </w:tcPr>
          <w:p w14:paraId="22F22CDE">
            <w:pPr>
              <w:spacing w:line="360" w:lineRule="auto"/>
              <w:jc w:val="right"/>
            </w:pPr>
            <w:r>
              <w:t>5,809,983.03</w:t>
            </w:r>
          </w:p>
        </w:tc>
      </w:tr>
      <w:tr w14:paraId="14D3D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1820441">
            <w:pPr>
              <w:pStyle w:val="36"/>
              <w:spacing w:line="360" w:lineRule="auto"/>
              <w:rPr>
                <w:rFonts w:ascii="Times New Roman" w:hAnsi="Times New Roman" w:cs="Times New Roman"/>
                <w:b/>
                <w:sz w:val="21"/>
                <w:szCs w:val="21"/>
              </w:rPr>
            </w:pPr>
            <w:r>
              <w:rPr>
                <w:rFonts w:ascii="Times New Roman" w:hAnsi="Times New Roman" w:cs="Times New Roman"/>
                <w:b/>
                <w:sz w:val="21"/>
                <w:szCs w:val="21"/>
              </w:rPr>
              <w:t>所有者权益：</w:t>
            </w:r>
          </w:p>
        </w:tc>
        <w:tc>
          <w:tcPr>
            <w:tcW w:w="1187" w:type="dxa"/>
            <w:vAlign w:val="center"/>
          </w:tcPr>
          <w:p w14:paraId="53EA1664">
            <w:pPr>
              <w:pStyle w:val="36"/>
              <w:spacing w:line="360" w:lineRule="auto"/>
              <w:jc w:val="center"/>
              <w:rPr>
                <w:rFonts w:ascii="Times New Roman" w:hAnsi="Times New Roman" w:cs="Times New Roman"/>
                <w:sz w:val="21"/>
                <w:szCs w:val="21"/>
              </w:rPr>
            </w:pPr>
          </w:p>
        </w:tc>
        <w:tc>
          <w:tcPr>
            <w:tcW w:w="2121" w:type="dxa"/>
          </w:tcPr>
          <w:p w14:paraId="5669DFEE">
            <w:pPr>
              <w:pStyle w:val="36"/>
              <w:spacing w:line="360" w:lineRule="auto"/>
              <w:rPr>
                <w:rFonts w:ascii="Times New Roman" w:hAnsi="Times New Roman" w:cs="Times New Roman"/>
                <w:sz w:val="21"/>
                <w:szCs w:val="21"/>
              </w:rPr>
            </w:pPr>
          </w:p>
        </w:tc>
        <w:tc>
          <w:tcPr>
            <w:tcW w:w="2395" w:type="dxa"/>
          </w:tcPr>
          <w:p w14:paraId="36C092FD">
            <w:pPr>
              <w:pStyle w:val="36"/>
              <w:spacing w:line="360" w:lineRule="auto"/>
              <w:rPr>
                <w:rFonts w:ascii="Times New Roman" w:hAnsi="Times New Roman" w:cs="Times New Roman"/>
                <w:sz w:val="21"/>
                <w:szCs w:val="21"/>
              </w:rPr>
            </w:pPr>
          </w:p>
        </w:tc>
      </w:tr>
      <w:tr w14:paraId="1A37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1D3E2847">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实收基金</w:t>
            </w:r>
          </w:p>
        </w:tc>
        <w:tc>
          <w:tcPr>
            <w:tcW w:w="1187" w:type="dxa"/>
            <w:vAlign w:val="center"/>
          </w:tcPr>
          <w:p w14:paraId="749BE7BC">
            <w:pPr>
              <w:pStyle w:val="36"/>
              <w:spacing w:line="360" w:lineRule="auto"/>
              <w:jc w:val="center"/>
              <w:rPr>
                <w:rFonts w:ascii="Times New Roman" w:hAnsi="Times New Roman" w:cs="Times New Roman"/>
                <w:sz w:val="21"/>
                <w:szCs w:val="21"/>
              </w:rPr>
            </w:pPr>
          </w:p>
        </w:tc>
        <w:tc>
          <w:tcPr>
            <w:tcW w:w="2121" w:type="dxa"/>
            <w:vAlign w:val="center"/>
          </w:tcPr>
          <w:p w14:paraId="1C15FD20">
            <w:pPr>
              <w:spacing w:line="360" w:lineRule="auto"/>
              <w:jc w:val="right"/>
            </w:pPr>
            <w:r>
              <w:t>1,421,130,866.00</w:t>
            </w:r>
          </w:p>
        </w:tc>
        <w:tc>
          <w:tcPr>
            <w:tcW w:w="2395" w:type="dxa"/>
            <w:vAlign w:val="center"/>
          </w:tcPr>
          <w:p w14:paraId="129C88C6">
            <w:pPr>
              <w:spacing w:line="360" w:lineRule="auto"/>
              <w:jc w:val="right"/>
            </w:pPr>
            <w:r>
              <w:t>1,421,130,866.00</w:t>
            </w:r>
          </w:p>
        </w:tc>
      </w:tr>
      <w:tr w14:paraId="7E87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68CFD39D">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资本公积</w:t>
            </w:r>
          </w:p>
        </w:tc>
        <w:tc>
          <w:tcPr>
            <w:tcW w:w="1187" w:type="dxa"/>
            <w:vAlign w:val="center"/>
          </w:tcPr>
          <w:p w14:paraId="07F62C85">
            <w:pPr>
              <w:pStyle w:val="36"/>
              <w:spacing w:line="360" w:lineRule="auto"/>
              <w:jc w:val="center"/>
              <w:rPr>
                <w:rFonts w:ascii="Times New Roman" w:hAnsi="Times New Roman" w:cs="Times New Roman"/>
                <w:sz w:val="21"/>
                <w:szCs w:val="21"/>
              </w:rPr>
            </w:pPr>
          </w:p>
        </w:tc>
        <w:tc>
          <w:tcPr>
            <w:tcW w:w="2121" w:type="dxa"/>
            <w:vAlign w:val="center"/>
          </w:tcPr>
          <w:p w14:paraId="0A168ECF">
            <w:pPr>
              <w:spacing w:line="360" w:lineRule="auto"/>
              <w:jc w:val="right"/>
            </w:pPr>
            <w:r>
              <w:t>1,901,808,511.21</w:t>
            </w:r>
          </w:p>
        </w:tc>
        <w:tc>
          <w:tcPr>
            <w:tcW w:w="2395" w:type="dxa"/>
            <w:vAlign w:val="center"/>
          </w:tcPr>
          <w:p w14:paraId="1E716049">
            <w:pPr>
              <w:spacing w:line="360" w:lineRule="auto"/>
              <w:jc w:val="right"/>
            </w:pPr>
            <w:r>
              <w:t>1,901,808,511.21</w:t>
            </w:r>
          </w:p>
        </w:tc>
      </w:tr>
      <w:tr w14:paraId="6CC3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32974003">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其他综合收益</w:t>
            </w:r>
          </w:p>
        </w:tc>
        <w:tc>
          <w:tcPr>
            <w:tcW w:w="1187" w:type="dxa"/>
            <w:vAlign w:val="center"/>
          </w:tcPr>
          <w:p w14:paraId="6F7F8CA0">
            <w:pPr>
              <w:pStyle w:val="36"/>
              <w:spacing w:line="360" w:lineRule="auto"/>
              <w:jc w:val="center"/>
              <w:rPr>
                <w:rFonts w:ascii="Times New Roman" w:hAnsi="Times New Roman" w:cs="Times New Roman"/>
                <w:sz w:val="21"/>
                <w:szCs w:val="21"/>
              </w:rPr>
            </w:pPr>
          </w:p>
        </w:tc>
        <w:tc>
          <w:tcPr>
            <w:tcW w:w="2121" w:type="dxa"/>
            <w:vAlign w:val="center"/>
          </w:tcPr>
          <w:p w14:paraId="0B42D8A7">
            <w:pPr>
              <w:spacing w:line="360" w:lineRule="auto"/>
              <w:jc w:val="right"/>
            </w:pPr>
            <w:r>
              <w:t>-</w:t>
            </w:r>
          </w:p>
        </w:tc>
        <w:tc>
          <w:tcPr>
            <w:tcW w:w="2395" w:type="dxa"/>
            <w:vAlign w:val="center"/>
          </w:tcPr>
          <w:p w14:paraId="1E7E4255">
            <w:pPr>
              <w:spacing w:line="360" w:lineRule="auto"/>
              <w:jc w:val="right"/>
            </w:pPr>
            <w:r>
              <w:t>-</w:t>
            </w:r>
          </w:p>
        </w:tc>
      </w:tr>
      <w:tr w14:paraId="14EB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1FF3954F">
            <w:pPr>
              <w:pStyle w:val="36"/>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未分配利润</w:t>
            </w:r>
          </w:p>
        </w:tc>
        <w:tc>
          <w:tcPr>
            <w:tcW w:w="1187" w:type="dxa"/>
            <w:vAlign w:val="center"/>
          </w:tcPr>
          <w:p w14:paraId="5EB3CA32">
            <w:pPr>
              <w:pStyle w:val="36"/>
              <w:spacing w:line="360" w:lineRule="auto"/>
              <w:jc w:val="center"/>
              <w:rPr>
                <w:rFonts w:ascii="Times New Roman" w:hAnsi="Times New Roman" w:cs="Times New Roman"/>
                <w:sz w:val="21"/>
                <w:szCs w:val="21"/>
              </w:rPr>
            </w:pPr>
          </w:p>
        </w:tc>
        <w:tc>
          <w:tcPr>
            <w:tcW w:w="2121" w:type="dxa"/>
            <w:vAlign w:val="center"/>
          </w:tcPr>
          <w:p w14:paraId="3260B97B">
            <w:pPr>
              <w:spacing w:line="360" w:lineRule="auto"/>
              <w:jc w:val="right"/>
            </w:pPr>
            <w:r>
              <w:t>-189,897,877.05</w:t>
            </w:r>
          </w:p>
        </w:tc>
        <w:tc>
          <w:tcPr>
            <w:tcW w:w="2395" w:type="dxa"/>
            <w:vAlign w:val="center"/>
          </w:tcPr>
          <w:p w14:paraId="43B86AF1">
            <w:pPr>
              <w:spacing w:line="360" w:lineRule="auto"/>
              <w:jc w:val="right"/>
            </w:pPr>
            <w:r>
              <w:t>-195,435,410.88</w:t>
            </w:r>
          </w:p>
        </w:tc>
      </w:tr>
      <w:tr w14:paraId="7158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271E7434">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所有者权益合计</w:t>
            </w:r>
          </w:p>
        </w:tc>
        <w:tc>
          <w:tcPr>
            <w:tcW w:w="1187" w:type="dxa"/>
            <w:vAlign w:val="center"/>
          </w:tcPr>
          <w:p w14:paraId="565CACEE">
            <w:pPr>
              <w:pStyle w:val="36"/>
              <w:spacing w:line="360" w:lineRule="auto"/>
              <w:jc w:val="center"/>
              <w:rPr>
                <w:rFonts w:ascii="Times New Roman" w:hAnsi="Times New Roman" w:cs="Times New Roman"/>
                <w:sz w:val="21"/>
                <w:szCs w:val="21"/>
              </w:rPr>
            </w:pPr>
          </w:p>
        </w:tc>
        <w:tc>
          <w:tcPr>
            <w:tcW w:w="2121" w:type="dxa"/>
            <w:vAlign w:val="center"/>
          </w:tcPr>
          <w:p w14:paraId="3C630F96">
            <w:pPr>
              <w:spacing w:line="360" w:lineRule="auto"/>
              <w:jc w:val="right"/>
            </w:pPr>
            <w:r>
              <w:t>3,133,041,500.16</w:t>
            </w:r>
          </w:p>
        </w:tc>
        <w:tc>
          <w:tcPr>
            <w:tcW w:w="2395" w:type="dxa"/>
            <w:vAlign w:val="center"/>
          </w:tcPr>
          <w:p w14:paraId="3F59C143">
            <w:pPr>
              <w:spacing w:line="360" w:lineRule="auto"/>
              <w:jc w:val="right"/>
            </w:pPr>
            <w:r>
              <w:t>3,127,503,966.33</w:t>
            </w:r>
          </w:p>
        </w:tc>
      </w:tr>
      <w:tr w14:paraId="272A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337" w:type="dxa"/>
            <w:vAlign w:val="center"/>
          </w:tcPr>
          <w:p w14:paraId="589F4E78">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负债和所有者权益总计</w:t>
            </w:r>
          </w:p>
        </w:tc>
        <w:tc>
          <w:tcPr>
            <w:tcW w:w="1187" w:type="dxa"/>
            <w:vAlign w:val="center"/>
          </w:tcPr>
          <w:p w14:paraId="729227D5">
            <w:pPr>
              <w:pStyle w:val="36"/>
              <w:spacing w:line="360" w:lineRule="auto"/>
              <w:jc w:val="center"/>
              <w:rPr>
                <w:rFonts w:ascii="Times New Roman" w:hAnsi="Times New Roman" w:cs="Times New Roman"/>
                <w:sz w:val="21"/>
                <w:szCs w:val="21"/>
              </w:rPr>
            </w:pPr>
          </w:p>
        </w:tc>
        <w:tc>
          <w:tcPr>
            <w:tcW w:w="2121" w:type="dxa"/>
            <w:vAlign w:val="center"/>
          </w:tcPr>
          <w:p w14:paraId="6C0F1934">
            <w:pPr>
              <w:spacing w:line="360" w:lineRule="auto"/>
              <w:jc w:val="right"/>
            </w:pPr>
            <w:r>
              <w:t>3,136,386,429.37</w:t>
            </w:r>
          </w:p>
        </w:tc>
        <w:tc>
          <w:tcPr>
            <w:tcW w:w="2395" w:type="dxa"/>
            <w:vAlign w:val="center"/>
          </w:tcPr>
          <w:p w14:paraId="1A46BF6D">
            <w:pPr>
              <w:spacing w:line="360" w:lineRule="auto"/>
              <w:jc w:val="right"/>
            </w:pPr>
            <w:r>
              <w:t>3,133,313,949.36</w:t>
            </w:r>
          </w:p>
        </w:tc>
      </w:tr>
    </w:tbl>
    <w:p w14:paraId="5CB82D8D">
      <w:pPr>
        <w:pStyle w:val="3"/>
        <w:rPr>
          <w:rFonts w:ascii="Times New Roman" w:hAnsi="Times New Roman" w:cs="Times New Roman"/>
          <w:sz w:val="21"/>
          <w:szCs w:val="21"/>
        </w:rPr>
      </w:pPr>
      <w:bookmarkStart w:id="299" w:name="_Toc98601347"/>
      <w:bookmarkStart w:id="300" w:name="_Toc98603019"/>
      <w:bookmarkStart w:id="301" w:name="_Toc98508991"/>
      <w:bookmarkStart w:id="302" w:name="_Toc98511654"/>
      <w:bookmarkStart w:id="303" w:name="_Toc98602696"/>
      <w:bookmarkStart w:id="304" w:name="_Toc21992"/>
      <w:bookmarkStart w:id="305" w:name="_Toc98512410"/>
      <w:r>
        <w:rPr>
          <w:rFonts w:ascii="Times New Roman" w:hAnsi="Times New Roman" w:cs="Times New Roman"/>
          <w:kern w:val="0"/>
          <w:sz w:val="21"/>
          <w:szCs w:val="21"/>
        </w:rPr>
        <w:t>9.2</w:t>
      </w:r>
      <w:r>
        <w:rPr>
          <w:rFonts w:ascii="Times New Roman" w:hAnsi="Times New Roman" w:cs="Times New Roman"/>
          <w:sz w:val="21"/>
          <w:szCs w:val="21"/>
        </w:rPr>
        <w:t xml:space="preserve"> 利润表</w:t>
      </w:r>
      <w:bookmarkEnd w:id="275"/>
      <w:bookmarkEnd w:id="299"/>
      <w:bookmarkEnd w:id="300"/>
      <w:bookmarkEnd w:id="301"/>
      <w:bookmarkEnd w:id="302"/>
      <w:bookmarkEnd w:id="303"/>
      <w:bookmarkEnd w:id="304"/>
      <w:bookmarkEnd w:id="305"/>
    </w:p>
    <w:p w14:paraId="20B86D9D">
      <w:pPr>
        <w:spacing w:line="360" w:lineRule="auto"/>
        <w:outlineLvl w:val="2"/>
        <w:rPr>
          <w:b/>
        </w:rPr>
      </w:pPr>
      <w:bookmarkStart w:id="306" w:name="_Toc98601348"/>
      <w:bookmarkStart w:id="307" w:name="_Toc98602697"/>
      <w:bookmarkStart w:id="308" w:name="_Toc96424951"/>
      <w:bookmarkStart w:id="309" w:name="_Toc225498271"/>
      <w:bookmarkStart w:id="310" w:name="_Toc361324876"/>
      <w:bookmarkStart w:id="311" w:name="_Toc64625395"/>
      <w:r>
        <w:rPr>
          <w:b/>
          <w:kern w:val="0"/>
        </w:rPr>
        <w:t>9.2.1</w:t>
      </w:r>
      <w:r>
        <w:rPr>
          <w:b/>
        </w:rPr>
        <w:t xml:space="preserve">  合并利润表</w:t>
      </w:r>
      <w:bookmarkEnd w:id="306"/>
      <w:bookmarkEnd w:id="307"/>
      <w:bookmarkEnd w:id="308"/>
    </w:p>
    <w:p w14:paraId="5E51EF62">
      <w:pPr>
        <w:spacing w:line="360" w:lineRule="auto"/>
        <w:rPr>
          <w:kern w:val="0"/>
        </w:rPr>
      </w:pPr>
      <w:r>
        <w:t>会计主体：</w:t>
      </w:r>
      <w:r>
        <w:rPr>
          <w:kern w:val="0"/>
        </w:rPr>
        <w:t>博时招商蛇口产业园封闭式基础设施证券投资基金</w:t>
      </w:r>
    </w:p>
    <w:p w14:paraId="08596A28">
      <w:pPr>
        <w:spacing w:line="360" w:lineRule="auto"/>
        <w:rPr>
          <w:kern w:val="0"/>
        </w:rPr>
      </w:pPr>
      <w:r>
        <w:t>本报告期：</w:t>
      </w:r>
      <w:r>
        <w:rPr>
          <w:kern w:val="0"/>
        </w:rPr>
        <w:t>2026年1月1日至2026年6月30日</w:t>
      </w:r>
    </w:p>
    <w:p w14:paraId="694A350E">
      <w:pPr>
        <w:spacing w:line="360" w:lineRule="auto"/>
        <w:ind w:right="565" w:rightChars="269"/>
        <w:jc w:val="right"/>
        <w:rPr>
          <w:b/>
        </w:rPr>
      </w:pPr>
      <w:r>
        <w:t>单位：人民币元</w:t>
      </w:r>
    </w:p>
    <w:tbl>
      <w:tblPr>
        <w:tblStyle w:val="40"/>
        <w:tblW w:w="5320"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4"/>
        <w:gridCol w:w="1461"/>
        <w:gridCol w:w="1913"/>
        <w:gridCol w:w="2296"/>
      </w:tblGrid>
      <w:tr w14:paraId="52A9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tcBorders>
              <w:top w:val="single" w:color="auto" w:sz="4" w:space="0"/>
            </w:tcBorders>
            <w:vAlign w:val="center"/>
          </w:tcPr>
          <w:p w14:paraId="5EE24096">
            <w:pPr>
              <w:pStyle w:val="36"/>
              <w:spacing w:line="360" w:lineRule="auto"/>
              <w:jc w:val="center"/>
              <w:rPr>
                <w:rFonts w:ascii="Times New Roman" w:hAnsi="Times New Roman" w:cs="Times New Roman"/>
                <w:b/>
                <w:sz w:val="21"/>
                <w:szCs w:val="21"/>
              </w:rPr>
            </w:pPr>
            <w:bookmarkStart w:id="312" w:name="_Hlk91689444"/>
            <w:r>
              <w:rPr>
                <w:rFonts w:ascii="Times New Roman" w:hAnsi="Times New Roman" w:cs="Times New Roman"/>
                <w:b/>
                <w:sz w:val="21"/>
                <w:szCs w:val="21"/>
              </w:rPr>
              <w:t>项 目</w:t>
            </w:r>
          </w:p>
        </w:tc>
        <w:tc>
          <w:tcPr>
            <w:tcW w:w="1461" w:type="dxa"/>
            <w:tcBorders>
              <w:top w:val="single" w:color="auto" w:sz="4" w:space="0"/>
            </w:tcBorders>
            <w:vAlign w:val="center"/>
          </w:tcPr>
          <w:p w14:paraId="28D4A6EA">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附注号</w:t>
            </w:r>
          </w:p>
        </w:tc>
        <w:tc>
          <w:tcPr>
            <w:tcW w:w="1913" w:type="dxa"/>
            <w:tcBorders>
              <w:top w:val="single" w:color="auto" w:sz="4" w:space="0"/>
            </w:tcBorders>
            <w:vAlign w:val="center"/>
          </w:tcPr>
          <w:p w14:paraId="0114327B">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w:t>
            </w:r>
          </w:p>
          <w:p w14:paraId="7EE1597E">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2026年1月1日至2026年6月30日</w:t>
            </w:r>
          </w:p>
        </w:tc>
        <w:tc>
          <w:tcPr>
            <w:tcW w:w="2296" w:type="dxa"/>
            <w:tcBorders>
              <w:top w:val="single" w:color="auto" w:sz="4" w:space="0"/>
            </w:tcBorders>
            <w:vAlign w:val="center"/>
          </w:tcPr>
          <w:p w14:paraId="26333B8D">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上年度可比期间</w:t>
            </w:r>
          </w:p>
          <w:p w14:paraId="16804A25">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2025年1月1日至2025年6月30日</w:t>
            </w:r>
          </w:p>
        </w:tc>
      </w:tr>
      <w:tr w14:paraId="3E52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FB96E04">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一、营业总收入</w:t>
            </w:r>
          </w:p>
        </w:tc>
        <w:tc>
          <w:tcPr>
            <w:tcW w:w="1461" w:type="dxa"/>
            <w:vAlign w:val="center"/>
          </w:tcPr>
          <w:p w14:paraId="47BE5789">
            <w:pPr>
              <w:pStyle w:val="36"/>
              <w:spacing w:line="360" w:lineRule="auto"/>
              <w:jc w:val="center"/>
              <w:rPr>
                <w:rFonts w:ascii="Times New Roman" w:hAnsi="Times New Roman" w:cs="Times New Roman"/>
                <w:sz w:val="21"/>
                <w:szCs w:val="21"/>
              </w:rPr>
            </w:pPr>
          </w:p>
        </w:tc>
        <w:tc>
          <w:tcPr>
            <w:tcW w:w="1913" w:type="dxa"/>
            <w:vAlign w:val="center"/>
          </w:tcPr>
          <w:p w14:paraId="6C30F291">
            <w:pPr>
              <w:spacing w:line="360" w:lineRule="auto"/>
              <w:jc w:val="right"/>
              <w:rPr>
                <w:b/>
              </w:rPr>
            </w:pPr>
            <w:r>
              <w:rPr>
                <w:b/>
              </w:rPr>
              <w:t>81,614,405.65</w:t>
            </w:r>
          </w:p>
        </w:tc>
        <w:tc>
          <w:tcPr>
            <w:tcW w:w="2296" w:type="dxa"/>
            <w:vAlign w:val="center"/>
          </w:tcPr>
          <w:p w14:paraId="2CD68FAD">
            <w:pPr>
              <w:spacing w:line="360" w:lineRule="auto"/>
              <w:jc w:val="right"/>
              <w:rPr>
                <w:b/>
              </w:rPr>
            </w:pPr>
            <w:r>
              <w:rPr>
                <w:b/>
              </w:rPr>
              <w:t>91,768,479.83</w:t>
            </w:r>
          </w:p>
        </w:tc>
      </w:tr>
      <w:tr w14:paraId="5B26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031E0F7B">
            <w:pPr>
              <w:pStyle w:val="36"/>
              <w:spacing w:line="360" w:lineRule="auto"/>
              <w:rPr>
                <w:rFonts w:ascii="Times New Roman" w:hAnsi="Times New Roman" w:cs="Times New Roman"/>
                <w:sz w:val="21"/>
                <w:szCs w:val="21"/>
              </w:rPr>
            </w:pPr>
            <w:r>
              <w:rPr>
                <w:rFonts w:ascii="Times New Roman" w:hAnsi="Times New Roman" w:cs="Times New Roman"/>
                <w:sz w:val="21"/>
                <w:szCs w:val="21"/>
              </w:rPr>
              <w:t>1.营业收入</w:t>
            </w:r>
          </w:p>
        </w:tc>
        <w:tc>
          <w:tcPr>
            <w:tcW w:w="1461" w:type="dxa"/>
            <w:vAlign w:val="center"/>
          </w:tcPr>
          <w:p w14:paraId="3344929D">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9.5.6.15</w:t>
            </w:r>
          </w:p>
        </w:tc>
        <w:tc>
          <w:tcPr>
            <w:tcW w:w="1913" w:type="dxa"/>
            <w:vAlign w:val="center"/>
          </w:tcPr>
          <w:p w14:paraId="68B95BF7">
            <w:pPr>
              <w:spacing w:line="360" w:lineRule="auto"/>
              <w:jc w:val="right"/>
            </w:pPr>
            <w:r>
              <w:t>81,069,024.18</w:t>
            </w:r>
          </w:p>
        </w:tc>
        <w:tc>
          <w:tcPr>
            <w:tcW w:w="2296" w:type="dxa"/>
            <w:vAlign w:val="center"/>
          </w:tcPr>
          <w:p w14:paraId="2A09F5CA">
            <w:pPr>
              <w:spacing w:line="360" w:lineRule="auto"/>
              <w:jc w:val="right"/>
            </w:pPr>
            <w:r>
              <w:t>90,957,874.59</w:t>
            </w:r>
          </w:p>
        </w:tc>
      </w:tr>
      <w:tr w14:paraId="3D46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0209F610">
            <w:pPr>
              <w:pStyle w:val="36"/>
              <w:spacing w:line="360" w:lineRule="auto"/>
              <w:rPr>
                <w:rFonts w:ascii="Times New Roman" w:hAnsi="Times New Roman" w:cs="Times New Roman"/>
                <w:sz w:val="21"/>
                <w:szCs w:val="21"/>
              </w:rPr>
            </w:pPr>
            <w:r>
              <w:rPr>
                <w:rFonts w:ascii="Times New Roman" w:hAnsi="Times New Roman" w:cs="Times New Roman"/>
                <w:sz w:val="21"/>
                <w:szCs w:val="21"/>
              </w:rPr>
              <w:t>2.利息收入</w:t>
            </w:r>
          </w:p>
        </w:tc>
        <w:tc>
          <w:tcPr>
            <w:tcW w:w="1461" w:type="dxa"/>
            <w:vAlign w:val="center"/>
          </w:tcPr>
          <w:p w14:paraId="53317364">
            <w:pPr>
              <w:pStyle w:val="36"/>
              <w:spacing w:line="360" w:lineRule="auto"/>
              <w:jc w:val="center"/>
              <w:rPr>
                <w:rFonts w:ascii="Times New Roman" w:hAnsi="Times New Roman" w:cs="Times New Roman"/>
                <w:sz w:val="21"/>
                <w:szCs w:val="21"/>
              </w:rPr>
            </w:pPr>
          </w:p>
        </w:tc>
        <w:tc>
          <w:tcPr>
            <w:tcW w:w="1913" w:type="dxa"/>
            <w:vAlign w:val="center"/>
          </w:tcPr>
          <w:p w14:paraId="2B24AA49">
            <w:pPr>
              <w:spacing w:line="360" w:lineRule="auto"/>
              <w:jc w:val="right"/>
            </w:pPr>
            <w:r>
              <w:t>19,982.83</w:t>
            </w:r>
          </w:p>
        </w:tc>
        <w:tc>
          <w:tcPr>
            <w:tcW w:w="2296" w:type="dxa"/>
            <w:vAlign w:val="center"/>
          </w:tcPr>
          <w:p w14:paraId="38A56CAA">
            <w:pPr>
              <w:spacing w:line="360" w:lineRule="auto"/>
              <w:jc w:val="right"/>
            </w:pPr>
            <w:r>
              <w:t>7,599.03</w:t>
            </w:r>
          </w:p>
        </w:tc>
      </w:tr>
      <w:tr w14:paraId="128A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56BAB55B">
            <w:pPr>
              <w:pStyle w:val="36"/>
              <w:spacing w:line="360" w:lineRule="auto"/>
              <w:rPr>
                <w:rFonts w:ascii="Times New Roman" w:hAnsi="Times New Roman" w:cs="Times New Roman"/>
                <w:sz w:val="21"/>
                <w:szCs w:val="21"/>
              </w:rPr>
            </w:pPr>
            <w:r>
              <w:rPr>
                <w:rFonts w:ascii="Times New Roman" w:hAnsi="Times New Roman" w:cs="Times New Roman"/>
                <w:sz w:val="21"/>
                <w:szCs w:val="21"/>
              </w:rPr>
              <w:t>3.投资收益（损失以“-”号填列）</w:t>
            </w:r>
          </w:p>
        </w:tc>
        <w:tc>
          <w:tcPr>
            <w:tcW w:w="1461" w:type="dxa"/>
            <w:vAlign w:val="center"/>
          </w:tcPr>
          <w:p w14:paraId="53CC53A0">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9.5.6.16</w:t>
            </w:r>
          </w:p>
        </w:tc>
        <w:tc>
          <w:tcPr>
            <w:tcW w:w="1913" w:type="dxa"/>
            <w:vAlign w:val="center"/>
          </w:tcPr>
          <w:p w14:paraId="60B10CB8">
            <w:pPr>
              <w:spacing w:line="360" w:lineRule="auto"/>
              <w:jc w:val="right"/>
            </w:pPr>
            <w:r>
              <w:t>525,398.64</w:t>
            </w:r>
          </w:p>
        </w:tc>
        <w:tc>
          <w:tcPr>
            <w:tcW w:w="2296" w:type="dxa"/>
            <w:vAlign w:val="center"/>
          </w:tcPr>
          <w:p w14:paraId="0341E8C2">
            <w:pPr>
              <w:spacing w:line="360" w:lineRule="auto"/>
              <w:jc w:val="right"/>
            </w:pPr>
            <w:r>
              <w:t>802,598.05</w:t>
            </w:r>
          </w:p>
        </w:tc>
      </w:tr>
      <w:tr w14:paraId="50B7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78EE5A7B">
            <w:pPr>
              <w:pStyle w:val="36"/>
              <w:spacing w:line="360" w:lineRule="auto"/>
              <w:rPr>
                <w:rFonts w:ascii="Times New Roman" w:hAnsi="Times New Roman" w:cs="Times New Roman"/>
                <w:sz w:val="21"/>
                <w:szCs w:val="21"/>
              </w:rPr>
            </w:pPr>
            <w:r>
              <w:rPr>
                <w:rFonts w:ascii="Times New Roman" w:hAnsi="Times New Roman" w:cs="Times New Roman"/>
                <w:sz w:val="21"/>
                <w:szCs w:val="21"/>
              </w:rPr>
              <w:t>4.公允价值变动收益（损失以“-”号填列）</w:t>
            </w:r>
          </w:p>
        </w:tc>
        <w:tc>
          <w:tcPr>
            <w:tcW w:w="1461" w:type="dxa"/>
            <w:vAlign w:val="center"/>
          </w:tcPr>
          <w:p w14:paraId="6B120CCE">
            <w:pPr>
              <w:pStyle w:val="36"/>
              <w:spacing w:line="360" w:lineRule="auto"/>
              <w:jc w:val="center"/>
              <w:rPr>
                <w:rFonts w:ascii="Times New Roman" w:hAnsi="Times New Roman" w:cs="Times New Roman"/>
                <w:sz w:val="21"/>
                <w:szCs w:val="21"/>
              </w:rPr>
            </w:pPr>
          </w:p>
        </w:tc>
        <w:tc>
          <w:tcPr>
            <w:tcW w:w="1913" w:type="dxa"/>
            <w:vAlign w:val="center"/>
          </w:tcPr>
          <w:p w14:paraId="2E8218DF">
            <w:pPr>
              <w:spacing w:line="360" w:lineRule="auto"/>
              <w:jc w:val="right"/>
            </w:pPr>
            <w:r>
              <w:t>-</w:t>
            </w:r>
          </w:p>
        </w:tc>
        <w:tc>
          <w:tcPr>
            <w:tcW w:w="2296" w:type="dxa"/>
            <w:vAlign w:val="center"/>
          </w:tcPr>
          <w:p w14:paraId="5000FB5A">
            <w:pPr>
              <w:spacing w:line="360" w:lineRule="auto"/>
              <w:jc w:val="right"/>
            </w:pPr>
            <w:r>
              <w:t>-</w:t>
            </w:r>
          </w:p>
        </w:tc>
      </w:tr>
      <w:tr w14:paraId="40FF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2C6DC03A">
            <w:pPr>
              <w:pStyle w:val="36"/>
              <w:spacing w:line="360" w:lineRule="auto"/>
              <w:rPr>
                <w:rFonts w:ascii="Times New Roman" w:hAnsi="Times New Roman" w:cs="Times New Roman"/>
                <w:sz w:val="21"/>
                <w:szCs w:val="21"/>
              </w:rPr>
            </w:pPr>
            <w:r>
              <w:rPr>
                <w:rFonts w:ascii="Times New Roman" w:hAnsi="Times New Roman" w:cs="Times New Roman"/>
                <w:sz w:val="21"/>
                <w:szCs w:val="21"/>
              </w:rPr>
              <w:t>5.汇兑收益（损失以“-”号填列）</w:t>
            </w:r>
          </w:p>
        </w:tc>
        <w:tc>
          <w:tcPr>
            <w:tcW w:w="1461" w:type="dxa"/>
            <w:vAlign w:val="center"/>
          </w:tcPr>
          <w:p w14:paraId="097437CE">
            <w:pPr>
              <w:pStyle w:val="36"/>
              <w:spacing w:line="360" w:lineRule="auto"/>
              <w:jc w:val="center"/>
              <w:rPr>
                <w:rFonts w:ascii="Times New Roman" w:hAnsi="Times New Roman" w:cs="Times New Roman"/>
                <w:sz w:val="21"/>
                <w:szCs w:val="21"/>
              </w:rPr>
            </w:pPr>
          </w:p>
        </w:tc>
        <w:tc>
          <w:tcPr>
            <w:tcW w:w="1913" w:type="dxa"/>
            <w:vAlign w:val="center"/>
          </w:tcPr>
          <w:p w14:paraId="4A8D9F4B">
            <w:pPr>
              <w:spacing w:line="360" w:lineRule="auto"/>
              <w:jc w:val="right"/>
            </w:pPr>
            <w:r>
              <w:t>-</w:t>
            </w:r>
          </w:p>
        </w:tc>
        <w:tc>
          <w:tcPr>
            <w:tcW w:w="2296" w:type="dxa"/>
            <w:vAlign w:val="center"/>
          </w:tcPr>
          <w:p w14:paraId="3624E8B2">
            <w:pPr>
              <w:spacing w:line="360" w:lineRule="auto"/>
              <w:jc w:val="right"/>
            </w:pPr>
            <w:r>
              <w:t>-</w:t>
            </w:r>
          </w:p>
        </w:tc>
      </w:tr>
      <w:tr w14:paraId="7CE0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1D2AED4">
            <w:pPr>
              <w:pStyle w:val="36"/>
              <w:spacing w:line="360" w:lineRule="auto"/>
              <w:rPr>
                <w:rFonts w:ascii="Times New Roman" w:hAnsi="Times New Roman" w:cs="Times New Roman"/>
                <w:sz w:val="21"/>
                <w:szCs w:val="21"/>
              </w:rPr>
            </w:pPr>
            <w:r>
              <w:rPr>
                <w:rFonts w:ascii="Times New Roman" w:hAnsi="Times New Roman" w:cs="Times New Roman"/>
                <w:sz w:val="21"/>
                <w:szCs w:val="21"/>
              </w:rPr>
              <w:t>6.资产处置收益（损失以“-”号填列）</w:t>
            </w:r>
          </w:p>
        </w:tc>
        <w:tc>
          <w:tcPr>
            <w:tcW w:w="1461" w:type="dxa"/>
            <w:vAlign w:val="center"/>
          </w:tcPr>
          <w:p w14:paraId="7A89C591">
            <w:pPr>
              <w:pStyle w:val="36"/>
              <w:spacing w:line="360" w:lineRule="auto"/>
              <w:jc w:val="center"/>
              <w:rPr>
                <w:rFonts w:ascii="Times New Roman" w:hAnsi="Times New Roman" w:cs="Times New Roman"/>
                <w:sz w:val="21"/>
                <w:szCs w:val="21"/>
              </w:rPr>
            </w:pPr>
          </w:p>
        </w:tc>
        <w:tc>
          <w:tcPr>
            <w:tcW w:w="1913" w:type="dxa"/>
            <w:vAlign w:val="center"/>
          </w:tcPr>
          <w:p w14:paraId="126D419E">
            <w:pPr>
              <w:spacing w:line="360" w:lineRule="auto"/>
              <w:jc w:val="right"/>
            </w:pPr>
            <w:r>
              <w:t>-</w:t>
            </w:r>
          </w:p>
        </w:tc>
        <w:tc>
          <w:tcPr>
            <w:tcW w:w="2296" w:type="dxa"/>
            <w:vAlign w:val="center"/>
          </w:tcPr>
          <w:p w14:paraId="047AFA48">
            <w:pPr>
              <w:spacing w:line="360" w:lineRule="auto"/>
              <w:jc w:val="right"/>
            </w:pPr>
            <w:r>
              <w:t>-</w:t>
            </w:r>
          </w:p>
        </w:tc>
      </w:tr>
      <w:tr w14:paraId="5EE41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44C066FF">
            <w:pPr>
              <w:pStyle w:val="36"/>
              <w:spacing w:line="360" w:lineRule="auto"/>
              <w:rPr>
                <w:rFonts w:ascii="Times New Roman" w:hAnsi="Times New Roman" w:cs="Times New Roman"/>
                <w:sz w:val="21"/>
                <w:szCs w:val="21"/>
              </w:rPr>
            </w:pPr>
            <w:r>
              <w:rPr>
                <w:rFonts w:ascii="Times New Roman" w:hAnsi="Times New Roman" w:cs="Times New Roman"/>
                <w:sz w:val="21"/>
                <w:szCs w:val="21"/>
              </w:rPr>
              <w:t>7.其他收益</w:t>
            </w:r>
          </w:p>
        </w:tc>
        <w:tc>
          <w:tcPr>
            <w:tcW w:w="1461" w:type="dxa"/>
            <w:vAlign w:val="center"/>
          </w:tcPr>
          <w:p w14:paraId="243C2752">
            <w:pPr>
              <w:pStyle w:val="36"/>
              <w:spacing w:line="360" w:lineRule="auto"/>
              <w:jc w:val="center"/>
              <w:rPr>
                <w:rFonts w:ascii="Times New Roman" w:hAnsi="Times New Roman" w:cs="Times New Roman"/>
                <w:sz w:val="21"/>
                <w:szCs w:val="21"/>
              </w:rPr>
            </w:pPr>
          </w:p>
        </w:tc>
        <w:tc>
          <w:tcPr>
            <w:tcW w:w="1913" w:type="dxa"/>
            <w:vAlign w:val="center"/>
          </w:tcPr>
          <w:p w14:paraId="32BD30BC">
            <w:pPr>
              <w:spacing w:line="360" w:lineRule="auto"/>
              <w:jc w:val="right"/>
            </w:pPr>
            <w:r>
              <w:t>-</w:t>
            </w:r>
          </w:p>
        </w:tc>
        <w:tc>
          <w:tcPr>
            <w:tcW w:w="2296" w:type="dxa"/>
            <w:vAlign w:val="center"/>
          </w:tcPr>
          <w:p w14:paraId="1F035BC3">
            <w:pPr>
              <w:spacing w:line="360" w:lineRule="auto"/>
              <w:jc w:val="right"/>
            </w:pPr>
            <w:r>
              <w:t>408.16</w:t>
            </w:r>
          </w:p>
        </w:tc>
      </w:tr>
      <w:tr w14:paraId="0ACC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700F8BD7">
            <w:pPr>
              <w:pStyle w:val="36"/>
              <w:spacing w:line="360" w:lineRule="auto"/>
              <w:rPr>
                <w:rFonts w:ascii="Times New Roman" w:hAnsi="Times New Roman" w:cs="Times New Roman"/>
                <w:sz w:val="21"/>
                <w:szCs w:val="21"/>
              </w:rPr>
            </w:pPr>
            <w:r>
              <w:rPr>
                <w:rFonts w:ascii="Times New Roman" w:hAnsi="Times New Roman" w:cs="Times New Roman"/>
                <w:sz w:val="21"/>
                <w:szCs w:val="21"/>
              </w:rPr>
              <w:t>8.其他业务收入</w:t>
            </w:r>
          </w:p>
        </w:tc>
        <w:tc>
          <w:tcPr>
            <w:tcW w:w="1461" w:type="dxa"/>
            <w:vAlign w:val="center"/>
          </w:tcPr>
          <w:p w14:paraId="1F749AEA">
            <w:pPr>
              <w:pStyle w:val="36"/>
              <w:spacing w:line="360" w:lineRule="auto"/>
              <w:jc w:val="center"/>
              <w:rPr>
                <w:rFonts w:ascii="Times New Roman" w:hAnsi="Times New Roman" w:cs="Times New Roman"/>
                <w:sz w:val="21"/>
                <w:szCs w:val="21"/>
              </w:rPr>
            </w:pPr>
          </w:p>
        </w:tc>
        <w:tc>
          <w:tcPr>
            <w:tcW w:w="1913" w:type="dxa"/>
            <w:vAlign w:val="center"/>
          </w:tcPr>
          <w:p w14:paraId="5767B462">
            <w:pPr>
              <w:spacing w:line="360" w:lineRule="auto"/>
              <w:jc w:val="right"/>
            </w:pPr>
            <w:r>
              <w:t>-</w:t>
            </w:r>
          </w:p>
        </w:tc>
        <w:tc>
          <w:tcPr>
            <w:tcW w:w="2296" w:type="dxa"/>
            <w:vAlign w:val="center"/>
          </w:tcPr>
          <w:p w14:paraId="40800857">
            <w:pPr>
              <w:spacing w:line="360" w:lineRule="auto"/>
              <w:jc w:val="right"/>
            </w:pPr>
            <w:r>
              <w:t>-</w:t>
            </w:r>
          </w:p>
        </w:tc>
      </w:tr>
      <w:tr w14:paraId="5951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6D9FE658">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二、营业总成本</w:t>
            </w:r>
          </w:p>
        </w:tc>
        <w:tc>
          <w:tcPr>
            <w:tcW w:w="1461" w:type="dxa"/>
            <w:vAlign w:val="center"/>
          </w:tcPr>
          <w:p w14:paraId="2A549F9A">
            <w:pPr>
              <w:pStyle w:val="36"/>
              <w:spacing w:line="360" w:lineRule="auto"/>
              <w:jc w:val="center"/>
              <w:rPr>
                <w:rFonts w:ascii="Times New Roman" w:hAnsi="Times New Roman" w:cs="Times New Roman"/>
                <w:sz w:val="21"/>
                <w:szCs w:val="21"/>
              </w:rPr>
            </w:pPr>
          </w:p>
        </w:tc>
        <w:tc>
          <w:tcPr>
            <w:tcW w:w="1913" w:type="dxa"/>
            <w:vAlign w:val="center"/>
          </w:tcPr>
          <w:p w14:paraId="0B7BA480">
            <w:pPr>
              <w:spacing w:line="360" w:lineRule="auto"/>
              <w:jc w:val="right"/>
              <w:rPr>
                <w:b/>
              </w:rPr>
            </w:pPr>
            <w:r>
              <w:rPr>
                <w:b/>
              </w:rPr>
              <w:t>74,240,602.53</w:t>
            </w:r>
          </w:p>
        </w:tc>
        <w:tc>
          <w:tcPr>
            <w:tcW w:w="2296" w:type="dxa"/>
            <w:vAlign w:val="center"/>
          </w:tcPr>
          <w:p w14:paraId="216275E7">
            <w:pPr>
              <w:spacing w:line="360" w:lineRule="auto"/>
              <w:jc w:val="right"/>
              <w:rPr>
                <w:b/>
              </w:rPr>
            </w:pPr>
            <w:r>
              <w:rPr>
                <w:b/>
              </w:rPr>
              <w:t>77,508,617.46</w:t>
            </w:r>
          </w:p>
        </w:tc>
      </w:tr>
      <w:tr w14:paraId="7618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67C5646">
            <w:pPr>
              <w:pStyle w:val="36"/>
              <w:spacing w:line="360" w:lineRule="auto"/>
              <w:rPr>
                <w:rFonts w:ascii="Times New Roman" w:hAnsi="Times New Roman" w:cs="Times New Roman"/>
                <w:sz w:val="21"/>
                <w:szCs w:val="21"/>
              </w:rPr>
            </w:pPr>
            <w:r>
              <w:rPr>
                <w:rFonts w:ascii="Times New Roman" w:hAnsi="Times New Roman" w:cs="Times New Roman"/>
                <w:sz w:val="21"/>
                <w:szCs w:val="21"/>
              </w:rPr>
              <w:t>1.营业成本</w:t>
            </w:r>
          </w:p>
        </w:tc>
        <w:tc>
          <w:tcPr>
            <w:tcW w:w="1461" w:type="dxa"/>
            <w:vAlign w:val="center"/>
          </w:tcPr>
          <w:p w14:paraId="5B068947">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9.5.6.15</w:t>
            </w:r>
          </w:p>
        </w:tc>
        <w:tc>
          <w:tcPr>
            <w:tcW w:w="1913" w:type="dxa"/>
            <w:vAlign w:val="center"/>
          </w:tcPr>
          <w:p w14:paraId="24CD5E6F">
            <w:pPr>
              <w:spacing w:line="360" w:lineRule="auto"/>
              <w:jc w:val="right"/>
            </w:pPr>
            <w:r>
              <w:t>57,049,834.09</w:t>
            </w:r>
          </w:p>
        </w:tc>
        <w:tc>
          <w:tcPr>
            <w:tcW w:w="2296" w:type="dxa"/>
            <w:vAlign w:val="center"/>
          </w:tcPr>
          <w:p w14:paraId="75AC828A">
            <w:pPr>
              <w:spacing w:line="360" w:lineRule="auto"/>
              <w:jc w:val="right"/>
            </w:pPr>
            <w:r>
              <w:t>59,065,425.27</w:t>
            </w:r>
          </w:p>
        </w:tc>
      </w:tr>
      <w:tr w14:paraId="445A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55C53FE">
            <w:pPr>
              <w:pStyle w:val="36"/>
              <w:spacing w:line="360" w:lineRule="auto"/>
              <w:rPr>
                <w:rFonts w:ascii="Times New Roman" w:hAnsi="Times New Roman" w:cs="Times New Roman"/>
                <w:sz w:val="21"/>
                <w:szCs w:val="21"/>
              </w:rPr>
            </w:pPr>
            <w:r>
              <w:rPr>
                <w:rFonts w:ascii="Times New Roman" w:hAnsi="Times New Roman" w:cs="Times New Roman"/>
                <w:sz w:val="21"/>
                <w:szCs w:val="21"/>
              </w:rPr>
              <w:t>2.利息支出</w:t>
            </w:r>
          </w:p>
        </w:tc>
        <w:tc>
          <w:tcPr>
            <w:tcW w:w="1461" w:type="dxa"/>
            <w:vAlign w:val="center"/>
          </w:tcPr>
          <w:p w14:paraId="320F00EE">
            <w:pPr>
              <w:pStyle w:val="36"/>
              <w:spacing w:line="360" w:lineRule="auto"/>
              <w:jc w:val="center"/>
              <w:rPr>
                <w:rFonts w:ascii="Times New Roman" w:hAnsi="Times New Roman" w:cs="Times New Roman"/>
                <w:sz w:val="21"/>
                <w:szCs w:val="21"/>
              </w:rPr>
            </w:pPr>
          </w:p>
        </w:tc>
        <w:tc>
          <w:tcPr>
            <w:tcW w:w="1913" w:type="dxa"/>
            <w:vAlign w:val="center"/>
          </w:tcPr>
          <w:p w14:paraId="04A37325">
            <w:pPr>
              <w:spacing w:line="360" w:lineRule="auto"/>
              <w:jc w:val="right"/>
            </w:pPr>
            <w:r>
              <w:t>-</w:t>
            </w:r>
          </w:p>
        </w:tc>
        <w:tc>
          <w:tcPr>
            <w:tcW w:w="2296" w:type="dxa"/>
            <w:vAlign w:val="center"/>
          </w:tcPr>
          <w:p w14:paraId="0D850D43">
            <w:pPr>
              <w:spacing w:line="360" w:lineRule="auto"/>
              <w:jc w:val="right"/>
            </w:pPr>
            <w:r>
              <w:t>-</w:t>
            </w:r>
          </w:p>
        </w:tc>
      </w:tr>
      <w:tr w14:paraId="07A8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60EE3AAB">
            <w:pPr>
              <w:pStyle w:val="36"/>
              <w:spacing w:line="360" w:lineRule="auto"/>
              <w:rPr>
                <w:rFonts w:ascii="Times New Roman" w:hAnsi="Times New Roman" w:cs="Times New Roman"/>
                <w:sz w:val="21"/>
                <w:szCs w:val="21"/>
              </w:rPr>
            </w:pPr>
            <w:r>
              <w:rPr>
                <w:rFonts w:ascii="Times New Roman" w:hAnsi="Times New Roman" w:cs="Times New Roman"/>
                <w:sz w:val="21"/>
                <w:szCs w:val="21"/>
              </w:rPr>
              <w:t>3.税金及附加</w:t>
            </w:r>
          </w:p>
        </w:tc>
        <w:tc>
          <w:tcPr>
            <w:tcW w:w="1461" w:type="dxa"/>
            <w:vAlign w:val="center"/>
          </w:tcPr>
          <w:p w14:paraId="2E4DA510">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9.5.6.17</w:t>
            </w:r>
          </w:p>
        </w:tc>
        <w:tc>
          <w:tcPr>
            <w:tcW w:w="1913" w:type="dxa"/>
            <w:vAlign w:val="center"/>
          </w:tcPr>
          <w:p w14:paraId="73C222B6">
            <w:pPr>
              <w:spacing w:line="360" w:lineRule="auto"/>
              <w:jc w:val="right"/>
            </w:pPr>
            <w:r>
              <w:t>8,586,939.49</w:t>
            </w:r>
          </w:p>
        </w:tc>
        <w:tc>
          <w:tcPr>
            <w:tcW w:w="2296" w:type="dxa"/>
            <w:vAlign w:val="center"/>
          </w:tcPr>
          <w:p w14:paraId="79BAA064">
            <w:pPr>
              <w:spacing w:line="360" w:lineRule="auto"/>
              <w:jc w:val="right"/>
            </w:pPr>
            <w:r>
              <w:t>8,951,066.65</w:t>
            </w:r>
          </w:p>
        </w:tc>
      </w:tr>
      <w:tr w14:paraId="559E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572D6139">
            <w:pPr>
              <w:pStyle w:val="36"/>
              <w:spacing w:line="360" w:lineRule="auto"/>
              <w:rPr>
                <w:rFonts w:ascii="Times New Roman" w:hAnsi="Times New Roman" w:cs="Times New Roman"/>
                <w:sz w:val="21"/>
                <w:szCs w:val="21"/>
              </w:rPr>
            </w:pPr>
            <w:r>
              <w:rPr>
                <w:rFonts w:ascii="Times New Roman" w:hAnsi="Times New Roman" w:cs="Times New Roman"/>
                <w:sz w:val="21"/>
                <w:szCs w:val="21"/>
              </w:rPr>
              <w:t>4.销售费用</w:t>
            </w:r>
          </w:p>
        </w:tc>
        <w:tc>
          <w:tcPr>
            <w:tcW w:w="1461" w:type="dxa"/>
            <w:vAlign w:val="center"/>
          </w:tcPr>
          <w:p w14:paraId="02F79D47">
            <w:pPr>
              <w:pStyle w:val="36"/>
              <w:spacing w:line="360" w:lineRule="auto"/>
              <w:jc w:val="center"/>
              <w:rPr>
                <w:rFonts w:ascii="Times New Roman" w:hAnsi="Times New Roman" w:cs="Times New Roman"/>
                <w:sz w:val="21"/>
                <w:szCs w:val="21"/>
              </w:rPr>
            </w:pPr>
          </w:p>
        </w:tc>
        <w:tc>
          <w:tcPr>
            <w:tcW w:w="1913" w:type="dxa"/>
            <w:vAlign w:val="center"/>
          </w:tcPr>
          <w:p w14:paraId="705970E6">
            <w:pPr>
              <w:spacing w:line="360" w:lineRule="auto"/>
              <w:jc w:val="right"/>
            </w:pPr>
            <w:r>
              <w:t>-</w:t>
            </w:r>
          </w:p>
        </w:tc>
        <w:tc>
          <w:tcPr>
            <w:tcW w:w="2296" w:type="dxa"/>
            <w:vAlign w:val="center"/>
          </w:tcPr>
          <w:p w14:paraId="324D2C08">
            <w:pPr>
              <w:spacing w:line="360" w:lineRule="auto"/>
              <w:jc w:val="right"/>
            </w:pPr>
            <w:r>
              <w:t>-</w:t>
            </w:r>
          </w:p>
        </w:tc>
      </w:tr>
      <w:tr w14:paraId="081A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4FA3EA21">
            <w:pPr>
              <w:pStyle w:val="36"/>
              <w:spacing w:line="360" w:lineRule="auto"/>
              <w:rPr>
                <w:rFonts w:ascii="Times New Roman" w:hAnsi="Times New Roman" w:cs="Times New Roman"/>
                <w:sz w:val="21"/>
                <w:szCs w:val="21"/>
              </w:rPr>
            </w:pPr>
            <w:r>
              <w:rPr>
                <w:rFonts w:ascii="Times New Roman" w:hAnsi="Times New Roman" w:cs="Times New Roman"/>
                <w:sz w:val="21"/>
                <w:szCs w:val="21"/>
              </w:rPr>
              <w:t>5.管理费用</w:t>
            </w:r>
          </w:p>
        </w:tc>
        <w:tc>
          <w:tcPr>
            <w:tcW w:w="1461" w:type="dxa"/>
            <w:vAlign w:val="center"/>
          </w:tcPr>
          <w:p w14:paraId="5E59D445">
            <w:pPr>
              <w:pStyle w:val="36"/>
              <w:spacing w:line="360" w:lineRule="auto"/>
              <w:jc w:val="center"/>
              <w:rPr>
                <w:rFonts w:ascii="Times New Roman" w:hAnsi="Times New Roman" w:cs="Times New Roman"/>
                <w:sz w:val="21"/>
                <w:szCs w:val="21"/>
              </w:rPr>
            </w:pPr>
          </w:p>
        </w:tc>
        <w:tc>
          <w:tcPr>
            <w:tcW w:w="1913" w:type="dxa"/>
            <w:vAlign w:val="center"/>
          </w:tcPr>
          <w:p w14:paraId="37314491">
            <w:pPr>
              <w:spacing w:line="360" w:lineRule="auto"/>
              <w:jc w:val="right"/>
            </w:pPr>
            <w:r>
              <w:t>-</w:t>
            </w:r>
          </w:p>
        </w:tc>
        <w:tc>
          <w:tcPr>
            <w:tcW w:w="2296" w:type="dxa"/>
            <w:vAlign w:val="center"/>
          </w:tcPr>
          <w:p w14:paraId="78203EEC">
            <w:pPr>
              <w:spacing w:line="360" w:lineRule="auto"/>
              <w:jc w:val="right"/>
            </w:pPr>
            <w:r>
              <w:t>-</w:t>
            </w:r>
          </w:p>
        </w:tc>
      </w:tr>
      <w:tr w14:paraId="015AF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07FDFEAA">
            <w:pPr>
              <w:pStyle w:val="36"/>
              <w:spacing w:line="360" w:lineRule="auto"/>
              <w:rPr>
                <w:rFonts w:ascii="Times New Roman" w:hAnsi="Times New Roman" w:cs="Times New Roman"/>
                <w:sz w:val="21"/>
                <w:szCs w:val="21"/>
              </w:rPr>
            </w:pPr>
            <w:r>
              <w:rPr>
                <w:rFonts w:ascii="Times New Roman" w:hAnsi="Times New Roman" w:cs="Times New Roman"/>
                <w:sz w:val="21"/>
                <w:szCs w:val="21"/>
              </w:rPr>
              <w:t>6.研发费用</w:t>
            </w:r>
          </w:p>
        </w:tc>
        <w:tc>
          <w:tcPr>
            <w:tcW w:w="1461" w:type="dxa"/>
            <w:vAlign w:val="center"/>
          </w:tcPr>
          <w:p w14:paraId="361F6BF7">
            <w:pPr>
              <w:pStyle w:val="36"/>
              <w:spacing w:line="360" w:lineRule="auto"/>
              <w:jc w:val="center"/>
              <w:rPr>
                <w:rFonts w:ascii="Times New Roman" w:hAnsi="Times New Roman" w:cs="Times New Roman"/>
                <w:sz w:val="21"/>
                <w:szCs w:val="21"/>
              </w:rPr>
            </w:pPr>
          </w:p>
        </w:tc>
        <w:tc>
          <w:tcPr>
            <w:tcW w:w="1913" w:type="dxa"/>
            <w:vAlign w:val="center"/>
          </w:tcPr>
          <w:p w14:paraId="6E7DC303">
            <w:pPr>
              <w:spacing w:line="360" w:lineRule="auto"/>
              <w:jc w:val="right"/>
            </w:pPr>
            <w:r>
              <w:t>-</w:t>
            </w:r>
          </w:p>
        </w:tc>
        <w:tc>
          <w:tcPr>
            <w:tcW w:w="2296" w:type="dxa"/>
            <w:vAlign w:val="center"/>
          </w:tcPr>
          <w:p w14:paraId="69AF3396">
            <w:pPr>
              <w:spacing w:line="360" w:lineRule="auto"/>
              <w:jc w:val="right"/>
            </w:pPr>
            <w:r>
              <w:t>-</w:t>
            </w:r>
          </w:p>
        </w:tc>
      </w:tr>
      <w:tr w14:paraId="38EE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19ECEBE4">
            <w:pPr>
              <w:pStyle w:val="36"/>
              <w:spacing w:line="360" w:lineRule="auto"/>
              <w:rPr>
                <w:rFonts w:ascii="Times New Roman" w:hAnsi="Times New Roman" w:cs="Times New Roman"/>
                <w:sz w:val="21"/>
                <w:szCs w:val="21"/>
              </w:rPr>
            </w:pPr>
            <w:r>
              <w:rPr>
                <w:rFonts w:ascii="Times New Roman" w:hAnsi="Times New Roman" w:cs="Times New Roman"/>
                <w:sz w:val="21"/>
                <w:szCs w:val="21"/>
              </w:rPr>
              <w:t>7.财务费用</w:t>
            </w:r>
          </w:p>
        </w:tc>
        <w:tc>
          <w:tcPr>
            <w:tcW w:w="1461" w:type="dxa"/>
            <w:vAlign w:val="center"/>
          </w:tcPr>
          <w:p w14:paraId="312259A1">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9.5.6.18</w:t>
            </w:r>
          </w:p>
        </w:tc>
        <w:tc>
          <w:tcPr>
            <w:tcW w:w="1913" w:type="dxa"/>
            <w:vAlign w:val="center"/>
          </w:tcPr>
          <w:p w14:paraId="0DD545A1">
            <w:pPr>
              <w:spacing w:line="360" w:lineRule="auto"/>
              <w:jc w:val="right"/>
            </w:pPr>
            <w:r>
              <w:t>4,330,634.14</w:t>
            </w:r>
          </w:p>
        </w:tc>
        <w:tc>
          <w:tcPr>
            <w:tcW w:w="2296" w:type="dxa"/>
            <w:vAlign w:val="center"/>
          </w:tcPr>
          <w:p w14:paraId="49DCDBEF">
            <w:pPr>
              <w:spacing w:line="360" w:lineRule="auto"/>
              <w:jc w:val="right"/>
            </w:pPr>
            <w:r>
              <w:t>5,131,221.57</w:t>
            </w:r>
          </w:p>
        </w:tc>
      </w:tr>
      <w:tr w14:paraId="322C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2872D5F2">
            <w:pPr>
              <w:pStyle w:val="36"/>
              <w:spacing w:line="360" w:lineRule="auto"/>
              <w:rPr>
                <w:rFonts w:ascii="Times New Roman" w:hAnsi="Times New Roman" w:cs="Times New Roman"/>
                <w:sz w:val="21"/>
                <w:szCs w:val="21"/>
              </w:rPr>
            </w:pPr>
            <w:r>
              <w:rPr>
                <w:rFonts w:ascii="Times New Roman" w:hAnsi="Times New Roman" w:cs="Times New Roman"/>
                <w:sz w:val="21"/>
                <w:szCs w:val="21"/>
              </w:rPr>
              <w:t>8.管理人报酬</w:t>
            </w:r>
          </w:p>
        </w:tc>
        <w:tc>
          <w:tcPr>
            <w:tcW w:w="1461" w:type="dxa"/>
            <w:vAlign w:val="center"/>
          </w:tcPr>
          <w:p w14:paraId="58867C0E">
            <w:pPr>
              <w:pStyle w:val="36"/>
              <w:spacing w:line="360" w:lineRule="auto"/>
              <w:jc w:val="center"/>
              <w:rPr>
                <w:rFonts w:ascii="Times New Roman" w:hAnsi="Times New Roman" w:cs="Times New Roman"/>
                <w:sz w:val="21"/>
                <w:szCs w:val="21"/>
              </w:rPr>
            </w:pPr>
          </w:p>
        </w:tc>
        <w:tc>
          <w:tcPr>
            <w:tcW w:w="1913" w:type="dxa"/>
            <w:vAlign w:val="center"/>
          </w:tcPr>
          <w:p w14:paraId="3A520871">
            <w:pPr>
              <w:spacing w:line="360" w:lineRule="auto"/>
              <w:jc w:val="right"/>
            </w:pPr>
            <w:r>
              <w:t>3,058,129.36</w:t>
            </w:r>
          </w:p>
        </w:tc>
        <w:tc>
          <w:tcPr>
            <w:tcW w:w="2296" w:type="dxa"/>
            <w:vAlign w:val="center"/>
          </w:tcPr>
          <w:p w14:paraId="781AAB58">
            <w:pPr>
              <w:spacing w:line="360" w:lineRule="auto"/>
              <w:jc w:val="right"/>
            </w:pPr>
            <w:r>
              <w:t>3,198,214.88</w:t>
            </w:r>
          </w:p>
        </w:tc>
      </w:tr>
      <w:tr w14:paraId="189C0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652327FA">
            <w:pPr>
              <w:pStyle w:val="36"/>
              <w:spacing w:line="360" w:lineRule="auto"/>
              <w:rPr>
                <w:rFonts w:ascii="Times New Roman" w:hAnsi="Times New Roman" w:cs="Times New Roman"/>
                <w:sz w:val="21"/>
                <w:szCs w:val="21"/>
              </w:rPr>
            </w:pPr>
            <w:r>
              <w:rPr>
                <w:rFonts w:ascii="Times New Roman" w:hAnsi="Times New Roman" w:cs="Times New Roman"/>
                <w:sz w:val="21"/>
                <w:szCs w:val="21"/>
              </w:rPr>
              <w:t>9.托管费</w:t>
            </w:r>
          </w:p>
        </w:tc>
        <w:tc>
          <w:tcPr>
            <w:tcW w:w="1461" w:type="dxa"/>
            <w:vAlign w:val="center"/>
          </w:tcPr>
          <w:p w14:paraId="10C1A10D">
            <w:pPr>
              <w:pStyle w:val="36"/>
              <w:spacing w:line="360" w:lineRule="auto"/>
              <w:jc w:val="center"/>
              <w:rPr>
                <w:rFonts w:ascii="Times New Roman" w:hAnsi="Times New Roman" w:cs="Times New Roman"/>
                <w:sz w:val="21"/>
                <w:szCs w:val="21"/>
              </w:rPr>
            </w:pPr>
          </w:p>
        </w:tc>
        <w:tc>
          <w:tcPr>
            <w:tcW w:w="1913" w:type="dxa"/>
            <w:vAlign w:val="center"/>
          </w:tcPr>
          <w:p w14:paraId="6F4C3388">
            <w:pPr>
              <w:spacing w:line="360" w:lineRule="auto"/>
              <w:jc w:val="right"/>
            </w:pPr>
            <w:r>
              <w:t>228,646.07</w:t>
            </w:r>
          </w:p>
        </w:tc>
        <w:tc>
          <w:tcPr>
            <w:tcW w:w="2296" w:type="dxa"/>
            <w:vAlign w:val="center"/>
          </w:tcPr>
          <w:p w14:paraId="5961D101">
            <w:pPr>
              <w:spacing w:line="360" w:lineRule="auto"/>
              <w:jc w:val="right"/>
            </w:pPr>
            <w:r>
              <w:t>234,961.53</w:t>
            </w:r>
          </w:p>
        </w:tc>
      </w:tr>
      <w:tr w14:paraId="29E50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42F0FCD">
            <w:pPr>
              <w:pStyle w:val="36"/>
              <w:spacing w:line="360" w:lineRule="auto"/>
              <w:rPr>
                <w:rFonts w:ascii="Times New Roman" w:hAnsi="Times New Roman" w:cs="Times New Roman"/>
                <w:sz w:val="21"/>
                <w:szCs w:val="21"/>
              </w:rPr>
            </w:pPr>
            <w:r>
              <w:rPr>
                <w:rFonts w:ascii="Times New Roman" w:hAnsi="Times New Roman" w:cs="Times New Roman"/>
                <w:sz w:val="21"/>
                <w:szCs w:val="21"/>
              </w:rPr>
              <w:t>10.投资顾问费</w:t>
            </w:r>
          </w:p>
        </w:tc>
        <w:tc>
          <w:tcPr>
            <w:tcW w:w="1461" w:type="dxa"/>
            <w:vAlign w:val="center"/>
          </w:tcPr>
          <w:p w14:paraId="0C7DF6C7">
            <w:pPr>
              <w:pStyle w:val="36"/>
              <w:spacing w:line="360" w:lineRule="auto"/>
              <w:jc w:val="center"/>
              <w:rPr>
                <w:rFonts w:ascii="Times New Roman" w:hAnsi="Times New Roman" w:cs="Times New Roman"/>
                <w:sz w:val="21"/>
                <w:szCs w:val="21"/>
              </w:rPr>
            </w:pPr>
          </w:p>
        </w:tc>
        <w:tc>
          <w:tcPr>
            <w:tcW w:w="1913" w:type="dxa"/>
            <w:vAlign w:val="center"/>
          </w:tcPr>
          <w:p w14:paraId="5770F8D3">
            <w:pPr>
              <w:spacing w:line="360" w:lineRule="auto"/>
              <w:jc w:val="right"/>
            </w:pPr>
            <w:r>
              <w:t>-</w:t>
            </w:r>
          </w:p>
        </w:tc>
        <w:tc>
          <w:tcPr>
            <w:tcW w:w="2296" w:type="dxa"/>
            <w:vAlign w:val="center"/>
          </w:tcPr>
          <w:p w14:paraId="240689E6">
            <w:pPr>
              <w:spacing w:line="360" w:lineRule="auto"/>
              <w:jc w:val="right"/>
            </w:pPr>
            <w:r>
              <w:t>-</w:t>
            </w:r>
          </w:p>
        </w:tc>
      </w:tr>
      <w:tr w14:paraId="3031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53769F6D">
            <w:pPr>
              <w:pStyle w:val="36"/>
              <w:spacing w:line="360" w:lineRule="auto"/>
              <w:rPr>
                <w:rFonts w:ascii="Times New Roman" w:hAnsi="Times New Roman" w:cs="Times New Roman"/>
                <w:sz w:val="21"/>
                <w:szCs w:val="21"/>
              </w:rPr>
            </w:pPr>
            <w:r>
              <w:rPr>
                <w:rFonts w:ascii="Times New Roman" w:hAnsi="Times New Roman" w:cs="Times New Roman"/>
                <w:sz w:val="21"/>
                <w:szCs w:val="21"/>
              </w:rPr>
              <w:t>11.信用减值损失</w:t>
            </w:r>
          </w:p>
        </w:tc>
        <w:tc>
          <w:tcPr>
            <w:tcW w:w="1461" w:type="dxa"/>
            <w:vAlign w:val="center"/>
          </w:tcPr>
          <w:p w14:paraId="08CEEC39">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9.5.6.19</w:t>
            </w:r>
          </w:p>
        </w:tc>
        <w:tc>
          <w:tcPr>
            <w:tcW w:w="1913" w:type="dxa"/>
            <w:vAlign w:val="center"/>
          </w:tcPr>
          <w:p w14:paraId="0548EF19">
            <w:pPr>
              <w:spacing w:line="360" w:lineRule="auto"/>
              <w:jc w:val="right"/>
            </w:pPr>
            <w:r>
              <w:t>566,099.23</w:t>
            </w:r>
          </w:p>
        </w:tc>
        <w:tc>
          <w:tcPr>
            <w:tcW w:w="2296" w:type="dxa"/>
            <w:vAlign w:val="center"/>
          </w:tcPr>
          <w:p w14:paraId="5A0941E3">
            <w:pPr>
              <w:spacing w:line="360" w:lineRule="auto"/>
              <w:jc w:val="right"/>
            </w:pPr>
            <w:r>
              <w:t>485,818.88</w:t>
            </w:r>
          </w:p>
        </w:tc>
      </w:tr>
      <w:tr w14:paraId="75D7A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74AD7881">
            <w:pPr>
              <w:pStyle w:val="36"/>
              <w:spacing w:line="360" w:lineRule="auto"/>
              <w:rPr>
                <w:rFonts w:ascii="Times New Roman" w:hAnsi="Times New Roman" w:cs="Times New Roman"/>
                <w:sz w:val="21"/>
                <w:szCs w:val="21"/>
              </w:rPr>
            </w:pPr>
            <w:r>
              <w:rPr>
                <w:rFonts w:ascii="Times New Roman" w:hAnsi="Times New Roman" w:cs="Times New Roman"/>
                <w:sz w:val="21"/>
                <w:szCs w:val="21"/>
              </w:rPr>
              <w:t>12.资产减值损失</w:t>
            </w:r>
          </w:p>
        </w:tc>
        <w:tc>
          <w:tcPr>
            <w:tcW w:w="1461" w:type="dxa"/>
            <w:vAlign w:val="center"/>
          </w:tcPr>
          <w:p w14:paraId="3DF4F575">
            <w:pPr>
              <w:pStyle w:val="36"/>
              <w:spacing w:line="360" w:lineRule="auto"/>
              <w:jc w:val="center"/>
              <w:rPr>
                <w:rFonts w:ascii="Times New Roman" w:hAnsi="Times New Roman" w:cs="Times New Roman"/>
                <w:sz w:val="21"/>
                <w:szCs w:val="21"/>
              </w:rPr>
            </w:pPr>
          </w:p>
        </w:tc>
        <w:tc>
          <w:tcPr>
            <w:tcW w:w="1913" w:type="dxa"/>
            <w:vAlign w:val="center"/>
          </w:tcPr>
          <w:p w14:paraId="7979686F">
            <w:pPr>
              <w:spacing w:line="360" w:lineRule="auto"/>
              <w:jc w:val="right"/>
            </w:pPr>
            <w:r>
              <w:t>-</w:t>
            </w:r>
          </w:p>
        </w:tc>
        <w:tc>
          <w:tcPr>
            <w:tcW w:w="2296" w:type="dxa"/>
            <w:vAlign w:val="center"/>
          </w:tcPr>
          <w:p w14:paraId="41A86FD9">
            <w:pPr>
              <w:spacing w:line="360" w:lineRule="auto"/>
              <w:jc w:val="right"/>
            </w:pPr>
            <w:r>
              <w:t>-</w:t>
            </w:r>
          </w:p>
        </w:tc>
      </w:tr>
      <w:tr w14:paraId="0062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6CFBF9D9">
            <w:pPr>
              <w:pStyle w:val="36"/>
              <w:spacing w:line="360" w:lineRule="auto"/>
              <w:rPr>
                <w:rFonts w:ascii="Times New Roman" w:hAnsi="Times New Roman" w:cs="Times New Roman"/>
                <w:sz w:val="21"/>
                <w:szCs w:val="21"/>
              </w:rPr>
            </w:pPr>
            <w:r>
              <w:rPr>
                <w:rFonts w:ascii="Times New Roman" w:hAnsi="Times New Roman" w:cs="Times New Roman"/>
                <w:sz w:val="21"/>
                <w:szCs w:val="21"/>
              </w:rPr>
              <w:t>13.其他费用</w:t>
            </w:r>
          </w:p>
        </w:tc>
        <w:tc>
          <w:tcPr>
            <w:tcW w:w="1461" w:type="dxa"/>
            <w:vAlign w:val="center"/>
          </w:tcPr>
          <w:p w14:paraId="19ACDA91">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9.5.6.20</w:t>
            </w:r>
          </w:p>
        </w:tc>
        <w:tc>
          <w:tcPr>
            <w:tcW w:w="1913" w:type="dxa"/>
            <w:vAlign w:val="center"/>
          </w:tcPr>
          <w:p w14:paraId="1749B356">
            <w:pPr>
              <w:spacing w:line="360" w:lineRule="auto"/>
              <w:jc w:val="right"/>
            </w:pPr>
            <w:r>
              <w:t>420,320.15</w:t>
            </w:r>
          </w:p>
        </w:tc>
        <w:tc>
          <w:tcPr>
            <w:tcW w:w="2296" w:type="dxa"/>
            <w:vAlign w:val="center"/>
          </w:tcPr>
          <w:p w14:paraId="0171A8BD">
            <w:pPr>
              <w:spacing w:line="360" w:lineRule="auto"/>
              <w:jc w:val="right"/>
            </w:pPr>
            <w:r>
              <w:t>441,908.68</w:t>
            </w:r>
          </w:p>
        </w:tc>
      </w:tr>
      <w:tr w14:paraId="6EFB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70310845">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三、营业利润（营业亏损以“-”号填列）</w:t>
            </w:r>
          </w:p>
        </w:tc>
        <w:tc>
          <w:tcPr>
            <w:tcW w:w="1461" w:type="dxa"/>
            <w:vAlign w:val="center"/>
          </w:tcPr>
          <w:p w14:paraId="24172981">
            <w:pPr>
              <w:pStyle w:val="36"/>
              <w:spacing w:line="360" w:lineRule="auto"/>
              <w:jc w:val="center"/>
              <w:rPr>
                <w:rFonts w:ascii="Times New Roman" w:hAnsi="Times New Roman" w:cs="Times New Roman"/>
                <w:sz w:val="21"/>
                <w:szCs w:val="21"/>
              </w:rPr>
            </w:pPr>
          </w:p>
        </w:tc>
        <w:tc>
          <w:tcPr>
            <w:tcW w:w="1913" w:type="dxa"/>
            <w:vAlign w:val="center"/>
          </w:tcPr>
          <w:p w14:paraId="279FED31">
            <w:pPr>
              <w:spacing w:line="360" w:lineRule="auto"/>
              <w:jc w:val="right"/>
            </w:pPr>
            <w:r>
              <w:t>7,373,803.12</w:t>
            </w:r>
          </w:p>
        </w:tc>
        <w:tc>
          <w:tcPr>
            <w:tcW w:w="2296" w:type="dxa"/>
            <w:vAlign w:val="center"/>
          </w:tcPr>
          <w:p w14:paraId="3D5B3489">
            <w:pPr>
              <w:spacing w:line="360" w:lineRule="auto"/>
              <w:jc w:val="right"/>
            </w:pPr>
            <w:r>
              <w:t>14,259,862.37</w:t>
            </w:r>
          </w:p>
        </w:tc>
      </w:tr>
      <w:tr w14:paraId="7F45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9D535E5">
            <w:pPr>
              <w:pStyle w:val="36"/>
              <w:spacing w:line="360" w:lineRule="auto"/>
              <w:rPr>
                <w:rFonts w:ascii="Times New Roman" w:hAnsi="Times New Roman" w:cs="Times New Roman"/>
                <w:sz w:val="21"/>
                <w:szCs w:val="21"/>
              </w:rPr>
            </w:pPr>
            <w:r>
              <w:rPr>
                <w:rFonts w:ascii="Times New Roman" w:hAnsi="Times New Roman" w:cs="Times New Roman"/>
                <w:sz w:val="21"/>
                <w:szCs w:val="21"/>
              </w:rPr>
              <w:t>加：营业外收入</w:t>
            </w:r>
          </w:p>
        </w:tc>
        <w:tc>
          <w:tcPr>
            <w:tcW w:w="1461" w:type="dxa"/>
            <w:vAlign w:val="center"/>
          </w:tcPr>
          <w:p w14:paraId="43816523">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9.5.6.21</w:t>
            </w:r>
          </w:p>
        </w:tc>
        <w:tc>
          <w:tcPr>
            <w:tcW w:w="1913" w:type="dxa"/>
            <w:vAlign w:val="center"/>
          </w:tcPr>
          <w:p w14:paraId="5611CC7A">
            <w:pPr>
              <w:spacing w:line="360" w:lineRule="auto"/>
              <w:jc w:val="right"/>
            </w:pPr>
            <w:r>
              <w:t>661,785.51</w:t>
            </w:r>
          </w:p>
        </w:tc>
        <w:tc>
          <w:tcPr>
            <w:tcW w:w="2296" w:type="dxa"/>
            <w:vAlign w:val="center"/>
          </w:tcPr>
          <w:p w14:paraId="03DE3938">
            <w:pPr>
              <w:spacing w:line="360" w:lineRule="auto"/>
              <w:jc w:val="right"/>
            </w:pPr>
            <w:r>
              <w:t>264,481.37</w:t>
            </w:r>
          </w:p>
        </w:tc>
      </w:tr>
      <w:tr w14:paraId="5E48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32A75348">
            <w:pPr>
              <w:pStyle w:val="36"/>
              <w:spacing w:line="360" w:lineRule="auto"/>
              <w:rPr>
                <w:rFonts w:ascii="Times New Roman" w:hAnsi="Times New Roman" w:cs="Times New Roman"/>
                <w:sz w:val="21"/>
                <w:szCs w:val="21"/>
              </w:rPr>
            </w:pPr>
            <w:r>
              <w:rPr>
                <w:rFonts w:ascii="Times New Roman" w:hAnsi="Times New Roman" w:cs="Times New Roman"/>
                <w:sz w:val="21"/>
                <w:szCs w:val="21"/>
              </w:rPr>
              <w:t>减：营业外支出</w:t>
            </w:r>
          </w:p>
        </w:tc>
        <w:tc>
          <w:tcPr>
            <w:tcW w:w="1461" w:type="dxa"/>
            <w:vAlign w:val="center"/>
          </w:tcPr>
          <w:p w14:paraId="5832CD18">
            <w:pPr>
              <w:pStyle w:val="36"/>
              <w:spacing w:line="360" w:lineRule="auto"/>
              <w:jc w:val="center"/>
              <w:rPr>
                <w:rFonts w:ascii="Times New Roman" w:hAnsi="Times New Roman" w:cs="Times New Roman"/>
                <w:sz w:val="21"/>
                <w:szCs w:val="21"/>
              </w:rPr>
            </w:pPr>
          </w:p>
        </w:tc>
        <w:tc>
          <w:tcPr>
            <w:tcW w:w="1913" w:type="dxa"/>
            <w:vAlign w:val="center"/>
          </w:tcPr>
          <w:p w14:paraId="2FF2E6B0">
            <w:pPr>
              <w:spacing w:line="360" w:lineRule="auto"/>
              <w:jc w:val="right"/>
            </w:pPr>
            <w:r>
              <w:t>-</w:t>
            </w:r>
          </w:p>
        </w:tc>
        <w:tc>
          <w:tcPr>
            <w:tcW w:w="2296" w:type="dxa"/>
            <w:vAlign w:val="center"/>
          </w:tcPr>
          <w:p w14:paraId="1488C708">
            <w:pPr>
              <w:spacing w:line="360" w:lineRule="auto"/>
              <w:jc w:val="right"/>
            </w:pPr>
            <w:r>
              <w:t>-</w:t>
            </w:r>
          </w:p>
        </w:tc>
      </w:tr>
      <w:tr w14:paraId="5F16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12703037">
            <w:pPr>
              <w:pStyle w:val="36"/>
              <w:spacing w:line="360" w:lineRule="auto"/>
              <w:rPr>
                <w:rFonts w:ascii="Times New Roman" w:hAnsi="Times New Roman" w:cs="Times New Roman"/>
                <w:b/>
                <w:sz w:val="21"/>
                <w:szCs w:val="21"/>
              </w:rPr>
            </w:pPr>
            <w:r>
              <w:rPr>
                <w:rFonts w:ascii="Times New Roman" w:hAnsi="Times New Roman" w:cs="Times New Roman"/>
                <w:b/>
                <w:sz w:val="21"/>
                <w:szCs w:val="21"/>
              </w:rPr>
              <w:t>四、利润总额（亏损总额以“-”号填列）</w:t>
            </w:r>
          </w:p>
        </w:tc>
        <w:tc>
          <w:tcPr>
            <w:tcW w:w="1461" w:type="dxa"/>
            <w:vAlign w:val="center"/>
          </w:tcPr>
          <w:p w14:paraId="74F67875">
            <w:pPr>
              <w:pStyle w:val="36"/>
              <w:spacing w:line="360" w:lineRule="auto"/>
              <w:jc w:val="center"/>
              <w:rPr>
                <w:rFonts w:ascii="Times New Roman" w:hAnsi="Times New Roman" w:cs="Times New Roman"/>
                <w:sz w:val="21"/>
                <w:szCs w:val="21"/>
              </w:rPr>
            </w:pPr>
          </w:p>
        </w:tc>
        <w:tc>
          <w:tcPr>
            <w:tcW w:w="1913" w:type="dxa"/>
            <w:vAlign w:val="center"/>
          </w:tcPr>
          <w:p w14:paraId="2E780F79">
            <w:pPr>
              <w:spacing w:line="360" w:lineRule="auto"/>
              <w:jc w:val="right"/>
              <w:rPr>
                <w:b/>
              </w:rPr>
            </w:pPr>
            <w:r>
              <w:rPr>
                <w:b/>
              </w:rPr>
              <w:t>8,035,588.63</w:t>
            </w:r>
          </w:p>
        </w:tc>
        <w:tc>
          <w:tcPr>
            <w:tcW w:w="2296" w:type="dxa"/>
            <w:vAlign w:val="center"/>
          </w:tcPr>
          <w:p w14:paraId="4EF66F3F">
            <w:pPr>
              <w:spacing w:line="360" w:lineRule="auto"/>
              <w:jc w:val="right"/>
              <w:rPr>
                <w:b/>
              </w:rPr>
            </w:pPr>
            <w:r>
              <w:rPr>
                <w:b/>
              </w:rPr>
              <w:t>14,524,343.74</w:t>
            </w:r>
          </w:p>
        </w:tc>
      </w:tr>
      <w:tr w14:paraId="2019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00F8A265">
            <w:pPr>
              <w:pStyle w:val="36"/>
              <w:spacing w:line="360" w:lineRule="auto"/>
              <w:rPr>
                <w:rFonts w:ascii="Times New Roman" w:hAnsi="Times New Roman" w:cs="Times New Roman"/>
                <w:sz w:val="21"/>
                <w:szCs w:val="21"/>
              </w:rPr>
            </w:pPr>
            <w:r>
              <w:rPr>
                <w:rFonts w:ascii="Times New Roman" w:hAnsi="Times New Roman" w:cs="Times New Roman"/>
                <w:sz w:val="21"/>
                <w:szCs w:val="21"/>
              </w:rPr>
              <w:t>减：所得税费用</w:t>
            </w:r>
          </w:p>
        </w:tc>
        <w:tc>
          <w:tcPr>
            <w:tcW w:w="1461" w:type="dxa"/>
            <w:vAlign w:val="center"/>
          </w:tcPr>
          <w:p w14:paraId="5D7AA6CD">
            <w:pPr>
              <w:pStyle w:val="36"/>
              <w:spacing w:line="360" w:lineRule="auto"/>
              <w:jc w:val="center"/>
              <w:rPr>
                <w:rFonts w:ascii="Times New Roman" w:hAnsi="Times New Roman" w:cs="Times New Roman"/>
                <w:sz w:val="21"/>
                <w:szCs w:val="21"/>
              </w:rPr>
            </w:pPr>
            <w:r>
              <w:rPr>
                <w:rFonts w:ascii="Times New Roman" w:hAnsi="Times New Roman" w:cs="Times New Roman"/>
                <w:sz w:val="21"/>
                <w:szCs w:val="21"/>
              </w:rPr>
              <w:t>9.5.6.22</w:t>
            </w:r>
          </w:p>
        </w:tc>
        <w:tc>
          <w:tcPr>
            <w:tcW w:w="1913" w:type="dxa"/>
            <w:vAlign w:val="center"/>
          </w:tcPr>
          <w:p w14:paraId="455DE376">
            <w:pPr>
              <w:spacing w:line="360" w:lineRule="auto"/>
              <w:jc w:val="right"/>
            </w:pPr>
            <w:r>
              <w:t>-11,383,045.54</w:t>
            </w:r>
          </w:p>
        </w:tc>
        <w:tc>
          <w:tcPr>
            <w:tcW w:w="2296" w:type="dxa"/>
            <w:vAlign w:val="center"/>
          </w:tcPr>
          <w:p w14:paraId="3DEBF4C4">
            <w:pPr>
              <w:spacing w:line="360" w:lineRule="auto"/>
              <w:jc w:val="right"/>
            </w:pPr>
            <w:r>
              <w:t>-11,404,390.54</w:t>
            </w:r>
          </w:p>
        </w:tc>
      </w:tr>
      <w:tr w14:paraId="5AD5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1CCB8EF4">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五、净利润（净亏损以“-”号填列）</w:t>
            </w:r>
          </w:p>
        </w:tc>
        <w:tc>
          <w:tcPr>
            <w:tcW w:w="1461" w:type="dxa"/>
            <w:vAlign w:val="center"/>
          </w:tcPr>
          <w:p w14:paraId="4837E488">
            <w:pPr>
              <w:pStyle w:val="36"/>
              <w:spacing w:line="360" w:lineRule="auto"/>
              <w:jc w:val="center"/>
              <w:rPr>
                <w:rFonts w:ascii="Times New Roman" w:hAnsi="Times New Roman" w:cs="Times New Roman"/>
                <w:sz w:val="21"/>
                <w:szCs w:val="21"/>
              </w:rPr>
            </w:pPr>
          </w:p>
        </w:tc>
        <w:tc>
          <w:tcPr>
            <w:tcW w:w="1913" w:type="dxa"/>
            <w:vAlign w:val="center"/>
          </w:tcPr>
          <w:p w14:paraId="23471099">
            <w:pPr>
              <w:spacing w:line="360" w:lineRule="auto"/>
              <w:jc w:val="right"/>
              <w:rPr>
                <w:b/>
              </w:rPr>
            </w:pPr>
            <w:r>
              <w:rPr>
                <w:b/>
              </w:rPr>
              <w:t>19,418,634.17</w:t>
            </w:r>
          </w:p>
        </w:tc>
        <w:tc>
          <w:tcPr>
            <w:tcW w:w="2296" w:type="dxa"/>
            <w:vAlign w:val="center"/>
          </w:tcPr>
          <w:p w14:paraId="7854733A">
            <w:pPr>
              <w:spacing w:line="360" w:lineRule="auto"/>
              <w:jc w:val="right"/>
              <w:rPr>
                <w:b/>
              </w:rPr>
            </w:pPr>
            <w:r>
              <w:rPr>
                <w:b/>
              </w:rPr>
              <w:t>25,928,734.28</w:t>
            </w:r>
          </w:p>
        </w:tc>
      </w:tr>
      <w:tr w14:paraId="30B6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4AC4638E">
            <w:pPr>
              <w:pStyle w:val="36"/>
              <w:spacing w:line="360" w:lineRule="auto"/>
              <w:rPr>
                <w:rFonts w:ascii="Times New Roman" w:hAnsi="Times New Roman" w:cs="Times New Roman"/>
                <w:bCs/>
                <w:sz w:val="21"/>
                <w:szCs w:val="21"/>
              </w:rPr>
            </w:pPr>
            <w:r>
              <w:rPr>
                <w:rFonts w:ascii="Times New Roman" w:hAnsi="Times New Roman" w:cs="Times New Roman"/>
                <w:bCs/>
                <w:sz w:val="21"/>
                <w:szCs w:val="21"/>
              </w:rPr>
              <w:t>1.持续经营净利润（净亏损以“</w:t>
            </w:r>
            <w:r>
              <w:rPr>
                <w:rFonts w:ascii="Times New Roman" w:hAnsi="Times New Roman" w:cs="Times New Roman"/>
                <w:sz w:val="21"/>
                <w:szCs w:val="21"/>
              </w:rPr>
              <w:t>-</w:t>
            </w:r>
            <w:r>
              <w:rPr>
                <w:rFonts w:ascii="Times New Roman" w:hAnsi="Times New Roman" w:cs="Times New Roman"/>
                <w:bCs/>
                <w:sz w:val="21"/>
                <w:szCs w:val="21"/>
              </w:rPr>
              <w:t>”号填列）</w:t>
            </w:r>
          </w:p>
        </w:tc>
        <w:tc>
          <w:tcPr>
            <w:tcW w:w="1461" w:type="dxa"/>
            <w:vAlign w:val="center"/>
          </w:tcPr>
          <w:p w14:paraId="6B2C1EA4">
            <w:pPr>
              <w:pStyle w:val="36"/>
              <w:spacing w:line="360" w:lineRule="auto"/>
              <w:jc w:val="center"/>
              <w:rPr>
                <w:rFonts w:ascii="Times New Roman" w:hAnsi="Times New Roman" w:cs="Times New Roman"/>
                <w:sz w:val="21"/>
                <w:szCs w:val="21"/>
              </w:rPr>
            </w:pPr>
          </w:p>
        </w:tc>
        <w:tc>
          <w:tcPr>
            <w:tcW w:w="1913" w:type="dxa"/>
            <w:vAlign w:val="center"/>
          </w:tcPr>
          <w:p w14:paraId="16A0748A">
            <w:pPr>
              <w:spacing w:line="360" w:lineRule="auto"/>
              <w:jc w:val="right"/>
            </w:pPr>
            <w:r>
              <w:t>19,418,634.17</w:t>
            </w:r>
          </w:p>
        </w:tc>
        <w:tc>
          <w:tcPr>
            <w:tcW w:w="2296" w:type="dxa"/>
            <w:vAlign w:val="center"/>
          </w:tcPr>
          <w:p w14:paraId="24A38875">
            <w:pPr>
              <w:spacing w:line="360" w:lineRule="auto"/>
              <w:jc w:val="right"/>
            </w:pPr>
            <w:r>
              <w:t>25,928,734.28</w:t>
            </w:r>
          </w:p>
        </w:tc>
      </w:tr>
      <w:tr w14:paraId="7807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6DB45833">
            <w:pPr>
              <w:pStyle w:val="36"/>
              <w:spacing w:line="360" w:lineRule="auto"/>
              <w:rPr>
                <w:rFonts w:ascii="Times New Roman" w:hAnsi="Times New Roman" w:cs="Times New Roman"/>
                <w:bCs/>
                <w:sz w:val="21"/>
                <w:szCs w:val="21"/>
              </w:rPr>
            </w:pPr>
            <w:r>
              <w:rPr>
                <w:rFonts w:ascii="Times New Roman" w:hAnsi="Times New Roman" w:cs="Times New Roman"/>
                <w:bCs/>
                <w:sz w:val="21"/>
                <w:szCs w:val="21"/>
              </w:rPr>
              <w:t>2.终止经营净利润（净亏损以“</w:t>
            </w:r>
            <w:r>
              <w:rPr>
                <w:rFonts w:ascii="Times New Roman" w:hAnsi="Times New Roman" w:cs="Times New Roman"/>
                <w:sz w:val="21"/>
                <w:szCs w:val="21"/>
              </w:rPr>
              <w:t>-</w:t>
            </w:r>
            <w:r>
              <w:rPr>
                <w:rFonts w:ascii="Times New Roman" w:hAnsi="Times New Roman" w:cs="Times New Roman"/>
                <w:bCs/>
                <w:sz w:val="21"/>
                <w:szCs w:val="21"/>
              </w:rPr>
              <w:t>”号填列）</w:t>
            </w:r>
          </w:p>
        </w:tc>
        <w:tc>
          <w:tcPr>
            <w:tcW w:w="1461" w:type="dxa"/>
            <w:vAlign w:val="center"/>
          </w:tcPr>
          <w:p w14:paraId="3AA89F5A">
            <w:pPr>
              <w:pStyle w:val="36"/>
              <w:spacing w:line="360" w:lineRule="auto"/>
              <w:jc w:val="center"/>
              <w:rPr>
                <w:rFonts w:ascii="Times New Roman" w:hAnsi="Times New Roman" w:cs="Times New Roman"/>
                <w:bCs/>
                <w:sz w:val="21"/>
                <w:szCs w:val="21"/>
              </w:rPr>
            </w:pPr>
          </w:p>
        </w:tc>
        <w:tc>
          <w:tcPr>
            <w:tcW w:w="1913" w:type="dxa"/>
            <w:vAlign w:val="center"/>
          </w:tcPr>
          <w:p w14:paraId="71F61F3A">
            <w:pPr>
              <w:spacing w:line="360" w:lineRule="auto"/>
              <w:jc w:val="right"/>
            </w:pPr>
            <w:r>
              <w:t>-</w:t>
            </w:r>
          </w:p>
        </w:tc>
        <w:tc>
          <w:tcPr>
            <w:tcW w:w="2296" w:type="dxa"/>
            <w:vAlign w:val="center"/>
          </w:tcPr>
          <w:p w14:paraId="0A18E49E">
            <w:pPr>
              <w:spacing w:line="360" w:lineRule="auto"/>
              <w:jc w:val="right"/>
            </w:pPr>
            <w:r>
              <w:t>-</w:t>
            </w:r>
          </w:p>
        </w:tc>
      </w:tr>
      <w:tr w14:paraId="3A8E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4687526D">
            <w:pPr>
              <w:pStyle w:val="36"/>
              <w:spacing w:line="360" w:lineRule="auto"/>
              <w:rPr>
                <w:rFonts w:ascii="Times New Roman" w:hAnsi="Times New Roman" w:cs="Times New Roman"/>
                <w:b/>
                <w:sz w:val="21"/>
                <w:szCs w:val="21"/>
              </w:rPr>
            </w:pPr>
            <w:r>
              <w:rPr>
                <w:rFonts w:ascii="Times New Roman" w:hAnsi="Times New Roman" w:cs="Times New Roman"/>
                <w:b/>
                <w:sz w:val="21"/>
                <w:szCs w:val="21"/>
              </w:rPr>
              <w:t>六、其他综合收益的税后净额</w:t>
            </w:r>
          </w:p>
        </w:tc>
        <w:tc>
          <w:tcPr>
            <w:tcW w:w="1461" w:type="dxa"/>
            <w:vAlign w:val="center"/>
          </w:tcPr>
          <w:p w14:paraId="50720A85">
            <w:pPr>
              <w:pStyle w:val="36"/>
              <w:spacing w:line="360" w:lineRule="auto"/>
              <w:jc w:val="center"/>
              <w:rPr>
                <w:rFonts w:ascii="Times New Roman" w:hAnsi="Times New Roman" w:cs="Times New Roman"/>
                <w:sz w:val="21"/>
                <w:szCs w:val="21"/>
              </w:rPr>
            </w:pPr>
          </w:p>
        </w:tc>
        <w:tc>
          <w:tcPr>
            <w:tcW w:w="1913" w:type="dxa"/>
            <w:vAlign w:val="center"/>
          </w:tcPr>
          <w:p w14:paraId="420A71E0">
            <w:pPr>
              <w:spacing w:line="360" w:lineRule="auto"/>
              <w:jc w:val="right"/>
            </w:pPr>
            <w:r>
              <w:t>-</w:t>
            </w:r>
          </w:p>
        </w:tc>
        <w:tc>
          <w:tcPr>
            <w:tcW w:w="2296" w:type="dxa"/>
            <w:vAlign w:val="center"/>
          </w:tcPr>
          <w:p w14:paraId="25BF64E2">
            <w:pPr>
              <w:spacing w:line="360" w:lineRule="auto"/>
              <w:jc w:val="right"/>
            </w:pPr>
            <w:r>
              <w:t>-</w:t>
            </w:r>
          </w:p>
        </w:tc>
      </w:tr>
      <w:tr w14:paraId="076B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404" w:type="dxa"/>
            <w:vAlign w:val="center"/>
          </w:tcPr>
          <w:p w14:paraId="75FCD343">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七、综合收益总额</w:t>
            </w:r>
          </w:p>
        </w:tc>
        <w:tc>
          <w:tcPr>
            <w:tcW w:w="1461" w:type="dxa"/>
            <w:vAlign w:val="center"/>
          </w:tcPr>
          <w:p w14:paraId="7F41B85B">
            <w:pPr>
              <w:pStyle w:val="36"/>
              <w:spacing w:line="360" w:lineRule="auto"/>
              <w:jc w:val="center"/>
              <w:rPr>
                <w:rFonts w:ascii="Times New Roman" w:hAnsi="Times New Roman" w:cs="Times New Roman"/>
                <w:sz w:val="21"/>
                <w:szCs w:val="21"/>
              </w:rPr>
            </w:pPr>
          </w:p>
        </w:tc>
        <w:tc>
          <w:tcPr>
            <w:tcW w:w="1913" w:type="dxa"/>
            <w:vAlign w:val="center"/>
          </w:tcPr>
          <w:p w14:paraId="174A878D">
            <w:pPr>
              <w:spacing w:line="360" w:lineRule="auto"/>
              <w:jc w:val="right"/>
            </w:pPr>
            <w:r>
              <w:t>19,418,634.17</w:t>
            </w:r>
          </w:p>
        </w:tc>
        <w:tc>
          <w:tcPr>
            <w:tcW w:w="2296" w:type="dxa"/>
            <w:vAlign w:val="center"/>
          </w:tcPr>
          <w:p w14:paraId="213EF5E1">
            <w:pPr>
              <w:spacing w:line="360" w:lineRule="auto"/>
              <w:jc w:val="right"/>
            </w:pPr>
            <w:r>
              <w:t>25,928,734.28</w:t>
            </w:r>
          </w:p>
        </w:tc>
      </w:tr>
      <w:bookmarkEnd w:id="312"/>
    </w:tbl>
    <w:p w14:paraId="5282FA0E">
      <w:pPr>
        <w:spacing w:line="360" w:lineRule="auto"/>
        <w:outlineLvl w:val="2"/>
        <w:rPr>
          <w:b/>
        </w:rPr>
      </w:pPr>
      <w:bookmarkStart w:id="313" w:name="_Toc98601349"/>
      <w:bookmarkStart w:id="314" w:name="_Toc96424952"/>
      <w:bookmarkStart w:id="315" w:name="_Toc98602698"/>
      <w:r>
        <w:rPr>
          <w:b/>
          <w:kern w:val="0"/>
        </w:rPr>
        <w:t>9.2.2</w:t>
      </w:r>
      <w:r>
        <w:rPr>
          <w:b/>
        </w:rPr>
        <w:t xml:space="preserve"> 个别利润表</w:t>
      </w:r>
      <w:bookmarkEnd w:id="313"/>
      <w:bookmarkEnd w:id="314"/>
      <w:bookmarkEnd w:id="315"/>
    </w:p>
    <w:p w14:paraId="05BFDE08">
      <w:pPr>
        <w:spacing w:line="360" w:lineRule="auto"/>
        <w:rPr>
          <w:kern w:val="0"/>
        </w:rPr>
      </w:pPr>
      <w:r>
        <w:t>会计主体：</w:t>
      </w:r>
      <w:r>
        <w:rPr>
          <w:kern w:val="0"/>
        </w:rPr>
        <w:t>博时招商蛇口产业园封闭式基础设施证券投资基金</w:t>
      </w:r>
    </w:p>
    <w:p w14:paraId="2CB57E72">
      <w:pPr>
        <w:spacing w:line="360" w:lineRule="auto"/>
        <w:rPr>
          <w:kern w:val="0"/>
        </w:rPr>
      </w:pPr>
      <w:r>
        <w:t>本报告期：</w:t>
      </w:r>
      <w:r>
        <w:rPr>
          <w:kern w:val="0"/>
        </w:rPr>
        <w:t>2026年1月1日至2026年6月30日</w:t>
      </w:r>
    </w:p>
    <w:p w14:paraId="49C0B554">
      <w:pPr>
        <w:spacing w:line="360" w:lineRule="auto"/>
        <w:ind w:right="565" w:rightChars="269"/>
        <w:jc w:val="right"/>
        <w:rPr>
          <w:b/>
        </w:rPr>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7"/>
        <w:gridCol w:w="1048"/>
        <w:gridCol w:w="1913"/>
        <w:gridCol w:w="2392"/>
      </w:tblGrid>
      <w:tr w14:paraId="3272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tcBorders>
              <w:top w:val="single" w:color="auto" w:sz="4" w:space="0"/>
            </w:tcBorders>
            <w:vAlign w:val="center"/>
          </w:tcPr>
          <w:p w14:paraId="00F93029">
            <w:pPr>
              <w:pStyle w:val="36"/>
              <w:spacing w:line="360" w:lineRule="auto"/>
              <w:jc w:val="center"/>
              <w:rPr>
                <w:rFonts w:ascii="Times New Roman" w:hAnsi="Times New Roman" w:cs="Times New Roman"/>
                <w:b/>
                <w:sz w:val="21"/>
                <w:szCs w:val="21"/>
              </w:rPr>
            </w:pPr>
            <w:r>
              <w:rPr>
                <w:rFonts w:ascii="Times New Roman" w:hAnsi="Times New Roman" w:cs="Times New Roman"/>
                <w:b/>
                <w:sz w:val="21"/>
                <w:szCs w:val="21"/>
              </w:rPr>
              <w:t>项 目</w:t>
            </w:r>
          </w:p>
        </w:tc>
        <w:tc>
          <w:tcPr>
            <w:tcW w:w="1048" w:type="dxa"/>
            <w:tcBorders>
              <w:top w:val="single" w:color="auto" w:sz="4" w:space="0"/>
            </w:tcBorders>
            <w:vAlign w:val="center"/>
          </w:tcPr>
          <w:p w14:paraId="72B943CC">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附注号</w:t>
            </w:r>
          </w:p>
        </w:tc>
        <w:tc>
          <w:tcPr>
            <w:tcW w:w="1913" w:type="dxa"/>
            <w:tcBorders>
              <w:top w:val="single" w:color="auto" w:sz="4" w:space="0"/>
            </w:tcBorders>
            <w:vAlign w:val="center"/>
          </w:tcPr>
          <w:p w14:paraId="486ADE13">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w:t>
            </w:r>
          </w:p>
          <w:p w14:paraId="46D652BF">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2026年1月1日至2026年6月30日</w:t>
            </w:r>
          </w:p>
        </w:tc>
        <w:tc>
          <w:tcPr>
            <w:tcW w:w="2392" w:type="dxa"/>
            <w:tcBorders>
              <w:top w:val="single" w:color="auto" w:sz="4" w:space="0"/>
            </w:tcBorders>
            <w:vAlign w:val="center"/>
          </w:tcPr>
          <w:p w14:paraId="27314D0B">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上年度可比期间</w:t>
            </w:r>
          </w:p>
          <w:p w14:paraId="296568CD">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2025年1月1日至2025年6月30日</w:t>
            </w:r>
          </w:p>
        </w:tc>
      </w:tr>
      <w:tr w14:paraId="14BF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6783E64B">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一、收入</w:t>
            </w:r>
          </w:p>
        </w:tc>
        <w:tc>
          <w:tcPr>
            <w:tcW w:w="1048" w:type="dxa"/>
            <w:vAlign w:val="center"/>
          </w:tcPr>
          <w:p w14:paraId="4A26BC63">
            <w:pPr>
              <w:pStyle w:val="36"/>
              <w:spacing w:line="360" w:lineRule="auto"/>
              <w:jc w:val="center"/>
              <w:rPr>
                <w:rFonts w:ascii="Times New Roman" w:hAnsi="Times New Roman" w:cs="Times New Roman"/>
                <w:sz w:val="21"/>
                <w:szCs w:val="21"/>
              </w:rPr>
            </w:pPr>
          </w:p>
        </w:tc>
        <w:tc>
          <w:tcPr>
            <w:tcW w:w="1913" w:type="dxa"/>
            <w:vAlign w:val="center"/>
          </w:tcPr>
          <w:p w14:paraId="4B160671">
            <w:pPr>
              <w:spacing w:line="360" w:lineRule="auto"/>
              <w:jc w:val="right"/>
              <w:rPr>
                <w:b/>
              </w:rPr>
            </w:pPr>
            <w:r>
              <w:rPr>
                <w:b/>
              </w:rPr>
              <w:t>41,180,553.43</w:t>
            </w:r>
          </w:p>
        </w:tc>
        <w:tc>
          <w:tcPr>
            <w:tcW w:w="2392" w:type="dxa"/>
            <w:vAlign w:val="center"/>
          </w:tcPr>
          <w:p w14:paraId="27020D25">
            <w:pPr>
              <w:spacing w:line="360" w:lineRule="auto"/>
              <w:jc w:val="right"/>
              <w:rPr>
                <w:b/>
              </w:rPr>
            </w:pPr>
            <w:r>
              <w:rPr>
                <w:b/>
              </w:rPr>
              <w:t>46,293,649.13</w:t>
            </w:r>
          </w:p>
        </w:tc>
      </w:tr>
      <w:tr w14:paraId="54DD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0172936C">
            <w:pPr>
              <w:pStyle w:val="36"/>
              <w:spacing w:line="360" w:lineRule="auto"/>
              <w:rPr>
                <w:rFonts w:ascii="Times New Roman" w:hAnsi="Times New Roman" w:cs="Times New Roman"/>
                <w:sz w:val="21"/>
                <w:szCs w:val="21"/>
              </w:rPr>
            </w:pPr>
            <w:r>
              <w:rPr>
                <w:rFonts w:ascii="Times New Roman" w:hAnsi="Times New Roman" w:cs="Times New Roman"/>
                <w:sz w:val="21"/>
                <w:szCs w:val="21"/>
              </w:rPr>
              <w:t>1.利息收入</w:t>
            </w:r>
          </w:p>
        </w:tc>
        <w:tc>
          <w:tcPr>
            <w:tcW w:w="1048" w:type="dxa"/>
            <w:vAlign w:val="center"/>
          </w:tcPr>
          <w:p w14:paraId="238E3A47">
            <w:pPr>
              <w:pStyle w:val="36"/>
              <w:spacing w:line="360" w:lineRule="auto"/>
              <w:jc w:val="center"/>
              <w:rPr>
                <w:rFonts w:ascii="Times New Roman" w:hAnsi="Times New Roman" w:cs="Times New Roman"/>
                <w:sz w:val="21"/>
                <w:szCs w:val="21"/>
              </w:rPr>
            </w:pPr>
          </w:p>
        </w:tc>
        <w:tc>
          <w:tcPr>
            <w:tcW w:w="1913" w:type="dxa"/>
            <w:vAlign w:val="center"/>
          </w:tcPr>
          <w:p w14:paraId="225E776F">
            <w:pPr>
              <w:spacing w:line="360" w:lineRule="auto"/>
              <w:jc w:val="right"/>
            </w:pPr>
            <w:r>
              <w:t>4,392.39</w:t>
            </w:r>
          </w:p>
        </w:tc>
        <w:tc>
          <w:tcPr>
            <w:tcW w:w="2392" w:type="dxa"/>
            <w:vAlign w:val="center"/>
          </w:tcPr>
          <w:p w14:paraId="1D18A0CD">
            <w:pPr>
              <w:spacing w:line="360" w:lineRule="auto"/>
              <w:jc w:val="right"/>
            </w:pPr>
            <w:r>
              <w:t>3,016.51</w:t>
            </w:r>
          </w:p>
        </w:tc>
      </w:tr>
      <w:tr w14:paraId="76D5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52B1E67D">
            <w:pPr>
              <w:pStyle w:val="36"/>
              <w:spacing w:line="360" w:lineRule="auto"/>
              <w:rPr>
                <w:rFonts w:ascii="Times New Roman" w:hAnsi="Times New Roman" w:cs="Times New Roman"/>
                <w:sz w:val="21"/>
                <w:szCs w:val="21"/>
              </w:rPr>
            </w:pPr>
            <w:r>
              <w:rPr>
                <w:rFonts w:ascii="Times New Roman" w:hAnsi="Times New Roman" w:cs="Times New Roman"/>
                <w:sz w:val="21"/>
                <w:szCs w:val="21"/>
              </w:rPr>
              <w:t>2.投资收益（损失以“-”号填列）</w:t>
            </w:r>
          </w:p>
        </w:tc>
        <w:tc>
          <w:tcPr>
            <w:tcW w:w="1048" w:type="dxa"/>
            <w:vAlign w:val="center"/>
          </w:tcPr>
          <w:p w14:paraId="0DE41AEF">
            <w:pPr>
              <w:pStyle w:val="36"/>
              <w:spacing w:line="360" w:lineRule="auto"/>
              <w:jc w:val="center"/>
              <w:rPr>
                <w:rFonts w:ascii="Times New Roman" w:hAnsi="Times New Roman" w:cs="Times New Roman"/>
                <w:sz w:val="21"/>
                <w:szCs w:val="21"/>
              </w:rPr>
            </w:pPr>
          </w:p>
        </w:tc>
        <w:tc>
          <w:tcPr>
            <w:tcW w:w="1913" w:type="dxa"/>
            <w:vAlign w:val="center"/>
          </w:tcPr>
          <w:p w14:paraId="02EA0E48">
            <w:pPr>
              <w:spacing w:line="360" w:lineRule="auto"/>
              <w:jc w:val="right"/>
            </w:pPr>
            <w:r>
              <w:t>41,176,161.04</w:t>
            </w:r>
          </w:p>
        </w:tc>
        <w:tc>
          <w:tcPr>
            <w:tcW w:w="2392" w:type="dxa"/>
            <w:vAlign w:val="center"/>
          </w:tcPr>
          <w:p w14:paraId="68329042">
            <w:pPr>
              <w:spacing w:line="360" w:lineRule="auto"/>
              <w:jc w:val="right"/>
            </w:pPr>
            <w:r>
              <w:t>46,290,632.62</w:t>
            </w:r>
          </w:p>
        </w:tc>
      </w:tr>
      <w:tr w14:paraId="0F69E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6A068AFD">
            <w:pPr>
              <w:pStyle w:val="36"/>
              <w:spacing w:line="360" w:lineRule="auto"/>
              <w:rPr>
                <w:rFonts w:ascii="Times New Roman" w:hAnsi="Times New Roman" w:cs="Times New Roman"/>
                <w:sz w:val="21"/>
                <w:szCs w:val="21"/>
              </w:rPr>
            </w:pPr>
            <w:r>
              <w:rPr>
                <w:rFonts w:ascii="Times New Roman" w:hAnsi="Times New Roman" w:cs="Times New Roman"/>
                <w:sz w:val="21"/>
                <w:szCs w:val="21"/>
              </w:rPr>
              <w:t>其中：</w:t>
            </w:r>
            <w:bookmarkStart w:id="316" w:name="_Hlk91577138"/>
            <w:r>
              <w:rPr>
                <w:rFonts w:ascii="Times New Roman" w:hAnsi="Times New Roman" w:cs="Times New Roman"/>
                <w:sz w:val="21"/>
                <w:szCs w:val="21"/>
              </w:rPr>
              <w:t>以摊余成本计量的金融资产终止确认产生的收益</w:t>
            </w:r>
            <w:bookmarkEnd w:id="316"/>
          </w:p>
        </w:tc>
        <w:tc>
          <w:tcPr>
            <w:tcW w:w="1048" w:type="dxa"/>
            <w:vAlign w:val="center"/>
          </w:tcPr>
          <w:p w14:paraId="180F0D04">
            <w:pPr>
              <w:pStyle w:val="36"/>
              <w:spacing w:line="360" w:lineRule="auto"/>
              <w:jc w:val="center"/>
              <w:rPr>
                <w:rFonts w:ascii="Times New Roman" w:hAnsi="Times New Roman" w:cs="Times New Roman"/>
                <w:sz w:val="21"/>
                <w:szCs w:val="21"/>
              </w:rPr>
            </w:pPr>
          </w:p>
        </w:tc>
        <w:tc>
          <w:tcPr>
            <w:tcW w:w="1913" w:type="dxa"/>
            <w:vAlign w:val="center"/>
          </w:tcPr>
          <w:p w14:paraId="147304A8">
            <w:pPr>
              <w:spacing w:line="360" w:lineRule="auto"/>
              <w:jc w:val="right"/>
            </w:pPr>
            <w:r>
              <w:t>-</w:t>
            </w:r>
          </w:p>
        </w:tc>
        <w:tc>
          <w:tcPr>
            <w:tcW w:w="2392" w:type="dxa"/>
            <w:vAlign w:val="center"/>
          </w:tcPr>
          <w:p w14:paraId="1B866F55">
            <w:pPr>
              <w:spacing w:line="360" w:lineRule="auto"/>
              <w:jc w:val="right"/>
            </w:pPr>
            <w:r>
              <w:t>-</w:t>
            </w:r>
          </w:p>
        </w:tc>
      </w:tr>
      <w:tr w14:paraId="7BB6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6C26F5CD">
            <w:pPr>
              <w:pStyle w:val="36"/>
              <w:spacing w:line="360" w:lineRule="auto"/>
              <w:rPr>
                <w:rFonts w:ascii="Times New Roman" w:hAnsi="Times New Roman" w:cs="Times New Roman"/>
                <w:sz w:val="21"/>
                <w:szCs w:val="21"/>
              </w:rPr>
            </w:pPr>
            <w:r>
              <w:rPr>
                <w:rFonts w:ascii="Times New Roman" w:hAnsi="Times New Roman" w:cs="Times New Roman"/>
                <w:sz w:val="21"/>
                <w:szCs w:val="21"/>
              </w:rPr>
              <w:t>3.公允价值变动收益（损失以“-”号填列）</w:t>
            </w:r>
          </w:p>
        </w:tc>
        <w:tc>
          <w:tcPr>
            <w:tcW w:w="1048" w:type="dxa"/>
            <w:vAlign w:val="center"/>
          </w:tcPr>
          <w:p w14:paraId="2DB09ABB">
            <w:pPr>
              <w:pStyle w:val="36"/>
              <w:spacing w:line="360" w:lineRule="auto"/>
              <w:jc w:val="center"/>
              <w:rPr>
                <w:rFonts w:ascii="Times New Roman" w:hAnsi="Times New Roman" w:cs="Times New Roman"/>
                <w:sz w:val="21"/>
                <w:szCs w:val="21"/>
              </w:rPr>
            </w:pPr>
          </w:p>
        </w:tc>
        <w:tc>
          <w:tcPr>
            <w:tcW w:w="1913" w:type="dxa"/>
            <w:vAlign w:val="center"/>
          </w:tcPr>
          <w:p w14:paraId="6B2CC914">
            <w:pPr>
              <w:spacing w:line="360" w:lineRule="auto"/>
              <w:jc w:val="right"/>
            </w:pPr>
            <w:r>
              <w:t>-</w:t>
            </w:r>
          </w:p>
        </w:tc>
        <w:tc>
          <w:tcPr>
            <w:tcW w:w="2392" w:type="dxa"/>
            <w:vAlign w:val="center"/>
          </w:tcPr>
          <w:p w14:paraId="302AF99B">
            <w:pPr>
              <w:spacing w:line="360" w:lineRule="auto"/>
              <w:jc w:val="right"/>
            </w:pPr>
            <w:r>
              <w:t>-</w:t>
            </w:r>
          </w:p>
        </w:tc>
      </w:tr>
      <w:tr w14:paraId="26A4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21936CB1">
            <w:pPr>
              <w:pStyle w:val="36"/>
              <w:spacing w:line="360" w:lineRule="auto"/>
              <w:rPr>
                <w:rFonts w:ascii="Times New Roman" w:hAnsi="Times New Roman" w:cs="Times New Roman"/>
                <w:sz w:val="21"/>
                <w:szCs w:val="21"/>
              </w:rPr>
            </w:pPr>
            <w:r>
              <w:rPr>
                <w:rFonts w:ascii="Times New Roman" w:hAnsi="Times New Roman" w:cs="Times New Roman"/>
                <w:sz w:val="21"/>
                <w:szCs w:val="21"/>
              </w:rPr>
              <w:t>4.汇兑收益（损失以“-”号填列）</w:t>
            </w:r>
          </w:p>
        </w:tc>
        <w:tc>
          <w:tcPr>
            <w:tcW w:w="1048" w:type="dxa"/>
            <w:vAlign w:val="center"/>
          </w:tcPr>
          <w:p w14:paraId="2FBD787A">
            <w:pPr>
              <w:pStyle w:val="36"/>
              <w:spacing w:line="360" w:lineRule="auto"/>
              <w:jc w:val="center"/>
              <w:rPr>
                <w:rFonts w:ascii="Times New Roman" w:hAnsi="Times New Roman" w:cs="Times New Roman"/>
                <w:sz w:val="21"/>
                <w:szCs w:val="21"/>
              </w:rPr>
            </w:pPr>
          </w:p>
        </w:tc>
        <w:tc>
          <w:tcPr>
            <w:tcW w:w="1913" w:type="dxa"/>
            <w:vAlign w:val="center"/>
          </w:tcPr>
          <w:p w14:paraId="12C3A050">
            <w:pPr>
              <w:spacing w:line="360" w:lineRule="auto"/>
              <w:jc w:val="right"/>
            </w:pPr>
            <w:r>
              <w:t>-</w:t>
            </w:r>
          </w:p>
        </w:tc>
        <w:tc>
          <w:tcPr>
            <w:tcW w:w="2392" w:type="dxa"/>
            <w:vAlign w:val="center"/>
          </w:tcPr>
          <w:p w14:paraId="75E9D52E">
            <w:pPr>
              <w:spacing w:line="360" w:lineRule="auto"/>
              <w:jc w:val="right"/>
            </w:pPr>
            <w:r>
              <w:t>-</w:t>
            </w:r>
          </w:p>
        </w:tc>
      </w:tr>
      <w:tr w14:paraId="47D3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0762D073">
            <w:pPr>
              <w:pStyle w:val="36"/>
              <w:spacing w:line="360" w:lineRule="auto"/>
              <w:rPr>
                <w:rFonts w:ascii="Times New Roman" w:hAnsi="Times New Roman" w:cs="Times New Roman"/>
                <w:sz w:val="21"/>
                <w:szCs w:val="21"/>
              </w:rPr>
            </w:pPr>
            <w:r>
              <w:rPr>
                <w:rFonts w:ascii="Times New Roman" w:hAnsi="Times New Roman" w:cs="Times New Roman"/>
                <w:sz w:val="21"/>
                <w:szCs w:val="21"/>
              </w:rPr>
              <w:t>8.其他业务收入</w:t>
            </w:r>
          </w:p>
        </w:tc>
        <w:tc>
          <w:tcPr>
            <w:tcW w:w="1048" w:type="dxa"/>
            <w:vAlign w:val="center"/>
          </w:tcPr>
          <w:p w14:paraId="74E38ADD">
            <w:pPr>
              <w:pStyle w:val="36"/>
              <w:spacing w:line="360" w:lineRule="auto"/>
              <w:jc w:val="center"/>
              <w:rPr>
                <w:rFonts w:ascii="Times New Roman" w:hAnsi="Times New Roman" w:cs="Times New Roman"/>
                <w:sz w:val="21"/>
                <w:szCs w:val="21"/>
              </w:rPr>
            </w:pPr>
          </w:p>
        </w:tc>
        <w:tc>
          <w:tcPr>
            <w:tcW w:w="1913" w:type="dxa"/>
            <w:vAlign w:val="center"/>
          </w:tcPr>
          <w:p w14:paraId="58533E3D">
            <w:pPr>
              <w:spacing w:line="360" w:lineRule="auto"/>
              <w:jc w:val="right"/>
            </w:pPr>
            <w:r>
              <w:t>-</w:t>
            </w:r>
          </w:p>
        </w:tc>
        <w:tc>
          <w:tcPr>
            <w:tcW w:w="2392" w:type="dxa"/>
            <w:vAlign w:val="center"/>
          </w:tcPr>
          <w:p w14:paraId="0C87910A">
            <w:pPr>
              <w:spacing w:line="360" w:lineRule="auto"/>
              <w:jc w:val="right"/>
            </w:pPr>
            <w:r>
              <w:t>-</w:t>
            </w:r>
          </w:p>
        </w:tc>
      </w:tr>
      <w:tr w14:paraId="3C6C6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288B29DA">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二、费用</w:t>
            </w:r>
          </w:p>
        </w:tc>
        <w:tc>
          <w:tcPr>
            <w:tcW w:w="1048" w:type="dxa"/>
            <w:vAlign w:val="center"/>
          </w:tcPr>
          <w:p w14:paraId="7DD152E1">
            <w:pPr>
              <w:pStyle w:val="36"/>
              <w:spacing w:line="360" w:lineRule="auto"/>
              <w:jc w:val="center"/>
              <w:rPr>
                <w:rFonts w:ascii="Times New Roman" w:hAnsi="Times New Roman" w:cs="Times New Roman"/>
                <w:sz w:val="21"/>
                <w:szCs w:val="21"/>
              </w:rPr>
            </w:pPr>
          </w:p>
        </w:tc>
        <w:tc>
          <w:tcPr>
            <w:tcW w:w="1913" w:type="dxa"/>
            <w:vAlign w:val="center"/>
          </w:tcPr>
          <w:p w14:paraId="626574E7">
            <w:pPr>
              <w:spacing w:line="360" w:lineRule="auto"/>
              <w:jc w:val="right"/>
              <w:rPr>
                <w:b/>
              </w:rPr>
            </w:pPr>
            <w:r>
              <w:rPr>
                <w:b/>
              </w:rPr>
              <w:t>2,815,090.09</w:t>
            </w:r>
          </w:p>
        </w:tc>
        <w:tc>
          <w:tcPr>
            <w:tcW w:w="2392" w:type="dxa"/>
            <w:vAlign w:val="center"/>
          </w:tcPr>
          <w:p w14:paraId="6942A2CC">
            <w:pPr>
              <w:spacing w:line="360" w:lineRule="auto"/>
              <w:jc w:val="right"/>
              <w:rPr>
                <w:b/>
              </w:rPr>
            </w:pPr>
            <w:r>
              <w:rPr>
                <w:b/>
              </w:rPr>
              <w:t>2,949,038.62</w:t>
            </w:r>
          </w:p>
        </w:tc>
      </w:tr>
      <w:tr w14:paraId="474A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25B7F3EB">
            <w:pPr>
              <w:pStyle w:val="36"/>
              <w:spacing w:line="360" w:lineRule="auto"/>
              <w:rPr>
                <w:rFonts w:ascii="Times New Roman" w:hAnsi="Times New Roman" w:cs="Times New Roman"/>
                <w:sz w:val="21"/>
                <w:szCs w:val="21"/>
              </w:rPr>
            </w:pPr>
            <w:r>
              <w:rPr>
                <w:rFonts w:ascii="Times New Roman" w:hAnsi="Times New Roman" w:cs="Times New Roman"/>
                <w:sz w:val="21"/>
                <w:szCs w:val="21"/>
              </w:rPr>
              <w:t>1.管理人报酬</w:t>
            </w:r>
          </w:p>
        </w:tc>
        <w:tc>
          <w:tcPr>
            <w:tcW w:w="1048" w:type="dxa"/>
            <w:vAlign w:val="center"/>
          </w:tcPr>
          <w:p w14:paraId="1D154974">
            <w:pPr>
              <w:pStyle w:val="36"/>
              <w:spacing w:line="360" w:lineRule="auto"/>
              <w:jc w:val="center"/>
              <w:rPr>
                <w:rFonts w:ascii="Times New Roman" w:hAnsi="Times New Roman" w:cs="Times New Roman"/>
                <w:sz w:val="21"/>
                <w:szCs w:val="21"/>
              </w:rPr>
            </w:pPr>
          </w:p>
        </w:tc>
        <w:tc>
          <w:tcPr>
            <w:tcW w:w="1913" w:type="dxa"/>
            <w:vAlign w:val="center"/>
          </w:tcPr>
          <w:p w14:paraId="54AF9AC4">
            <w:pPr>
              <w:spacing w:line="360" w:lineRule="auto"/>
              <w:jc w:val="right"/>
            </w:pPr>
            <w:r>
              <w:t>2,168,247.35</w:t>
            </w:r>
          </w:p>
        </w:tc>
        <w:tc>
          <w:tcPr>
            <w:tcW w:w="2392" w:type="dxa"/>
            <w:vAlign w:val="center"/>
          </w:tcPr>
          <w:p w14:paraId="6FD130CF">
            <w:pPr>
              <w:spacing w:line="360" w:lineRule="auto"/>
              <w:jc w:val="right"/>
            </w:pPr>
            <w:r>
              <w:t>2,274,546.54</w:t>
            </w:r>
          </w:p>
        </w:tc>
      </w:tr>
      <w:tr w14:paraId="36D1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0D39512C">
            <w:pPr>
              <w:pStyle w:val="36"/>
              <w:spacing w:line="360" w:lineRule="auto"/>
              <w:rPr>
                <w:rFonts w:ascii="Times New Roman" w:hAnsi="Times New Roman" w:cs="Times New Roman"/>
                <w:sz w:val="21"/>
                <w:szCs w:val="21"/>
              </w:rPr>
            </w:pPr>
            <w:r>
              <w:rPr>
                <w:rFonts w:ascii="Times New Roman" w:hAnsi="Times New Roman" w:cs="Times New Roman"/>
                <w:sz w:val="21"/>
                <w:szCs w:val="21"/>
              </w:rPr>
              <w:t>2.托管费</w:t>
            </w:r>
          </w:p>
        </w:tc>
        <w:tc>
          <w:tcPr>
            <w:tcW w:w="1048" w:type="dxa"/>
            <w:vAlign w:val="center"/>
          </w:tcPr>
          <w:p w14:paraId="6AEBAA4C">
            <w:pPr>
              <w:pStyle w:val="36"/>
              <w:spacing w:line="360" w:lineRule="auto"/>
              <w:jc w:val="center"/>
              <w:rPr>
                <w:rFonts w:ascii="Times New Roman" w:hAnsi="Times New Roman" w:cs="Times New Roman"/>
                <w:sz w:val="21"/>
                <w:szCs w:val="21"/>
              </w:rPr>
            </w:pPr>
          </w:p>
        </w:tc>
        <w:tc>
          <w:tcPr>
            <w:tcW w:w="1913" w:type="dxa"/>
            <w:vAlign w:val="center"/>
          </w:tcPr>
          <w:p w14:paraId="6DF110FB">
            <w:pPr>
              <w:spacing w:line="360" w:lineRule="auto"/>
              <w:jc w:val="right"/>
            </w:pPr>
            <w:r>
              <w:t>228,646.07</w:t>
            </w:r>
          </w:p>
        </w:tc>
        <w:tc>
          <w:tcPr>
            <w:tcW w:w="2392" w:type="dxa"/>
            <w:vAlign w:val="center"/>
          </w:tcPr>
          <w:p w14:paraId="54255243">
            <w:pPr>
              <w:spacing w:line="360" w:lineRule="auto"/>
              <w:jc w:val="right"/>
            </w:pPr>
            <w:r>
              <w:t>234,961.53</w:t>
            </w:r>
          </w:p>
        </w:tc>
      </w:tr>
      <w:tr w14:paraId="41D8B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2547AA0F">
            <w:pPr>
              <w:pStyle w:val="36"/>
              <w:spacing w:line="360" w:lineRule="auto"/>
              <w:rPr>
                <w:rFonts w:ascii="Times New Roman" w:hAnsi="Times New Roman" w:cs="Times New Roman"/>
                <w:sz w:val="21"/>
                <w:szCs w:val="21"/>
              </w:rPr>
            </w:pPr>
            <w:r>
              <w:rPr>
                <w:rFonts w:ascii="Times New Roman" w:hAnsi="Times New Roman" w:cs="Times New Roman"/>
                <w:sz w:val="21"/>
                <w:szCs w:val="21"/>
              </w:rPr>
              <w:t>3.投资顾问费</w:t>
            </w:r>
          </w:p>
        </w:tc>
        <w:tc>
          <w:tcPr>
            <w:tcW w:w="1048" w:type="dxa"/>
            <w:vAlign w:val="center"/>
          </w:tcPr>
          <w:p w14:paraId="4953B706">
            <w:pPr>
              <w:pStyle w:val="36"/>
              <w:spacing w:line="360" w:lineRule="auto"/>
              <w:jc w:val="center"/>
              <w:rPr>
                <w:rFonts w:ascii="Times New Roman" w:hAnsi="Times New Roman" w:cs="Times New Roman"/>
                <w:sz w:val="21"/>
                <w:szCs w:val="21"/>
              </w:rPr>
            </w:pPr>
          </w:p>
        </w:tc>
        <w:tc>
          <w:tcPr>
            <w:tcW w:w="1913" w:type="dxa"/>
            <w:vAlign w:val="center"/>
          </w:tcPr>
          <w:p w14:paraId="2BA13626">
            <w:pPr>
              <w:spacing w:line="360" w:lineRule="auto"/>
              <w:jc w:val="right"/>
            </w:pPr>
            <w:r>
              <w:t>-</w:t>
            </w:r>
          </w:p>
        </w:tc>
        <w:tc>
          <w:tcPr>
            <w:tcW w:w="2392" w:type="dxa"/>
            <w:vAlign w:val="center"/>
          </w:tcPr>
          <w:p w14:paraId="62A728E5">
            <w:pPr>
              <w:spacing w:line="360" w:lineRule="auto"/>
              <w:jc w:val="right"/>
            </w:pPr>
            <w:r>
              <w:t>-</w:t>
            </w:r>
          </w:p>
        </w:tc>
      </w:tr>
      <w:tr w14:paraId="6FE5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312DED85">
            <w:pPr>
              <w:pStyle w:val="36"/>
              <w:spacing w:line="360" w:lineRule="auto"/>
              <w:rPr>
                <w:rFonts w:ascii="Times New Roman" w:hAnsi="Times New Roman" w:cs="Times New Roman"/>
                <w:sz w:val="21"/>
                <w:szCs w:val="21"/>
              </w:rPr>
            </w:pPr>
            <w:r>
              <w:rPr>
                <w:rFonts w:ascii="Times New Roman" w:hAnsi="Times New Roman" w:cs="Times New Roman"/>
                <w:sz w:val="21"/>
                <w:szCs w:val="21"/>
              </w:rPr>
              <w:t>4.利息支出</w:t>
            </w:r>
          </w:p>
        </w:tc>
        <w:tc>
          <w:tcPr>
            <w:tcW w:w="1048" w:type="dxa"/>
            <w:vAlign w:val="center"/>
          </w:tcPr>
          <w:p w14:paraId="49FDD1CB">
            <w:pPr>
              <w:pStyle w:val="36"/>
              <w:spacing w:line="360" w:lineRule="auto"/>
              <w:jc w:val="center"/>
              <w:rPr>
                <w:rFonts w:ascii="Times New Roman" w:hAnsi="Times New Roman" w:cs="Times New Roman"/>
                <w:sz w:val="21"/>
                <w:szCs w:val="21"/>
              </w:rPr>
            </w:pPr>
          </w:p>
        </w:tc>
        <w:tc>
          <w:tcPr>
            <w:tcW w:w="1913" w:type="dxa"/>
            <w:vAlign w:val="center"/>
          </w:tcPr>
          <w:p w14:paraId="296647B7">
            <w:pPr>
              <w:spacing w:line="360" w:lineRule="auto"/>
              <w:jc w:val="right"/>
            </w:pPr>
            <w:r>
              <w:t>-</w:t>
            </w:r>
          </w:p>
        </w:tc>
        <w:tc>
          <w:tcPr>
            <w:tcW w:w="2392" w:type="dxa"/>
            <w:vAlign w:val="center"/>
          </w:tcPr>
          <w:p w14:paraId="53DA11B1">
            <w:pPr>
              <w:spacing w:line="360" w:lineRule="auto"/>
              <w:jc w:val="right"/>
            </w:pPr>
            <w:r>
              <w:t>-</w:t>
            </w:r>
          </w:p>
        </w:tc>
      </w:tr>
      <w:tr w14:paraId="4FCB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5863C1B5">
            <w:pPr>
              <w:pStyle w:val="36"/>
              <w:spacing w:line="360" w:lineRule="auto"/>
              <w:rPr>
                <w:rFonts w:ascii="Times New Roman" w:hAnsi="Times New Roman" w:cs="Times New Roman"/>
                <w:sz w:val="21"/>
                <w:szCs w:val="21"/>
              </w:rPr>
            </w:pPr>
            <w:r>
              <w:rPr>
                <w:rFonts w:ascii="Times New Roman" w:hAnsi="Times New Roman" w:cs="Times New Roman"/>
                <w:sz w:val="21"/>
                <w:szCs w:val="21"/>
              </w:rPr>
              <w:t>5.信用减值损失</w:t>
            </w:r>
          </w:p>
        </w:tc>
        <w:tc>
          <w:tcPr>
            <w:tcW w:w="1048" w:type="dxa"/>
            <w:vAlign w:val="center"/>
          </w:tcPr>
          <w:p w14:paraId="060B335F">
            <w:pPr>
              <w:pStyle w:val="36"/>
              <w:spacing w:line="360" w:lineRule="auto"/>
              <w:jc w:val="center"/>
              <w:rPr>
                <w:rFonts w:ascii="Times New Roman" w:hAnsi="Times New Roman" w:cs="Times New Roman"/>
                <w:sz w:val="21"/>
                <w:szCs w:val="21"/>
              </w:rPr>
            </w:pPr>
          </w:p>
        </w:tc>
        <w:tc>
          <w:tcPr>
            <w:tcW w:w="1913" w:type="dxa"/>
            <w:vAlign w:val="center"/>
          </w:tcPr>
          <w:p w14:paraId="76BE653A">
            <w:pPr>
              <w:spacing w:line="360" w:lineRule="auto"/>
              <w:jc w:val="right"/>
            </w:pPr>
            <w:r>
              <w:t>-</w:t>
            </w:r>
          </w:p>
        </w:tc>
        <w:tc>
          <w:tcPr>
            <w:tcW w:w="2392" w:type="dxa"/>
            <w:vAlign w:val="center"/>
          </w:tcPr>
          <w:p w14:paraId="013E583D">
            <w:pPr>
              <w:spacing w:line="360" w:lineRule="auto"/>
              <w:jc w:val="right"/>
            </w:pPr>
            <w:r>
              <w:t>-</w:t>
            </w:r>
          </w:p>
        </w:tc>
      </w:tr>
      <w:tr w14:paraId="2547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55BED65B">
            <w:pPr>
              <w:pStyle w:val="36"/>
              <w:spacing w:line="360" w:lineRule="auto"/>
              <w:rPr>
                <w:rFonts w:ascii="Times New Roman" w:hAnsi="Times New Roman" w:cs="Times New Roman"/>
                <w:sz w:val="21"/>
                <w:szCs w:val="21"/>
              </w:rPr>
            </w:pPr>
            <w:r>
              <w:rPr>
                <w:rFonts w:ascii="Times New Roman" w:hAnsi="Times New Roman" w:cs="Times New Roman"/>
                <w:sz w:val="21"/>
                <w:szCs w:val="21"/>
              </w:rPr>
              <w:t>6.资产减值损失</w:t>
            </w:r>
          </w:p>
        </w:tc>
        <w:tc>
          <w:tcPr>
            <w:tcW w:w="1048" w:type="dxa"/>
            <w:vAlign w:val="center"/>
          </w:tcPr>
          <w:p w14:paraId="15325127">
            <w:pPr>
              <w:pStyle w:val="36"/>
              <w:spacing w:line="360" w:lineRule="auto"/>
              <w:jc w:val="center"/>
              <w:rPr>
                <w:rFonts w:ascii="Times New Roman" w:hAnsi="Times New Roman" w:cs="Times New Roman"/>
                <w:sz w:val="21"/>
                <w:szCs w:val="21"/>
              </w:rPr>
            </w:pPr>
          </w:p>
        </w:tc>
        <w:tc>
          <w:tcPr>
            <w:tcW w:w="1913" w:type="dxa"/>
            <w:vAlign w:val="center"/>
          </w:tcPr>
          <w:p w14:paraId="466014D1">
            <w:pPr>
              <w:spacing w:line="360" w:lineRule="auto"/>
              <w:jc w:val="right"/>
            </w:pPr>
            <w:r>
              <w:t>-</w:t>
            </w:r>
          </w:p>
        </w:tc>
        <w:tc>
          <w:tcPr>
            <w:tcW w:w="2392" w:type="dxa"/>
            <w:vAlign w:val="center"/>
          </w:tcPr>
          <w:p w14:paraId="6F0B72FC">
            <w:pPr>
              <w:spacing w:line="360" w:lineRule="auto"/>
              <w:jc w:val="right"/>
            </w:pPr>
            <w:r>
              <w:t>-</w:t>
            </w:r>
          </w:p>
        </w:tc>
      </w:tr>
      <w:tr w14:paraId="42B1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3462CB24">
            <w:pPr>
              <w:pStyle w:val="36"/>
              <w:spacing w:line="360" w:lineRule="auto"/>
              <w:rPr>
                <w:rFonts w:ascii="Times New Roman" w:hAnsi="Times New Roman" w:cs="Times New Roman"/>
                <w:sz w:val="21"/>
                <w:szCs w:val="21"/>
              </w:rPr>
            </w:pPr>
            <w:r>
              <w:rPr>
                <w:rFonts w:ascii="Times New Roman" w:hAnsi="Times New Roman" w:cs="Times New Roman"/>
                <w:sz w:val="21"/>
                <w:szCs w:val="21"/>
              </w:rPr>
              <w:t>7.税金及附加</w:t>
            </w:r>
          </w:p>
        </w:tc>
        <w:tc>
          <w:tcPr>
            <w:tcW w:w="1048" w:type="dxa"/>
            <w:vAlign w:val="center"/>
          </w:tcPr>
          <w:p w14:paraId="4D17E304">
            <w:pPr>
              <w:pStyle w:val="36"/>
              <w:spacing w:line="360" w:lineRule="auto"/>
              <w:jc w:val="center"/>
              <w:rPr>
                <w:rFonts w:ascii="Times New Roman" w:hAnsi="Times New Roman" w:cs="Times New Roman"/>
                <w:sz w:val="21"/>
                <w:szCs w:val="21"/>
              </w:rPr>
            </w:pPr>
          </w:p>
        </w:tc>
        <w:tc>
          <w:tcPr>
            <w:tcW w:w="1913" w:type="dxa"/>
            <w:vAlign w:val="center"/>
          </w:tcPr>
          <w:p w14:paraId="286D0079">
            <w:pPr>
              <w:spacing w:line="360" w:lineRule="auto"/>
              <w:jc w:val="right"/>
            </w:pPr>
            <w:r>
              <w:t>-</w:t>
            </w:r>
          </w:p>
        </w:tc>
        <w:tc>
          <w:tcPr>
            <w:tcW w:w="2392" w:type="dxa"/>
            <w:vAlign w:val="center"/>
          </w:tcPr>
          <w:p w14:paraId="78B7EAA2">
            <w:pPr>
              <w:spacing w:line="360" w:lineRule="auto"/>
              <w:jc w:val="right"/>
            </w:pPr>
            <w:r>
              <w:t>-</w:t>
            </w:r>
          </w:p>
        </w:tc>
      </w:tr>
      <w:tr w14:paraId="406D5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27662329">
            <w:pPr>
              <w:pStyle w:val="36"/>
              <w:spacing w:line="360" w:lineRule="auto"/>
              <w:rPr>
                <w:rFonts w:ascii="Times New Roman" w:hAnsi="Times New Roman" w:cs="Times New Roman"/>
                <w:sz w:val="21"/>
                <w:szCs w:val="21"/>
              </w:rPr>
            </w:pPr>
            <w:r>
              <w:rPr>
                <w:rFonts w:ascii="Times New Roman" w:hAnsi="Times New Roman" w:cs="Times New Roman"/>
                <w:sz w:val="21"/>
                <w:szCs w:val="21"/>
              </w:rPr>
              <w:t>13.其他费用</w:t>
            </w:r>
          </w:p>
        </w:tc>
        <w:tc>
          <w:tcPr>
            <w:tcW w:w="1048" w:type="dxa"/>
            <w:vAlign w:val="center"/>
          </w:tcPr>
          <w:p w14:paraId="145FA806">
            <w:pPr>
              <w:pStyle w:val="36"/>
              <w:spacing w:line="360" w:lineRule="auto"/>
              <w:jc w:val="center"/>
              <w:rPr>
                <w:rFonts w:ascii="Times New Roman" w:hAnsi="Times New Roman" w:cs="Times New Roman"/>
                <w:sz w:val="21"/>
                <w:szCs w:val="21"/>
              </w:rPr>
            </w:pPr>
          </w:p>
        </w:tc>
        <w:tc>
          <w:tcPr>
            <w:tcW w:w="1913" w:type="dxa"/>
            <w:vAlign w:val="center"/>
          </w:tcPr>
          <w:p w14:paraId="34BDB6A3">
            <w:pPr>
              <w:spacing w:line="360" w:lineRule="auto"/>
              <w:jc w:val="right"/>
            </w:pPr>
            <w:r>
              <w:t>418,196.67</w:t>
            </w:r>
          </w:p>
        </w:tc>
        <w:tc>
          <w:tcPr>
            <w:tcW w:w="2392" w:type="dxa"/>
            <w:vAlign w:val="center"/>
          </w:tcPr>
          <w:p w14:paraId="6D14577D">
            <w:pPr>
              <w:spacing w:line="360" w:lineRule="auto"/>
              <w:jc w:val="right"/>
            </w:pPr>
            <w:r>
              <w:t>439,530.55</w:t>
            </w:r>
          </w:p>
        </w:tc>
      </w:tr>
      <w:tr w14:paraId="0E27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3D1C5CBB">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三、利润总额（亏损总额以“-”号填列）</w:t>
            </w:r>
          </w:p>
        </w:tc>
        <w:tc>
          <w:tcPr>
            <w:tcW w:w="1048" w:type="dxa"/>
            <w:vAlign w:val="center"/>
          </w:tcPr>
          <w:p w14:paraId="041E500C">
            <w:pPr>
              <w:pStyle w:val="36"/>
              <w:spacing w:line="360" w:lineRule="auto"/>
              <w:jc w:val="center"/>
              <w:rPr>
                <w:rFonts w:ascii="Times New Roman" w:hAnsi="Times New Roman" w:cs="Times New Roman"/>
                <w:sz w:val="21"/>
                <w:szCs w:val="21"/>
              </w:rPr>
            </w:pPr>
          </w:p>
        </w:tc>
        <w:tc>
          <w:tcPr>
            <w:tcW w:w="1913" w:type="dxa"/>
            <w:vAlign w:val="center"/>
          </w:tcPr>
          <w:p w14:paraId="19F1953C">
            <w:pPr>
              <w:spacing w:line="360" w:lineRule="auto"/>
              <w:jc w:val="right"/>
              <w:rPr>
                <w:b/>
              </w:rPr>
            </w:pPr>
            <w:r>
              <w:rPr>
                <w:b/>
              </w:rPr>
              <w:t>38,365,463.34</w:t>
            </w:r>
          </w:p>
        </w:tc>
        <w:tc>
          <w:tcPr>
            <w:tcW w:w="2392" w:type="dxa"/>
            <w:vAlign w:val="center"/>
          </w:tcPr>
          <w:p w14:paraId="63F6CD1A">
            <w:pPr>
              <w:spacing w:line="360" w:lineRule="auto"/>
              <w:jc w:val="right"/>
              <w:rPr>
                <w:b/>
              </w:rPr>
            </w:pPr>
            <w:r>
              <w:rPr>
                <w:b/>
              </w:rPr>
              <w:t>43,344,610.51</w:t>
            </w:r>
          </w:p>
        </w:tc>
      </w:tr>
      <w:tr w14:paraId="538C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131CC962">
            <w:pPr>
              <w:pStyle w:val="36"/>
              <w:spacing w:line="360" w:lineRule="auto"/>
              <w:rPr>
                <w:rFonts w:ascii="Times New Roman" w:hAnsi="Times New Roman" w:cs="Times New Roman"/>
                <w:sz w:val="21"/>
                <w:szCs w:val="21"/>
              </w:rPr>
            </w:pPr>
            <w:r>
              <w:rPr>
                <w:rFonts w:ascii="Times New Roman" w:hAnsi="Times New Roman" w:cs="Times New Roman"/>
                <w:sz w:val="21"/>
                <w:szCs w:val="21"/>
              </w:rPr>
              <w:t>减：所得税费用</w:t>
            </w:r>
          </w:p>
        </w:tc>
        <w:tc>
          <w:tcPr>
            <w:tcW w:w="1048" w:type="dxa"/>
            <w:vAlign w:val="center"/>
          </w:tcPr>
          <w:p w14:paraId="526668FA">
            <w:pPr>
              <w:pStyle w:val="36"/>
              <w:spacing w:line="360" w:lineRule="auto"/>
              <w:jc w:val="center"/>
              <w:rPr>
                <w:rFonts w:ascii="Times New Roman" w:hAnsi="Times New Roman" w:cs="Times New Roman"/>
                <w:sz w:val="21"/>
                <w:szCs w:val="21"/>
              </w:rPr>
            </w:pPr>
          </w:p>
        </w:tc>
        <w:tc>
          <w:tcPr>
            <w:tcW w:w="1913" w:type="dxa"/>
            <w:vAlign w:val="center"/>
          </w:tcPr>
          <w:p w14:paraId="3DD61763">
            <w:pPr>
              <w:spacing w:line="360" w:lineRule="auto"/>
              <w:jc w:val="right"/>
            </w:pPr>
            <w:r>
              <w:t>-</w:t>
            </w:r>
          </w:p>
        </w:tc>
        <w:tc>
          <w:tcPr>
            <w:tcW w:w="2392" w:type="dxa"/>
            <w:vAlign w:val="center"/>
          </w:tcPr>
          <w:p w14:paraId="594BFF44">
            <w:pPr>
              <w:spacing w:line="360" w:lineRule="auto"/>
              <w:jc w:val="right"/>
            </w:pPr>
            <w:r>
              <w:t>-</w:t>
            </w:r>
          </w:p>
        </w:tc>
      </w:tr>
      <w:tr w14:paraId="6791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55D96B74">
            <w:pPr>
              <w:pStyle w:val="36"/>
              <w:spacing w:line="360" w:lineRule="auto"/>
              <w:rPr>
                <w:rFonts w:ascii="Times New Roman" w:hAnsi="Times New Roman" w:cs="Times New Roman"/>
                <w:b/>
                <w:sz w:val="21"/>
                <w:szCs w:val="21"/>
              </w:rPr>
            </w:pPr>
            <w:r>
              <w:rPr>
                <w:rFonts w:ascii="Times New Roman" w:hAnsi="Times New Roman" w:cs="Times New Roman"/>
                <w:b/>
                <w:sz w:val="21"/>
                <w:szCs w:val="21"/>
              </w:rPr>
              <w:t>四、净利润（净亏损以“-”号填列）</w:t>
            </w:r>
          </w:p>
        </w:tc>
        <w:tc>
          <w:tcPr>
            <w:tcW w:w="1048" w:type="dxa"/>
            <w:vAlign w:val="center"/>
          </w:tcPr>
          <w:p w14:paraId="10FC2267">
            <w:pPr>
              <w:pStyle w:val="36"/>
              <w:spacing w:line="360" w:lineRule="auto"/>
              <w:jc w:val="center"/>
              <w:rPr>
                <w:rFonts w:ascii="Times New Roman" w:hAnsi="Times New Roman" w:cs="Times New Roman"/>
                <w:sz w:val="21"/>
                <w:szCs w:val="21"/>
              </w:rPr>
            </w:pPr>
          </w:p>
        </w:tc>
        <w:tc>
          <w:tcPr>
            <w:tcW w:w="1913" w:type="dxa"/>
            <w:vAlign w:val="center"/>
          </w:tcPr>
          <w:p w14:paraId="33C0740E">
            <w:pPr>
              <w:spacing w:line="360" w:lineRule="auto"/>
              <w:jc w:val="right"/>
              <w:rPr>
                <w:b/>
              </w:rPr>
            </w:pPr>
            <w:r>
              <w:rPr>
                <w:b/>
              </w:rPr>
              <w:t>38,365,463.34</w:t>
            </w:r>
          </w:p>
        </w:tc>
        <w:tc>
          <w:tcPr>
            <w:tcW w:w="2392" w:type="dxa"/>
            <w:vAlign w:val="center"/>
          </w:tcPr>
          <w:p w14:paraId="7930FE1F">
            <w:pPr>
              <w:spacing w:line="360" w:lineRule="auto"/>
              <w:jc w:val="right"/>
              <w:rPr>
                <w:b/>
              </w:rPr>
            </w:pPr>
            <w:r>
              <w:rPr>
                <w:b/>
              </w:rPr>
              <w:t>43,344,610.51</w:t>
            </w:r>
          </w:p>
        </w:tc>
      </w:tr>
      <w:tr w14:paraId="0C2C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62149C38">
            <w:pPr>
              <w:pStyle w:val="36"/>
              <w:spacing w:line="360" w:lineRule="auto"/>
              <w:rPr>
                <w:rFonts w:ascii="Times New Roman" w:hAnsi="Times New Roman" w:cs="Times New Roman"/>
                <w:b/>
                <w:sz w:val="21"/>
                <w:szCs w:val="21"/>
              </w:rPr>
            </w:pPr>
            <w:r>
              <w:rPr>
                <w:rFonts w:ascii="Times New Roman" w:hAnsi="Times New Roman" w:cs="Times New Roman"/>
                <w:b/>
                <w:sz w:val="21"/>
                <w:szCs w:val="21"/>
              </w:rPr>
              <w:t>五、其他综合收益的税后净额</w:t>
            </w:r>
          </w:p>
        </w:tc>
        <w:tc>
          <w:tcPr>
            <w:tcW w:w="1048" w:type="dxa"/>
            <w:vAlign w:val="center"/>
          </w:tcPr>
          <w:p w14:paraId="4BBA02FC">
            <w:pPr>
              <w:pStyle w:val="36"/>
              <w:spacing w:line="360" w:lineRule="auto"/>
              <w:jc w:val="center"/>
              <w:rPr>
                <w:rFonts w:ascii="Times New Roman" w:hAnsi="Times New Roman" w:cs="Times New Roman"/>
                <w:sz w:val="21"/>
                <w:szCs w:val="21"/>
              </w:rPr>
            </w:pPr>
          </w:p>
        </w:tc>
        <w:tc>
          <w:tcPr>
            <w:tcW w:w="1913" w:type="dxa"/>
            <w:vAlign w:val="center"/>
          </w:tcPr>
          <w:p w14:paraId="3A1153F1">
            <w:pPr>
              <w:spacing w:line="360" w:lineRule="auto"/>
              <w:jc w:val="right"/>
            </w:pPr>
            <w:r>
              <w:t>-</w:t>
            </w:r>
          </w:p>
        </w:tc>
        <w:tc>
          <w:tcPr>
            <w:tcW w:w="2392" w:type="dxa"/>
            <w:vAlign w:val="center"/>
          </w:tcPr>
          <w:p w14:paraId="45CE0896">
            <w:pPr>
              <w:spacing w:line="360" w:lineRule="auto"/>
              <w:jc w:val="right"/>
            </w:pPr>
            <w:r>
              <w:t>-</w:t>
            </w:r>
          </w:p>
        </w:tc>
      </w:tr>
      <w:tr w14:paraId="0702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87" w:type="dxa"/>
            <w:vAlign w:val="center"/>
          </w:tcPr>
          <w:p w14:paraId="17ABDF36">
            <w:pPr>
              <w:pStyle w:val="36"/>
              <w:spacing w:line="360" w:lineRule="auto"/>
              <w:rPr>
                <w:rFonts w:ascii="Times New Roman" w:hAnsi="Times New Roman" w:cs="Times New Roman"/>
                <w:b/>
                <w:sz w:val="21"/>
                <w:szCs w:val="21"/>
              </w:rPr>
            </w:pPr>
            <w:r>
              <w:rPr>
                <w:rFonts w:ascii="Times New Roman" w:hAnsi="Times New Roman" w:cs="Times New Roman"/>
                <w:b/>
                <w:sz w:val="21"/>
                <w:szCs w:val="21"/>
              </w:rPr>
              <w:t>六、综合收益总额</w:t>
            </w:r>
          </w:p>
        </w:tc>
        <w:tc>
          <w:tcPr>
            <w:tcW w:w="1048" w:type="dxa"/>
            <w:vAlign w:val="center"/>
          </w:tcPr>
          <w:p w14:paraId="379EC88D">
            <w:pPr>
              <w:pStyle w:val="36"/>
              <w:spacing w:line="360" w:lineRule="auto"/>
              <w:jc w:val="center"/>
              <w:rPr>
                <w:rFonts w:ascii="Times New Roman" w:hAnsi="Times New Roman" w:cs="Times New Roman"/>
                <w:sz w:val="21"/>
                <w:szCs w:val="21"/>
              </w:rPr>
            </w:pPr>
          </w:p>
        </w:tc>
        <w:tc>
          <w:tcPr>
            <w:tcW w:w="1913" w:type="dxa"/>
            <w:vAlign w:val="center"/>
          </w:tcPr>
          <w:p w14:paraId="618089F5">
            <w:pPr>
              <w:spacing w:line="360" w:lineRule="auto"/>
              <w:jc w:val="right"/>
            </w:pPr>
            <w:r>
              <w:t>38,365,463.34</w:t>
            </w:r>
          </w:p>
        </w:tc>
        <w:tc>
          <w:tcPr>
            <w:tcW w:w="2392" w:type="dxa"/>
            <w:vAlign w:val="center"/>
          </w:tcPr>
          <w:p w14:paraId="1B3979D0">
            <w:pPr>
              <w:spacing w:line="360" w:lineRule="auto"/>
              <w:jc w:val="right"/>
            </w:pPr>
            <w:r>
              <w:t>43,344,610.51</w:t>
            </w:r>
          </w:p>
        </w:tc>
      </w:tr>
    </w:tbl>
    <w:p w14:paraId="397B0A26">
      <w:pPr>
        <w:pStyle w:val="3"/>
        <w:rPr>
          <w:rFonts w:ascii="Times New Roman" w:hAnsi="Times New Roman" w:cs="Times New Roman"/>
          <w:sz w:val="21"/>
          <w:szCs w:val="21"/>
        </w:rPr>
      </w:pPr>
      <w:bookmarkStart w:id="317" w:name="_Toc98601350"/>
      <w:bookmarkStart w:id="318" w:name="_Toc98511655"/>
      <w:bookmarkStart w:id="319" w:name="_Toc23722"/>
      <w:bookmarkStart w:id="320" w:name="_Toc98602699"/>
      <w:bookmarkStart w:id="321" w:name="_Toc86080615"/>
      <w:bookmarkStart w:id="322" w:name="_Toc98512411"/>
      <w:bookmarkStart w:id="323" w:name="_Toc98603020"/>
      <w:bookmarkStart w:id="324" w:name="_Toc98508992"/>
      <w:r>
        <w:rPr>
          <w:rFonts w:ascii="Times New Roman" w:hAnsi="Times New Roman" w:cs="Times New Roman"/>
          <w:kern w:val="0"/>
          <w:sz w:val="21"/>
          <w:szCs w:val="21"/>
        </w:rPr>
        <w:t>9.3</w:t>
      </w:r>
      <w:r>
        <w:rPr>
          <w:rFonts w:ascii="Times New Roman" w:hAnsi="Times New Roman" w:cs="Times New Roman"/>
          <w:sz w:val="21"/>
          <w:szCs w:val="21"/>
        </w:rPr>
        <w:t xml:space="preserve"> 现金流量表</w:t>
      </w:r>
      <w:bookmarkEnd w:id="317"/>
      <w:bookmarkEnd w:id="318"/>
      <w:bookmarkEnd w:id="319"/>
      <w:bookmarkEnd w:id="320"/>
      <w:bookmarkEnd w:id="321"/>
      <w:bookmarkEnd w:id="322"/>
      <w:bookmarkEnd w:id="323"/>
      <w:bookmarkEnd w:id="324"/>
    </w:p>
    <w:p w14:paraId="40411D29">
      <w:pPr>
        <w:spacing w:line="360" w:lineRule="auto"/>
        <w:outlineLvl w:val="2"/>
        <w:rPr>
          <w:b/>
        </w:rPr>
      </w:pPr>
      <w:bookmarkStart w:id="325" w:name="_Toc98602700"/>
      <w:bookmarkStart w:id="326" w:name="_Toc98601351"/>
      <w:bookmarkStart w:id="327" w:name="_Toc96424954"/>
      <w:r>
        <w:rPr>
          <w:b/>
          <w:kern w:val="0"/>
        </w:rPr>
        <w:t>9.3.1</w:t>
      </w:r>
      <w:r>
        <w:rPr>
          <w:b/>
        </w:rPr>
        <w:t xml:space="preserve">  合并现金流量表</w:t>
      </w:r>
      <w:bookmarkEnd w:id="325"/>
      <w:bookmarkEnd w:id="326"/>
      <w:bookmarkEnd w:id="327"/>
    </w:p>
    <w:p w14:paraId="1D088111">
      <w:pPr>
        <w:spacing w:line="360" w:lineRule="auto"/>
        <w:rPr>
          <w:kern w:val="0"/>
        </w:rPr>
      </w:pPr>
      <w:r>
        <w:t>会计主体：</w:t>
      </w:r>
      <w:r>
        <w:rPr>
          <w:kern w:val="0"/>
        </w:rPr>
        <w:t>博时招商蛇口产业园封闭式基础设施证券投资基金</w:t>
      </w:r>
    </w:p>
    <w:p w14:paraId="6A4C347A">
      <w:pPr>
        <w:spacing w:line="360" w:lineRule="auto"/>
        <w:rPr>
          <w:kern w:val="0"/>
        </w:rPr>
      </w:pPr>
      <w:r>
        <w:t>本报告期：</w:t>
      </w:r>
      <w:r>
        <w:rPr>
          <w:kern w:val="0"/>
        </w:rPr>
        <w:t>2026年1月1日至2026年6月30日</w:t>
      </w:r>
    </w:p>
    <w:p w14:paraId="08861B38">
      <w:pPr>
        <w:spacing w:line="360" w:lineRule="auto"/>
        <w:ind w:right="565" w:rightChars="269"/>
        <w:jc w:val="right"/>
        <w:rPr>
          <w:b/>
        </w:rPr>
      </w:pPr>
      <w:r>
        <w:t>单位：人民币元</w:t>
      </w:r>
    </w:p>
    <w:tbl>
      <w:tblPr>
        <w:tblStyle w:val="40"/>
        <w:tblW w:w="5300" w:type="pct"/>
        <w:tblInd w:w="0" w:type="dxa"/>
        <w:tblLayout w:type="fixed"/>
        <w:tblCellMar>
          <w:top w:w="0" w:type="dxa"/>
          <w:left w:w="108" w:type="dxa"/>
          <w:bottom w:w="0" w:type="dxa"/>
          <w:right w:w="108" w:type="dxa"/>
        </w:tblCellMar>
      </w:tblPr>
      <w:tblGrid>
        <w:gridCol w:w="3685"/>
        <w:gridCol w:w="1106"/>
        <w:gridCol w:w="1934"/>
        <w:gridCol w:w="2315"/>
      </w:tblGrid>
      <w:tr w14:paraId="728D0507">
        <w:tblPrEx>
          <w:tblCellMar>
            <w:top w:w="0" w:type="dxa"/>
            <w:left w:w="108" w:type="dxa"/>
            <w:bottom w:w="0" w:type="dxa"/>
            <w:right w:w="108" w:type="dxa"/>
          </w:tblCellMar>
        </w:tblPrEx>
        <w:trPr>
          <w:trHeight w:val="300" w:hRule="atLeast"/>
        </w:trPr>
        <w:tc>
          <w:tcPr>
            <w:tcW w:w="368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BCEE03A">
            <w:pPr>
              <w:pStyle w:val="36"/>
              <w:spacing w:line="360" w:lineRule="auto"/>
              <w:jc w:val="center"/>
              <w:rPr>
                <w:rFonts w:ascii="Times New Roman" w:hAnsi="Times New Roman" w:cs="Times New Roman"/>
                <w:b/>
                <w:sz w:val="21"/>
                <w:szCs w:val="21"/>
              </w:rPr>
            </w:pPr>
            <w:bookmarkStart w:id="328" w:name="_Hlk91579824"/>
            <w:r>
              <w:rPr>
                <w:rFonts w:ascii="Times New Roman" w:hAnsi="Times New Roman" w:cs="Times New Roman"/>
                <w:b/>
                <w:sz w:val="21"/>
                <w:szCs w:val="21"/>
              </w:rPr>
              <w:t>项 目</w:t>
            </w:r>
          </w:p>
        </w:tc>
        <w:tc>
          <w:tcPr>
            <w:tcW w:w="1106" w:type="dxa"/>
            <w:tcBorders>
              <w:top w:val="single" w:color="auto" w:sz="4" w:space="0"/>
              <w:left w:val="nil"/>
              <w:bottom w:val="single" w:color="auto" w:sz="4" w:space="0"/>
              <w:right w:val="single" w:color="auto" w:sz="4" w:space="0"/>
            </w:tcBorders>
            <w:shd w:val="clear" w:color="000000" w:fill="FFFFFF"/>
            <w:noWrap/>
            <w:vAlign w:val="center"/>
          </w:tcPr>
          <w:p w14:paraId="6A7CE357">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附注号</w:t>
            </w:r>
          </w:p>
        </w:tc>
        <w:tc>
          <w:tcPr>
            <w:tcW w:w="1934" w:type="dxa"/>
            <w:tcBorders>
              <w:top w:val="single" w:color="auto" w:sz="4" w:space="0"/>
              <w:left w:val="nil"/>
              <w:bottom w:val="single" w:color="auto" w:sz="4" w:space="0"/>
              <w:right w:val="single" w:color="auto" w:sz="4" w:space="0"/>
            </w:tcBorders>
            <w:shd w:val="clear" w:color="000000" w:fill="FFFFFF"/>
            <w:noWrap/>
            <w:vAlign w:val="center"/>
          </w:tcPr>
          <w:p w14:paraId="542A6B61">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本期</w:t>
            </w:r>
          </w:p>
          <w:p w14:paraId="7A663BDB">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2026年1月1日至2026年6月30日</w:t>
            </w:r>
          </w:p>
        </w:tc>
        <w:tc>
          <w:tcPr>
            <w:tcW w:w="2315" w:type="dxa"/>
            <w:tcBorders>
              <w:top w:val="single" w:color="auto" w:sz="4" w:space="0"/>
              <w:left w:val="nil"/>
              <w:bottom w:val="single" w:color="auto" w:sz="4" w:space="0"/>
              <w:right w:val="single" w:color="auto" w:sz="4" w:space="0"/>
            </w:tcBorders>
            <w:shd w:val="clear" w:color="000000" w:fill="FFFFFF"/>
            <w:noWrap/>
            <w:vAlign w:val="center"/>
          </w:tcPr>
          <w:p w14:paraId="3F1335AC">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上年度可比期间</w:t>
            </w:r>
          </w:p>
          <w:p w14:paraId="5EFEDDBA">
            <w:pPr>
              <w:pStyle w:val="36"/>
              <w:spacing w:before="0" w:beforeAutospacing="0" w:after="0" w:afterAutospacing="0" w:line="360" w:lineRule="auto"/>
              <w:jc w:val="center"/>
              <w:rPr>
                <w:rFonts w:ascii="Times New Roman" w:hAnsi="Times New Roman" w:cs="Times New Roman"/>
                <w:b/>
                <w:sz w:val="21"/>
                <w:szCs w:val="21"/>
              </w:rPr>
            </w:pPr>
            <w:r>
              <w:rPr>
                <w:rFonts w:ascii="Times New Roman" w:hAnsi="Times New Roman" w:cs="Times New Roman"/>
                <w:b/>
                <w:sz w:val="21"/>
                <w:szCs w:val="21"/>
              </w:rPr>
              <w:t>2025年1月1日至2025年6月30日</w:t>
            </w:r>
          </w:p>
        </w:tc>
      </w:tr>
      <w:tr w14:paraId="2D51C224">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2706E34B">
            <w:pPr>
              <w:widowControl/>
              <w:spacing w:line="360" w:lineRule="auto"/>
              <w:jc w:val="left"/>
              <w:rPr>
                <w:b/>
                <w:bCs/>
                <w:kern w:val="0"/>
              </w:rPr>
            </w:pPr>
            <w:r>
              <w:rPr>
                <w:b/>
                <w:bCs/>
                <w:kern w:val="0"/>
              </w:rPr>
              <w:t>一、经营活动产生的现金流量：</w:t>
            </w:r>
          </w:p>
        </w:tc>
        <w:tc>
          <w:tcPr>
            <w:tcW w:w="1106" w:type="dxa"/>
            <w:tcBorders>
              <w:top w:val="nil"/>
              <w:left w:val="nil"/>
              <w:bottom w:val="single" w:color="auto" w:sz="4" w:space="0"/>
              <w:right w:val="single" w:color="auto" w:sz="4" w:space="0"/>
            </w:tcBorders>
            <w:shd w:val="clear" w:color="000000" w:fill="FFFFFF"/>
            <w:noWrap/>
            <w:vAlign w:val="center"/>
          </w:tcPr>
          <w:p w14:paraId="4E4A7090">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8CD269F">
            <w:pPr>
              <w:widowControl/>
              <w:spacing w:line="360" w:lineRule="auto"/>
              <w:jc w:val="center"/>
              <w:rPr>
                <w:kern w:val="0"/>
              </w:rPr>
            </w:pPr>
          </w:p>
        </w:tc>
        <w:tc>
          <w:tcPr>
            <w:tcW w:w="2315" w:type="dxa"/>
            <w:tcBorders>
              <w:top w:val="nil"/>
              <w:left w:val="nil"/>
              <w:bottom w:val="single" w:color="auto" w:sz="4" w:space="0"/>
              <w:right w:val="single" w:color="auto" w:sz="4" w:space="0"/>
            </w:tcBorders>
            <w:shd w:val="clear" w:color="000000" w:fill="FFFFFF"/>
            <w:noWrap/>
            <w:vAlign w:val="center"/>
          </w:tcPr>
          <w:p w14:paraId="114F613B">
            <w:pPr>
              <w:widowControl/>
              <w:spacing w:line="360" w:lineRule="auto"/>
              <w:jc w:val="center"/>
              <w:rPr>
                <w:kern w:val="0"/>
              </w:rPr>
            </w:pPr>
          </w:p>
        </w:tc>
      </w:tr>
      <w:tr w14:paraId="237D03EB">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3491B147">
            <w:pPr>
              <w:widowControl/>
              <w:spacing w:line="360" w:lineRule="auto"/>
              <w:jc w:val="left"/>
              <w:rPr>
                <w:kern w:val="0"/>
              </w:rPr>
            </w:pPr>
            <w:r>
              <w:rPr>
                <w:kern w:val="0"/>
              </w:rPr>
              <w:t>1.销售商品、提供劳务收到的现金</w:t>
            </w:r>
          </w:p>
        </w:tc>
        <w:tc>
          <w:tcPr>
            <w:tcW w:w="1106" w:type="dxa"/>
            <w:tcBorders>
              <w:top w:val="nil"/>
              <w:left w:val="nil"/>
              <w:bottom w:val="single" w:color="auto" w:sz="4" w:space="0"/>
              <w:right w:val="single" w:color="auto" w:sz="4" w:space="0"/>
            </w:tcBorders>
            <w:shd w:val="clear" w:color="000000" w:fill="FFFFFF"/>
            <w:noWrap/>
            <w:vAlign w:val="center"/>
          </w:tcPr>
          <w:p w14:paraId="544AAE3C">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500B0B8A">
            <w:pPr>
              <w:spacing w:line="360" w:lineRule="auto"/>
              <w:jc w:val="right"/>
            </w:pPr>
            <w:r>
              <w:t>89,482,563.34</w:t>
            </w:r>
          </w:p>
        </w:tc>
        <w:tc>
          <w:tcPr>
            <w:tcW w:w="2315" w:type="dxa"/>
            <w:tcBorders>
              <w:top w:val="nil"/>
              <w:left w:val="nil"/>
              <w:bottom w:val="single" w:color="auto" w:sz="4" w:space="0"/>
              <w:right w:val="single" w:color="auto" w:sz="4" w:space="0"/>
            </w:tcBorders>
            <w:shd w:val="clear" w:color="000000" w:fill="FFFFFF"/>
            <w:noWrap/>
            <w:vAlign w:val="center"/>
          </w:tcPr>
          <w:p w14:paraId="52C67B82">
            <w:pPr>
              <w:spacing w:line="360" w:lineRule="auto"/>
              <w:jc w:val="right"/>
            </w:pPr>
            <w:r>
              <w:t>97,348,934.29</w:t>
            </w:r>
          </w:p>
        </w:tc>
      </w:tr>
      <w:tr w14:paraId="0AD6BD52">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E0C121C">
            <w:pPr>
              <w:widowControl/>
              <w:spacing w:line="360" w:lineRule="auto"/>
              <w:jc w:val="left"/>
              <w:rPr>
                <w:kern w:val="0"/>
              </w:rPr>
            </w:pPr>
            <w:r>
              <w:rPr>
                <w:kern w:val="0"/>
              </w:rPr>
              <w:t>2.处置证券投资收到的现金净额</w:t>
            </w:r>
          </w:p>
        </w:tc>
        <w:tc>
          <w:tcPr>
            <w:tcW w:w="1106" w:type="dxa"/>
            <w:tcBorders>
              <w:top w:val="nil"/>
              <w:left w:val="nil"/>
              <w:bottom w:val="single" w:color="auto" w:sz="4" w:space="0"/>
              <w:right w:val="single" w:color="auto" w:sz="4" w:space="0"/>
            </w:tcBorders>
            <w:shd w:val="clear" w:color="000000" w:fill="FFFFFF"/>
            <w:noWrap/>
            <w:vAlign w:val="center"/>
          </w:tcPr>
          <w:p w14:paraId="001F7772">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5235F787">
            <w:pPr>
              <w:spacing w:line="360" w:lineRule="auto"/>
              <w:jc w:val="right"/>
            </w:pPr>
            <w:r>
              <w:t>15,000,000.00</w:t>
            </w:r>
          </w:p>
        </w:tc>
        <w:tc>
          <w:tcPr>
            <w:tcW w:w="2315" w:type="dxa"/>
            <w:tcBorders>
              <w:top w:val="nil"/>
              <w:left w:val="nil"/>
              <w:bottom w:val="single" w:color="auto" w:sz="4" w:space="0"/>
              <w:right w:val="single" w:color="auto" w:sz="4" w:space="0"/>
            </w:tcBorders>
            <w:shd w:val="clear" w:color="000000" w:fill="FFFFFF"/>
            <w:noWrap/>
            <w:vAlign w:val="center"/>
          </w:tcPr>
          <w:p w14:paraId="7B65C8D6">
            <w:pPr>
              <w:spacing w:line="360" w:lineRule="auto"/>
              <w:jc w:val="right"/>
            </w:pPr>
            <w:r>
              <w:t>6,970,104.82</w:t>
            </w:r>
          </w:p>
        </w:tc>
      </w:tr>
      <w:tr w14:paraId="01B668C5">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B29A4C4">
            <w:pPr>
              <w:widowControl/>
              <w:spacing w:line="360" w:lineRule="auto"/>
              <w:jc w:val="left"/>
              <w:rPr>
                <w:kern w:val="0"/>
              </w:rPr>
            </w:pPr>
            <w:r>
              <w:rPr>
                <w:kern w:val="0"/>
              </w:rPr>
              <w:t>3.买入返售金融资产净减少额</w:t>
            </w:r>
          </w:p>
        </w:tc>
        <w:tc>
          <w:tcPr>
            <w:tcW w:w="1106" w:type="dxa"/>
            <w:tcBorders>
              <w:top w:val="nil"/>
              <w:left w:val="nil"/>
              <w:bottom w:val="single" w:color="auto" w:sz="4" w:space="0"/>
              <w:right w:val="single" w:color="auto" w:sz="4" w:space="0"/>
            </w:tcBorders>
            <w:shd w:val="clear" w:color="000000" w:fill="FFFFFF"/>
            <w:noWrap/>
            <w:vAlign w:val="center"/>
          </w:tcPr>
          <w:p w14:paraId="37A2D2F6">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7C840699">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6FFE169D">
            <w:pPr>
              <w:spacing w:line="360" w:lineRule="auto"/>
              <w:jc w:val="right"/>
            </w:pPr>
            <w:r>
              <w:t>-</w:t>
            </w:r>
          </w:p>
        </w:tc>
      </w:tr>
      <w:tr w14:paraId="56EA9DD5">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4DDDF80D">
            <w:pPr>
              <w:widowControl/>
              <w:spacing w:line="360" w:lineRule="auto"/>
              <w:jc w:val="left"/>
              <w:rPr>
                <w:kern w:val="0"/>
              </w:rPr>
            </w:pPr>
            <w:r>
              <w:rPr>
                <w:kern w:val="0"/>
              </w:rPr>
              <w:t>4.卖出回购金融资产款净增加额</w:t>
            </w:r>
          </w:p>
        </w:tc>
        <w:tc>
          <w:tcPr>
            <w:tcW w:w="1106" w:type="dxa"/>
            <w:tcBorders>
              <w:top w:val="nil"/>
              <w:left w:val="nil"/>
              <w:bottom w:val="single" w:color="auto" w:sz="4" w:space="0"/>
              <w:right w:val="single" w:color="auto" w:sz="4" w:space="0"/>
            </w:tcBorders>
            <w:shd w:val="clear" w:color="000000" w:fill="FFFFFF"/>
            <w:noWrap/>
            <w:vAlign w:val="center"/>
          </w:tcPr>
          <w:p w14:paraId="5781E430">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2D1BF1A3">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2411B8C8">
            <w:pPr>
              <w:spacing w:line="360" w:lineRule="auto"/>
              <w:jc w:val="right"/>
            </w:pPr>
            <w:r>
              <w:t>-</w:t>
            </w:r>
          </w:p>
        </w:tc>
      </w:tr>
      <w:tr w14:paraId="03135DB1">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1B5D1AB">
            <w:pPr>
              <w:widowControl/>
              <w:spacing w:line="360" w:lineRule="auto"/>
              <w:jc w:val="left"/>
              <w:rPr>
                <w:kern w:val="0"/>
              </w:rPr>
            </w:pPr>
            <w:r>
              <w:rPr>
                <w:kern w:val="0"/>
              </w:rPr>
              <w:t>5.取得利息收入收到的现金</w:t>
            </w:r>
          </w:p>
        </w:tc>
        <w:tc>
          <w:tcPr>
            <w:tcW w:w="1106" w:type="dxa"/>
            <w:tcBorders>
              <w:top w:val="nil"/>
              <w:left w:val="nil"/>
              <w:bottom w:val="single" w:color="auto" w:sz="4" w:space="0"/>
              <w:right w:val="single" w:color="auto" w:sz="4" w:space="0"/>
            </w:tcBorders>
            <w:shd w:val="clear" w:color="000000" w:fill="FFFFFF"/>
            <w:noWrap/>
            <w:vAlign w:val="center"/>
          </w:tcPr>
          <w:p w14:paraId="37394611">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2B41D5D1">
            <w:pPr>
              <w:spacing w:line="360" w:lineRule="auto"/>
              <w:jc w:val="right"/>
            </w:pPr>
            <w:r>
              <w:t>62,377.96</w:t>
            </w:r>
          </w:p>
        </w:tc>
        <w:tc>
          <w:tcPr>
            <w:tcW w:w="2315" w:type="dxa"/>
            <w:tcBorders>
              <w:top w:val="nil"/>
              <w:left w:val="nil"/>
              <w:bottom w:val="single" w:color="auto" w:sz="4" w:space="0"/>
              <w:right w:val="single" w:color="auto" w:sz="4" w:space="0"/>
            </w:tcBorders>
            <w:shd w:val="clear" w:color="000000" w:fill="FFFFFF"/>
            <w:noWrap/>
            <w:vAlign w:val="center"/>
          </w:tcPr>
          <w:p w14:paraId="17B48307">
            <w:pPr>
              <w:spacing w:line="360" w:lineRule="auto"/>
              <w:jc w:val="right"/>
            </w:pPr>
            <w:r>
              <w:t>122,471.63</w:t>
            </w:r>
          </w:p>
        </w:tc>
      </w:tr>
      <w:tr w14:paraId="3E8F6FBE">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8FE00FB">
            <w:pPr>
              <w:widowControl/>
              <w:spacing w:line="360" w:lineRule="auto"/>
              <w:jc w:val="left"/>
              <w:rPr>
                <w:kern w:val="0"/>
              </w:rPr>
            </w:pPr>
            <w:r>
              <w:rPr>
                <w:kern w:val="0"/>
              </w:rPr>
              <w:t>6.收到的税费返还</w:t>
            </w:r>
          </w:p>
        </w:tc>
        <w:tc>
          <w:tcPr>
            <w:tcW w:w="1106" w:type="dxa"/>
            <w:tcBorders>
              <w:top w:val="nil"/>
              <w:left w:val="nil"/>
              <w:bottom w:val="single" w:color="auto" w:sz="4" w:space="0"/>
              <w:right w:val="single" w:color="auto" w:sz="4" w:space="0"/>
            </w:tcBorders>
            <w:shd w:val="clear" w:color="000000" w:fill="FFFFFF"/>
            <w:noWrap/>
            <w:vAlign w:val="center"/>
          </w:tcPr>
          <w:p w14:paraId="63786112">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C30CFC0">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179EB4EC">
            <w:pPr>
              <w:spacing w:line="360" w:lineRule="auto"/>
              <w:jc w:val="right"/>
            </w:pPr>
            <w:r>
              <w:t>-</w:t>
            </w:r>
          </w:p>
        </w:tc>
      </w:tr>
      <w:tr w14:paraId="5DCCEBB2">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FBE93BB">
            <w:pPr>
              <w:widowControl/>
              <w:spacing w:line="360" w:lineRule="auto"/>
              <w:jc w:val="left"/>
              <w:rPr>
                <w:kern w:val="0"/>
              </w:rPr>
            </w:pPr>
            <w:r>
              <w:rPr>
                <w:kern w:val="0"/>
              </w:rPr>
              <w:t>7.收到其他与经营活动有关的现金</w:t>
            </w:r>
          </w:p>
        </w:tc>
        <w:tc>
          <w:tcPr>
            <w:tcW w:w="1106" w:type="dxa"/>
            <w:tcBorders>
              <w:top w:val="nil"/>
              <w:left w:val="nil"/>
              <w:bottom w:val="single" w:color="auto" w:sz="4" w:space="0"/>
              <w:right w:val="single" w:color="auto" w:sz="4" w:space="0"/>
            </w:tcBorders>
            <w:shd w:val="clear" w:color="000000" w:fill="FFFFFF"/>
            <w:noWrap/>
            <w:vAlign w:val="center"/>
          </w:tcPr>
          <w:p w14:paraId="6D364040">
            <w:pPr>
              <w:widowControl/>
              <w:spacing w:line="360" w:lineRule="auto"/>
              <w:jc w:val="center"/>
              <w:rPr>
                <w:kern w:val="0"/>
              </w:rPr>
            </w:pPr>
            <w:r>
              <w:t>9.5.</w:t>
            </w:r>
            <w:r>
              <w:rPr>
                <w:rFonts w:ascii="Times New Roman" w:hAnsi="Times New Roman" w:cs="Times New Roman"/>
                <w:sz w:val="21"/>
                <w:szCs w:val="21"/>
              </w:rPr>
              <w:t>6</w:t>
            </w:r>
            <w:r>
              <w:t>.</w:t>
            </w:r>
            <w:r>
              <w:rPr>
                <w:rFonts w:ascii="Times New Roman" w:hAnsi="Times New Roman" w:cs="Times New Roman"/>
                <w:sz w:val="21"/>
                <w:szCs w:val="21"/>
              </w:rPr>
              <w:t>23</w:t>
            </w:r>
            <w:r>
              <w:t>.1</w:t>
            </w:r>
          </w:p>
        </w:tc>
        <w:tc>
          <w:tcPr>
            <w:tcW w:w="1934" w:type="dxa"/>
            <w:tcBorders>
              <w:top w:val="nil"/>
              <w:left w:val="nil"/>
              <w:bottom w:val="single" w:color="auto" w:sz="4" w:space="0"/>
              <w:right w:val="single" w:color="auto" w:sz="4" w:space="0"/>
            </w:tcBorders>
            <w:shd w:val="clear" w:color="000000" w:fill="FFFFFF"/>
            <w:noWrap/>
            <w:vAlign w:val="center"/>
          </w:tcPr>
          <w:p w14:paraId="554BD6DA">
            <w:pPr>
              <w:spacing w:line="360" w:lineRule="auto"/>
              <w:jc w:val="right"/>
            </w:pPr>
            <w:r>
              <w:t>5,725,021.75</w:t>
            </w:r>
          </w:p>
        </w:tc>
        <w:tc>
          <w:tcPr>
            <w:tcW w:w="2315" w:type="dxa"/>
            <w:tcBorders>
              <w:top w:val="nil"/>
              <w:left w:val="nil"/>
              <w:bottom w:val="single" w:color="auto" w:sz="4" w:space="0"/>
              <w:right w:val="single" w:color="auto" w:sz="4" w:space="0"/>
            </w:tcBorders>
            <w:shd w:val="clear" w:color="000000" w:fill="FFFFFF"/>
            <w:noWrap/>
            <w:vAlign w:val="center"/>
          </w:tcPr>
          <w:p w14:paraId="597E4FEC">
            <w:pPr>
              <w:spacing w:line="360" w:lineRule="auto"/>
              <w:jc w:val="right"/>
            </w:pPr>
            <w:r>
              <w:t>3,450,268.90</w:t>
            </w:r>
          </w:p>
        </w:tc>
      </w:tr>
      <w:tr w14:paraId="313CFEB1">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97AF923">
            <w:pPr>
              <w:widowControl/>
              <w:spacing w:line="360" w:lineRule="auto"/>
              <w:ind w:firstLine="843" w:firstLineChars="400"/>
              <w:rPr>
                <w:b/>
                <w:bCs/>
                <w:kern w:val="0"/>
              </w:rPr>
            </w:pPr>
            <w:r>
              <w:rPr>
                <w:b/>
                <w:bCs/>
                <w:kern w:val="0"/>
              </w:rPr>
              <w:t>经营活动现金流入小计</w:t>
            </w:r>
          </w:p>
        </w:tc>
        <w:tc>
          <w:tcPr>
            <w:tcW w:w="1106" w:type="dxa"/>
            <w:tcBorders>
              <w:top w:val="nil"/>
              <w:left w:val="nil"/>
              <w:bottom w:val="single" w:color="auto" w:sz="4" w:space="0"/>
              <w:right w:val="single" w:color="auto" w:sz="4" w:space="0"/>
            </w:tcBorders>
            <w:shd w:val="clear" w:color="000000" w:fill="FFFFFF"/>
            <w:noWrap/>
            <w:vAlign w:val="center"/>
          </w:tcPr>
          <w:p w14:paraId="1DB475A7">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2F125B84">
            <w:pPr>
              <w:spacing w:line="360" w:lineRule="auto"/>
              <w:jc w:val="right"/>
            </w:pPr>
            <w:r>
              <w:t>110,269,963.05</w:t>
            </w:r>
          </w:p>
        </w:tc>
        <w:tc>
          <w:tcPr>
            <w:tcW w:w="2315" w:type="dxa"/>
            <w:tcBorders>
              <w:top w:val="nil"/>
              <w:left w:val="nil"/>
              <w:bottom w:val="single" w:color="auto" w:sz="4" w:space="0"/>
              <w:right w:val="single" w:color="auto" w:sz="4" w:space="0"/>
            </w:tcBorders>
            <w:shd w:val="clear" w:color="000000" w:fill="FFFFFF"/>
            <w:noWrap/>
            <w:vAlign w:val="center"/>
          </w:tcPr>
          <w:p w14:paraId="6E4D943E">
            <w:pPr>
              <w:spacing w:line="360" w:lineRule="auto"/>
              <w:jc w:val="right"/>
            </w:pPr>
            <w:r>
              <w:t>107,891,779.64</w:t>
            </w:r>
          </w:p>
        </w:tc>
      </w:tr>
      <w:tr w14:paraId="07442F97">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C03A2FF">
            <w:pPr>
              <w:widowControl/>
              <w:spacing w:line="360" w:lineRule="auto"/>
              <w:jc w:val="left"/>
              <w:rPr>
                <w:kern w:val="0"/>
              </w:rPr>
            </w:pPr>
            <w:r>
              <w:rPr>
                <w:kern w:val="0"/>
              </w:rPr>
              <w:t>8.购买商品、接受劳务支付的现金</w:t>
            </w:r>
          </w:p>
        </w:tc>
        <w:tc>
          <w:tcPr>
            <w:tcW w:w="1106" w:type="dxa"/>
            <w:tcBorders>
              <w:top w:val="nil"/>
              <w:left w:val="nil"/>
              <w:bottom w:val="single" w:color="auto" w:sz="4" w:space="0"/>
              <w:right w:val="single" w:color="auto" w:sz="4" w:space="0"/>
            </w:tcBorders>
            <w:shd w:val="clear" w:color="000000" w:fill="FFFFFF"/>
            <w:noWrap/>
            <w:vAlign w:val="center"/>
          </w:tcPr>
          <w:p w14:paraId="0290CA30">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07A933BC">
            <w:pPr>
              <w:spacing w:line="360" w:lineRule="auto"/>
              <w:jc w:val="right"/>
            </w:pPr>
            <w:r>
              <w:t>16,500,081.85</w:t>
            </w:r>
          </w:p>
        </w:tc>
        <w:tc>
          <w:tcPr>
            <w:tcW w:w="2315" w:type="dxa"/>
            <w:tcBorders>
              <w:top w:val="nil"/>
              <w:left w:val="nil"/>
              <w:bottom w:val="single" w:color="auto" w:sz="4" w:space="0"/>
              <w:right w:val="single" w:color="auto" w:sz="4" w:space="0"/>
            </w:tcBorders>
            <w:shd w:val="clear" w:color="000000" w:fill="FFFFFF"/>
            <w:noWrap/>
            <w:vAlign w:val="center"/>
          </w:tcPr>
          <w:p w14:paraId="013271CB">
            <w:pPr>
              <w:spacing w:line="360" w:lineRule="auto"/>
              <w:jc w:val="right"/>
            </w:pPr>
            <w:r>
              <w:t>23,746,231.81</w:t>
            </w:r>
          </w:p>
        </w:tc>
      </w:tr>
      <w:tr w14:paraId="08A8A091">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5DE25693">
            <w:pPr>
              <w:widowControl/>
              <w:spacing w:line="360" w:lineRule="auto"/>
              <w:jc w:val="left"/>
              <w:rPr>
                <w:kern w:val="0"/>
              </w:rPr>
            </w:pPr>
            <w:r>
              <w:rPr>
                <w:kern w:val="0"/>
              </w:rPr>
              <w:t>9.取得证券投资支付的现金净额</w:t>
            </w:r>
          </w:p>
        </w:tc>
        <w:tc>
          <w:tcPr>
            <w:tcW w:w="1106" w:type="dxa"/>
            <w:tcBorders>
              <w:top w:val="nil"/>
              <w:left w:val="nil"/>
              <w:bottom w:val="single" w:color="auto" w:sz="4" w:space="0"/>
              <w:right w:val="single" w:color="auto" w:sz="4" w:space="0"/>
            </w:tcBorders>
            <w:shd w:val="clear" w:color="000000" w:fill="FFFFFF"/>
            <w:noWrap/>
            <w:vAlign w:val="center"/>
          </w:tcPr>
          <w:p w14:paraId="4F2035F9">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21C36BF9">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6111F31E">
            <w:pPr>
              <w:spacing w:line="360" w:lineRule="auto"/>
              <w:jc w:val="right"/>
            </w:pPr>
            <w:r>
              <w:t>21,630,000.00</w:t>
            </w:r>
          </w:p>
        </w:tc>
      </w:tr>
      <w:tr w14:paraId="62A182F2">
        <w:tblPrEx>
          <w:tblCellMar>
            <w:top w:w="0" w:type="dxa"/>
            <w:left w:w="108" w:type="dxa"/>
            <w:bottom w:w="0" w:type="dxa"/>
            <w:right w:w="108" w:type="dxa"/>
          </w:tblCellMar>
        </w:tblPrEx>
        <w:trPr>
          <w:trHeight w:val="1252"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482485E9">
            <w:pPr>
              <w:widowControl/>
              <w:spacing w:line="360" w:lineRule="auto"/>
              <w:jc w:val="left"/>
              <w:rPr>
                <w:kern w:val="0"/>
              </w:rPr>
            </w:pPr>
            <w:r>
              <w:rPr>
                <w:kern w:val="0"/>
              </w:rPr>
              <w:t>10.买入返售金融资产净增加额</w:t>
            </w:r>
          </w:p>
        </w:tc>
        <w:tc>
          <w:tcPr>
            <w:tcW w:w="1106" w:type="dxa"/>
            <w:tcBorders>
              <w:top w:val="nil"/>
              <w:left w:val="nil"/>
              <w:bottom w:val="single" w:color="auto" w:sz="4" w:space="0"/>
              <w:right w:val="single" w:color="auto" w:sz="4" w:space="0"/>
            </w:tcBorders>
            <w:shd w:val="clear" w:color="000000" w:fill="FFFFFF"/>
            <w:noWrap/>
            <w:vAlign w:val="center"/>
          </w:tcPr>
          <w:p w14:paraId="3C320E11">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67527485">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614D040E">
            <w:pPr>
              <w:spacing w:line="360" w:lineRule="auto"/>
              <w:jc w:val="right"/>
            </w:pPr>
            <w:r>
              <w:t>-</w:t>
            </w:r>
          </w:p>
        </w:tc>
      </w:tr>
      <w:tr w14:paraId="1BDFC92B">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9297366">
            <w:pPr>
              <w:widowControl/>
              <w:spacing w:line="360" w:lineRule="auto"/>
              <w:jc w:val="left"/>
              <w:rPr>
                <w:kern w:val="0"/>
              </w:rPr>
            </w:pPr>
            <w:r>
              <w:rPr>
                <w:kern w:val="0"/>
              </w:rPr>
              <w:t>11.卖出回购金融资产款净减少额</w:t>
            </w:r>
          </w:p>
        </w:tc>
        <w:tc>
          <w:tcPr>
            <w:tcW w:w="1106" w:type="dxa"/>
            <w:tcBorders>
              <w:top w:val="nil"/>
              <w:left w:val="nil"/>
              <w:bottom w:val="single" w:color="auto" w:sz="4" w:space="0"/>
              <w:right w:val="single" w:color="auto" w:sz="4" w:space="0"/>
            </w:tcBorders>
            <w:shd w:val="clear" w:color="000000" w:fill="FFFFFF"/>
            <w:noWrap/>
            <w:vAlign w:val="center"/>
          </w:tcPr>
          <w:p w14:paraId="763D0910">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E919211">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519D5557">
            <w:pPr>
              <w:spacing w:line="360" w:lineRule="auto"/>
              <w:jc w:val="right"/>
            </w:pPr>
            <w:r>
              <w:t>-</w:t>
            </w:r>
          </w:p>
        </w:tc>
      </w:tr>
      <w:tr w14:paraId="486F01A6">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733532F0">
            <w:pPr>
              <w:widowControl/>
              <w:spacing w:line="360" w:lineRule="auto"/>
              <w:jc w:val="left"/>
              <w:rPr>
                <w:kern w:val="0"/>
              </w:rPr>
            </w:pPr>
            <w:r>
              <w:rPr>
                <w:kern w:val="0"/>
              </w:rPr>
              <w:t>12.支付给职工以及为职工支付的现金</w:t>
            </w:r>
          </w:p>
        </w:tc>
        <w:tc>
          <w:tcPr>
            <w:tcW w:w="1106" w:type="dxa"/>
            <w:tcBorders>
              <w:top w:val="nil"/>
              <w:left w:val="nil"/>
              <w:bottom w:val="single" w:color="auto" w:sz="4" w:space="0"/>
              <w:right w:val="single" w:color="auto" w:sz="4" w:space="0"/>
            </w:tcBorders>
            <w:shd w:val="clear" w:color="000000" w:fill="FFFFFF"/>
            <w:noWrap/>
            <w:vAlign w:val="center"/>
          </w:tcPr>
          <w:p w14:paraId="5AF0037E">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44C2DE9A">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02E28E05">
            <w:pPr>
              <w:spacing w:line="360" w:lineRule="auto"/>
              <w:jc w:val="right"/>
            </w:pPr>
            <w:r>
              <w:t>-</w:t>
            </w:r>
          </w:p>
        </w:tc>
      </w:tr>
      <w:tr w14:paraId="6EBA293A">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59F211C">
            <w:pPr>
              <w:widowControl/>
              <w:spacing w:line="360" w:lineRule="auto"/>
              <w:jc w:val="left"/>
              <w:rPr>
                <w:kern w:val="0"/>
              </w:rPr>
            </w:pPr>
            <w:r>
              <w:rPr>
                <w:kern w:val="0"/>
              </w:rPr>
              <w:t>13.支付的各项税费</w:t>
            </w:r>
          </w:p>
        </w:tc>
        <w:tc>
          <w:tcPr>
            <w:tcW w:w="1106" w:type="dxa"/>
            <w:tcBorders>
              <w:top w:val="nil"/>
              <w:left w:val="nil"/>
              <w:bottom w:val="single" w:color="auto" w:sz="4" w:space="0"/>
              <w:right w:val="single" w:color="auto" w:sz="4" w:space="0"/>
            </w:tcBorders>
            <w:shd w:val="clear" w:color="000000" w:fill="FFFFFF"/>
            <w:noWrap/>
            <w:vAlign w:val="center"/>
          </w:tcPr>
          <w:p w14:paraId="24C61DEB">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5F7685AE">
            <w:pPr>
              <w:spacing w:line="360" w:lineRule="auto"/>
              <w:jc w:val="right"/>
            </w:pPr>
            <w:r>
              <w:t>6,975,444.69</w:t>
            </w:r>
          </w:p>
        </w:tc>
        <w:tc>
          <w:tcPr>
            <w:tcW w:w="2315" w:type="dxa"/>
            <w:tcBorders>
              <w:top w:val="nil"/>
              <w:left w:val="nil"/>
              <w:bottom w:val="single" w:color="auto" w:sz="4" w:space="0"/>
              <w:right w:val="single" w:color="auto" w:sz="4" w:space="0"/>
            </w:tcBorders>
            <w:shd w:val="clear" w:color="000000" w:fill="FFFFFF"/>
            <w:noWrap/>
            <w:vAlign w:val="center"/>
          </w:tcPr>
          <w:p w14:paraId="60F33EB9">
            <w:pPr>
              <w:spacing w:line="360" w:lineRule="auto"/>
              <w:jc w:val="right"/>
            </w:pPr>
            <w:r>
              <w:t>7,168,762.66</w:t>
            </w:r>
          </w:p>
        </w:tc>
      </w:tr>
      <w:tr w14:paraId="27597334">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76CC9718">
            <w:pPr>
              <w:widowControl/>
              <w:spacing w:line="360" w:lineRule="auto"/>
              <w:jc w:val="left"/>
              <w:rPr>
                <w:kern w:val="0"/>
              </w:rPr>
            </w:pPr>
            <w:r>
              <w:rPr>
                <w:kern w:val="0"/>
              </w:rPr>
              <w:t>14.支付其他与经营活动有关的现金</w:t>
            </w:r>
          </w:p>
        </w:tc>
        <w:tc>
          <w:tcPr>
            <w:tcW w:w="1106" w:type="dxa"/>
            <w:tcBorders>
              <w:top w:val="nil"/>
              <w:left w:val="nil"/>
              <w:bottom w:val="single" w:color="auto" w:sz="4" w:space="0"/>
              <w:right w:val="single" w:color="auto" w:sz="4" w:space="0"/>
            </w:tcBorders>
            <w:shd w:val="clear" w:color="000000" w:fill="FFFFFF"/>
            <w:noWrap/>
            <w:vAlign w:val="center"/>
          </w:tcPr>
          <w:p w14:paraId="21CD6BD5">
            <w:pPr>
              <w:widowControl/>
              <w:spacing w:line="360" w:lineRule="auto"/>
              <w:jc w:val="center"/>
              <w:rPr>
                <w:kern w:val="0"/>
              </w:rPr>
            </w:pPr>
            <w:r>
              <w:t>9.5.</w:t>
            </w:r>
            <w:r>
              <w:rPr>
                <w:rFonts w:ascii="Times New Roman" w:hAnsi="Times New Roman" w:cs="Times New Roman"/>
                <w:sz w:val="21"/>
                <w:szCs w:val="21"/>
              </w:rPr>
              <w:t>6</w:t>
            </w:r>
            <w:r>
              <w:t>.</w:t>
            </w:r>
            <w:r>
              <w:rPr>
                <w:rFonts w:ascii="Times New Roman" w:hAnsi="Times New Roman" w:cs="Times New Roman"/>
                <w:sz w:val="21"/>
                <w:szCs w:val="21"/>
              </w:rPr>
              <w:t>23</w:t>
            </w:r>
            <w:r>
              <w:t>.2</w:t>
            </w:r>
          </w:p>
        </w:tc>
        <w:tc>
          <w:tcPr>
            <w:tcW w:w="1934" w:type="dxa"/>
            <w:tcBorders>
              <w:top w:val="nil"/>
              <w:left w:val="nil"/>
              <w:bottom w:val="single" w:color="auto" w:sz="4" w:space="0"/>
              <w:right w:val="single" w:color="auto" w:sz="4" w:space="0"/>
            </w:tcBorders>
            <w:shd w:val="clear" w:color="000000" w:fill="FFFFFF"/>
            <w:noWrap/>
            <w:vAlign w:val="center"/>
          </w:tcPr>
          <w:p w14:paraId="60AE8472">
            <w:pPr>
              <w:spacing w:line="360" w:lineRule="auto"/>
              <w:jc w:val="right"/>
            </w:pPr>
            <w:r>
              <w:t>11,318,791.39</w:t>
            </w:r>
          </w:p>
        </w:tc>
        <w:tc>
          <w:tcPr>
            <w:tcW w:w="2315" w:type="dxa"/>
            <w:tcBorders>
              <w:top w:val="nil"/>
              <w:left w:val="nil"/>
              <w:bottom w:val="single" w:color="auto" w:sz="4" w:space="0"/>
              <w:right w:val="single" w:color="auto" w:sz="4" w:space="0"/>
            </w:tcBorders>
            <w:shd w:val="clear" w:color="000000" w:fill="FFFFFF"/>
            <w:noWrap/>
            <w:vAlign w:val="center"/>
          </w:tcPr>
          <w:p w14:paraId="221C00DA">
            <w:pPr>
              <w:spacing w:line="360" w:lineRule="auto"/>
              <w:jc w:val="right"/>
            </w:pPr>
            <w:r>
              <w:t>12,215,778.78</w:t>
            </w:r>
          </w:p>
        </w:tc>
      </w:tr>
      <w:tr w14:paraId="6EFA869A">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2DA55AB9">
            <w:pPr>
              <w:widowControl/>
              <w:spacing w:line="360" w:lineRule="auto"/>
              <w:ind w:firstLine="843" w:firstLineChars="400"/>
              <w:rPr>
                <w:b/>
                <w:bCs/>
                <w:kern w:val="0"/>
              </w:rPr>
            </w:pPr>
            <w:r>
              <w:rPr>
                <w:b/>
                <w:bCs/>
                <w:kern w:val="0"/>
              </w:rPr>
              <w:t>经营活动现金流出小计</w:t>
            </w:r>
          </w:p>
        </w:tc>
        <w:tc>
          <w:tcPr>
            <w:tcW w:w="1106" w:type="dxa"/>
            <w:tcBorders>
              <w:top w:val="nil"/>
              <w:left w:val="nil"/>
              <w:bottom w:val="single" w:color="auto" w:sz="4" w:space="0"/>
              <w:right w:val="single" w:color="auto" w:sz="4" w:space="0"/>
            </w:tcBorders>
            <w:shd w:val="clear" w:color="000000" w:fill="FFFFFF"/>
            <w:noWrap/>
            <w:vAlign w:val="center"/>
          </w:tcPr>
          <w:p w14:paraId="3B9633F7">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0C544C85">
            <w:pPr>
              <w:spacing w:line="360" w:lineRule="auto"/>
              <w:jc w:val="right"/>
            </w:pPr>
            <w:r>
              <w:t>34,794,317.93</w:t>
            </w:r>
          </w:p>
        </w:tc>
        <w:tc>
          <w:tcPr>
            <w:tcW w:w="2315" w:type="dxa"/>
            <w:tcBorders>
              <w:top w:val="nil"/>
              <w:left w:val="nil"/>
              <w:bottom w:val="single" w:color="auto" w:sz="4" w:space="0"/>
              <w:right w:val="single" w:color="auto" w:sz="4" w:space="0"/>
            </w:tcBorders>
            <w:shd w:val="clear" w:color="000000" w:fill="FFFFFF"/>
            <w:noWrap/>
            <w:vAlign w:val="center"/>
          </w:tcPr>
          <w:p w14:paraId="1908503A">
            <w:pPr>
              <w:spacing w:line="360" w:lineRule="auto"/>
              <w:jc w:val="right"/>
            </w:pPr>
            <w:r>
              <w:t>64,760,773.25</w:t>
            </w:r>
          </w:p>
        </w:tc>
      </w:tr>
      <w:tr w14:paraId="7789F744">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C0AB15E">
            <w:pPr>
              <w:widowControl/>
              <w:spacing w:line="360" w:lineRule="auto"/>
              <w:ind w:firstLine="422" w:firstLineChars="200"/>
              <w:jc w:val="left"/>
              <w:rPr>
                <w:b/>
                <w:bCs/>
                <w:kern w:val="0"/>
              </w:rPr>
            </w:pPr>
            <w:r>
              <w:rPr>
                <w:b/>
                <w:bCs/>
                <w:kern w:val="0"/>
              </w:rPr>
              <w:t>经营活动产生的现金流量净额</w:t>
            </w:r>
          </w:p>
        </w:tc>
        <w:tc>
          <w:tcPr>
            <w:tcW w:w="1106" w:type="dxa"/>
            <w:tcBorders>
              <w:top w:val="nil"/>
              <w:left w:val="nil"/>
              <w:bottom w:val="single" w:color="auto" w:sz="4" w:space="0"/>
              <w:right w:val="single" w:color="auto" w:sz="4" w:space="0"/>
            </w:tcBorders>
            <w:shd w:val="clear" w:color="000000" w:fill="FFFFFF"/>
            <w:noWrap/>
            <w:vAlign w:val="center"/>
          </w:tcPr>
          <w:p w14:paraId="61431A85">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665D4312">
            <w:pPr>
              <w:spacing w:line="360" w:lineRule="auto"/>
              <w:jc w:val="right"/>
            </w:pPr>
            <w:r>
              <w:t>75,475,645.12</w:t>
            </w:r>
          </w:p>
        </w:tc>
        <w:tc>
          <w:tcPr>
            <w:tcW w:w="2315" w:type="dxa"/>
            <w:tcBorders>
              <w:top w:val="nil"/>
              <w:left w:val="nil"/>
              <w:bottom w:val="single" w:color="auto" w:sz="4" w:space="0"/>
              <w:right w:val="single" w:color="auto" w:sz="4" w:space="0"/>
            </w:tcBorders>
            <w:shd w:val="clear" w:color="000000" w:fill="FFFFFF"/>
            <w:noWrap/>
            <w:vAlign w:val="center"/>
          </w:tcPr>
          <w:p w14:paraId="22E2F2D1">
            <w:pPr>
              <w:spacing w:line="360" w:lineRule="auto"/>
              <w:jc w:val="right"/>
            </w:pPr>
            <w:r>
              <w:t>43,131,006.39</w:t>
            </w:r>
          </w:p>
        </w:tc>
      </w:tr>
      <w:tr w14:paraId="6B907509">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2DFE684">
            <w:pPr>
              <w:widowControl/>
              <w:spacing w:line="360" w:lineRule="auto"/>
              <w:jc w:val="left"/>
              <w:rPr>
                <w:b/>
                <w:bCs/>
                <w:kern w:val="0"/>
              </w:rPr>
            </w:pPr>
            <w:r>
              <w:rPr>
                <w:b/>
                <w:bCs/>
                <w:kern w:val="0"/>
              </w:rPr>
              <w:t>二、投资活动产生的现金流量：</w:t>
            </w:r>
          </w:p>
        </w:tc>
        <w:tc>
          <w:tcPr>
            <w:tcW w:w="1106" w:type="dxa"/>
            <w:tcBorders>
              <w:top w:val="nil"/>
              <w:left w:val="nil"/>
              <w:bottom w:val="single" w:color="auto" w:sz="4" w:space="0"/>
              <w:right w:val="single" w:color="auto" w:sz="4" w:space="0"/>
            </w:tcBorders>
            <w:shd w:val="clear" w:color="000000" w:fill="FFFFFF"/>
            <w:noWrap/>
            <w:vAlign w:val="center"/>
          </w:tcPr>
          <w:p w14:paraId="629AFE56">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bottom"/>
          </w:tcPr>
          <w:p w14:paraId="6F1C25C6">
            <w:pPr>
              <w:widowControl/>
              <w:spacing w:line="360" w:lineRule="auto"/>
              <w:jc w:val="center"/>
            </w:pPr>
          </w:p>
        </w:tc>
        <w:tc>
          <w:tcPr>
            <w:tcW w:w="2315" w:type="dxa"/>
            <w:tcBorders>
              <w:top w:val="nil"/>
              <w:left w:val="nil"/>
              <w:bottom w:val="single" w:color="auto" w:sz="4" w:space="0"/>
              <w:right w:val="single" w:color="auto" w:sz="4" w:space="0"/>
            </w:tcBorders>
            <w:shd w:val="clear" w:color="000000" w:fill="FFFFFF"/>
            <w:noWrap/>
            <w:vAlign w:val="bottom"/>
          </w:tcPr>
          <w:p w14:paraId="25E2096E">
            <w:pPr>
              <w:widowControl/>
              <w:spacing w:line="360" w:lineRule="auto"/>
              <w:jc w:val="center"/>
              <w:rPr>
                <w:kern w:val="0"/>
              </w:rPr>
            </w:pPr>
          </w:p>
        </w:tc>
      </w:tr>
      <w:tr w14:paraId="658A7817">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FE6BD54">
            <w:pPr>
              <w:widowControl/>
              <w:spacing w:line="360" w:lineRule="auto"/>
              <w:jc w:val="left"/>
              <w:rPr>
                <w:kern w:val="0"/>
              </w:rPr>
            </w:pPr>
            <w:r>
              <w:rPr>
                <w:kern w:val="0"/>
              </w:rPr>
              <w:t>15.处置固定资产、无形资产和其他长期资产收到的现金净额</w:t>
            </w:r>
          </w:p>
        </w:tc>
        <w:tc>
          <w:tcPr>
            <w:tcW w:w="1106" w:type="dxa"/>
            <w:tcBorders>
              <w:top w:val="nil"/>
              <w:left w:val="nil"/>
              <w:bottom w:val="single" w:color="auto" w:sz="4" w:space="0"/>
              <w:right w:val="single" w:color="auto" w:sz="4" w:space="0"/>
            </w:tcBorders>
            <w:shd w:val="clear" w:color="000000" w:fill="FFFFFF"/>
            <w:noWrap/>
            <w:vAlign w:val="center"/>
          </w:tcPr>
          <w:p w14:paraId="71F9F815">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DAF4327">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67AFFD04">
            <w:pPr>
              <w:spacing w:line="360" w:lineRule="auto"/>
              <w:jc w:val="right"/>
            </w:pPr>
            <w:r>
              <w:t>-</w:t>
            </w:r>
          </w:p>
        </w:tc>
      </w:tr>
      <w:tr w14:paraId="2C6770BB">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C2DEAF1">
            <w:pPr>
              <w:widowControl/>
              <w:spacing w:line="360" w:lineRule="auto"/>
              <w:jc w:val="left"/>
              <w:rPr>
                <w:kern w:val="0"/>
              </w:rPr>
            </w:pPr>
            <w:r>
              <w:rPr>
                <w:kern w:val="0"/>
              </w:rPr>
              <w:t>16.处置子公司及其他营业单位收到的现金净额</w:t>
            </w:r>
          </w:p>
        </w:tc>
        <w:tc>
          <w:tcPr>
            <w:tcW w:w="1106" w:type="dxa"/>
            <w:tcBorders>
              <w:top w:val="nil"/>
              <w:left w:val="nil"/>
              <w:bottom w:val="single" w:color="auto" w:sz="4" w:space="0"/>
              <w:right w:val="single" w:color="auto" w:sz="4" w:space="0"/>
            </w:tcBorders>
            <w:shd w:val="clear" w:color="000000" w:fill="FFFFFF"/>
            <w:noWrap/>
            <w:vAlign w:val="center"/>
          </w:tcPr>
          <w:p w14:paraId="589AD832">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4764DC4B">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0363F2D4">
            <w:pPr>
              <w:spacing w:line="360" w:lineRule="auto"/>
              <w:jc w:val="right"/>
            </w:pPr>
            <w:r>
              <w:t>-</w:t>
            </w:r>
          </w:p>
        </w:tc>
      </w:tr>
      <w:tr w14:paraId="10F053E2">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75C74E0">
            <w:pPr>
              <w:widowControl/>
              <w:spacing w:line="360" w:lineRule="auto"/>
              <w:jc w:val="left"/>
              <w:rPr>
                <w:kern w:val="0"/>
              </w:rPr>
            </w:pPr>
            <w:r>
              <w:rPr>
                <w:kern w:val="0"/>
              </w:rPr>
              <w:t>17.收到其他与投资活动有关的现金</w:t>
            </w:r>
          </w:p>
        </w:tc>
        <w:tc>
          <w:tcPr>
            <w:tcW w:w="1106" w:type="dxa"/>
            <w:tcBorders>
              <w:top w:val="nil"/>
              <w:left w:val="nil"/>
              <w:bottom w:val="single" w:color="auto" w:sz="4" w:space="0"/>
              <w:right w:val="single" w:color="auto" w:sz="4" w:space="0"/>
            </w:tcBorders>
            <w:shd w:val="clear" w:color="000000" w:fill="FFFFFF"/>
            <w:noWrap/>
            <w:vAlign w:val="center"/>
          </w:tcPr>
          <w:p w14:paraId="50FC7F07">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01A21E97">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437C41AD">
            <w:pPr>
              <w:spacing w:line="360" w:lineRule="auto"/>
              <w:jc w:val="right"/>
            </w:pPr>
            <w:r>
              <w:t>-</w:t>
            </w:r>
          </w:p>
        </w:tc>
      </w:tr>
      <w:tr w14:paraId="3EDB7B08">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ECEAF5C">
            <w:pPr>
              <w:widowControl/>
              <w:spacing w:line="360" w:lineRule="auto"/>
              <w:ind w:firstLine="843" w:firstLineChars="400"/>
              <w:rPr>
                <w:b/>
                <w:bCs/>
                <w:kern w:val="0"/>
              </w:rPr>
            </w:pPr>
            <w:r>
              <w:rPr>
                <w:b/>
                <w:bCs/>
                <w:kern w:val="0"/>
              </w:rPr>
              <w:t>投资活动现金流入小计</w:t>
            </w:r>
          </w:p>
        </w:tc>
        <w:tc>
          <w:tcPr>
            <w:tcW w:w="1106" w:type="dxa"/>
            <w:tcBorders>
              <w:top w:val="nil"/>
              <w:left w:val="nil"/>
              <w:bottom w:val="single" w:color="auto" w:sz="4" w:space="0"/>
              <w:right w:val="single" w:color="auto" w:sz="4" w:space="0"/>
            </w:tcBorders>
            <w:shd w:val="clear" w:color="000000" w:fill="FFFFFF"/>
            <w:noWrap/>
            <w:vAlign w:val="center"/>
          </w:tcPr>
          <w:p w14:paraId="0A2A4759">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2FFDC9A">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7CBECD6B">
            <w:pPr>
              <w:spacing w:line="360" w:lineRule="auto"/>
              <w:jc w:val="right"/>
            </w:pPr>
            <w:r>
              <w:t>-</w:t>
            </w:r>
          </w:p>
        </w:tc>
      </w:tr>
      <w:tr w14:paraId="6F179AC1">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50BB0CF">
            <w:pPr>
              <w:widowControl/>
              <w:spacing w:line="360" w:lineRule="auto"/>
              <w:jc w:val="left"/>
              <w:rPr>
                <w:kern w:val="0"/>
              </w:rPr>
            </w:pPr>
            <w:r>
              <w:rPr>
                <w:kern w:val="0"/>
              </w:rPr>
              <w:t>18.购建固定资产、无形资产和其他长期资产支付的现金</w:t>
            </w:r>
          </w:p>
        </w:tc>
        <w:tc>
          <w:tcPr>
            <w:tcW w:w="1106" w:type="dxa"/>
            <w:tcBorders>
              <w:top w:val="nil"/>
              <w:left w:val="nil"/>
              <w:bottom w:val="single" w:color="auto" w:sz="4" w:space="0"/>
              <w:right w:val="single" w:color="auto" w:sz="4" w:space="0"/>
            </w:tcBorders>
            <w:shd w:val="clear" w:color="000000" w:fill="FFFFFF"/>
            <w:noWrap/>
            <w:vAlign w:val="center"/>
          </w:tcPr>
          <w:p w14:paraId="2C8AB2F1">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5FFF94CD">
            <w:pPr>
              <w:spacing w:line="360" w:lineRule="auto"/>
              <w:jc w:val="right"/>
            </w:pPr>
            <w:r>
              <w:t>1,449,222.44</w:t>
            </w:r>
          </w:p>
        </w:tc>
        <w:tc>
          <w:tcPr>
            <w:tcW w:w="2315" w:type="dxa"/>
            <w:tcBorders>
              <w:top w:val="nil"/>
              <w:left w:val="nil"/>
              <w:bottom w:val="single" w:color="auto" w:sz="4" w:space="0"/>
              <w:right w:val="single" w:color="auto" w:sz="4" w:space="0"/>
            </w:tcBorders>
            <w:shd w:val="clear" w:color="000000" w:fill="FFFFFF"/>
            <w:noWrap/>
            <w:vAlign w:val="center"/>
          </w:tcPr>
          <w:p w14:paraId="6AFC60B9">
            <w:pPr>
              <w:spacing w:line="360" w:lineRule="auto"/>
              <w:jc w:val="right"/>
            </w:pPr>
            <w:r>
              <w:t>-</w:t>
            </w:r>
          </w:p>
        </w:tc>
      </w:tr>
      <w:tr w14:paraId="08A05CFE">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7798E08F">
            <w:pPr>
              <w:widowControl/>
              <w:spacing w:line="360" w:lineRule="auto"/>
              <w:jc w:val="left"/>
              <w:rPr>
                <w:kern w:val="0"/>
              </w:rPr>
            </w:pPr>
            <w:r>
              <w:rPr>
                <w:kern w:val="0"/>
              </w:rPr>
              <w:t>19.取得子公司及其他营业单位支付的现金净额</w:t>
            </w:r>
          </w:p>
        </w:tc>
        <w:tc>
          <w:tcPr>
            <w:tcW w:w="1106" w:type="dxa"/>
            <w:tcBorders>
              <w:top w:val="nil"/>
              <w:left w:val="nil"/>
              <w:bottom w:val="single" w:color="auto" w:sz="4" w:space="0"/>
              <w:right w:val="single" w:color="auto" w:sz="4" w:space="0"/>
            </w:tcBorders>
            <w:shd w:val="clear" w:color="000000" w:fill="FFFFFF"/>
            <w:noWrap/>
            <w:vAlign w:val="center"/>
          </w:tcPr>
          <w:p w14:paraId="3EEBD74B">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78AF3022">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73D68B06">
            <w:pPr>
              <w:spacing w:line="360" w:lineRule="auto"/>
              <w:jc w:val="right"/>
            </w:pPr>
            <w:r>
              <w:t>-</w:t>
            </w:r>
          </w:p>
        </w:tc>
      </w:tr>
      <w:tr w14:paraId="48CD5A94">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B1C40D6">
            <w:pPr>
              <w:widowControl/>
              <w:spacing w:line="360" w:lineRule="auto"/>
              <w:jc w:val="left"/>
              <w:rPr>
                <w:kern w:val="0"/>
              </w:rPr>
            </w:pPr>
            <w:r>
              <w:rPr>
                <w:kern w:val="0"/>
              </w:rPr>
              <w:t>20.支付其他与投资活动有关的现金</w:t>
            </w:r>
          </w:p>
        </w:tc>
        <w:tc>
          <w:tcPr>
            <w:tcW w:w="1106" w:type="dxa"/>
            <w:tcBorders>
              <w:top w:val="nil"/>
              <w:left w:val="nil"/>
              <w:bottom w:val="single" w:color="auto" w:sz="4" w:space="0"/>
              <w:right w:val="single" w:color="auto" w:sz="4" w:space="0"/>
            </w:tcBorders>
            <w:shd w:val="clear" w:color="000000" w:fill="FFFFFF"/>
            <w:noWrap/>
            <w:vAlign w:val="center"/>
          </w:tcPr>
          <w:p w14:paraId="55F00CEF">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752D19B1">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5E3F9894">
            <w:pPr>
              <w:spacing w:line="360" w:lineRule="auto"/>
              <w:jc w:val="right"/>
            </w:pPr>
            <w:r>
              <w:t>-</w:t>
            </w:r>
          </w:p>
        </w:tc>
      </w:tr>
      <w:tr w14:paraId="643DC1E4">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918C06D">
            <w:pPr>
              <w:widowControl/>
              <w:spacing w:line="360" w:lineRule="auto"/>
              <w:ind w:firstLine="843" w:firstLineChars="400"/>
              <w:rPr>
                <w:b/>
                <w:bCs/>
                <w:kern w:val="0"/>
              </w:rPr>
            </w:pPr>
            <w:r>
              <w:rPr>
                <w:b/>
                <w:bCs/>
                <w:kern w:val="0"/>
              </w:rPr>
              <w:t>投资活动现金流出小计</w:t>
            </w:r>
          </w:p>
        </w:tc>
        <w:tc>
          <w:tcPr>
            <w:tcW w:w="1106" w:type="dxa"/>
            <w:tcBorders>
              <w:top w:val="nil"/>
              <w:left w:val="nil"/>
              <w:bottom w:val="single" w:color="auto" w:sz="4" w:space="0"/>
              <w:right w:val="single" w:color="auto" w:sz="4" w:space="0"/>
            </w:tcBorders>
            <w:shd w:val="clear" w:color="000000" w:fill="FFFFFF"/>
            <w:noWrap/>
            <w:vAlign w:val="center"/>
          </w:tcPr>
          <w:p w14:paraId="159AD537">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6FF25A9F">
            <w:pPr>
              <w:spacing w:line="360" w:lineRule="auto"/>
              <w:jc w:val="right"/>
            </w:pPr>
            <w:r>
              <w:t>1,449,222.44</w:t>
            </w:r>
          </w:p>
        </w:tc>
        <w:tc>
          <w:tcPr>
            <w:tcW w:w="2315" w:type="dxa"/>
            <w:tcBorders>
              <w:top w:val="nil"/>
              <w:left w:val="nil"/>
              <w:bottom w:val="single" w:color="auto" w:sz="4" w:space="0"/>
              <w:right w:val="single" w:color="auto" w:sz="4" w:space="0"/>
            </w:tcBorders>
            <w:shd w:val="clear" w:color="000000" w:fill="FFFFFF"/>
            <w:noWrap/>
            <w:vAlign w:val="center"/>
          </w:tcPr>
          <w:p w14:paraId="3F8B7614">
            <w:pPr>
              <w:spacing w:line="360" w:lineRule="auto"/>
              <w:jc w:val="right"/>
            </w:pPr>
            <w:r>
              <w:t>-</w:t>
            </w:r>
          </w:p>
        </w:tc>
      </w:tr>
      <w:tr w14:paraId="05D5EF88">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304445DC">
            <w:pPr>
              <w:widowControl/>
              <w:spacing w:line="360" w:lineRule="auto"/>
              <w:ind w:firstLine="422" w:firstLineChars="200"/>
              <w:jc w:val="left"/>
              <w:rPr>
                <w:b/>
                <w:bCs/>
                <w:kern w:val="0"/>
              </w:rPr>
            </w:pPr>
            <w:r>
              <w:rPr>
                <w:b/>
                <w:bCs/>
                <w:kern w:val="0"/>
              </w:rPr>
              <w:t>投资活动产生的现金流量净额</w:t>
            </w:r>
          </w:p>
        </w:tc>
        <w:tc>
          <w:tcPr>
            <w:tcW w:w="1106" w:type="dxa"/>
            <w:tcBorders>
              <w:top w:val="nil"/>
              <w:left w:val="nil"/>
              <w:bottom w:val="single" w:color="auto" w:sz="4" w:space="0"/>
              <w:right w:val="single" w:color="auto" w:sz="4" w:space="0"/>
            </w:tcBorders>
            <w:shd w:val="clear" w:color="000000" w:fill="FFFFFF"/>
            <w:noWrap/>
            <w:vAlign w:val="center"/>
          </w:tcPr>
          <w:p w14:paraId="4638D054">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0C9D0454">
            <w:pPr>
              <w:spacing w:line="360" w:lineRule="auto"/>
              <w:jc w:val="right"/>
            </w:pPr>
            <w:r>
              <w:t>-1,449,222.44</w:t>
            </w:r>
          </w:p>
        </w:tc>
        <w:tc>
          <w:tcPr>
            <w:tcW w:w="2315" w:type="dxa"/>
            <w:tcBorders>
              <w:top w:val="nil"/>
              <w:left w:val="nil"/>
              <w:bottom w:val="single" w:color="auto" w:sz="4" w:space="0"/>
              <w:right w:val="single" w:color="auto" w:sz="4" w:space="0"/>
            </w:tcBorders>
            <w:shd w:val="clear" w:color="000000" w:fill="FFFFFF"/>
            <w:noWrap/>
            <w:vAlign w:val="center"/>
          </w:tcPr>
          <w:p w14:paraId="7EBBCDDF">
            <w:pPr>
              <w:spacing w:line="360" w:lineRule="auto"/>
              <w:jc w:val="right"/>
            </w:pPr>
            <w:r>
              <w:t>-</w:t>
            </w:r>
          </w:p>
        </w:tc>
      </w:tr>
      <w:tr w14:paraId="0A7A9951">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7B52F045">
            <w:pPr>
              <w:widowControl/>
              <w:spacing w:line="360" w:lineRule="auto"/>
              <w:jc w:val="left"/>
              <w:rPr>
                <w:b/>
                <w:bCs/>
                <w:kern w:val="0"/>
              </w:rPr>
            </w:pPr>
            <w:r>
              <w:rPr>
                <w:b/>
                <w:bCs/>
                <w:kern w:val="0"/>
              </w:rPr>
              <w:t>三、筹资活动产生的现金流量：</w:t>
            </w:r>
          </w:p>
        </w:tc>
        <w:tc>
          <w:tcPr>
            <w:tcW w:w="1106" w:type="dxa"/>
            <w:tcBorders>
              <w:top w:val="nil"/>
              <w:left w:val="nil"/>
              <w:bottom w:val="single" w:color="auto" w:sz="4" w:space="0"/>
              <w:right w:val="single" w:color="auto" w:sz="4" w:space="0"/>
            </w:tcBorders>
            <w:shd w:val="clear" w:color="000000" w:fill="FFFFFF"/>
            <w:noWrap/>
            <w:vAlign w:val="center"/>
          </w:tcPr>
          <w:p w14:paraId="37D88C4A">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bottom"/>
          </w:tcPr>
          <w:p w14:paraId="098ACB3A">
            <w:pPr>
              <w:widowControl/>
              <w:spacing w:line="360" w:lineRule="auto"/>
              <w:jc w:val="center"/>
            </w:pPr>
          </w:p>
        </w:tc>
        <w:tc>
          <w:tcPr>
            <w:tcW w:w="2315" w:type="dxa"/>
            <w:tcBorders>
              <w:top w:val="nil"/>
              <w:left w:val="nil"/>
              <w:bottom w:val="single" w:color="auto" w:sz="4" w:space="0"/>
              <w:right w:val="single" w:color="auto" w:sz="4" w:space="0"/>
            </w:tcBorders>
            <w:shd w:val="clear" w:color="000000" w:fill="FFFFFF"/>
            <w:noWrap/>
            <w:vAlign w:val="bottom"/>
          </w:tcPr>
          <w:p w14:paraId="2CA32978">
            <w:pPr>
              <w:widowControl/>
              <w:spacing w:line="360" w:lineRule="auto"/>
              <w:jc w:val="center"/>
              <w:rPr>
                <w:kern w:val="0"/>
              </w:rPr>
            </w:pPr>
          </w:p>
        </w:tc>
      </w:tr>
      <w:tr w14:paraId="17C68D1F">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C587F29">
            <w:pPr>
              <w:widowControl/>
              <w:spacing w:line="360" w:lineRule="auto"/>
              <w:jc w:val="left"/>
              <w:rPr>
                <w:kern w:val="0"/>
              </w:rPr>
            </w:pPr>
            <w:r>
              <w:rPr>
                <w:kern w:val="0"/>
              </w:rPr>
              <w:t>21.认购/申购收到的现金</w:t>
            </w:r>
          </w:p>
        </w:tc>
        <w:tc>
          <w:tcPr>
            <w:tcW w:w="1106" w:type="dxa"/>
            <w:tcBorders>
              <w:top w:val="nil"/>
              <w:left w:val="nil"/>
              <w:bottom w:val="single" w:color="auto" w:sz="4" w:space="0"/>
              <w:right w:val="single" w:color="auto" w:sz="4" w:space="0"/>
            </w:tcBorders>
            <w:shd w:val="clear" w:color="000000" w:fill="FFFFFF"/>
            <w:noWrap/>
            <w:vAlign w:val="center"/>
          </w:tcPr>
          <w:p w14:paraId="0A130D5B">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7F41E26">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0B35533A">
            <w:pPr>
              <w:spacing w:line="360" w:lineRule="auto"/>
              <w:jc w:val="right"/>
            </w:pPr>
            <w:r>
              <w:t>-</w:t>
            </w:r>
          </w:p>
        </w:tc>
      </w:tr>
      <w:tr w14:paraId="04345286">
        <w:tblPrEx>
          <w:tblCellMar>
            <w:top w:w="0" w:type="dxa"/>
            <w:left w:w="108" w:type="dxa"/>
            <w:bottom w:w="0" w:type="dxa"/>
            <w:right w:w="108" w:type="dxa"/>
          </w:tblCellMar>
        </w:tblPrEx>
        <w:trPr>
          <w:trHeight w:val="9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3720A8D1">
            <w:pPr>
              <w:widowControl/>
              <w:spacing w:line="360" w:lineRule="auto"/>
              <w:jc w:val="left"/>
              <w:rPr>
                <w:kern w:val="0"/>
              </w:rPr>
            </w:pPr>
            <w:r>
              <w:rPr>
                <w:kern w:val="0"/>
              </w:rPr>
              <w:t>22.取得借款收到的现金</w:t>
            </w:r>
          </w:p>
        </w:tc>
        <w:tc>
          <w:tcPr>
            <w:tcW w:w="1106" w:type="dxa"/>
            <w:tcBorders>
              <w:top w:val="nil"/>
              <w:left w:val="nil"/>
              <w:bottom w:val="single" w:color="auto" w:sz="4" w:space="0"/>
              <w:right w:val="single" w:color="auto" w:sz="4" w:space="0"/>
            </w:tcBorders>
            <w:shd w:val="clear" w:color="000000" w:fill="FFFFFF"/>
            <w:noWrap/>
            <w:vAlign w:val="center"/>
          </w:tcPr>
          <w:p w14:paraId="7AF9297F">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43B9E998">
            <w:pPr>
              <w:spacing w:line="360" w:lineRule="auto"/>
              <w:jc w:val="right"/>
            </w:pPr>
            <w:r>
              <w:t>293,700,000.00</w:t>
            </w:r>
          </w:p>
        </w:tc>
        <w:tc>
          <w:tcPr>
            <w:tcW w:w="2315" w:type="dxa"/>
            <w:tcBorders>
              <w:top w:val="nil"/>
              <w:left w:val="nil"/>
              <w:bottom w:val="single" w:color="auto" w:sz="4" w:space="0"/>
              <w:right w:val="single" w:color="auto" w:sz="4" w:space="0"/>
            </w:tcBorders>
            <w:shd w:val="clear" w:color="000000" w:fill="FFFFFF"/>
            <w:noWrap/>
            <w:vAlign w:val="center"/>
          </w:tcPr>
          <w:p w14:paraId="4E433AD1">
            <w:pPr>
              <w:spacing w:line="360" w:lineRule="auto"/>
              <w:jc w:val="right"/>
            </w:pPr>
            <w:r>
              <w:t>-</w:t>
            </w:r>
          </w:p>
        </w:tc>
      </w:tr>
      <w:tr w14:paraId="34F6586A">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64E960D">
            <w:pPr>
              <w:widowControl/>
              <w:spacing w:line="360" w:lineRule="auto"/>
              <w:jc w:val="left"/>
              <w:rPr>
                <w:kern w:val="0"/>
              </w:rPr>
            </w:pPr>
            <w:r>
              <w:rPr>
                <w:kern w:val="0"/>
              </w:rPr>
              <w:t>23.收到其他与筹资活动有关的现金</w:t>
            </w:r>
          </w:p>
        </w:tc>
        <w:tc>
          <w:tcPr>
            <w:tcW w:w="1106" w:type="dxa"/>
            <w:tcBorders>
              <w:top w:val="nil"/>
              <w:left w:val="nil"/>
              <w:bottom w:val="single" w:color="auto" w:sz="4" w:space="0"/>
              <w:right w:val="single" w:color="auto" w:sz="4" w:space="0"/>
            </w:tcBorders>
            <w:shd w:val="clear" w:color="000000" w:fill="FFFFFF"/>
            <w:noWrap/>
            <w:vAlign w:val="center"/>
          </w:tcPr>
          <w:p w14:paraId="6FDF537A">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65925898">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3A5DA100">
            <w:pPr>
              <w:spacing w:line="360" w:lineRule="auto"/>
              <w:jc w:val="right"/>
            </w:pPr>
            <w:r>
              <w:t>-</w:t>
            </w:r>
          </w:p>
        </w:tc>
      </w:tr>
      <w:tr w14:paraId="5AB5BB15">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9AAA50F">
            <w:pPr>
              <w:widowControl/>
              <w:spacing w:line="360" w:lineRule="auto"/>
              <w:ind w:firstLine="843" w:firstLineChars="400"/>
              <w:rPr>
                <w:b/>
                <w:bCs/>
                <w:kern w:val="0"/>
              </w:rPr>
            </w:pPr>
            <w:r>
              <w:rPr>
                <w:b/>
                <w:bCs/>
                <w:kern w:val="0"/>
              </w:rPr>
              <w:t>筹资活动现金流入小计</w:t>
            </w:r>
          </w:p>
        </w:tc>
        <w:tc>
          <w:tcPr>
            <w:tcW w:w="1106" w:type="dxa"/>
            <w:tcBorders>
              <w:top w:val="nil"/>
              <w:left w:val="nil"/>
              <w:bottom w:val="single" w:color="auto" w:sz="4" w:space="0"/>
              <w:right w:val="single" w:color="auto" w:sz="4" w:space="0"/>
            </w:tcBorders>
            <w:shd w:val="clear" w:color="000000" w:fill="FFFFFF"/>
            <w:noWrap/>
            <w:vAlign w:val="center"/>
          </w:tcPr>
          <w:p w14:paraId="528B2663">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3F4C7A0F">
            <w:pPr>
              <w:spacing w:line="360" w:lineRule="auto"/>
              <w:jc w:val="right"/>
            </w:pPr>
            <w:r>
              <w:t>293,700,000.00</w:t>
            </w:r>
          </w:p>
        </w:tc>
        <w:tc>
          <w:tcPr>
            <w:tcW w:w="2315" w:type="dxa"/>
            <w:tcBorders>
              <w:top w:val="nil"/>
              <w:left w:val="nil"/>
              <w:bottom w:val="single" w:color="auto" w:sz="4" w:space="0"/>
              <w:right w:val="single" w:color="auto" w:sz="4" w:space="0"/>
            </w:tcBorders>
            <w:shd w:val="clear" w:color="000000" w:fill="FFFFFF"/>
            <w:noWrap/>
            <w:vAlign w:val="center"/>
          </w:tcPr>
          <w:p w14:paraId="73F35FF9">
            <w:pPr>
              <w:spacing w:line="360" w:lineRule="auto"/>
              <w:jc w:val="right"/>
            </w:pPr>
            <w:r>
              <w:t>-</w:t>
            </w:r>
          </w:p>
        </w:tc>
      </w:tr>
      <w:tr w14:paraId="689A2284">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8D6F690">
            <w:pPr>
              <w:widowControl/>
              <w:spacing w:line="360" w:lineRule="auto"/>
              <w:rPr>
                <w:bCs/>
                <w:kern w:val="0"/>
              </w:rPr>
            </w:pPr>
            <w:r>
              <w:rPr>
                <w:kern w:val="0"/>
              </w:rPr>
              <w:t>24.赎回支付的现金</w:t>
            </w:r>
          </w:p>
        </w:tc>
        <w:tc>
          <w:tcPr>
            <w:tcW w:w="1106" w:type="dxa"/>
            <w:tcBorders>
              <w:top w:val="nil"/>
              <w:left w:val="nil"/>
              <w:bottom w:val="single" w:color="auto" w:sz="4" w:space="0"/>
              <w:right w:val="single" w:color="auto" w:sz="4" w:space="0"/>
            </w:tcBorders>
            <w:shd w:val="clear" w:color="000000" w:fill="FFFFFF"/>
            <w:noWrap/>
            <w:vAlign w:val="center"/>
          </w:tcPr>
          <w:p w14:paraId="39BDB54D">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3DE10D49">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7DC779D7">
            <w:pPr>
              <w:spacing w:line="360" w:lineRule="auto"/>
              <w:jc w:val="right"/>
            </w:pPr>
            <w:r>
              <w:t>-</w:t>
            </w:r>
          </w:p>
        </w:tc>
      </w:tr>
      <w:tr w14:paraId="71B7F3E9">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7C2B1411">
            <w:pPr>
              <w:widowControl/>
              <w:spacing w:line="360" w:lineRule="auto"/>
              <w:rPr>
                <w:kern w:val="0"/>
              </w:rPr>
            </w:pPr>
            <w:r>
              <w:rPr>
                <w:kern w:val="0"/>
              </w:rPr>
              <w:t>25.偿还借款支付的现金</w:t>
            </w:r>
          </w:p>
        </w:tc>
        <w:tc>
          <w:tcPr>
            <w:tcW w:w="1106" w:type="dxa"/>
            <w:tcBorders>
              <w:top w:val="nil"/>
              <w:left w:val="nil"/>
              <w:bottom w:val="single" w:color="auto" w:sz="4" w:space="0"/>
              <w:right w:val="single" w:color="auto" w:sz="4" w:space="0"/>
            </w:tcBorders>
            <w:shd w:val="clear" w:color="000000" w:fill="FFFFFF"/>
            <w:noWrap/>
            <w:vAlign w:val="center"/>
          </w:tcPr>
          <w:p w14:paraId="1BADC285">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740C22FB">
            <w:pPr>
              <w:spacing w:line="360" w:lineRule="auto"/>
              <w:jc w:val="right"/>
            </w:pPr>
            <w:r>
              <w:t>295,168,500.00</w:t>
            </w:r>
          </w:p>
        </w:tc>
        <w:tc>
          <w:tcPr>
            <w:tcW w:w="2315" w:type="dxa"/>
            <w:tcBorders>
              <w:top w:val="nil"/>
              <w:left w:val="nil"/>
              <w:bottom w:val="single" w:color="auto" w:sz="4" w:space="0"/>
              <w:right w:val="single" w:color="auto" w:sz="4" w:space="0"/>
            </w:tcBorders>
            <w:shd w:val="clear" w:color="000000" w:fill="FFFFFF"/>
            <w:noWrap/>
            <w:vAlign w:val="center"/>
          </w:tcPr>
          <w:p w14:paraId="10A70002">
            <w:pPr>
              <w:spacing w:line="360" w:lineRule="auto"/>
              <w:jc w:val="right"/>
            </w:pPr>
            <w:r>
              <w:t>2,700,000.00</w:t>
            </w:r>
          </w:p>
        </w:tc>
      </w:tr>
      <w:tr w14:paraId="414DD8A3">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391531C6">
            <w:pPr>
              <w:widowControl/>
              <w:spacing w:line="360" w:lineRule="auto"/>
              <w:jc w:val="left"/>
              <w:rPr>
                <w:kern w:val="0"/>
              </w:rPr>
            </w:pPr>
            <w:r>
              <w:rPr>
                <w:kern w:val="0"/>
              </w:rPr>
              <w:t>26.偿付利息支付的现金</w:t>
            </w:r>
          </w:p>
        </w:tc>
        <w:tc>
          <w:tcPr>
            <w:tcW w:w="1106" w:type="dxa"/>
            <w:tcBorders>
              <w:top w:val="nil"/>
              <w:left w:val="nil"/>
              <w:bottom w:val="single" w:color="auto" w:sz="4" w:space="0"/>
              <w:right w:val="single" w:color="auto" w:sz="4" w:space="0"/>
            </w:tcBorders>
            <w:shd w:val="clear" w:color="000000" w:fill="FFFFFF"/>
            <w:noWrap/>
            <w:vAlign w:val="center"/>
          </w:tcPr>
          <w:p w14:paraId="7D2343C8">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4CEC3B1A">
            <w:pPr>
              <w:spacing w:line="360" w:lineRule="auto"/>
              <w:jc w:val="right"/>
            </w:pPr>
            <w:r>
              <w:t>4,428,461.63</w:t>
            </w:r>
          </w:p>
        </w:tc>
        <w:tc>
          <w:tcPr>
            <w:tcW w:w="2315" w:type="dxa"/>
            <w:tcBorders>
              <w:top w:val="nil"/>
              <w:left w:val="nil"/>
              <w:bottom w:val="single" w:color="auto" w:sz="4" w:space="0"/>
              <w:right w:val="single" w:color="auto" w:sz="4" w:space="0"/>
            </w:tcBorders>
            <w:shd w:val="clear" w:color="000000" w:fill="FFFFFF"/>
            <w:noWrap/>
            <w:vAlign w:val="center"/>
          </w:tcPr>
          <w:p w14:paraId="1DA44092">
            <w:pPr>
              <w:spacing w:line="360" w:lineRule="auto"/>
              <w:jc w:val="right"/>
            </w:pPr>
            <w:r>
              <w:t>5,246,791.67</w:t>
            </w:r>
          </w:p>
        </w:tc>
      </w:tr>
      <w:tr w14:paraId="7E2B0335">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627CB683">
            <w:pPr>
              <w:widowControl/>
              <w:spacing w:line="360" w:lineRule="auto"/>
              <w:jc w:val="left"/>
              <w:rPr>
                <w:kern w:val="0"/>
              </w:rPr>
            </w:pPr>
            <w:r>
              <w:rPr>
                <w:kern w:val="0"/>
              </w:rPr>
              <w:t>27.分配支付的现金</w:t>
            </w:r>
          </w:p>
        </w:tc>
        <w:tc>
          <w:tcPr>
            <w:tcW w:w="1106" w:type="dxa"/>
            <w:tcBorders>
              <w:top w:val="nil"/>
              <w:left w:val="nil"/>
              <w:bottom w:val="single" w:color="auto" w:sz="4" w:space="0"/>
              <w:right w:val="single" w:color="auto" w:sz="4" w:space="0"/>
            </w:tcBorders>
            <w:shd w:val="clear" w:color="000000" w:fill="FFFFFF"/>
            <w:noWrap/>
            <w:vAlign w:val="center"/>
          </w:tcPr>
          <w:p w14:paraId="65729C80">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78EABD54">
            <w:pPr>
              <w:spacing w:line="360" w:lineRule="auto"/>
              <w:jc w:val="right"/>
            </w:pPr>
            <w:r>
              <w:t>32,827,929.51</w:t>
            </w:r>
          </w:p>
        </w:tc>
        <w:tc>
          <w:tcPr>
            <w:tcW w:w="2315" w:type="dxa"/>
            <w:tcBorders>
              <w:top w:val="nil"/>
              <w:left w:val="nil"/>
              <w:bottom w:val="single" w:color="auto" w:sz="4" w:space="0"/>
              <w:right w:val="single" w:color="auto" w:sz="4" w:space="0"/>
            </w:tcBorders>
            <w:shd w:val="clear" w:color="000000" w:fill="FFFFFF"/>
            <w:noWrap/>
            <w:vAlign w:val="center"/>
          </w:tcPr>
          <w:p w14:paraId="606E2FC2">
            <w:pPr>
              <w:spacing w:line="360" w:lineRule="auto"/>
              <w:jc w:val="right"/>
            </w:pPr>
            <w:r>
              <w:t>40,217,598.69</w:t>
            </w:r>
          </w:p>
        </w:tc>
      </w:tr>
      <w:tr w14:paraId="14160689">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5327115F">
            <w:pPr>
              <w:widowControl/>
              <w:spacing w:line="360" w:lineRule="auto"/>
              <w:jc w:val="left"/>
              <w:rPr>
                <w:kern w:val="0"/>
              </w:rPr>
            </w:pPr>
            <w:r>
              <w:rPr>
                <w:kern w:val="0"/>
              </w:rPr>
              <w:t>28.支付其他与筹资活动有关的现金</w:t>
            </w:r>
          </w:p>
        </w:tc>
        <w:tc>
          <w:tcPr>
            <w:tcW w:w="1106" w:type="dxa"/>
            <w:tcBorders>
              <w:top w:val="nil"/>
              <w:left w:val="nil"/>
              <w:bottom w:val="single" w:color="auto" w:sz="4" w:space="0"/>
              <w:right w:val="single" w:color="auto" w:sz="4" w:space="0"/>
            </w:tcBorders>
            <w:shd w:val="clear" w:color="000000" w:fill="FFFFFF"/>
            <w:noWrap/>
            <w:vAlign w:val="center"/>
          </w:tcPr>
          <w:p w14:paraId="1CD252F0">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4BC48A78">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4E00E9CC">
            <w:pPr>
              <w:spacing w:line="360" w:lineRule="auto"/>
              <w:jc w:val="right"/>
            </w:pPr>
            <w:r>
              <w:t>-</w:t>
            </w:r>
          </w:p>
        </w:tc>
      </w:tr>
      <w:tr w14:paraId="12DFC5FA">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2C057DED">
            <w:pPr>
              <w:widowControl/>
              <w:spacing w:line="360" w:lineRule="auto"/>
              <w:ind w:firstLine="843" w:firstLineChars="400"/>
              <w:rPr>
                <w:b/>
                <w:bCs/>
                <w:kern w:val="0"/>
              </w:rPr>
            </w:pPr>
            <w:r>
              <w:rPr>
                <w:b/>
                <w:bCs/>
                <w:kern w:val="0"/>
              </w:rPr>
              <w:t>筹资活动现金流出小计</w:t>
            </w:r>
          </w:p>
        </w:tc>
        <w:tc>
          <w:tcPr>
            <w:tcW w:w="1106" w:type="dxa"/>
            <w:tcBorders>
              <w:top w:val="nil"/>
              <w:left w:val="nil"/>
              <w:bottom w:val="single" w:color="auto" w:sz="4" w:space="0"/>
              <w:right w:val="single" w:color="auto" w:sz="4" w:space="0"/>
            </w:tcBorders>
            <w:shd w:val="clear" w:color="000000" w:fill="FFFFFF"/>
            <w:noWrap/>
            <w:vAlign w:val="center"/>
          </w:tcPr>
          <w:p w14:paraId="69BCC3DD">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09B2DC2A">
            <w:pPr>
              <w:spacing w:line="360" w:lineRule="auto"/>
              <w:jc w:val="right"/>
            </w:pPr>
            <w:r>
              <w:t>332,424,891.14</w:t>
            </w:r>
          </w:p>
        </w:tc>
        <w:tc>
          <w:tcPr>
            <w:tcW w:w="2315" w:type="dxa"/>
            <w:tcBorders>
              <w:top w:val="nil"/>
              <w:left w:val="nil"/>
              <w:bottom w:val="single" w:color="auto" w:sz="4" w:space="0"/>
              <w:right w:val="single" w:color="auto" w:sz="4" w:space="0"/>
            </w:tcBorders>
            <w:shd w:val="clear" w:color="000000" w:fill="FFFFFF"/>
            <w:noWrap/>
            <w:vAlign w:val="center"/>
          </w:tcPr>
          <w:p w14:paraId="2DB4F9CC">
            <w:pPr>
              <w:spacing w:line="360" w:lineRule="auto"/>
              <w:jc w:val="right"/>
            </w:pPr>
            <w:r>
              <w:t>48,164,390.36</w:t>
            </w:r>
          </w:p>
        </w:tc>
      </w:tr>
      <w:tr w14:paraId="082D93A8">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2DBACA82">
            <w:pPr>
              <w:widowControl/>
              <w:spacing w:line="360" w:lineRule="auto"/>
              <w:ind w:firstLine="422" w:firstLineChars="200"/>
              <w:jc w:val="left"/>
              <w:rPr>
                <w:b/>
                <w:bCs/>
                <w:kern w:val="0"/>
              </w:rPr>
            </w:pPr>
            <w:r>
              <w:rPr>
                <w:b/>
                <w:bCs/>
                <w:kern w:val="0"/>
              </w:rPr>
              <w:t>筹资活动产生的现金流量净额</w:t>
            </w:r>
          </w:p>
        </w:tc>
        <w:tc>
          <w:tcPr>
            <w:tcW w:w="1106" w:type="dxa"/>
            <w:tcBorders>
              <w:top w:val="nil"/>
              <w:left w:val="nil"/>
              <w:bottom w:val="single" w:color="auto" w:sz="4" w:space="0"/>
              <w:right w:val="single" w:color="auto" w:sz="4" w:space="0"/>
            </w:tcBorders>
            <w:shd w:val="clear" w:color="000000" w:fill="FFFFFF"/>
            <w:noWrap/>
            <w:vAlign w:val="center"/>
          </w:tcPr>
          <w:p w14:paraId="71F7AA06">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4542AF5A">
            <w:pPr>
              <w:spacing w:line="360" w:lineRule="auto"/>
              <w:jc w:val="right"/>
            </w:pPr>
            <w:r>
              <w:t>-38,724,891.14</w:t>
            </w:r>
          </w:p>
        </w:tc>
        <w:tc>
          <w:tcPr>
            <w:tcW w:w="2315" w:type="dxa"/>
            <w:tcBorders>
              <w:top w:val="nil"/>
              <w:left w:val="nil"/>
              <w:bottom w:val="single" w:color="auto" w:sz="4" w:space="0"/>
              <w:right w:val="single" w:color="auto" w:sz="4" w:space="0"/>
            </w:tcBorders>
            <w:shd w:val="clear" w:color="000000" w:fill="FFFFFF"/>
            <w:noWrap/>
            <w:vAlign w:val="center"/>
          </w:tcPr>
          <w:p w14:paraId="2A4DDD3F">
            <w:pPr>
              <w:spacing w:line="360" w:lineRule="auto"/>
              <w:jc w:val="right"/>
            </w:pPr>
            <w:r>
              <w:t>-48,164,390.36</w:t>
            </w:r>
          </w:p>
        </w:tc>
      </w:tr>
      <w:tr w14:paraId="42100D4B">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5786385F">
            <w:pPr>
              <w:widowControl/>
              <w:spacing w:line="360" w:lineRule="auto"/>
              <w:jc w:val="left"/>
              <w:rPr>
                <w:b/>
                <w:bCs/>
                <w:kern w:val="0"/>
              </w:rPr>
            </w:pPr>
            <w:r>
              <w:rPr>
                <w:b/>
                <w:bCs/>
                <w:kern w:val="0"/>
              </w:rPr>
              <w:t>四、汇率变动对现金及现金等价物的影响</w:t>
            </w:r>
          </w:p>
        </w:tc>
        <w:tc>
          <w:tcPr>
            <w:tcW w:w="1106" w:type="dxa"/>
            <w:tcBorders>
              <w:top w:val="nil"/>
              <w:left w:val="nil"/>
              <w:bottom w:val="single" w:color="auto" w:sz="4" w:space="0"/>
              <w:right w:val="single" w:color="auto" w:sz="4" w:space="0"/>
            </w:tcBorders>
            <w:shd w:val="clear" w:color="000000" w:fill="FFFFFF"/>
            <w:noWrap/>
            <w:vAlign w:val="center"/>
          </w:tcPr>
          <w:p w14:paraId="532D7205">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117C1E09">
            <w:pPr>
              <w:spacing w:line="360" w:lineRule="auto"/>
              <w:jc w:val="right"/>
            </w:pPr>
            <w:r>
              <w:t>-</w:t>
            </w:r>
          </w:p>
        </w:tc>
        <w:tc>
          <w:tcPr>
            <w:tcW w:w="2315" w:type="dxa"/>
            <w:tcBorders>
              <w:top w:val="nil"/>
              <w:left w:val="nil"/>
              <w:bottom w:val="single" w:color="auto" w:sz="4" w:space="0"/>
              <w:right w:val="single" w:color="auto" w:sz="4" w:space="0"/>
            </w:tcBorders>
            <w:shd w:val="clear" w:color="000000" w:fill="FFFFFF"/>
            <w:noWrap/>
            <w:vAlign w:val="center"/>
          </w:tcPr>
          <w:p w14:paraId="6198E82E">
            <w:pPr>
              <w:spacing w:line="360" w:lineRule="auto"/>
              <w:jc w:val="right"/>
            </w:pPr>
            <w:r>
              <w:t>-</w:t>
            </w:r>
          </w:p>
        </w:tc>
      </w:tr>
      <w:tr w14:paraId="6E1460E1">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7CDAD540">
            <w:pPr>
              <w:widowControl/>
              <w:spacing w:line="360" w:lineRule="auto"/>
              <w:jc w:val="left"/>
              <w:rPr>
                <w:b/>
                <w:bCs/>
                <w:kern w:val="0"/>
              </w:rPr>
            </w:pPr>
            <w:r>
              <w:rPr>
                <w:b/>
                <w:bCs/>
                <w:kern w:val="0"/>
              </w:rPr>
              <w:t>五、现金及现金等价物净增加额</w:t>
            </w:r>
          </w:p>
        </w:tc>
        <w:tc>
          <w:tcPr>
            <w:tcW w:w="1106" w:type="dxa"/>
            <w:tcBorders>
              <w:top w:val="nil"/>
              <w:left w:val="nil"/>
              <w:bottom w:val="single" w:color="auto" w:sz="4" w:space="0"/>
              <w:right w:val="single" w:color="auto" w:sz="4" w:space="0"/>
            </w:tcBorders>
            <w:shd w:val="clear" w:color="000000" w:fill="FFFFFF"/>
            <w:noWrap/>
            <w:vAlign w:val="center"/>
          </w:tcPr>
          <w:p w14:paraId="723404BD">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50A6B6AD">
            <w:pPr>
              <w:spacing w:line="360" w:lineRule="auto"/>
              <w:jc w:val="right"/>
            </w:pPr>
            <w:r>
              <w:t>35,301,531.54</w:t>
            </w:r>
          </w:p>
        </w:tc>
        <w:tc>
          <w:tcPr>
            <w:tcW w:w="2315" w:type="dxa"/>
            <w:tcBorders>
              <w:top w:val="nil"/>
              <w:left w:val="nil"/>
              <w:bottom w:val="single" w:color="auto" w:sz="4" w:space="0"/>
              <w:right w:val="single" w:color="auto" w:sz="4" w:space="0"/>
            </w:tcBorders>
            <w:shd w:val="clear" w:color="000000" w:fill="FFFFFF"/>
            <w:noWrap/>
            <w:vAlign w:val="center"/>
          </w:tcPr>
          <w:p w14:paraId="26BAF9F8">
            <w:pPr>
              <w:spacing w:line="360" w:lineRule="auto"/>
              <w:jc w:val="right"/>
            </w:pPr>
            <w:r>
              <w:t>-5,033,383.97</w:t>
            </w:r>
          </w:p>
        </w:tc>
      </w:tr>
      <w:tr w14:paraId="6BA3E7E3">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1ED58403">
            <w:pPr>
              <w:widowControl/>
              <w:spacing w:line="360" w:lineRule="auto"/>
              <w:ind w:firstLine="420" w:firstLineChars="200"/>
              <w:jc w:val="left"/>
              <w:rPr>
                <w:kern w:val="0"/>
              </w:rPr>
            </w:pPr>
            <w:r>
              <w:rPr>
                <w:kern w:val="0"/>
              </w:rPr>
              <w:t>加：期初现金及现金等价物余额</w:t>
            </w:r>
          </w:p>
        </w:tc>
        <w:tc>
          <w:tcPr>
            <w:tcW w:w="1106" w:type="dxa"/>
            <w:tcBorders>
              <w:top w:val="nil"/>
              <w:left w:val="nil"/>
              <w:bottom w:val="single" w:color="auto" w:sz="4" w:space="0"/>
              <w:right w:val="single" w:color="auto" w:sz="4" w:space="0"/>
            </w:tcBorders>
            <w:shd w:val="clear" w:color="000000" w:fill="FFFFFF"/>
            <w:noWrap/>
            <w:vAlign w:val="center"/>
          </w:tcPr>
          <w:p w14:paraId="00362CB4">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395D9F0D">
            <w:pPr>
              <w:spacing w:line="360" w:lineRule="auto"/>
              <w:jc w:val="right"/>
            </w:pPr>
            <w:r>
              <w:t>11,307,111.61</w:t>
            </w:r>
          </w:p>
        </w:tc>
        <w:tc>
          <w:tcPr>
            <w:tcW w:w="2315" w:type="dxa"/>
            <w:tcBorders>
              <w:top w:val="nil"/>
              <w:left w:val="nil"/>
              <w:bottom w:val="single" w:color="auto" w:sz="4" w:space="0"/>
              <w:right w:val="single" w:color="auto" w:sz="4" w:space="0"/>
            </w:tcBorders>
            <w:shd w:val="clear" w:color="000000" w:fill="FFFFFF"/>
            <w:noWrap/>
            <w:vAlign w:val="center"/>
          </w:tcPr>
          <w:p w14:paraId="57AB8F43">
            <w:pPr>
              <w:spacing w:line="360" w:lineRule="auto"/>
              <w:jc w:val="right"/>
            </w:pPr>
            <w:r>
              <w:t>18,508,528.73</w:t>
            </w:r>
          </w:p>
        </w:tc>
      </w:tr>
      <w:tr w14:paraId="59B48AEE">
        <w:tblPrEx>
          <w:tblCellMar>
            <w:top w:w="0" w:type="dxa"/>
            <w:left w:w="108" w:type="dxa"/>
            <w:bottom w:w="0" w:type="dxa"/>
            <w:right w:w="108" w:type="dxa"/>
          </w:tblCellMar>
        </w:tblPrEx>
        <w:trPr>
          <w:trHeight w:val="300" w:hRule="atLeast"/>
        </w:trPr>
        <w:tc>
          <w:tcPr>
            <w:tcW w:w="3685" w:type="dxa"/>
            <w:tcBorders>
              <w:top w:val="nil"/>
              <w:left w:val="single" w:color="auto" w:sz="4" w:space="0"/>
              <w:bottom w:val="single" w:color="auto" w:sz="4" w:space="0"/>
              <w:right w:val="single" w:color="auto" w:sz="4" w:space="0"/>
            </w:tcBorders>
            <w:shd w:val="clear" w:color="000000" w:fill="FFFFFF"/>
            <w:noWrap/>
            <w:vAlign w:val="center"/>
          </w:tcPr>
          <w:p w14:paraId="0A03D48C">
            <w:pPr>
              <w:widowControl/>
              <w:spacing w:line="360" w:lineRule="auto"/>
              <w:jc w:val="left"/>
              <w:rPr>
                <w:b/>
                <w:bCs/>
                <w:kern w:val="0"/>
              </w:rPr>
            </w:pPr>
            <w:r>
              <w:rPr>
                <w:b/>
                <w:bCs/>
                <w:kern w:val="0"/>
              </w:rPr>
              <w:t>六、期末现金及现金等价物余额</w:t>
            </w:r>
          </w:p>
        </w:tc>
        <w:tc>
          <w:tcPr>
            <w:tcW w:w="1106" w:type="dxa"/>
            <w:tcBorders>
              <w:top w:val="nil"/>
              <w:left w:val="nil"/>
              <w:bottom w:val="single" w:color="auto" w:sz="4" w:space="0"/>
              <w:right w:val="single" w:color="auto" w:sz="4" w:space="0"/>
            </w:tcBorders>
            <w:shd w:val="clear" w:color="000000" w:fill="FFFFFF"/>
            <w:noWrap/>
            <w:vAlign w:val="center"/>
          </w:tcPr>
          <w:p w14:paraId="4FFDB3AF">
            <w:pPr>
              <w:widowControl/>
              <w:spacing w:line="360" w:lineRule="auto"/>
              <w:jc w:val="center"/>
              <w:rPr>
                <w:kern w:val="0"/>
              </w:rPr>
            </w:pPr>
          </w:p>
        </w:tc>
        <w:tc>
          <w:tcPr>
            <w:tcW w:w="1934" w:type="dxa"/>
            <w:tcBorders>
              <w:top w:val="nil"/>
              <w:left w:val="nil"/>
              <w:bottom w:val="single" w:color="auto" w:sz="4" w:space="0"/>
              <w:right w:val="single" w:color="auto" w:sz="4" w:space="0"/>
            </w:tcBorders>
            <w:shd w:val="clear" w:color="000000" w:fill="FFFFFF"/>
            <w:noWrap/>
            <w:vAlign w:val="center"/>
          </w:tcPr>
          <w:p w14:paraId="52E31C96">
            <w:pPr>
              <w:spacing w:line="360" w:lineRule="auto"/>
              <w:jc w:val="right"/>
            </w:pPr>
            <w:r>
              <w:t>46,608,643.15</w:t>
            </w:r>
          </w:p>
        </w:tc>
        <w:tc>
          <w:tcPr>
            <w:tcW w:w="2315" w:type="dxa"/>
            <w:tcBorders>
              <w:top w:val="nil"/>
              <w:left w:val="nil"/>
              <w:bottom w:val="single" w:color="auto" w:sz="4" w:space="0"/>
              <w:right w:val="single" w:color="auto" w:sz="4" w:space="0"/>
            </w:tcBorders>
            <w:shd w:val="clear" w:color="000000" w:fill="FFFFFF"/>
            <w:noWrap/>
            <w:vAlign w:val="center"/>
          </w:tcPr>
          <w:p w14:paraId="6DCC826D">
            <w:pPr>
              <w:spacing w:line="360" w:lineRule="auto"/>
              <w:jc w:val="right"/>
            </w:pPr>
            <w:r>
              <w:t>13,475,144.76</w:t>
            </w:r>
          </w:p>
        </w:tc>
      </w:tr>
      <w:bookmarkEnd w:id="328"/>
    </w:tbl>
    <w:p w14:paraId="5DDBAAAD">
      <w:pPr>
        <w:spacing w:line="360" w:lineRule="auto"/>
        <w:outlineLvl w:val="2"/>
        <w:rPr>
          <w:b/>
        </w:rPr>
      </w:pPr>
      <w:bookmarkStart w:id="329" w:name="_Toc96424955"/>
      <w:bookmarkStart w:id="330" w:name="_Toc98601352"/>
      <w:bookmarkStart w:id="331" w:name="_Toc98602701"/>
      <w:r>
        <w:rPr>
          <w:b/>
          <w:kern w:val="0"/>
        </w:rPr>
        <w:t>9.3.2</w:t>
      </w:r>
      <w:r>
        <w:rPr>
          <w:b/>
        </w:rPr>
        <w:t xml:space="preserve">  个别现金流量表</w:t>
      </w:r>
      <w:bookmarkEnd w:id="329"/>
      <w:bookmarkEnd w:id="330"/>
      <w:bookmarkEnd w:id="331"/>
    </w:p>
    <w:p w14:paraId="4F2FA95B">
      <w:pPr>
        <w:spacing w:line="360" w:lineRule="auto"/>
        <w:rPr>
          <w:kern w:val="0"/>
        </w:rPr>
      </w:pPr>
      <w:r>
        <w:t>会计主体：</w:t>
      </w:r>
      <w:r>
        <w:rPr>
          <w:kern w:val="0"/>
        </w:rPr>
        <w:t>博时招商蛇口产业园封闭式基础设施证券投资基金</w:t>
      </w:r>
    </w:p>
    <w:p w14:paraId="7280E138">
      <w:pPr>
        <w:spacing w:line="360" w:lineRule="auto"/>
        <w:rPr>
          <w:kern w:val="0"/>
        </w:rPr>
      </w:pPr>
      <w:r>
        <w:t>本报告期：</w:t>
      </w:r>
      <w:r>
        <w:rPr>
          <w:kern w:val="0"/>
        </w:rPr>
        <w:t>2026年1月1日至2026年6月30日</w:t>
      </w:r>
    </w:p>
    <w:p w14:paraId="554D2764">
      <w:pPr>
        <w:spacing w:line="360" w:lineRule="auto"/>
        <w:ind w:right="565" w:rightChars="269"/>
        <w:jc w:val="right"/>
        <w:rPr>
          <w:b/>
        </w:rPr>
      </w:pPr>
      <w:r>
        <w:t>单位：人民币元</w:t>
      </w:r>
    </w:p>
    <w:tbl>
      <w:tblPr>
        <w:tblStyle w:val="40"/>
        <w:tblW w:w="9039" w:type="dxa"/>
        <w:tblInd w:w="0" w:type="dxa"/>
        <w:tblLayout w:type="fixed"/>
        <w:tblCellMar>
          <w:top w:w="0" w:type="dxa"/>
          <w:left w:w="108" w:type="dxa"/>
          <w:bottom w:w="0" w:type="dxa"/>
          <w:right w:w="108" w:type="dxa"/>
        </w:tblCellMar>
      </w:tblPr>
      <w:tblGrid>
        <w:gridCol w:w="2287"/>
        <w:gridCol w:w="1701"/>
        <w:gridCol w:w="2525"/>
        <w:gridCol w:w="2526"/>
      </w:tblGrid>
      <w:tr w14:paraId="327C71EB">
        <w:trPr>
          <w:trHeight w:val="300" w:hRule="atLeast"/>
        </w:trPr>
        <w:tc>
          <w:tcPr>
            <w:tcW w:w="2287"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BECFF86">
            <w:pPr>
              <w:widowControl/>
              <w:spacing w:line="360" w:lineRule="auto"/>
              <w:jc w:val="left"/>
              <w:rPr>
                <w:bCs/>
                <w:kern w:val="0"/>
              </w:rPr>
            </w:pPr>
            <w:r>
              <w:rPr>
                <w:bCs/>
                <w:kern w:val="0"/>
              </w:rPr>
              <w:t>项目</w:t>
            </w:r>
          </w:p>
        </w:tc>
        <w:tc>
          <w:tcPr>
            <w:tcW w:w="1701" w:type="dxa"/>
            <w:tcBorders>
              <w:top w:val="single" w:color="auto" w:sz="4" w:space="0"/>
              <w:left w:val="nil"/>
              <w:bottom w:val="single" w:color="auto" w:sz="4" w:space="0"/>
              <w:right w:val="single" w:color="auto" w:sz="4" w:space="0"/>
            </w:tcBorders>
            <w:shd w:val="clear" w:color="000000" w:fill="FFFFFF"/>
            <w:noWrap/>
            <w:vAlign w:val="center"/>
          </w:tcPr>
          <w:p w14:paraId="1E136324">
            <w:pPr>
              <w:widowControl/>
              <w:spacing w:line="360" w:lineRule="auto"/>
              <w:jc w:val="left"/>
              <w:rPr>
                <w:bCs/>
                <w:kern w:val="0"/>
              </w:rPr>
            </w:pPr>
            <w:r>
              <w:rPr>
                <w:bCs/>
                <w:kern w:val="0"/>
              </w:rPr>
              <w:t>附注号</w:t>
            </w:r>
          </w:p>
        </w:tc>
        <w:tc>
          <w:tcPr>
            <w:tcW w:w="2525" w:type="dxa"/>
            <w:tcBorders>
              <w:top w:val="single" w:color="auto" w:sz="4" w:space="0"/>
              <w:left w:val="nil"/>
              <w:bottom w:val="single" w:color="auto" w:sz="4" w:space="0"/>
              <w:right w:val="single" w:color="auto" w:sz="4" w:space="0"/>
            </w:tcBorders>
            <w:shd w:val="clear" w:color="000000" w:fill="FFFFFF"/>
            <w:noWrap/>
            <w:vAlign w:val="center"/>
          </w:tcPr>
          <w:p w14:paraId="68CF1D0A">
            <w:pPr>
              <w:widowControl/>
              <w:spacing w:line="360" w:lineRule="auto"/>
              <w:jc w:val="left"/>
              <w:rPr>
                <w:bCs/>
                <w:kern w:val="0"/>
              </w:rPr>
            </w:pPr>
            <w:r>
              <w:rPr>
                <w:bCs/>
                <w:kern w:val="0"/>
              </w:rPr>
              <w:t>本期</w:t>
            </w:r>
          </w:p>
          <w:p w14:paraId="6C99F4FA">
            <w:pPr>
              <w:widowControl/>
              <w:spacing w:line="360" w:lineRule="auto"/>
              <w:jc w:val="left"/>
              <w:rPr>
                <w:bCs/>
                <w:kern w:val="0"/>
              </w:rPr>
            </w:pPr>
            <w:r>
              <w:rPr>
                <w:bCs/>
                <w:kern w:val="0"/>
              </w:rPr>
              <w:t>2026年1月1日至2026年6月30日</w:t>
            </w:r>
          </w:p>
        </w:tc>
        <w:tc>
          <w:tcPr>
            <w:tcW w:w="2526" w:type="dxa"/>
            <w:tcBorders>
              <w:top w:val="single" w:color="auto" w:sz="4" w:space="0"/>
              <w:left w:val="nil"/>
              <w:bottom w:val="single" w:color="auto" w:sz="4" w:space="0"/>
              <w:right w:val="single" w:color="auto" w:sz="4" w:space="0"/>
            </w:tcBorders>
            <w:shd w:val="clear" w:color="000000" w:fill="FFFFFF"/>
            <w:noWrap/>
            <w:vAlign w:val="center"/>
          </w:tcPr>
          <w:p w14:paraId="69580DAF">
            <w:pPr>
              <w:widowControl/>
              <w:spacing w:line="360" w:lineRule="auto"/>
              <w:jc w:val="left"/>
              <w:rPr>
                <w:bCs/>
                <w:kern w:val="0"/>
              </w:rPr>
            </w:pPr>
            <w:r>
              <w:rPr>
                <w:bCs/>
                <w:kern w:val="0"/>
              </w:rPr>
              <w:t>上年度可比期间</w:t>
            </w:r>
          </w:p>
          <w:p w14:paraId="7211DDF2">
            <w:pPr>
              <w:widowControl/>
              <w:spacing w:line="360" w:lineRule="auto"/>
              <w:jc w:val="left"/>
              <w:rPr>
                <w:bCs/>
                <w:kern w:val="0"/>
              </w:rPr>
            </w:pPr>
            <w:r>
              <w:rPr>
                <w:bCs/>
                <w:kern w:val="0"/>
              </w:rPr>
              <w:t>2025年1月1日至2025年6月30日</w:t>
            </w:r>
          </w:p>
        </w:tc>
      </w:tr>
      <w:tr w14:paraId="4E3F7664">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B2B1883">
            <w:pPr>
              <w:widowControl/>
              <w:spacing w:line="360" w:lineRule="auto"/>
              <w:jc w:val="left"/>
              <w:rPr>
                <w:bCs/>
                <w:kern w:val="0"/>
              </w:rPr>
            </w:pPr>
            <w:r>
              <w:rPr>
                <w:bCs/>
                <w:kern w:val="0"/>
              </w:rPr>
              <w:t>一、经营活动产生的现金流量：</w:t>
            </w:r>
          </w:p>
        </w:tc>
        <w:tc>
          <w:tcPr>
            <w:tcW w:w="1701" w:type="dxa"/>
            <w:tcBorders>
              <w:top w:val="nil"/>
              <w:left w:val="nil"/>
              <w:bottom w:val="single" w:color="auto" w:sz="4" w:space="0"/>
              <w:right w:val="single" w:color="auto" w:sz="4" w:space="0"/>
            </w:tcBorders>
            <w:shd w:val="clear" w:color="000000" w:fill="FFFFFF"/>
            <w:noWrap/>
            <w:vAlign w:val="center"/>
          </w:tcPr>
          <w:p w14:paraId="6F58591E">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2B5FB3BC">
            <w:pPr>
              <w:widowControl/>
              <w:spacing w:line="360" w:lineRule="auto"/>
              <w:jc w:val="left"/>
              <w:rPr>
                <w:bCs/>
                <w:kern w:val="0"/>
              </w:rPr>
            </w:pPr>
          </w:p>
        </w:tc>
        <w:tc>
          <w:tcPr>
            <w:tcW w:w="2526" w:type="dxa"/>
            <w:tcBorders>
              <w:top w:val="nil"/>
              <w:left w:val="nil"/>
              <w:bottom w:val="single" w:color="auto" w:sz="4" w:space="0"/>
              <w:right w:val="single" w:color="auto" w:sz="4" w:space="0"/>
            </w:tcBorders>
            <w:shd w:val="clear" w:color="000000" w:fill="FFFFFF"/>
            <w:noWrap/>
            <w:vAlign w:val="center"/>
          </w:tcPr>
          <w:p w14:paraId="117EF310">
            <w:pPr>
              <w:widowControl/>
              <w:spacing w:line="360" w:lineRule="auto"/>
              <w:jc w:val="left"/>
              <w:rPr>
                <w:bCs/>
                <w:kern w:val="0"/>
              </w:rPr>
            </w:pPr>
          </w:p>
        </w:tc>
      </w:tr>
      <w:tr w14:paraId="02E46ACA">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73ADC267">
            <w:pPr>
              <w:widowControl/>
              <w:spacing w:line="360" w:lineRule="auto"/>
              <w:jc w:val="left"/>
              <w:rPr>
                <w:bCs/>
                <w:kern w:val="0"/>
              </w:rPr>
            </w:pPr>
            <w:r>
              <w:rPr>
                <w:bCs/>
                <w:kern w:val="0"/>
              </w:rPr>
              <w:t>1.收回</w:t>
            </w:r>
            <w:r>
              <w:rPr>
                <w:rFonts w:hint="eastAsia"/>
                <w:bCs/>
                <w:kern w:val="0"/>
              </w:rPr>
              <w:t>不动产</w:t>
            </w:r>
            <w:r>
              <w:rPr>
                <w:bCs/>
                <w:kern w:val="0"/>
              </w:rPr>
              <w:t>投资收到的现金</w:t>
            </w:r>
          </w:p>
        </w:tc>
        <w:tc>
          <w:tcPr>
            <w:tcW w:w="1701" w:type="dxa"/>
            <w:tcBorders>
              <w:top w:val="nil"/>
              <w:left w:val="nil"/>
              <w:bottom w:val="single" w:color="auto" w:sz="4" w:space="0"/>
              <w:right w:val="single" w:color="auto" w:sz="4" w:space="0"/>
            </w:tcBorders>
            <w:shd w:val="clear" w:color="000000" w:fill="FFFFFF"/>
            <w:noWrap/>
            <w:vAlign w:val="center"/>
          </w:tcPr>
          <w:p w14:paraId="6C07CEB8">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029258DE">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4367DF0A">
            <w:pPr>
              <w:spacing w:line="360" w:lineRule="auto"/>
              <w:jc w:val="left"/>
              <w:rPr>
                <w:bCs/>
                <w:kern w:val="0"/>
              </w:rPr>
            </w:pPr>
            <w:r>
              <w:rPr>
                <w:bCs/>
                <w:kern w:val="0"/>
              </w:rPr>
              <w:t>-</w:t>
            </w:r>
          </w:p>
        </w:tc>
      </w:tr>
      <w:tr w14:paraId="078B9AE0">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0FE17DEF">
            <w:pPr>
              <w:widowControl/>
              <w:spacing w:line="360" w:lineRule="auto"/>
              <w:jc w:val="left"/>
              <w:rPr>
                <w:bCs/>
                <w:kern w:val="0"/>
              </w:rPr>
            </w:pPr>
            <w:r>
              <w:rPr>
                <w:bCs/>
                <w:kern w:val="0"/>
              </w:rPr>
              <w:t>2.取得</w:t>
            </w:r>
            <w:r>
              <w:rPr>
                <w:rFonts w:hint="eastAsia"/>
                <w:bCs/>
                <w:kern w:val="0"/>
              </w:rPr>
              <w:t>不动产</w:t>
            </w:r>
            <w:r>
              <w:rPr>
                <w:bCs/>
                <w:kern w:val="0"/>
              </w:rPr>
              <w:t>投资收益收到的现金</w:t>
            </w:r>
          </w:p>
        </w:tc>
        <w:tc>
          <w:tcPr>
            <w:tcW w:w="1701" w:type="dxa"/>
            <w:tcBorders>
              <w:top w:val="nil"/>
              <w:left w:val="nil"/>
              <w:bottom w:val="single" w:color="auto" w:sz="4" w:space="0"/>
              <w:right w:val="single" w:color="auto" w:sz="4" w:space="0"/>
            </w:tcBorders>
            <w:shd w:val="clear" w:color="000000" w:fill="FFFFFF"/>
            <w:noWrap/>
            <w:vAlign w:val="center"/>
          </w:tcPr>
          <w:p w14:paraId="58A8F64B">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64FD7C20">
            <w:pPr>
              <w:spacing w:line="360" w:lineRule="auto"/>
              <w:jc w:val="left"/>
              <w:rPr>
                <w:bCs/>
                <w:kern w:val="0"/>
              </w:rPr>
            </w:pPr>
            <w:r>
              <w:rPr>
                <w:bCs/>
                <w:kern w:val="0"/>
              </w:rPr>
              <w:t>41,176,161.04</w:t>
            </w:r>
          </w:p>
        </w:tc>
        <w:tc>
          <w:tcPr>
            <w:tcW w:w="2526" w:type="dxa"/>
            <w:tcBorders>
              <w:top w:val="nil"/>
              <w:left w:val="nil"/>
              <w:bottom w:val="single" w:color="auto" w:sz="4" w:space="0"/>
              <w:right w:val="single" w:color="auto" w:sz="4" w:space="0"/>
            </w:tcBorders>
            <w:shd w:val="clear" w:color="000000" w:fill="FFFFFF"/>
            <w:noWrap/>
            <w:vAlign w:val="center"/>
          </w:tcPr>
          <w:p w14:paraId="6B8FD281">
            <w:pPr>
              <w:spacing w:line="360" w:lineRule="auto"/>
              <w:jc w:val="left"/>
              <w:rPr>
                <w:bCs/>
                <w:kern w:val="0"/>
              </w:rPr>
            </w:pPr>
            <w:r>
              <w:rPr>
                <w:bCs/>
                <w:kern w:val="0"/>
              </w:rPr>
              <w:t>46,290,632.62</w:t>
            </w:r>
          </w:p>
        </w:tc>
      </w:tr>
      <w:tr w14:paraId="013EE85B">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11C1282B">
            <w:pPr>
              <w:widowControl/>
              <w:spacing w:line="360" w:lineRule="auto"/>
              <w:jc w:val="left"/>
              <w:rPr>
                <w:bCs/>
                <w:kern w:val="0"/>
              </w:rPr>
            </w:pPr>
            <w:r>
              <w:rPr>
                <w:bCs/>
                <w:kern w:val="0"/>
              </w:rPr>
              <w:t>3.处置证券投资收到的现金净额</w:t>
            </w:r>
          </w:p>
        </w:tc>
        <w:tc>
          <w:tcPr>
            <w:tcW w:w="1701" w:type="dxa"/>
            <w:tcBorders>
              <w:top w:val="nil"/>
              <w:left w:val="nil"/>
              <w:bottom w:val="single" w:color="auto" w:sz="4" w:space="0"/>
              <w:right w:val="single" w:color="auto" w:sz="4" w:space="0"/>
            </w:tcBorders>
            <w:shd w:val="clear" w:color="000000" w:fill="FFFFFF"/>
            <w:noWrap/>
            <w:vAlign w:val="center"/>
          </w:tcPr>
          <w:p w14:paraId="3A2EB437">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2CC47D78">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090E361F">
            <w:pPr>
              <w:spacing w:line="360" w:lineRule="auto"/>
              <w:jc w:val="left"/>
              <w:rPr>
                <w:bCs/>
                <w:kern w:val="0"/>
              </w:rPr>
            </w:pPr>
            <w:r>
              <w:rPr>
                <w:bCs/>
                <w:kern w:val="0"/>
              </w:rPr>
              <w:t>-</w:t>
            </w:r>
          </w:p>
        </w:tc>
      </w:tr>
      <w:tr w14:paraId="0EB24937">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5649B29">
            <w:pPr>
              <w:widowControl/>
              <w:spacing w:line="360" w:lineRule="auto"/>
              <w:jc w:val="left"/>
              <w:rPr>
                <w:bCs/>
                <w:kern w:val="0"/>
              </w:rPr>
            </w:pPr>
            <w:r>
              <w:rPr>
                <w:bCs/>
                <w:kern w:val="0"/>
              </w:rPr>
              <w:t>4.买入返售金融资产净减少额</w:t>
            </w:r>
          </w:p>
        </w:tc>
        <w:tc>
          <w:tcPr>
            <w:tcW w:w="1701" w:type="dxa"/>
            <w:tcBorders>
              <w:top w:val="nil"/>
              <w:left w:val="nil"/>
              <w:bottom w:val="single" w:color="auto" w:sz="4" w:space="0"/>
              <w:right w:val="single" w:color="auto" w:sz="4" w:space="0"/>
            </w:tcBorders>
            <w:shd w:val="clear" w:color="000000" w:fill="FFFFFF"/>
            <w:noWrap/>
            <w:vAlign w:val="center"/>
          </w:tcPr>
          <w:p w14:paraId="5FA16543">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4DB699D3">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71380F5D">
            <w:pPr>
              <w:spacing w:line="360" w:lineRule="auto"/>
              <w:jc w:val="left"/>
              <w:rPr>
                <w:bCs/>
                <w:kern w:val="0"/>
              </w:rPr>
            </w:pPr>
            <w:r>
              <w:rPr>
                <w:bCs/>
                <w:kern w:val="0"/>
              </w:rPr>
              <w:t>-</w:t>
            </w:r>
          </w:p>
        </w:tc>
      </w:tr>
      <w:tr w14:paraId="3B6054C8">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8AF8225">
            <w:pPr>
              <w:widowControl/>
              <w:spacing w:line="360" w:lineRule="auto"/>
              <w:jc w:val="left"/>
              <w:rPr>
                <w:bCs/>
                <w:kern w:val="0"/>
              </w:rPr>
            </w:pPr>
            <w:r>
              <w:rPr>
                <w:bCs/>
                <w:kern w:val="0"/>
              </w:rPr>
              <w:t>5.卖出回购金融资产款净增加额</w:t>
            </w:r>
          </w:p>
        </w:tc>
        <w:tc>
          <w:tcPr>
            <w:tcW w:w="1701" w:type="dxa"/>
            <w:tcBorders>
              <w:top w:val="nil"/>
              <w:left w:val="nil"/>
              <w:bottom w:val="single" w:color="auto" w:sz="4" w:space="0"/>
              <w:right w:val="single" w:color="auto" w:sz="4" w:space="0"/>
            </w:tcBorders>
            <w:shd w:val="clear" w:color="000000" w:fill="FFFFFF"/>
            <w:noWrap/>
            <w:vAlign w:val="center"/>
          </w:tcPr>
          <w:p w14:paraId="3020A401">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6F4076AE">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1715D385">
            <w:pPr>
              <w:spacing w:line="360" w:lineRule="auto"/>
              <w:jc w:val="left"/>
              <w:rPr>
                <w:bCs/>
                <w:kern w:val="0"/>
              </w:rPr>
            </w:pPr>
            <w:r>
              <w:rPr>
                <w:bCs/>
                <w:kern w:val="0"/>
              </w:rPr>
              <w:t>-</w:t>
            </w:r>
          </w:p>
        </w:tc>
      </w:tr>
      <w:tr w14:paraId="3E1EA7DC">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79A150B9">
            <w:pPr>
              <w:widowControl/>
              <w:spacing w:line="360" w:lineRule="auto"/>
              <w:jc w:val="left"/>
              <w:rPr>
                <w:bCs/>
                <w:kern w:val="0"/>
              </w:rPr>
            </w:pPr>
            <w:r>
              <w:rPr>
                <w:bCs/>
                <w:kern w:val="0"/>
              </w:rPr>
              <w:t>6.取得利息收入收到的现金</w:t>
            </w:r>
          </w:p>
        </w:tc>
        <w:tc>
          <w:tcPr>
            <w:tcW w:w="1701" w:type="dxa"/>
            <w:tcBorders>
              <w:top w:val="nil"/>
              <w:left w:val="nil"/>
              <w:bottom w:val="single" w:color="auto" w:sz="4" w:space="0"/>
              <w:right w:val="single" w:color="auto" w:sz="4" w:space="0"/>
            </w:tcBorders>
            <w:shd w:val="clear" w:color="000000" w:fill="FFFFFF"/>
            <w:noWrap/>
            <w:vAlign w:val="center"/>
          </w:tcPr>
          <w:p w14:paraId="3CA2C1C4">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4AF06015">
            <w:pPr>
              <w:spacing w:line="360" w:lineRule="auto"/>
              <w:jc w:val="left"/>
              <w:rPr>
                <w:bCs/>
                <w:kern w:val="0"/>
              </w:rPr>
            </w:pPr>
            <w:r>
              <w:rPr>
                <w:bCs/>
                <w:kern w:val="0"/>
              </w:rPr>
              <w:t>4,095.71</w:t>
            </w:r>
          </w:p>
        </w:tc>
        <w:tc>
          <w:tcPr>
            <w:tcW w:w="2526" w:type="dxa"/>
            <w:tcBorders>
              <w:top w:val="nil"/>
              <w:left w:val="nil"/>
              <w:bottom w:val="single" w:color="auto" w:sz="4" w:space="0"/>
              <w:right w:val="single" w:color="auto" w:sz="4" w:space="0"/>
            </w:tcBorders>
            <w:shd w:val="clear" w:color="000000" w:fill="FFFFFF"/>
            <w:noWrap/>
            <w:vAlign w:val="center"/>
          </w:tcPr>
          <w:p w14:paraId="02A2E458">
            <w:pPr>
              <w:spacing w:line="360" w:lineRule="auto"/>
              <w:jc w:val="left"/>
              <w:rPr>
                <w:bCs/>
                <w:kern w:val="0"/>
              </w:rPr>
            </w:pPr>
            <w:r>
              <w:rPr>
                <w:bCs/>
                <w:kern w:val="0"/>
              </w:rPr>
              <w:t>3,018.15</w:t>
            </w:r>
          </w:p>
        </w:tc>
      </w:tr>
      <w:tr w14:paraId="316D5368">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391A7CFD">
            <w:pPr>
              <w:widowControl/>
              <w:spacing w:line="360" w:lineRule="auto"/>
              <w:jc w:val="left"/>
              <w:rPr>
                <w:bCs/>
                <w:kern w:val="0"/>
              </w:rPr>
            </w:pPr>
            <w:r>
              <w:rPr>
                <w:bCs/>
                <w:kern w:val="0"/>
              </w:rPr>
              <w:t>7.收到其他与经营活动有关的现金</w:t>
            </w:r>
          </w:p>
        </w:tc>
        <w:tc>
          <w:tcPr>
            <w:tcW w:w="1701" w:type="dxa"/>
            <w:tcBorders>
              <w:top w:val="nil"/>
              <w:left w:val="nil"/>
              <w:bottom w:val="single" w:color="auto" w:sz="4" w:space="0"/>
              <w:right w:val="single" w:color="auto" w:sz="4" w:space="0"/>
            </w:tcBorders>
            <w:shd w:val="clear" w:color="000000" w:fill="FFFFFF"/>
            <w:noWrap/>
            <w:vAlign w:val="center"/>
          </w:tcPr>
          <w:p w14:paraId="4839CD20">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6C7F2EF2">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6638F073">
            <w:pPr>
              <w:spacing w:line="360" w:lineRule="auto"/>
              <w:jc w:val="left"/>
              <w:rPr>
                <w:bCs/>
                <w:kern w:val="0"/>
              </w:rPr>
            </w:pPr>
            <w:r>
              <w:rPr>
                <w:bCs/>
                <w:kern w:val="0"/>
              </w:rPr>
              <w:t>-</w:t>
            </w:r>
          </w:p>
        </w:tc>
      </w:tr>
      <w:tr w14:paraId="57898710">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4A257846">
            <w:pPr>
              <w:widowControl/>
              <w:spacing w:line="360" w:lineRule="auto"/>
              <w:jc w:val="left"/>
              <w:rPr>
                <w:bCs/>
                <w:kern w:val="0"/>
              </w:rPr>
            </w:pPr>
            <w:r>
              <w:rPr>
                <w:bCs/>
                <w:kern w:val="0"/>
              </w:rPr>
              <w:t>经营活动现金流入小计</w:t>
            </w:r>
          </w:p>
        </w:tc>
        <w:tc>
          <w:tcPr>
            <w:tcW w:w="1701" w:type="dxa"/>
            <w:tcBorders>
              <w:top w:val="nil"/>
              <w:left w:val="nil"/>
              <w:bottom w:val="single" w:color="auto" w:sz="4" w:space="0"/>
              <w:right w:val="single" w:color="auto" w:sz="4" w:space="0"/>
            </w:tcBorders>
            <w:shd w:val="clear" w:color="000000" w:fill="FFFFFF"/>
            <w:noWrap/>
            <w:vAlign w:val="center"/>
          </w:tcPr>
          <w:p w14:paraId="1A83F7D0">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53C6ACFF">
            <w:pPr>
              <w:spacing w:line="360" w:lineRule="auto"/>
              <w:jc w:val="left"/>
              <w:rPr>
                <w:bCs/>
                <w:kern w:val="0"/>
              </w:rPr>
            </w:pPr>
            <w:r>
              <w:rPr>
                <w:bCs/>
                <w:kern w:val="0"/>
              </w:rPr>
              <w:t>41,180,256.75</w:t>
            </w:r>
          </w:p>
        </w:tc>
        <w:tc>
          <w:tcPr>
            <w:tcW w:w="2526" w:type="dxa"/>
            <w:tcBorders>
              <w:top w:val="nil"/>
              <w:left w:val="nil"/>
              <w:bottom w:val="single" w:color="auto" w:sz="4" w:space="0"/>
              <w:right w:val="single" w:color="auto" w:sz="4" w:space="0"/>
            </w:tcBorders>
            <w:shd w:val="clear" w:color="000000" w:fill="FFFFFF"/>
            <w:noWrap/>
            <w:vAlign w:val="center"/>
          </w:tcPr>
          <w:p w14:paraId="07E78297">
            <w:pPr>
              <w:spacing w:line="360" w:lineRule="auto"/>
              <w:jc w:val="left"/>
              <w:rPr>
                <w:bCs/>
                <w:kern w:val="0"/>
              </w:rPr>
            </w:pPr>
            <w:r>
              <w:rPr>
                <w:bCs/>
                <w:kern w:val="0"/>
              </w:rPr>
              <w:t>46,293,650.77</w:t>
            </w:r>
          </w:p>
        </w:tc>
      </w:tr>
      <w:tr w14:paraId="5041CBC5">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520F5118">
            <w:pPr>
              <w:widowControl/>
              <w:spacing w:line="360" w:lineRule="auto"/>
              <w:jc w:val="left"/>
              <w:rPr>
                <w:bCs/>
                <w:kern w:val="0"/>
              </w:rPr>
            </w:pPr>
            <w:r>
              <w:rPr>
                <w:bCs/>
                <w:kern w:val="0"/>
              </w:rPr>
              <w:t>8.取得</w:t>
            </w:r>
            <w:r>
              <w:rPr>
                <w:rFonts w:hint="eastAsia"/>
                <w:bCs/>
                <w:kern w:val="0"/>
              </w:rPr>
              <w:t>不动产</w:t>
            </w:r>
            <w:r>
              <w:rPr>
                <w:bCs/>
                <w:kern w:val="0"/>
              </w:rPr>
              <w:t>投资支付的现金</w:t>
            </w:r>
          </w:p>
        </w:tc>
        <w:tc>
          <w:tcPr>
            <w:tcW w:w="1701" w:type="dxa"/>
            <w:tcBorders>
              <w:top w:val="nil"/>
              <w:left w:val="nil"/>
              <w:bottom w:val="single" w:color="auto" w:sz="4" w:space="0"/>
              <w:right w:val="single" w:color="auto" w:sz="4" w:space="0"/>
            </w:tcBorders>
            <w:shd w:val="clear" w:color="000000" w:fill="FFFFFF"/>
            <w:noWrap/>
            <w:vAlign w:val="center"/>
          </w:tcPr>
          <w:p w14:paraId="30A6EF38">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0F340798">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5A141A4C">
            <w:pPr>
              <w:spacing w:line="360" w:lineRule="auto"/>
              <w:jc w:val="left"/>
              <w:rPr>
                <w:bCs/>
                <w:kern w:val="0"/>
              </w:rPr>
            </w:pPr>
            <w:r>
              <w:rPr>
                <w:bCs/>
                <w:kern w:val="0"/>
              </w:rPr>
              <w:t>-</w:t>
            </w:r>
          </w:p>
        </w:tc>
      </w:tr>
      <w:tr w14:paraId="412CA11B">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07332F91">
            <w:pPr>
              <w:widowControl/>
              <w:spacing w:line="360" w:lineRule="auto"/>
              <w:jc w:val="left"/>
              <w:rPr>
                <w:bCs/>
                <w:kern w:val="0"/>
              </w:rPr>
            </w:pPr>
            <w:r>
              <w:rPr>
                <w:bCs/>
                <w:kern w:val="0"/>
              </w:rPr>
              <w:t>9.取得证券投资支付的现金净额</w:t>
            </w:r>
          </w:p>
        </w:tc>
        <w:tc>
          <w:tcPr>
            <w:tcW w:w="1701" w:type="dxa"/>
            <w:tcBorders>
              <w:top w:val="nil"/>
              <w:left w:val="nil"/>
              <w:bottom w:val="single" w:color="auto" w:sz="4" w:space="0"/>
              <w:right w:val="single" w:color="auto" w:sz="4" w:space="0"/>
            </w:tcBorders>
            <w:shd w:val="clear" w:color="000000" w:fill="FFFFFF"/>
            <w:noWrap/>
            <w:vAlign w:val="center"/>
          </w:tcPr>
          <w:p w14:paraId="51B48FD6">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16FEED7F">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4CE9D210">
            <w:pPr>
              <w:spacing w:line="360" w:lineRule="auto"/>
              <w:jc w:val="left"/>
              <w:rPr>
                <w:bCs/>
                <w:kern w:val="0"/>
              </w:rPr>
            </w:pPr>
            <w:r>
              <w:rPr>
                <w:bCs/>
                <w:kern w:val="0"/>
              </w:rPr>
              <w:t>-</w:t>
            </w:r>
          </w:p>
        </w:tc>
      </w:tr>
      <w:tr w14:paraId="6437D653">
        <w:tblPrEx>
          <w:tblCellMar>
            <w:top w:w="0" w:type="dxa"/>
            <w:left w:w="108" w:type="dxa"/>
            <w:bottom w:w="0" w:type="dxa"/>
            <w:right w:w="108" w:type="dxa"/>
          </w:tblCellMar>
        </w:tblPrEx>
        <w:trPr>
          <w:trHeight w:val="1252"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82D54DC">
            <w:pPr>
              <w:widowControl/>
              <w:spacing w:line="360" w:lineRule="auto"/>
              <w:jc w:val="left"/>
              <w:rPr>
                <w:bCs/>
                <w:kern w:val="0"/>
              </w:rPr>
            </w:pPr>
            <w:r>
              <w:rPr>
                <w:bCs/>
                <w:kern w:val="0"/>
              </w:rPr>
              <w:t>10.买入返售金融资产净增加额</w:t>
            </w:r>
          </w:p>
        </w:tc>
        <w:tc>
          <w:tcPr>
            <w:tcW w:w="1701" w:type="dxa"/>
            <w:tcBorders>
              <w:top w:val="nil"/>
              <w:left w:val="nil"/>
              <w:bottom w:val="single" w:color="auto" w:sz="4" w:space="0"/>
              <w:right w:val="single" w:color="auto" w:sz="4" w:space="0"/>
            </w:tcBorders>
            <w:shd w:val="clear" w:color="000000" w:fill="FFFFFF"/>
            <w:noWrap/>
            <w:vAlign w:val="center"/>
          </w:tcPr>
          <w:p w14:paraId="2E1D63C6">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38897354">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0C1A3389">
            <w:pPr>
              <w:spacing w:line="360" w:lineRule="auto"/>
              <w:jc w:val="left"/>
              <w:rPr>
                <w:bCs/>
                <w:kern w:val="0"/>
              </w:rPr>
            </w:pPr>
            <w:r>
              <w:rPr>
                <w:bCs/>
                <w:kern w:val="0"/>
              </w:rPr>
              <w:t>-</w:t>
            </w:r>
          </w:p>
        </w:tc>
      </w:tr>
      <w:tr w14:paraId="68811841">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4D2619E6">
            <w:pPr>
              <w:widowControl/>
              <w:spacing w:line="360" w:lineRule="auto"/>
              <w:jc w:val="left"/>
              <w:rPr>
                <w:bCs/>
                <w:kern w:val="0"/>
              </w:rPr>
            </w:pPr>
            <w:r>
              <w:rPr>
                <w:bCs/>
                <w:kern w:val="0"/>
              </w:rPr>
              <w:t>11.卖出回购金融资产款净减少额</w:t>
            </w:r>
          </w:p>
        </w:tc>
        <w:tc>
          <w:tcPr>
            <w:tcW w:w="1701" w:type="dxa"/>
            <w:tcBorders>
              <w:top w:val="nil"/>
              <w:left w:val="nil"/>
              <w:bottom w:val="single" w:color="auto" w:sz="4" w:space="0"/>
              <w:right w:val="single" w:color="auto" w:sz="4" w:space="0"/>
            </w:tcBorders>
            <w:shd w:val="clear" w:color="000000" w:fill="FFFFFF"/>
            <w:noWrap/>
            <w:vAlign w:val="center"/>
          </w:tcPr>
          <w:p w14:paraId="49BC6E09">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5CD6352C">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20C2B406">
            <w:pPr>
              <w:spacing w:line="360" w:lineRule="auto"/>
              <w:jc w:val="left"/>
              <w:rPr>
                <w:bCs/>
                <w:kern w:val="0"/>
              </w:rPr>
            </w:pPr>
            <w:r>
              <w:rPr>
                <w:bCs/>
                <w:kern w:val="0"/>
              </w:rPr>
              <w:t>-</w:t>
            </w:r>
          </w:p>
        </w:tc>
      </w:tr>
      <w:tr w14:paraId="4D0CF152">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3B8C59CB">
            <w:pPr>
              <w:widowControl/>
              <w:spacing w:line="360" w:lineRule="auto"/>
              <w:jc w:val="left"/>
              <w:rPr>
                <w:bCs/>
                <w:kern w:val="0"/>
              </w:rPr>
            </w:pPr>
            <w:r>
              <w:rPr>
                <w:bCs/>
                <w:kern w:val="0"/>
              </w:rPr>
              <w:t>12.支付的各项税费</w:t>
            </w:r>
          </w:p>
        </w:tc>
        <w:tc>
          <w:tcPr>
            <w:tcW w:w="1701" w:type="dxa"/>
            <w:tcBorders>
              <w:top w:val="nil"/>
              <w:left w:val="nil"/>
              <w:bottom w:val="single" w:color="auto" w:sz="4" w:space="0"/>
              <w:right w:val="single" w:color="auto" w:sz="4" w:space="0"/>
            </w:tcBorders>
            <w:shd w:val="clear" w:color="000000" w:fill="FFFFFF"/>
            <w:noWrap/>
            <w:vAlign w:val="center"/>
          </w:tcPr>
          <w:p w14:paraId="125D94F8">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2B28A7DD">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51BCA4D9">
            <w:pPr>
              <w:spacing w:line="360" w:lineRule="auto"/>
              <w:jc w:val="left"/>
              <w:rPr>
                <w:bCs/>
                <w:kern w:val="0"/>
              </w:rPr>
            </w:pPr>
            <w:r>
              <w:rPr>
                <w:bCs/>
                <w:kern w:val="0"/>
              </w:rPr>
              <w:t>-</w:t>
            </w:r>
          </w:p>
        </w:tc>
      </w:tr>
      <w:tr w14:paraId="3A4639EC">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0492C47D">
            <w:pPr>
              <w:widowControl/>
              <w:spacing w:line="360" w:lineRule="auto"/>
              <w:jc w:val="left"/>
              <w:rPr>
                <w:bCs/>
                <w:kern w:val="0"/>
              </w:rPr>
            </w:pPr>
            <w:r>
              <w:rPr>
                <w:bCs/>
                <w:kern w:val="0"/>
              </w:rPr>
              <w:t>13.支付其他与经营活动有关的现金</w:t>
            </w:r>
          </w:p>
        </w:tc>
        <w:tc>
          <w:tcPr>
            <w:tcW w:w="1701" w:type="dxa"/>
            <w:tcBorders>
              <w:top w:val="nil"/>
              <w:left w:val="nil"/>
              <w:bottom w:val="single" w:color="auto" w:sz="4" w:space="0"/>
              <w:right w:val="single" w:color="auto" w:sz="4" w:space="0"/>
            </w:tcBorders>
            <w:shd w:val="clear" w:color="000000" w:fill="FFFFFF"/>
            <w:noWrap/>
            <w:vAlign w:val="center"/>
          </w:tcPr>
          <w:p w14:paraId="0D889FE4">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4D6AB54F">
            <w:pPr>
              <w:spacing w:line="360" w:lineRule="auto"/>
              <w:jc w:val="left"/>
              <w:rPr>
                <w:bCs/>
                <w:kern w:val="0"/>
              </w:rPr>
            </w:pPr>
            <w:r>
              <w:rPr>
                <w:bCs/>
                <w:kern w:val="0"/>
              </w:rPr>
              <w:t>5,280,143.91</w:t>
            </w:r>
          </w:p>
        </w:tc>
        <w:tc>
          <w:tcPr>
            <w:tcW w:w="2526" w:type="dxa"/>
            <w:tcBorders>
              <w:top w:val="nil"/>
              <w:left w:val="nil"/>
              <w:bottom w:val="single" w:color="auto" w:sz="4" w:space="0"/>
              <w:right w:val="single" w:color="auto" w:sz="4" w:space="0"/>
            </w:tcBorders>
            <w:shd w:val="clear" w:color="000000" w:fill="FFFFFF"/>
            <w:noWrap/>
            <w:vAlign w:val="center"/>
          </w:tcPr>
          <w:p w14:paraId="11BA7C7B">
            <w:pPr>
              <w:spacing w:line="360" w:lineRule="auto"/>
              <w:jc w:val="left"/>
              <w:rPr>
                <w:bCs/>
                <w:kern w:val="0"/>
              </w:rPr>
            </w:pPr>
            <w:r>
              <w:rPr>
                <w:bCs/>
                <w:kern w:val="0"/>
              </w:rPr>
              <w:t>6,071,654.15</w:t>
            </w:r>
          </w:p>
        </w:tc>
      </w:tr>
      <w:tr w14:paraId="09CFD547">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3328F843">
            <w:pPr>
              <w:widowControl/>
              <w:spacing w:line="360" w:lineRule="auto"/>
              <w:jc w:val="left"/>
              <w:rPr>
                <w:bCs/>
                <w:kern w:val="0"/>
              </w:rPr>
            </w:pPr>
            <w:r>
              <w:rPr>
                <w:bCs/>
                <w:kern w:val="0"/>
              </w:rPr>
              <w:t>经营活动现金流出小计</w:t>
            </w:r>
          </w:p>
        </w:tc>
        <w:tc>
          <w:tcPr>
            <w:tcW w:w="1701" w:type="dxa"/>
            <w:tcBorders>
              <w:top w:val="nil"/>
              <w:left w:val="nil"/>
              <w:bottom w:val="single" w:color="auto" w:sz="4" w:space="0"/>
              <w:right w:val="single" w:color="auto" w:sz="4" w:space="0"/>
            </w:tcBorders>
            <w:shd w:val="clear" w:color="000000" w:fill="FFFFFF"/>
            <w:noWrap/>
            <w:vAlign w:val="center"/>
          </w:tcPr>
          <w:p w14:paraId="45C900E6">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4B345A3C">
            <w:pPr>
              <w:spacing w:line="360" w:lineRule="auto"/>
              <w:jc w:val="left"/>
              <w:rPr>
                <w:bCs/>
                <w:kern w:val="0"/>
              </w:rPr>
            </w:pPr>
            <w:r>
              <w:rPr>
                <w:bCs/>
                <w:kern w:val="0"/>
              </w:rPr>
              <w:t>5,280,143.91</w:t>
            </w:r>
          </w:p>
        </w:tc>
        <w:tc>
          <w:tcPr>
            <w:tcW w:w="2526" w:type="dxa"/>
            <w:tcBorders>
              <w:top w:val="nil"/>
              <w:left w:val="nil"/>
              <w:bottom w:val="single" w:color="auto" w:sz="4" w:space="0"/>
              <w:right w:val="single" w:color="auto" w:sz="4" w:space="0"/>
            </w:tcBorders>
            <w:shd w:val="clear" w:color="000000" w:fill="FFFFFF"/>
            <w:noWrap/>
            <w:vAlign w:val="center"/>
          </w:tcPr>
          <w:p w14:paraId="3276921B">
            <w:pPr>
              <w:spacing w:line="360" w:lineRule="auto"/>
              <w:jc w:val="left"/>
              <w:rPr>
                <w:bCs/>
                <w:kern w:val="0"/>
              </w:rPr>
            </w:pPr>
            <w:r>
              <w:rPr>
                <w:bCs/>
                <w:kern w:val="0"/>
              </w:rPr>
              <w:t>6,071,654.15</w:t>
            </w:r>
          </w:p>
        </w:tc>
      </w:tr>
      <w:tr w14:paraId="2312BA9F">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0535B281">
            <w:pPr>
              <w:widowControl/>
              <w:spacing w:line="360" w:lineRule="auto"/>
              <w:jc w:val="left"/>
              <w:rPr>
                <w:bCs/>
                <w:kern w:val="0"/>
              </w:rPr>
            </w:pPr>
            <w:r>
              <w:rPr>
                <w:bCs/>
                <w:kern w:val="0"/>
              </w:rPr>
              <w:t>经营活动产生的现金流量净额</w:t>
            </w:r>
          </w:p>
        </w:tc>
        <w:tc>
          <w:tcPr>
            <w:tcW w:w="1701" w:type="dxa"/>
            <w:tcBorders>
              <w:top w:val="nil"/>
              <w:left w:val="nil"/>
              <w:bottom w:val="single" w:color="auto" w:sz="4" w:space="0"/>
              <w:right w:val="single" w:color="auto" w:sz="4" w:space="0"/>
            </w:tcBorders>
            <w:shd w:val="clear" w:color="000000" w:fill="FFFFFF"/>
            <w:noWrap/>
            <w:vAlign w:val="center"/>
          </w:tcPr>
          <w:p w14:paraId="780DAAB1">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3F5A5278">
            <w:pPr>
              <w:spacing w:line="360" w:lineRule="auto"/>
              <w:jc w:val="left"/>
              <w:rPr>
                <w:bCs/>
                <w:kern w:val="0"/>
              </w:rPr>
            </w:pPr>
            <w:r>
              <w:rPr>
                <w:bCs/>
                <w:kern w:val="0"/>
              </w:rPr>
              <w:t>35,900,112.84</w:t>
            </w:r>
          </w:p>
        </w:tc>
        <w:tc>
          <w:tcPr>
            <w:tcW w:w="2526" w:type="dxa"/>
            <w:tcBorders>
              <w:top w:val="nil"/>
              <w:left w:val="nil"/>
              <w:bottom w:val="single" w:color="auto" w:sz="4" w:space="0"/>
              <w:right w:val="single" w:color="auto" w:sz="4" w:space="0"/>
            </w:tcBorders>
            <w:shd w:val="clear" w:color="000000" w:fill="FFFFFF"/>
            <w:noWrap/>
            <w:vAlign w:val="center"/>
          </w:tcPr>
          <w:p w14:paraId="071A9D57">
            <w:pPr>
              <w:spacing w:line="360" w:lineRule="auto"/>
              <w:jc w:val="left"/>
              <w:rPr>
                <w:bCs/>
                <w:kern w:val="0"/>
              </w:rPr>
            </w:pPr>
            <w:r>
              <w:rPr>
                <w:bCs/>
                <w:kern w:val="0"/>
              </w:rPr>
              <w:t>40,221,996.62</w:t>
            </w:r>
          </w:p>
        </w:tc>
      </w:tr>
      <w:tr w14:paraId="515CC5E9">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208E1917">
            <w:pPr>
              <w:widowControl/>
              <w:spacing w:line="360" w:lineRule="auto"/>
              <w:jc w:val="left"/>
              <w:rPr>
                <w:bCs/>
                <w:kern w:val="0"/>
              </w:rPr>
            </w:pPr>
            <w:r>
              <w:rPr>
                <w:bCs/>
                <w:kern w:val="0"/>
              </w:rPr>
              <w:t>二、筹资活动产生的现金流量：</w:t>
            </w:r>
          </w:p>
        </w:tc>
        <w:tc>
          <w:tcPr>
            <w:tcW w:w="1701" w:type="dxa"/>
            <w:tcBorders>
              <w:top w:val="nil"/>
              <w:left w:val="nil"/>
              <w:bottom w:val="single" w:color="auto" w:sz="4" w:space="0"/>
              <w:right w:val="single" w:color="auto" w:sz="4" w:space="0"/>
            </w:tcBorders>
            <w:shd w:val="clear" w:color="000000" w:fill="FFFFFF"/>
            <w:noWrap/>
            <w:vAlign w:val="center"/>
          </w:tcPr>
          <w:p w14:paraId="06654B18">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bottom"/>
          </w:tcPr>
          <w:p w14:paraId="76FE92FC">
            <w:pPr>
              <w:widowControl/>
              <w:spacing w:line="360" w:lineRule="auto"/>
              <w:jc w:val="left"/>
              <w:rPr>
                <w:bCs/>
                <w:kern w:val="0"/>
              </w:rPr>
            </w:pPr>
          </w:p>
        </w:tc>
        <w:tc>
          <w:tcPr>
            <w:tcW w:w="2526" w:type="dxa"/>
            <w:tcBorders>
              <w:top w:val="nil"/>
              <w:left w:val="nil"/>
              <w:bottom w:val="single" w:color="auto" w:sz="4" w:space="0"/>
              <w:right w:val="single" w:color="auto" w:sz="4" w:space="0"/>
            </w:tcBorders>
            <w:shd w:val="clear" w:color="000000" w:fill="FFFFFF"/>
            <w:noWrap/>
            <w:vAlign w:val="bottom"/>
          </w:tcPr>
          <w:p w14:paraId="1F59C163">
            <w:pPr>
              <w:widowControl/>
              <w:spacing w:line="360" w:lineRule="auto"/>
              <w:jc w:val="left"/>
              <w:rPr>
                <w:bCs/>
                <w:kern w:val="0"/>
              </w:rPr>
            </w:pPr>
          </w:p>
        </w:tc>
      </w:tr>
      <w:tr w14:paraId="423A1616">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F215867">
            <w:pPr>
              <w:widowControl/>
              <w:spacing w:line="360" w:lineRule="auto"/>
              <w:jc w:val="left"/>
              <w:rPr>
                <w:bCs/>
                <w:kern w:val="0"/>
              </w:rPr>
            </w:pPr>
            <w:r>
              <w:rPr>
                <w:bCs/>
                <w:kern w:val="0"/>
              </w:rPr>
              <w:t>14.认购/申购收到的现金</w:t>
            </w:r>
          </w:p>
        </w:tc>
        <w:tc>
          <w:tcPr>
            <w:tcW w:w="1701" w:type="dxa"/>
            <w:tcBorders>
              <w:top w:val="nil"/>
              <w:left w:val="nil"/>
              <w:bottom w:val="single" w:color="auto" w:sz="4" w:space="0"/>
              <w:right w:val="single" w:color="auto" w:sz="4" w:space="0"/>
            </w:tcBorders>
            <w:shd w:val="clear" w:color="000000" w:fill="FFFFFF"/>
            <w:noWrap/>
            <w:vAlign w:val="center"/>
          </w:tcPr>
          <w:p w14:paraId="6D4962AC">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335B590C">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5273DEE0">
            <w:pPr>
              <w:spacing w:line="360" w:lineRule="auto"/>
              <w:jc w:val="left"/>
              <w:rPr>
                <w:bCs/>
                <w:kern w:val="0"/>
              </w:rPr>
            </w:pPr>
            <w:r>
              <w:rPr>
                <w:bCs/>
                <w:kern w:val="0"/>
              </w:rPr>
              <w:t>-</w:t>
            </w:r>
          </w:p>
        </w:tc>
      </w:tr>
      <w:tr w14:paraId="5E1B45D7">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496E143F">
            <w:pPr>
              <w:widowControl/>
              <w:spacing w:line="360" w:lineRule="auto"/>
              <w:jc w:val="left"/>
              <w:rPr>
                <w:bCs/>
                <w:kern w:val="0"/>
              </w:rPr>
            </w:pPr>
            <w:r>
              <w:rPr>
                <w:bCs/>
                <w:kern w:val="0"/>
              </w:rPr>
              <w:t>15.收到其他与筹资活动有关的现金</w:t>
            </w:r>
          </w:p>
        </w:tc>
        <w:tc>
          <w:tcPr>
            <w:tcW w:w="1701" w:type="dxa"/>
            <w:tcBorders>
              <w:top w:val="nil"/>
              <w:left w:val="nil"/>
              <w:bottom w:val="single" w:color="auto" w:sz="4" w:space="0"/>
              <w:right w:val="single" w:color="auto" w:sz="4" w:space="0"/>
            </w:tcBorders>
            <w:shd w:val="clear" w:color="000000" w:fill="FFFFFF"/>
            <w:noWrap/>
            <w:vAlign w:val="center"/>
          </w:tcPr>
          <w:p w14:paraId="1F0B8EF4">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1977E6DB">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27E02C96">
            <w:pPr>
              <w:spacing w:line="360" w:lineRule="auto"/>
              <w:jc w:val="left"/>
              <w:rPr>
                <w:bCs/>
                <w:kern w:val="0"/>
              </w:rPr>
            </w:pPr>
            <w:r>
              <w:rPr>
                <w:bCs/>
                <w:kern w:val="0"/>
              </w:rPr>
              <w:t>-</w:t>
            </w:r>
          </w:p>
        </w:tc>
      </w:tr>
      <w:tr w14:paraId="227D28CC">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575330A8">
            <w:pPr>
              <w:widowControl/>
              <w:spacing w:line="360" w:lineRule="auto"/>
              <w:jc w:val="left"/>
              <w:rPr>
                <w:bCs/>
                <w:kern w:val="0"/>
              </w:rPr>
            </w:pPr>
            <w:r>
              <w:rPr>
                <w:bCs/>
                <w:kern w:val="0"/>
              </w:rPr>
              <w:t>筹资活动现金流入小计</w:t>
            </w:r>
          </w:p>
        </w:tc>
        <w:tc>
          <w:tcPr>
            <w:tcW w:w="1701" w:type="dxa"/>
            <w:tcBorders>
              <w:top w:val="nil"/>
              <w:left w:val="nil"/>
              <w:bottom w:val="single" w:color="auto" w:sz="4" w:space="0"/>
              <w:right w:val="single" w:color="auto" w:sz="4" w:space="0"/>
            </w:tcBorders>
            <w:shd w:val="clear" w:color="000000" w:fill="FFFFFF"/>
            <w:noWrap/>
            <w:vAlign w:val="center"/>
          </w:tcPr>
          <w:p w14:paraId="2D7E77EC">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67CB58DF">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7F1D4F6E">
            <w:pPr>
              <w:spacing w:line="360" w:lineRule="auto"/>
              <w:jc w:val="left"/>
              <w:rPr>
                <w:bCs/>
                <w:kern w:val="0"/>
              </w:rPr>
            </w:pPr>
            <w:r>
              <w:rPr>
                <w:bCs/>
                <w:kern w:val="0"/>
              </w:rPr>
              <w:t>-</w:t>
            </w:r>
          </w:p>
        </w:tc>
      </w:tr>
      <w:tr w14:paraId="75BCEE93">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3692DB13">
            <w:pPr>
              <w:widowControl/>
              <w:spacing w:line="360" w:lineRule="auto"/>
              <w:jc w:val="left"/>
              <w:rPr>
                <w:bCs/>
                <w:kern w:val="0"/>
              </w:rPr>
            </w:pPr>
            <w:r>
              <w:rPr>
                <w:bCs/>
                <w:kern w:val="0"/>
              </w:rPr>
              <w:t>16.赎回支付的现金</w:t>
            </w:r>
          </w:p>
        </w:tc>
        <w:tc>
          <w:tcPr>
            <w:tcW w:w="1701" w:type="dxa"/>
            <w:tcBorders>
              <w:top w:val="nil"/>
              <w:left w:val="nil"/>
              <w:bottom w:val="single" w:color="auto" w:sz="4" w:space="0"/>
              <w:right w:val="single" w:color="auto" w:sz="4" w:space="0"/>
            </w:tcBorders>
            <w:shd w:val="clear" w:color="000000" w:fill="FFFFFF"/>
            <w:noWrap/>
            <w:vAlign w:val="center"/>
          </w:tcPr>
          <w:p w14:paraId="3AEB2DE3">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6B4C29F7">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63F2D407">
            <w:pPr>
              <w:spacing w:line="360" w:lineRule="auto"/>
              <w:jc w:val="left"/>
              <w:rPr>
                <w:bCs/>
                <w:kern w:val="0"/>
              </w:rPr>
            </w:pPr>
            <w:r>
              <w:rPr>
                <w:bCs/>
                <w:kern w:val="0"/>
              </w:rPr>
              <w:t>-</w:t>
            </w:r>
          </w:p>
        </w:tc>
      </w:tr>
      <w:tr w14:paraId="153A96CA">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C197C07">
            <w:pPr>
              <w:widowControl/>
              <w:spacing w:line="360" w:lineRule="auto"/>
              <w:jc w:val="left"/>
              <w:rPr>
                <w:bCs/>
                <w:kern w:val="0"/>
              </w:rPr>
            </w:pPr>
            <w:r>
              <w:rPr>
                <w:bCs/>
                <w:kern w:val="0"/>
              </w:rPr>
              <w:t>17.偿付利息支付的现金</w:t>
            </w:r>
          </w:p>
        </w:tc>
        <w:tc>
          <w:tcPr>
            <w:tcW w:w="1701" w:type="dxa"/>
            <w:tcBorders>
              <w:top w:val="nil"/>
              <w:left w:val="nil"/>
              <w:bottom w:val="single" w:color="auto" w:sz="4" w:space="0"/>
              <w:right w:val="single" w:color="auto" w:sz="4" w:space="0"/>
            </w:tcBorders>
            <w:shd w:val="clear" w:color="000000" w:fill="FFFFFF"/>
            <w:noWrap/>
            <w:vAlign w:val="center"/>
          </w:tcPr>
          <w:p w14:paraId="28B817D9">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3977AAB0">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3EDBE706">
            <w:pPr>
              <w:spacing w:line="360" w:lineRule="auto"/>
              <w:jc w:val="left"/>
              <w:rPr>
                <w:bCs/>
                <w:kern w:val="0"/>
              </w:rPr>
            </w:pPr>
            <w:r>
              <w:rPr>
                <w:bCs/>
                <w:kern w:val="0"/>
              </w:rPr>
              <w:t>-</w:t>
            </w:r>
          </w:p>
        </w:tc>
      </w:tr>
      <w:tr w14:paraId="40CF63E5">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03B79369">
            <w:pPr>
              <w:widowControl/>
              <w:spacing w:line="360" w:lineRule="auto"/>
              <w:jc w:val="left"/>
              <w:rPr>
                <w:bCs/>
                <w:kern w:val="0"/>
              </w:rPr>
            </w:pPr>
            <w:r>
              <w:rPr>
                <w:bCs/>
                <w:kern w:val="0"/>
              </w:rPr>
              <w:t>18.分配支付的现金</w:t>
            </w:r>
          </w:p>
        </w:tc>
        <w:tc>
          <w:tcPr>
            <w:tcW w:w="1701" w:type="dxa"/>
            <w:tcBorders>
              <w:top w:val="nil"/>
              <w:left w:val="nil"/>
              <w:bottom w:val="single" w:color="auto" w:sz="4" w:space="0"/>
              <w:right w:val="single" w:color="auto" w:sz="4" w:space="0"/>
            </w:tcBorders>
            <w:shd w:val="clear" w:color="000000" w:fill="FFFFFF"/>
            <w:noWrap/>
            <w:vAlign w:val="center"/>
          </w:tcPr>
          <w:p w14:paraId="349ED652">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4C90E3F3">
            <w:pPr>
              <w:spacing w:line="360" w:lineRule="auto"/>
              <w:jc w:val="left"/>
              <w:rPr>
                <w:bCs/>
                <w:kern w:val="0"/>
              </w:rPr>
            </w:pPr>
            <w:r>
              <w:rPr>
                <w:bCs/>
                <w:kern w:val="0"/>
              </w:rPr>
              <w:t>32,827,929.51</w:t>
            </w:r>
          </w:p>
        </w:tc>
        <w:tc>
          <w:tcPr>
            <w:tcW w:w="2526" w:type="dxa"/>
            <w:tcBorders>
              <w:top w:val="nil"/>
              <w:left w:val="nil"/>
              <w:bottom w:val="single" w:color="auto" w:sz="4" w:space="0"/>
              <w:right w:val="single" w:color="auto" w:sz="4" w:space="0"/>
            </w:tcBorders>
            <w:shd w:val="clear" w:color="000000" w:fill="FFFFFF"/>
            <w:noWrap/>
            <w:vAlign w:val="center"/>
          </w:tcPr>
          <w:p w14:paraId="6D85CB26">
            <w:pPr>
              <w:spacing w:line="360" w:lineRule="auto"/>
              <w:jc w:val="left"/>
              <w:rPr>
                <w:bCs/>
                <w:kern w:val="0"/>
              </w:rPr>
            </w:pPr>
            <w:r>
              <w:rPr>
                <w:bCs/>
                <w:kern w:val="0"/>
              </w:rPr>
              <w:t>40,217,598.69</w:t>
            </w:r>
          </w:p>
        </w:tc>
      </w:tr>
      <w:tr w14:paraId="64662302">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F382207">
            <w:pPr>
              <w:widowControl/>
              <w:spacing w:line="360" w:lineRule="auto"/>
              <w:jc w:val="left"/>
              <w:rPr>
                <w:bCs/>
                <w:kern w:val="0"/>
              </w:rPr>
            </w:pPr>
            <w:r>
              <w:rPr>
                <w:bCs/>
                <w:kern w:val="0"/>
              </w:rPr>
              <w:t>19.支付其他与筹资活动有关的现金</w:t>
            </w:r>
          </w:p>
        </w:tc>
        <w:tc>
          <w:tcPr>
            <w:tcW w:w="1701" w:type="dxa"/>
            <w:tcBorders>
              <w:top w:val="nil"/>
              <w:left w:val="nil"/>
              <w:bottom w:val="single" w:color="auto" w:sz="4" w:space="0"/>
              <w:right w:val="single" w:color="auto" w:sz="4" w:space="0"/>
            </w:tcBorders>
            <w:shd w:val="clear" w:color="000000" w:fill="FFFFFF"/>
            <w:noWrap/>
            <w:vAlign w:val="center"/>
          </w:tcPr>
          <w:p w14:paraId="577E5E94">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25FF2D4F">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4979E57F">
            <w:pPr>
              <w:spacing w:line="360" w:lineRule="auto"/>
              <w:jc w:val="left"/>
              <w:rPr>
                <w:bCs/>
                <w:kern w:val="0"/>
              </w:rPr>
            </w:pPr>
            <w:r>
              <w:rPr>
                <w:bCs/>
                <w:kern w:val="0"/>
              </w:rPr>
              <w:t>-</w:t>
            </w:r>
          </w:p>
        </w:tc>
      </w:tr>
      <w:tr w14:paraId="2B330C6E">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3D59F6D1">
            <w:pPr>
              <w:widowControl/>
              <w:spacing w:line="360" w:lineRule="auto"/>
              <w:jc w:val="left"/>
              <w:rPr>
                <w:bCs/>
                <w:kern w:val="0"/>
              </w:rPr>
            </w:pPr>
            <w:r>
              <w:rPr>
                <w:bCs/>
                <w:kern w:val="0"/>
              </w:rPr>
              <w:t>筹资活动现金流出小计</w:t>
            </w:r>
          </w:p>
        </w:tc>
        <w:tc>
          <w:tcPr>
            <w:tcW w:w="1701" w:type="dxa"/>
            <w:tcBorders>
              <w:top w:val="nil"/>
              <w:left w:val="nil"/>
              <w:bottom w:val="single" w:color="auto" w:sz="4" w:space="0"/>
              <w:right w:val="single" w:color="auto" w:sz="4" w:space="0"/>
            </w:tcBorders>
            <w:shd w:val="clear" w:color="000000" w:fill="FFFFFF"/>
            <w:noWrap/>
            <w:vAlign w:val="center"/>
          </w:tcPr>
          <w:p w14:paraId="3F5E89C4">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28D7F5E0">
            <w:pPr>
              <w:spacing w:line="360" w:lineRule="auto"/>
              <w:jc w:val="left"/>
              <w:rPr>
                <w:bCs/>
                <w:kern w:val="0"/>
              </w:rPr>
            </w:pPr>
            <w:r>
              <w:rPr>
                <w:bCs/>
                <w:kern w:val="0"/>
              </w:rPr>
              <w:t>32,827,929.51</w:t>
            </w:r>
          </w:p>
        </w:tc>
        <w:tc>
          <w:tcPr>
            <w:tcW w:w="2526" w:type="dxa"/>
            <w:tcBorders>
              <w:top w:val="nil"/>
              <w:left w:val="nil"/>
              <w:bottom w:val="single" w:color="auto" w:sz="4" w:space="0"/>
              <w:right w:val="single" w:color="auto" w:sz="4" w:space="0"/>
            </w:tcBorders>
            <w:shd w:val="clear" w:color="000000" w:fill="FFFFFF"/>
            <w:noWrap/>
            <w:vAlign w:val="center"/>
          </w:tcPr>
          <w:p w14:paraId="00006BC5">
            <w:pPr>
              <w:spacing w:line="360" w:lineRule="auto"/>
              <w:jc w:val="left"/>
              <w:rPr>
                <w:bCs/>
                <w:kern w:val="0"/>
              </w:rPr>
            </w:pPr>
            <w:r>
              <w:rPr>
                <w:bCs/>
                <w:kern w:val="0"/>
              </w:rPr>
              <w:t>40,217,598.69</w:t>
            </w:r>
          </w:p>
        </w:tc>
      </w:tr>
      <w:tr w14:paraId="0CBA6E01">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070A3B7">
            <w:pPr>
              <w:widowControl/>
              <w:spacing w:line="360" w:lineRule="auto"/>
              <w:jc w:val="left"/>
              <w:rPr>
                <w:bCs/>
                <w:kern w:val="0"/>
              </w:rPr>
            </w:pPr>
            <w:r>
              <w:rPr>
                <w:bCs/>
                <w:kern w:val="0"/>
              </w:rPr>
              <w:t>筹资活动产生的现金流量净额</w:t>
            </w:r>
          </w:p>
        </w:tc>
        <w:tc>
          <w:tcPr>
            <w:tcW w:w="1701" w:type="dxa"/>
            <w:tcBorders>
              <w:top w:val="nil"/>
              <w:left w:val="nil"/>
              <w:bottom w:val="single" w:color="auto" w:sz="4" w:space="0"/>
              <w:right w:val="single" w:color="auto" w:sz="4" w:space="0"/>
            </w:tcBorders>
            <w:shd w:val="clear" w:color="000000" w:fill="FFFFFF"/>
            <w:noWrap/>
            <w:vAlign w:val="center"/>
          </w:tcPr>
          <w:p w14:paraId="5C457D3E">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70E2A496">
            <w:pPr>
              <w:spacing w:line="360" w:lineRule="auto"/>
              <w:jc w:val="left"/>
              <w:rPr>
                <w:bCs/>
                <w:kern w:val="0"/>
              </w:rPr>
            </w:pPr>
            <w:r>
              <w:rPr>
                <w:bCs/>
                <w:kern w:val="0"/>
              </w:rPr>
              <w:t>-32,827,929.51</w:t>
            </w:r>
          </w:p>
        </w:tc>
        <w:tc>
          <w:tcPr>
            <w:tcW w:w="2526" w:type="dxa"/>
            <w:tcBorders>
              <w:top w:val="nil"/>
              <w:left w:val="nil"/>
              <w:bottom w:val="single" w:color="auto" w:sz="4" w:space="0"/>
              <w:right w:val="single" w:color="auto" w:sz="4" w:space="0"/>
            </w:tcBorders>
            <w:shd w:val="clear" w:color="000000" w:fill="FFFFFF"/>
            <w:noWrap/>
            <w:vAlign w:val="center"/>
          </w:tcPr>
          <w:p w14:paraId="41D1125E">
            <w:pPr>
              <w:spacing w:line="360" w:lineRule="auto"/>
              <w:jc w:val="left"/>
              <w:rPr>
                <w:bCs/>
                <w:kern w:val="0"/>
              </w:rPr>
            </w:pPr>
            <w:r>
              <w:rPr>
                <w:bCs/>
                <w:kern w:val="0"/>
              </w:rPr>
              <w:t>-40,217,598.69</w:t>
            </w:r>
          </w:p>
        </w:tc>
      </w:tr>
      <w:tr w14:paraId="7EA0DF31">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671AC546">
            <w:pPr>
              <w:widowControl/>
              <w:spacing w:line="360" w:lineRule="auto"/>
              <w:jc w:val="left"/>
              <w:rPr>
                <w:bCs/>
                <w:kern w:val="0"/>
              </w:rPr>
            </w:pPr>
            <w:r>
              <w:rPr>
                <w:bCs/>
                <w:kern w:val="0"/>
              </w:rPr>
              <w:t>三、汇率变动对现金及现金等价物的影响</w:t>
            </w:r>
          </w:p>
        </w:tc>
        <w:tc>
          <w:tcPr>
            <w:tcW w:w="1701" w:type="dxa"/>
            <w:tcBorders>
              <w:top w:val="nil"/>
              <w:left w:val="nil"/>
              <w:bottom w:val="single" w:color="auto" w:sz="4" w:space="0"/>
              <w:right w:val="single" w:color="auto" w:sz="4" w:space="0"/>
            </w:tcBorders>
            <w:shd w:val="clear" w:color="000000" w:fill="FFFFFF"/>
            <w:noWrap/>
            <w:vAlign w:val="center"/>
          </w:tcPr>
          <w:p w14:paraId="090EEF04">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1CF4251A">
            <w:pPr>
              <w:spacing w:line="360" w:lineRule="auto"/>
              <w:jc w:val="left"/>
              <w:rPr>
                <w:bCs/>
                <w:kern w:val="0"/>
              </w:rPr>
            </w:pPr>
            <w:r>
              <w:rPr>
                <w:bCs/>
                <w:kern w:val="0"/>
              </w:rPr>
              <w:t>-</w:t>
            </w:r>
          </w:p>
        </w:tc>
        <w:tc>
          <w:tcPr>
            <w:tcW w:w="2526" w:type="dxa"/>
            <w:tcBorders>
              <w:top w:val="nil"/>
              <w:left w:val="nil"/>
              <w:bottom w:val="single" w:color="auto" w:sz="4" w:space="0"/>
              <w:right w:val="single" w:color="auto" w:sz="4" w:space="0"/>
            </w:tcBorders>
            <w:shd w:val="clear" w:color="000000" w:fill="FFFFFF"/>
            <w:noWrap/>
            <w:vAlign w:val="center"/>
          </w:tcPr>
          <w:p w14:paraId="5D401635">
            <w:pPr>
              <w:spacing w:line="360" w:lineRule="auto"/>
              <w:jc w:val="left"/>
              <w:rPr>
                <w:bCs/>
                <w:kern w:val="0"/>
              </w:rPr>
            </w:pPr>
            <w:r>
              <w:rPr>
                <w:bCs/>
                <w:kern w:val="0"/>
              </w:rPr>
              <w:t>-</w:t>
            </w:r>
          </w:p>
        </w:tc>
      </w:tr>
      <w:tr w14:paraId="519D93B7">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7C9F693C">
            <w:pPr>
              <w:widowControl/>
              <w:spacing w:line="360" w:lineRule="auto"/>
              <w:jc w:val="left"/>
              <w:rPr>
                <w:bCs/>
                <w:kern w:val="0"/>
              </w:rPr>
            </w:pPr>
            <w:r>
              <w:rPr>
                <w:bCs/>
                <w:kern w:val="0"/>
              </w:rPr>
              <w:t>四、现金及现金等价物净增加额</w:t>
            </w:r>
          </w:p>
        </w:tc>
        <w:tc>
          <w:tcPr>
            <w:tcW w:w="1701" w:type="dxa"/>
            <w:tcBorders>
              <w:top w:val="nil"/>
              <w:left w:val="nil"/>
              <w:bottom w:val="single" w:color="auto" w:sz="4" w:space="0"/>
              <w:right w:val="single" w:color="auto" w:sz="4" w:space="0"/>
            </w:tcBorders>
            <w:shd w:val="clear" w:color="000000" w:fill="FFFFFF"/>
            <w:noWrap/>
            <w:vAlign w:val="center"/>
          </w:tcPr>
          <w:p w14:paraId="0A952E8B">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182734D5">
            <w:pPr>
              <w:spacing w:line="360" w:lineRule="auto"/>
              <w:jc w:val="left"/>
              <w:rPr>
                <w:bCs/>
                <w:kern w:val="0"/>
              </w:rPr>
            </w:pPr>
            <w:r>
              <w:rPr>
                <w:bCs/>
                <w:kern w:val="0"/>
              </w:rPr>
              <w:t>3,072,183.33</w:t>
            </w:r>
          </w:p>
        </w:tc>
        <w:tc>
          <w:tcPr>
            <w:tcW w:w="2526" w:type="dxa"/>
            <w:tcBorders>
              <w:top w:val="nil"/>
              <w:left w:val="nil"/>
              <w:bottom w:val="single" w:color="auto" w:sz="4" w:space="0"/>
              <w:right w:val="single" w:color="auto" w:sz="4" w:space="0"/>
            </w:tcBorders>
            <w:shd w:val="clear" w:color="000000" w:fill="FFFFFF"/>
            <w:noWrap/>
            <w:vAlign w:val="center"/>
          </w:tcPr>
          <w:p w14:paraId="33229AE8">
            <w:pPr>
              <w:spacing w:line="360" w:lineRule="auto"/>
              <w:jc w:val="left"/>
              <w:rPr>
                <w:bCs/>
                <w:kern w:val="0"/>
              </w:rPr>
            </w:pPr>
            <w:r>
              <w:rPr>
                <w:bCs/>
                <w:kern w:val="0"/>
              </w:rPr>
              <w:t>4,397.93</w:t>
            </w:r>
          </w:p>
        </w:tc>
      </w:tr>
      <w:tr w14:paraId="094FB137">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2538C0BA">
            <w:pPr>
              <w:widowControl/>
              <w:spacing w:line="360" w:lineRule="auto"/>
              <w:jc w:val="left"/>
              <w:rPr>
                <w:bCs/>
                <w:kern w:val="0"/>
              </w:rPr>
            </w:pPr>
            <w:r>
              <w:rPr>
                <w:bCs/>
                <w:kern w:val="0"/>
              </w:rPr>
              <w:t>加：期初现金及现金等价物余额</w:t>
            </w:r>
          </w:p>
        </w:tc>
        <w:tc>
          <w:tcPr>
            <w:tcW w:w="1701" w:type="dxa"/>
            <w:tcBorders>
              <w:top w:val="nil"/>
              <w:left w:val="nil"/>
              <w:bottom w:val="single" w:color="auto" w:sz="4" w:space="0"/>
              <w:right w:val="single" w:color="auto" w:sz="4" w:space="0"/>
            </w:tcBorders>
            <w:shd w:val="clear" w:color="000000" w:fill="FFFFFF"/>
            <w:noWrap/>
            <w:vAlign w:val="center"/>
          </w:tcPr>
          <w:p w14:paraId="0D4672F8">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62B54DF0">
            <w:pPr>
              <w:spacing w:line="360" w:lineRule="auto"/>
              <w:jc w:val="left"/>
              <w:rPr>
                <w:bCs/>
                <w:kern w:val="0"/>
              </w:rPr>
            </w:pPr>
            <w:r>
              <w:rPr>
                <w:bCs/>
                <w:kern w:val="0"/>
              </w:rPr>
              <w:t>207,786.07</w:t>
            </w:r>
          </w:p>
        </w:tc>
        <w:tc>
          <w:tcPr>
            <w:tcW w:w="2526" w:type="dxa"/>
            <w:tcBorders>
              <w:top w:val="nil"/>
              <w:left w:val="nil"/>
              <w:bottom w:val="single" w:color="auto" w:sz="4" w:space="0"/>
              <w:right w:val="single" w:color="auto" w:sz="4" w:space="0"/>
            </w:tcBorders>
            <w:shd w:val="clear" w:color="000000" w:fill="FFFFFF"/>
            <w:noWrap/>
            <w:vAlign w:val="center"/>
          </w:tcPr>
          <w:p w14:paraId="607BD2B7">
            <w:pPr>
              <w:spacing w:line="360" w:lineRule="auto"/>
              <w:jc w:val="left"/>
              <w:rPr>
                <w:bCs/>
                <w:kern w:val="0"/>
              </w:rPr>
            </w:pPr>
            <w:r>
              <w:rPr>
                <w:bCs/>
                <w:kern w:val="0"/>
              </w:rPr>
              <w:t>209,995.16</w:t>
            </w:r>
          </w:p>
        </w:tc>
      </w:tr>
      <w:tr w14:paraId="7B1984D8">
        <w:tblPrEx>
          <w:tblCellMar>
            <w:top w:w="0" w:type="dxa"/>
            <w:left w:w="108" w:type="dxa"/>
            <w:bottom w:w="0" w:type="dxa"/>
            <w:right w:w="108" w:type="dxa"/>
          </w:tblCellMar>
        </w:tblPrEx>
        <w:trPr>
          <w:trHeight w:val="300" w:hRule="atLeast"/>
        </w:trPr>
        <w:tc>
          <w:tcPr>
            <w:tcW w:w="2287" w:type="dxa"/>
            <w:tcBorders>
              <w:top w:val="nil"/>
              <w:left w:val="single" w:color="auto" w:sz="4" w:space="0"/>
              <w:bottom w:val="single" w:color="auto" w:sz="4" w:space="0"/>
              <w:right w:val="single" w:color="auto" w:sz="4" w:space="0"/>
            </w:tcBorders>
            <w:shd w:val="clear" w:color="000000" w:fill="FFFFFF"/>
            <w:noWrap/>
            <w:vAlign w:val="center"/>
          </w:tcPr>
          <w:p w14:paraId="514E52B0">
            <w:pPr>
              <w:widowControl/>
              <w:spacing w:line="360" w:lineRule="auto"/>
              <w:jc w:val="left"/>
              <w:rPr>
                <w:bCs/>
                <w:kern w:val="0"/>
              </w:rPr>
            </w:pPr>
            <w:r>
              <w:rPr>
                <w:bCs/>
                <w:kern w:val="0"/>
              </w:rPr>
              <w:t>五、期末现金及现金等价物余额</w:t>
            </w:r>
          </w:p>
        </w:tc>
        <w:tc>
          <w:tcPr>
            <w:tcW w:w="1701" w:type="dxa"/>
            <w:tcBorders>
              <w:top w:val="nil"/>
              <w:left w:val="nil"/>
              <w:bottom w:val="single" w:color="auto" w:sz="4" w:space="0"/>
              <w:right w:val="single" w:color="auto" w:sz="4" w:space="0"/>
            </w:tcBorders>
            <w:shd w:val="clear" w:color="000000" w:fill="FFFFFF"/>
            <w:noWrap/>
            <w:vAlign w:val="center"/>
          </w:tcPr>
          <w:p w14:paraId="44C6FD42">
            <w:pPr>
              <w:widowControl/>
              <w:spacing w:line="360" w:lineRule="auto"/>
              <w:jc w:val="center"/>
              <w:rPr>
                <w:bCs/>
                <w:kern w:val="0"/>
              </w:rPr>
            </w:pPr>
          </w:p>
        </w:tc>
        <w:tc>
          <w:tcPr>
            <w:tcW w:w="2525" w:type="dxa"/>
            <w:tcBorders>
              <w:top w:val="nil"/>
              <w:left w:val="nil"/>
              <w:bottom w:val="single" w:color="auto" w:sz="4" w:space="0"/>
              <w:right w:val="single" w:color="auto" w:sz="4" w:space="0"/>
            </w:tcBorders>
            <w:shd w:val="clear" w:color="000000" w:fill="FFFFFF"/>
            <w:noWrap/>
            <w:vAlign w:val="center"/>
          </w:tcPr>
          <w:p w14:paraId="20EEA638">
            <w:pPr>
              <w:spacing w:line="360" w:lineRule="auto"/>
              <w:jc w:val="left"/>
              <w:rPr>
                <w:bCs/>
                <w:kern w:val="0"/>
              </w:rPr>
            </w:pPr>
            <w:r>
              <w:rPr>
                <w:bCs/>
                <w:kern w:val="0"/>
              </w:rPr>
              <w:t>3,279,969.40</w:t>
            </w:r>
          </w:p>
        </w:tc>
        <w:tc>
          <w:tcPr>
            <w:tcW w:w="2526" w:type="dxa"/>
            <w:tcBorders>
              <w:top w:val="nil"/>
              <w:left w:val="nil"/>
              <w:bottom w:val="single" w:color="auto" w:sz="4" w:space="0"/>
              <w:right w:val="single" w:color="auto" w:sz="4" w:space="0"/>
            </w:tcBorders>
            <w:shd w:val="clear" w:color="000000" w:fill="FFFFFF"/>
            <w:noWrap/>
            <w:vAlign w:val="center"/>
          </w:tcPr>
          <w:p w14:paraId="7E6B72A1">
            <w:pPr>
              <w:spacing w:line="360" w:lineRule="auto"/>
              <w:jc w:val="left"/>
              <w:rPr>
                <w:bCs/>
                <w:kern w:val="0"/>
              </w:rPr>
            </w:pPr>
            <w:r>
              <w:rPr>
                <w:bCs/>
                <w:kern w:val="0"/>
              </w:rPr>
              <w:t>214,393.09</w:t>
            </w:r>
          </w:p>
        </w:tc>
      </w:tr>
    </w:tbl>
    <w:p w14:paraId="3AF31301">
      <w:pPr>
        <w:pStyle w:val="3"/>
        <w:rPr>
          <w:rFonts w:ascii="Times New Roman" w:hAnsi="Times New Roman" w:cs="Times New Roman"/>
          <w:sz w:val="21"/>
          <w:szCs w:val="21"/>
        </w:rPr>
      </w:pPr>
      <w:bookmarkStart w:id="332" w:name="_Toc98512412"/>
      <w:bookmarkStart w:id="333" w:name="_Toc98508993"/>
      <w:bookmarkStart w:id="334" w:name="_Toc98601353"/>
      <w:bookmarkStart w:id="335" w:name="_Toc98603021"/>
      <w:bookmarkStart w:id="336" w:name="_Toc98511656"/>
      <w:bookmarkStart w:id="337" w:name="_Toc86080616"/>
      <w:bookmarkStart w:id="338" w:name="_Toc15352"/>
      <w:bookmarkStart w:id="339" w:name="_Toc98602702"/>
      <w:r>
        <w:rPr>
          <w:rFonts w:ascii="Times New Roman" w:hAnsi="Times New Roman" w:cs="Times New Roman"/>
          <w:kern w:val="0"/>
          <w:sz w:val="21"/>
          <w:szCs w:val="21"/>
        </w:rPr>
        <w:t>9.4</w:t>
      </w:r>
      <w:r>
        <w:rPr>
          <w:rFonts w:ascii="Times New Roman" w:hAnsi="Times New Roman" w:cs="Times New Roman"/>
          <w:sz w:val="21"/>
          <w:szCs w:val="21"/>
        </w:rPr>
        <w:t xml:space="preserve"> 所有者权益变动表</w:t>
      </w:r>
      <w:bookmarkEnd w:id="332"/>
      <w:bookmarkEnd w:id="333"/>
      <w:bookmarkEnd w:id="334"/>
      <w:bookmarkEnd w:id="335"/>
      <w:bookmarkEnd w:id="336"/>
      <w:bookmarkEnd w:id="337"/>
      <w:bookmarkEnd w:id="338"/>
      <w:bookmarkEnd w:id="339"/>
    </w:p>
    <w:p w14:paraId="1A2CDB84">
      <w:pPr>
        <w:spacing w:line="360" w:lineRule="auto"/>
        <w:outlineLvl w:val="2"/>
        <w:rPr>
          <w:b/>
        </w:rPr>
      </w:pPr>
      <w:bookmarkStart w:id="340" w:name="_Toc96424957"/>
      <w:bookmarkStart w:id="341" w:name="_Toc98601354"/>
      <w:bookmarkStart w:id="342" w:name="_Toc98602703"/>
      <w:r>
        <w:rPr>
          <w:b/>
          <w:kern w:val="0"/>
        </w:rPr>
        <w:t>9.4.1</w:t>
      </w:r>
      <w:r>
        <w:rPr>
          <w:b/>
        </w:rPr>
        <w:t xml:space="preserve">  合并所有者权益（基金净值）变动表</w:t>
      </w:r>
      <w:bookmarkEnd w:id="340"/>
      <w:bookmarkEnd w:id="341"/>
      <w:bookmarkEnd w:id="342"/>
    </w:p>
    <w:p w14:paraId="45EE1BBD">
      <w:pPr>
        <w:spacing w:line="360" w:lineRule="auto"/>
        <w:rPr>
          <w:kern w:val="0"/>
        </w:rPr>
      </w:pPr>
      <w:r>
        <w:t>会计主体：</w:t>
      </w:r>
      <w:r>
        <w:rPr>
          <w:kern w:val="0"/>
        </w:rPr>
        <w:t>博时招商蛇口产业园封闭式基础设施证券投资基金</w:t>
      </w:r>
    </w:p>
    <w:p w14:paraId="5AAAF1C2">
      <w:pPr>
        <w:spacing w:line="360" w:lineRule="auto"/>
        <w:rPr>
          <w:kern w:val="0"/>
        </w:rPr>
      </w:pPr>
      <w:r>
        <w:t>本报告期：</w:t>
      </w:r>
      <w:r>
        <w:rPr>
          <w:kern w:val="0"/>
        </w:rPr>
        <w:t>2026年1月1日至2026年6月30日</w:t>
      </w:r>
    </w:p>
    <w:p w14:paraId="6B097FFB">
      <w:pPr>
        <w:spacing w:line="360" w:lineRule="auto"/>
        <w:ind w:right="565" w:rightChars="269"/>
        <w:jc w:val="right"/>
        <w:rPr>
          <w:b/>
        </w:rPr>
      </w:pPr>
      <w:r>
        <w:t>单位：人民币元</w:t>
      </w:r>
    </w:p>
    <w:tbl>
      <w:tblPr>
        <w:tblStyle w:val="40"/>
        <w:tblW w:w="54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7"/>
        <w:gridCol w:w="1530"/>
        <w:gridCol w:w="465"/>
        <w:gridCol w:w="1470"/>
        <w:gridCol w:w="710"/>
        <w:gridCol w:w="415"/>
        <w:gridCol w:w="465"/>
        <w:gridCol w:w="1489"/>
        <w:gridCol w:w="1556"/>
      </w:tblGrid>
      <w:tr w14:paraId="79B1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Merge w:val="restart"/>
            <w:vAlign w:val="center"/>
          </w:tcPr>
          <w:p w14:paraId="667FBE96">
            <w:pPr>
              <w:spacing w:line="360" w:lineRule="auto"/>
              <w:jc w:val="center"/>
              <w:rPr>
                <w:b/>
                <w:sz w:val="18"/>
                <w:szCs w:val="18"/>
              </w:rPr>
            </w:pPr>
            <w:bookmarkStart w:id="343" w:name="_Hlk91689483"/>
            <w:bookmarkStart w:id="344" w:name="_Hlk91601582"/>
            <w:r>
              <w:rPr>
                <w:b/>
                <w:sz w:val="18"/>
                <w:szCs w:val="18"/>
              </w:rPr>
              <w:t>项目</w:t>
            </w:r>
          </w:p>
        </w:tc>
        <w:tc>
          <w:tcPr>
            <w:tcW w:w="8100" w:type="dxa"/>
            <w:gridSpan w:val="8"/>
            <w:vAlign w:val="center"/>
          </w:tcPr>
          <w:p w14:paraId="4DBF6AD1">
            <w:pPr>
              <w:spacing w:line="360" w:lineRule="auto"/>
              <w:jc w:val="center"/>
              <w:rPr>
                <w:b/>
                <w:sz w:val="18"/>
                <w:szCs w:val="18"/>
              </w:rPr>
            </w:pPr>
            <w:r>
              <w:rPr>
                <w:b/>
                <w:sz w:val="18"/>
                <w:szCs w:val="18"/>
              </w:rPr>
              <w:t>本期</w:t>
            </w:r>
          </w:p>
          <w:p w14:paraId="4371A419">
            <w:pPr>
              <w:spacing w:line="360" w:lineRule="auto"/>
              <w:jc w:val="center"/>
              <w:rPr>
                <w:b/>
                <w:sz w:val="18"/>
                <w:szCs w:val="18"/>
              </w:rPr>
            </w:pPr>
            <w:r>
              <w:rPr>
                <w:b/>
                <w:sz w:val="18"/>
                <w:szCs w:val="18"/>
              </w:rPr>
              <w:t>2026年1月1日至2026年6月30日</w:t>
            </w:r>
          </w:p>
        </w:tc>
      </w:tr>
      <w:tr w14:paraId="44B7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Merge w:val="continue"/>
            <w:vAlign w:val="center"/>
          </w:tcPr>
          <w:p w14:paraId="1F2053DF">
            <w:pPr>
              <w:spacing w:line="360" w:lineRule="auto"/>
              <w:jc w:val="center"/>
              <w:rPr>
                <w:b/>
                <w:sz w:val="18"/>
                <w:szCs w:val="18"/>
              </w:rPr>
            </w:pPr>
          </w:p>
        </w:tc>
        <w:tc>
          <w:tcPr>
            <w:tcW w:w="1530" w:type="dxa"/>
            <w:vAlign w:val="center"/>
          </w:tcPr>
          <w:p w14:paraId="363E5646">
            <w:pPr>
              <w:spacing w:line="360" w:lineRule="auto"/>
              <w:jc w:val="center"/>
              <w:rPr>
                <w:b/>
                <w:sz w:val="18"/>
                <w:szCs w:val="18"/>
              </w:rPr>
            </w:pPr>
            <w:r>
              <w:rPr>
                <w:b/>
                <w:sz w:val="18"/>
                <w:szCs w:val="18"/>
              </w:rPr>
              <w:t>实收</w:t>
            </w:r>
          </w:p>
          <w:p w14:paraId="1080811E">
            <w:pPr>
              <w:spacing w:line="360" w:lineRule="auto"/>
              <w:jc w:val="center"/>
              <w:rPr>
                <w:b/>
                <w:sz w:val="18"/>
                <w:szCs w:val="18"/>
              </w:rPr>
            </w:pPr>
            <w:r>
              <w:rPr>
                <w:b/>
                <w:sz w:val="18"/>
                <w:szCs w:val="18"/>
              </w:rPr>
              <w:t>基金</w:t>
            </w:r>
          </w:p>
        </w:tc>
        <w:tc>
          <w:tcPr>
            <w:tcW w:w="465" w:type="dxa"/>
            <w:vAlign w:val="center"/>
          </w:tcPr>
          <w:p w14:paraId="2CE60C87">
            <w:pPr>
              <w:spacing w:line="360" w:lineRule="auto"/>
              <w:jc w:val="center"/>
              <w:rPr>
                <w:b/>
                <w:sz w:val="18"/>
                <w:szCs w:val="18"/>
              </w:rPr>
            </w:pPr>
            <w:r>
              <w:rPr>
                <w:b/>
                <w:sz w:val="18"/>
                <w:szCs w:val="18"/>
              </w:rPr>
              <w:t>其他权益工具</w:t>
            </w:r>
          </w:p>
        </w:tc>
        <w:tc>
          <w:tcPr>
            <w:tcW w:w="1470" w:type="dxa"/>
            <w:vAlign w:val="center"/>
          </w:tcPr>
          <w:p w14:paraId="107B6C77">
            <w:pPr>
              <w:spacing w:line="360" w:lineRule="auto"/>
              <w:jc w:val="center"/>
              <w:rPr>
                <w:b/>
                <w:sz w:val="18"/>
                <w:szCs w:val="18"/>
              </w:rPr>
            </w:pPr>
            <w:r>
              <w:rPr>
                <w:b/>
                <w:sz w:val="18"/>
                <w:szCs w:val="18"/>
              </w:rPr>
              <w:t>资本</w:t>
            </w:r>
          </w:p>
          <w:p w14:paraId="69FCC767">
            <w:pPr>
              <w:spacing w:line="360" w:lineRule="auto"/>
              <w:jc w:val="center"/>
              <w:rPr>
                <w:b/>
                <w:sz w:val="18"/>
                <w:szCs w:val="18"/>
              </w:rPr>
            </w:pPr>
            <w:r>
              <w:rPr>
                <w:b/>
                <w:sz w:val="18"/>
                <w:szCs w:val="18"/>
              </w:rPr>
              <w:t>公积</w:t>
            </w:r>
          </w:p>
        </w:tc>
        <w:tc>
          <w:tcPr>
            <w:tcW w:w="710" w:type="dxa"/>
            <w:vAlign w:val="center"/>
          </w:tcPr>
          <w:p w14:paraId="217AA0C6">
            <w:pPr>
              <w:spacing w:line="360" w:lineRule="auto"/>
              <w:jc w:val="center"/>
              <w:rPr>
                <w:b/>
                <w:sz w:val="18"/>
                <w:szCs w:val="18"/>
              </w:rPr>
            </w:pPr>
            <w:r>
              <w:rPr>
                <w:b/>
                <w:sz w:val="18"/>
                <w:szCs w:val="18"/>
              </w:rPr>
              <w:t>其他</w:t>
            </w:r>
          </w:p>
          <w:p w14:paraId="7876840C">
            <w:pPr>
              <w:spacing w:line="360" w:lineRule="auto"/>
              <w:jc w:val="center"/>
              <w:rPr>
                <w:b/>
                <w:sz w:val="18"/>
                <w:szCs w:val="18"/>
              </w:rPr>
            </w:pPr>
            <w:r>
              <w:rPr>
                <w:b/>
                <w:sz w:val="18"/>
                <w:szCs w:val="18"/>
              </w:rPr>
              <w:t>综合收益</w:t>
            </w:r>
          </w:p>
        </w:tc>
        <w:tc>
          <w:tcPr>
            <w:tcW w:w="415" w:type="dxa"/>
            <w:vAlign w:val="center"/>
          </w:tcPr>
          <w:p w14:paraId="75B4C26F">
            <w:pPr>
              <w:spacing w:line="360" w:lineRule="auto"/>
              <w:jc w:val="center"/>
              <w:rPr>
                <w:b/>
                <w:sz w:val="18"/>
                <w:szCs w:val="18"/>
              </w:rPr>
            </w:pPr>
            <w:r>
              <w:rPr>
                <w:b/>
                <w:sz w:val="18"/>
                <w:szCs w:val="18"/>
              </w:rPr>
              <w:t>专项储备</w:t>
            </w:r>
          </w:p>
        </w:tc>
        <w:tc>
          <w:tcPr>
            <w:tcW w:w="465" w:type="dxa"/>
            <w:vAlign w:val="center"/>
          </w:tcPr>
          <w:p w14:paraId="329402C1">
            <w:pPr>
              <w:spacing w:line="360" w:lineRule="auto"/>
              <w:jc w:val="center"/>
              <w:rPr>
                <w:b/>
                <w:sz w:val="18"/>
                <w:szCs w:val="18"/>
              </w:rPr>
            </w:pPr>
            <w:r>
              <w:rPr>
                <w:b/>
                <w:sz w:val="18"/>
                <w:szCs w:val="18"/>
              </w:rPr>
              <w:t>盈余</w:t>
            </w:r>
          </w:p>
          <w:p w14:paraId="733A6546">
            <w:pPr>
              <w:spacing w:line="360" w:lineRule="auto"/>
              <w:jc w:val="center"/>
              <w:rPr>
                <w:b/>
                <w:sz w:val="18"/>
                <w:szCs w:val="18"/>
              </w:rPr>
            </w:pPr>
            <w:r>
              <w:rPr>
                <w:b/>
                <w:sz w:val="18"/>
                <w:szCs w:val="18"/>
              </w:rPr>
              <w:t>公积</w:t>
            </w:r>
          </w:p>
        </w:tc>
        <w:tc>
          <w:tcPr>
            <w:tcW w:w="1489" w:type="dxa"/>
            <w:vAlign w:val="center"/>
          </w:tcPr>
          <w:p w14:paraId="224C335B">
            <w:pPr>
              <w:spacing w:line="360" w:lineRule="auto"/>
              <w:jc w:val="center"/>
              <w:rPr>
                <w:b/>
                <w:sz w:val="18"/>
                <w:szCs w:val="18"/>
              </w:rPr>
            </w:pPr>
            <w:r>
              <w:rPr>
                <w:b/>
                <w:sz w:val="18"/>
                <w:szCs w:val="18"/>
              </w:rPr>
              <w:t>未分配</w:t>
            </w:r>
          </w:p>
          <w:p w14:paraId="605AE686">
            <w:pPr>
              <w:spacing w:line="360" w:lineRule="auto"/>
              <w:jc w:val="center"/>
              <w:rPr>
                <w:b/>
                <w:sz w:val="18"/>
                <w:szCs w:val="18"/>
              </w:rPr>
            </w:pPr>
            <w:r>
              <w:rPr>
                <w:b/>
                <w:sz w:val="18"/>
                <w:szCs w:val="18"/>
              </w:rPr>
              <w:t>利润</w:t>
            </w:r>
          </w:p>
        </w:tc>
        <w:tc>
          <w:tcPr>
            <w:tcW w:w="1556" w:type="dxa"/>
            <w:vAlign w:val="center"/>
          </w:tcPr>
          <w:p w14:paraId="1A4A92ED">
            <w:pPr>
              <w:spacing w:line="360" w:lineRule="auto"/>
              <w:jc w:val="center"/>
              <w:rPr>
                <w:b/>
                <w:sz w:val="18"/>
                <w:szCs w:val="18"/>
              </w:rPr>
            </w:pPr>
            <w:r>
              <w:rPr>
                <w:b/>
                <w:sz w:val="18"/>
                <w:szCs w:val="18"/>
              </w:rPr>
              <w:t>所有者权益</w:t>
            </w:r>
          </w:p>
          <w:p w14:paraId="39F34552">
            <w:pPr>
              <w:spacing w:line="360" w:lineRule="auto"/>
              <w:jc w:val="center"/>
              <w:rPr>
                <w:b/>
                <w:sz w:val="18"/>
                <w:szCs w:val="18"/>
              </w:rPr>
            </w:pPr>
            <w:r>
              <w:rPr>
                <w:b/>
                <w:sz w:val="18"/>
                <w:szCs w:val="18"/>
              </w:rPr>
              <w:t>合计</w:t>
            </w:r>
          </w:p>
        </w:tc>
      </w:tr>
      <w:tr w14:paraId="06E4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42AA3ED3">
            <w:pPr>
              <w:spacing w:line="360" w:lineRule="auto"/>
              <w:rPr>
                <w:b/>
                <w:bCs/>
                <w:sz w:val="18"/>
                <w:szCs w:val="18"/>
              </w:rPr>
            </w:pPr>
            <w:r>
              <w:rPr>
                <w:b/>
                <w:bCs/>
                <w:sz w:val="18"/>
                <w:szCs w:val="18"/>
              </w:rPr>
              <w:t>一、上期期末余额</w:t>
            </w:r>
          </w:p>
        </w:tc>
        <w:tc>
          <w:tcPr>
            <w:tcW w:w="1530" w:type="dxa"/>
            <w:vAlign w:val="center"/>
          </w:tcPr>
          <w:p w14:paraId="1839059D">
            <w:pPr>
              <w:spacing w:line="360" w:lineRule="auto"/>
              <w:jc w:val="center"/>
              <w:rPr>
                <w:sz w:val="18"/>
                <w:szCs w:val="18"/>
              </w:rPr>
            </w:pPr>
            <w:r>
              <w:rPr>
                <w:sz w:val="18"/>
                <w:szCs w:val="18"/>
              </w:rPr>
              <w:t>1,421,130,866.00</w:t>
            </w:r>
          </w:p>
        </w:tc>
        <w:tc>
          <w:tcPr>
            <w:tcW w:w="465" w:type="dxa"/>
            <w:vAlign w:val="center"/>
          </w:tcPr>
          <w:p w14:paraId="5E990D28">
            <w:pPr>
              <w:spacing w:line="360" w:lineRule="auto"/>
              <w:jc w:val="center"/>
              <w:rPr>
                <w:sz w:val="18"/>
                <w:szCs w:val="18"/>
              </w:rPr>
            </w:pPr>
            <w:r>
              <w:rPr>
                <w:sz w:val="18"/>
                <w:szCs w:val="18"/>
              </w:rPr>
              <w:t>-</w:t>
            </w:r>
          </w:p>
        </w:tc>
        <w:tc>
          <w:tcPr>
            <w:tcW w:w="1470" w:type="dxa"/>
            <w:vAlign w:val="center"/>
          </w:tcPr>
          <w:p w14:paraId="309AAF6B">
            <w:pPr>
              <w:spacing w:line="360" w:lineRule="auto"/>
              <w:jc w:val="center"/>
              <w:rPr>
                <w:sz w:val="18"/>
                <w:szCs w:val="18"/>
              </w:rPr>
            </w:pPr>
            <w:r>
              <w:rPr>
                <w:sz w:val="18"/>
                <w:szCs w:val="18"/>
              </w:rPr>
              <w:t>1,901,808,511.21</w:t>
            </w:r>
          </w:p>
        </w:tc>
        <w:tc>
          <w:tcPr>
            <w:tcW w:w="710" w:type="dxa"/>
            <w:vAlign w:val="center"/>
          </w:tcPr>
          <w:p w14:paraId="39486753">
            <w:pPr>
              <w:spacing w:line="360" w:lineRule="auto"/>
              <w:jc w:val="center"/>
              <w:rPr>
                <w:sz w:val="18"/>
                <w:szCs w:val="18"/>
              </w:rPr>
            </w:pPr>
            <w:r>
              <w:rPr>
                <w:sz w:val="18"/>
                <w:szCs w:val="18"/>
              </w:rPr>
              <w:t>-</w:t>
            </w:r>
          </w:p>
        </w:tc>
        <w:tc>
          <w:tcPr>
            <w:tcW w:w="415" w:type="dxa"/>
            <w:vAlign w:val="center"/>
          </w:tcPr>
          <w:p w14:paraId="29B0B19F">
            <w:pPr>
              <w:spacing w:line="360" w:lineRule="auto"/>
              <w:jc w:val="center"/>
              <w:rPr>
                <w:sz w:val="18"/>
                <w:szCs w:val="18"/>
              </w:rPr>
            </w:pPr>
            <w:r>
              <w:rPr>
                <w:sz w:val="18"/>
                <w:szCs w:val="18"/>
              </w:rPr>
              <w:t>-</w:t>
            </w:r>
          </w:p>
        </w:tc>
        <w:tc>
          <w:tcPr>
            <w:tcW w:w="465" w:type="dxa"/>
            <w:vAlign w:val="center"/>
          </w:tcPr>
          <w:p w14:paraId="7A9AEBC3">
            <w:pPr>
              <w:spacing w:line="360" w:lineRule="auto"/>
              <w:jc w:val="center"/>
              <w:rPr>
                <w:sz w:val="18"/>
                <w:szCs w:val="18"/>
              </w:rPr>
            </w:pPr>
            <w:r>
              <w:rPr>
                <w:sz w:val="18"/>
                <w:szCs w:val="18"/>
              </w:rPr>
              <w:t>-</w:t>
            </w:r>
          </w:p>
        </w:tc>
        <w:tc>
          <w:tcPr>
            <w:tcW w:w="1489" w:type="dxa"/>
            <w:vAlign w:val="center"/>
          </w:tcPr>
          <w:p w14:paraId="2453913A">
            <w:pPr>
              <w:spacing w:line="360" w:lineRule="auto"/>
              <w:jc w:val="center"/>
              <w:rPr>
                <w:sz w:val="18"/>
                <w:szCs w:val="18"/>
              </w:rPr>
            </w:pPr>
            <w:r>
              <w:rPr>
                <w:sz w:val="18"/>
                <w:szCs w:val="18"/>
              </w:rPr>
              <w:t>-305,138,984.51</w:t>
            </w:r>
          </w:p>
        </w:tc>
        <w:tc>
          <w:tcPr>
            <w:tcW w:w="1556" w:type="dxa"/>
            <w:vAlign w:val="center"/>
          </w:tcPr>
          <w:p w14:paraId="34F71B70">
            <w:pPr>
              <w:spacing w:line="360" w:lineRule="auto"/>
              <w:jc w:val="center"/>
              <w:rPr>
                <w:sz w:val="18"/>
                <w:szCs w:val="18"/>
              </w:rPr>
            </w:pPr>
            <w:r>
              <w:rPr>
                <w:sz w:val="18"/>
                <w:szCs w:val="18"/>
              </w:rPr>
              <w:t>3,017,800,392.70</w:t>
            </w:r>
          </w:p>
        </w:tc>
      </w:tr>
      <w:tr w14:paraId="69FB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0388495E">
            <w:pPr>
              <w:spacing w:line="360" w:lineRule="auto"/>
              <w:rPr>
                <w:sz w:val="18"/>
                <w:szCs w:val="18"/>
              </w:rPr>
            </w:pPr>
            <w:r>
              <w:rPr>
                <w:sz w:val="18"/>
                <w:szCs w:val="18"/>
              </w:rPr>
              <w:t>加：会计政策变更</w:t>
            </w:r>
          </w:p>
        </w:tc>
        <w:tc>
          <w:tcPr>
            <w:tcW w:w="1530" w:type="dxa"/>
            <w:vAlign w:val="center"/>
          </w:tcPr>
          <w:p w14:paraId="1E734E1A">
            <w:pPr>
              <w:spacing w:line="360" w:lineRule="auto"/>
              <w:jc w:val="center"/>
              <w:rPr>
                <w:sz w:val="18"/>
                <w:szCs w:val="18"/>
              </w:rPr>
            </w:pPr>
            <w:r>
              <w:rPr>
                <w:sz w:val="18"/>
                <w:szCs w:val="18"/>
              </w:rPr>
              <w:t>-</w:t>
            </w:r>
          </w:p>
        </w:tc>
        <w:tc>
          <w:tcPr>
            <w:tcW w:w="465" w:type="dxa"/>
            <w:vAlign w:val="center"/>
          </w:tcPr>
          <w:p w14:paraId="488802B4">
            <w:pPr>
              <w:spacing w:line="360" w:lineRule="auto"/>
              <w:jc w:val="center"/>
              <w:rPr>
                <w:sz w:val="18"/>
                <w:szCs w:val="18"/>
              </w:rPr>
            </w:pPr>
            <w:r>
              <w:rPr>
                <w:sz w:val="18"/>
                <w:szCs w:val="18"/>
              </w:rPr>
              <w:t>-</w:t>
            </w:r>
          </w:p>
        </w:tc>
        <w:tc>
          <w:tcPr>
            <w:tcW w:w="1470" w:type="dxa"/>
            <w:vAlign w:val="center"/>
          </w:tcPr>
          <w:p w14:paraId="24DC8344">
            <w:pPr>
              <w:spacing w:line="360" w:lineRule="auto"/>
              <w:jc w:val="center"/>
              <w:rPr>
                <w:sz w:val="18"/>
                <w:szCs w:val="18"/>
              </w:rPr>
            </w:pPr>
            <w:r>
              <w:rPr>
                <w:sz w:val="18"/>
                <w:szCs w:val="18"/>
              </w:rPr>
              <w:t>-</w:t>
            </w:r>
          </w:p>
        </w:tc>
        <w:tc>
          <w:tcPr>
            <w:tcW w:w="710" w:type="dxa"/>
            <w:vAlign w:val="center"/>
          </w:tcPr>
          <w:p w14:paraId="3AA4934E">
            <w:pPr>
              <w:spacing w:line="360" w:lineRule="auto"/>
              <w:jc w:val="center"/>
              <w:rPr>
                <w:sz w:val="18"/>
                <w:szCs w:val="18"/>
              </w:rPr>
            </w:pPr>
            <w:r>
              <w:rPr>
                <w:sz w:val="18"/>
                <w:szCs w:val="18"/>
              </w:rPr>
              <w:t>-</w:t>
            </w:r>
          </w:p>
        </w:tc>
        <w:tc>
          <w:tcPr>
            <w:tcW w:w="415" w:type="dxa"/>
            <w:vAlign w:val="center"/>
          </w:tcPr>
          <w:p w14:paraId="56B3FBBD">
            <w:pPr>
              <w:spacing w:line="360" w:lineRule="auto"/>
              <w:jc w:val="center"/>
              <w:rPr>
                <w:sz w:val="18"/>
                <w:szCs w:val="18"/>
              </w:rPr>
            </w:pPr>
            <w:r>
              <w:rPr>
                <w:sz w:val="18"/>
                <w:szCs w:val="18"/>
              </w:rPr>
              <w:t>-</w:t>
            </w:r>
          </w:p>
        </w:tc>
        <w:tc>
          <w:tcPr>
            <w:tcW w:w="465" w:type="dxa"/>
            <w:vAlign w:val="center"/>
          </w:tcPr>
          <w:p w14:paraId="51CD6AC9">
            <w:pPr>
              <w:spacing w:line="360" w:lineRule="auto"/>
              <w:jc w:val="center"/>
              <w:rPr>
                <w:sz w:val="18"/>
                <w:szCs w:val="18"/>
              </w:rPr>
            </w:pPr>
            <w:r>
              <w:rPr>
                <w:sz w:val="18"/>
                <w:szCs w:val="18"/>
              </w:rPr>
              <w:t>-</w:t>
            </w:r>
          </w:p>
        </w:tc>
        <w:tc>
          <w:tcPr>
            <w:tcW w:w="1489" w:type="dxa"/>
            <w:vAlign w:val="center"/>
          </w:tcPr>
          <w:p w14:paraId="508674CA">
            <w:pPr>
              <w:spacing w:line="360" w:lineRule="auto"/>
              <w:jc w:val="center"/>
              <w:rPr>
                <w:sz w:val="18"/>
                <w:szCs w:val="18"/>
              </w:rPr>
            </w:pPr>
            <w:r>
              <w:rPr>
                <w:sz w:val="18"/>
                <w:szCs w:val="18"/>
              </w:rPr>
              <w:t>-</w:t>
            </w:r>
          </w:p>
        </w:tc>
        <w:tc>
          <w:tcPr>
            <w:tcW w:w="1556" w:type="dxa"/>
            <w:vAlign w:val="center"/>
          </w:tcPr>
          <w:p w14:paraId="513B4612">
            <w:pPr>
              <w:spacing w:line="360" w:lineRule="auto"/>
              <w:jc w:val="center"/>
              <w:rPr>
                <w:sz w:val="18"/>
                <w:szCs w:val="18"/>
              </w:rPr>
            </w:pPr>
            <w:r>
              <w:rPr>
                <w:sz w:val="18"/>
                <w:szCs w:val="18"/>
              </w:rPr>
              <w:t>-</w:t>
            </w:r>
          </w:p>
        </w:tc>
      </w:tr>
      <w:tr w14:paraId="3AC19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00F8217A">
            <w:pPr>
              <w:spacing w:line="360" w:lineRule="auto"/>
              <w:ind w:firstLine="475"/>
              <w:rPr>
                <w:sz w:val="18"/>
                <w:szCs w:val="18"/>
              </w:rPr>
            </w:pPr>
            <w:r>
              <w:rPr>
                <w:sz w:val="18"/>
                <w:szCs w:val="18"/>
              </w:rPr>
              <w:t>前期差错更正</w:t>
            </w:r>
          </w:p>
        </w:tc>
        <w:tc>
          <w:tcPr>
            <w:tcW w:w="1530" w:type="dxa"/>
            <w:vAlign w:val="center"/>
          </w:tcPr>
          <w:p w14:paraId="4A28FB6B">
            <w:pPr>
              <w:spacing w:line="360" w:lineRule="auto"/>
              <w:jc w:val="center"/>
              <w:rPr>
                <w:sz w:val="18"/>
                <w:szCs w:val="18"/>
              </w:rPr>
            </w:pPr>
            <w:r>
              <w:rPr>
                <w:sz w:val="18"/>
                <w:szCs w:val="18"/>
              </w:rPr>
              <w:t>-</w:t>
            </w:r>
          </w:p>
        </w:tc>
        <w:tc>
          <w:tcPr>
            <w:tcW w:w="465" w:type="dxa"/>
            <w:vAlign w:val="center"/>
          </w:tcPr>
          <w:p w14:paraId="21421742">
            <w:pPr>
              <w:spacing w:line="360" w:lineRule="auto"/>
              <w:jc w:val="center"/>
              <w:rPr>
                <w:sz w:val="18"/>
                <w:szCs w:val="18"/>
              </w:rPr>
            </w:pPr>
            <w:r>
              <w:rPr>
                <w:sz w:val="18"/>
                <w:szCs w:val="18"/>
              </w:rPr>
              <w:t>-</w:t>
            </w:r>
          </w:p>
        </w:tc>
        <w:tc>
          <w:tcPr>
            <w:tcW w:w="1470" w:type="dxa"/>
            <w:vAlign w:val="center"/>
          </w:tcPr>
          <w:p w14:paraId="7F8306AE">
            <w:pPr>
              <w:spacing w:line="360" w:lineRule="auto"/>
              <w:jc w:val="center"/>
              <w:rPr>
                <w:sz w:val="18"/>
                <w:szCs w:val="18"/>
              </w:rPr>
            </w:pPr>
            <w:r>
              <w:rPr>
                <w:sz w:val="18"/>
                <w:szCs w:val="18"/>
              </w:rPr>
              <w:t>-</w:t>
            </w:r>
          </w:p>
        </w:tc>
        <w:tc>
          <w:tcPr>
            <w:tcW w:w="710" w:type="dxa"/>
            <w:vAlign w:val="center"/>
          </w:tcPr>
          <w:p w14:paraId="60A43AE5">
            <w:pPr>
              <w:spacing w:line="360" w:lineRule="auto"/>
              <w:jc w:val="center"/>
              <w:rPr>
                <w:sz w:val="18"/>
                <w:szCs w:val="18"/>
              </w:rPr>
            </w:pPr>
            <w:r>
              <w:rPr>
                <w:sz w:val="18"/>
                <w:szCs w:val="18"/>
              </w:rPr>
              <w:t>-</w:t>
            </w:r>
          </w:p>
        </w:tc>
        <w:tc>
          <w:tcPr>
            <w:tcW w:w="415" w:type="dxa"/>
            <w:vAlign w:val="center"/>
          </w:tcPr>
          <w:p w14:paraId="17743C6F">
            <w:pPr>
              <w:spacing w:line="360" w:lineRule="auto"/>
              <w:jc w:val="center"/>
              <w:rPr>
                <w:sz w:val="18"/>
                <w:szCs w:val="18"/>
              </w:rPr>
            </w:pPr>
            <w:r>
              <w:rPr>
                <w:sz w:val="18"/>
                <w:szCs w:val="18"/>
              </w:rPr>
              <w:t>-</w:t>
            </w:r>
          </w:p>
        </w:tc>
        <w:tc>
          <w:tcPr>
            <w:tcW w:w="465" w:type="dxa"/>
            <w:vAlign w:val="center"/>
          </w:tcPr>
          <w:p w14:paraId="613F2E9C">
            <w:pPr>
              <w:spacing w:line="360" w:lineRule="auto"/>
              <w:jc w:val="center"/>
              <w:rPr>
                <w:sz w:val="18"/>
                <w:szCs w:val="18"/>
              </w:rPr>
            </w:pPr>
            <w:r>
              <w:rPr>
                <w:sz w:val="18"/>
                <w:szCs w:val="18"/>
              </w:rPr>
              <w:t>-</w:t>
            </w:r>
          </w:p>
        </w:tc>
        <w:tc>
          <w:tcPr>
            <w:tcW w:w="1489" w:type="dxa"/>
            <w:vAlign w:val="center"/>
          </w:tcPr>
          <w:p w14:paraId="4FEC1107">
            <w:pPr>
              <w:spacing w:line="360" w:lineRule="auto"/>
              <w:jc w:val="center"/>
              <w:rPr>
                <w:sz w:val="18"/>
                <w:szCs w:val="18"/>
              </w:rPr>
            </w:pPr>
            <w:r>
              <w:rPr>
                <w:sz w:val="18"/>
                <w:szCs w:val="18"/>
              </w:rPr>
              <w:t>-</w:t>
            </w:r>
          </w:p>
        </w:tc>
        <w:tc>
          <w:tcPr>
            <w:tcW w:w="1556" w:type="dxa"/>
            <w:vAlign w:val="center"/>
          </w:tcPr>
          <w:p w14:paraId="2E562B23">
            <w:pPr>
              <w:spacing w:line="360" w:lineRule="auto"/>
              <w:jc w:val="center"/>
              <w:rPr>
                <w:sz w:val="18"/>
                <w:szCs w:val="18"/>
              </w:rPr>
            </w:pPr>
            <w:r>
              <w:rPr>
                <w:sz w:val="18"/>
                <w:szCs w:val="18"/>
              </w:rPr>
              <w:t>-</w:t>
            </w:r>
          </w:p>
        </w:tc>
      </w:tr>
      <w:tr w14:paraId="38A99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31083E29">
            <w:pPr>
              <w:spacing w:line="360" w:lineRule="auto"/>
              <w:ind w:left="18" w:firstLine="329" w:firstLineChars="183"/>
              <w:rPr>
                <w:sz w:val="18"/>
                <w:szCs w:val="18"/>
              </w:rPr>
            </w:pPr>
            <w:r>
              <w:rPr>
                <w:sz w:val="18"/>
                <w:szCs w:val="18"/>
              </w:rPr>
              <w:t>同一控制下企业合并</w:t>
            </w:r>
          </w:p>
        </w:tc>
        <w:tc>
          <w:tcPr>
            <w:tcW w:w="1530" w:type="dxa"/>
            <w:vAlign w:val="center"/>
          </w:tcPr>
          <w:p w14:paraId="24457CCB">
            <w:pPr>
              <w:spacing w:line="360" w:lineRule="auto"/>
              <w:jc w:val="center"/>
              <w:rPr>
                <w:sz w:val="18"/>
                <w:szCs w:val="18"/>
              </w:rPr>
            </w:pPr>
            <w:r>
              <w:rPr>
                <w:sz w:val="18"/>
                <w:szCs w:val="18"/>
              </w:rPr>
              <w:t>-</w:t>
            </w:r>
          </w:p>
        </w:tc>
        <w:tc>
          <w:tcPr>
            <w:tcW w:w="465" w:type="dxa"/>
            <w:vAlign w:val="center"/>
          </w:tcPr>
          <w:p w14:paraId="18D13FAE">
            <w:pPr>
              <w:spacing w:line="360" w:lineRule="auto"/>
              <w:jc w:val="center"/>
              <w:rPr>
                <w:sz w:val="18"/>
                <w:szCs w:val="18"/>
              </w:rPr>
            </w:pPr>
            <w:r>
              <w:rPr>
                <w:sz w:val="18"/>
                <w:szCs w:val="18"/>
              </w:rPr>
              <w:t>-</w:t>
            </w:r>
          </w:p>
        </w:tc>
        <w:tc>
          <w:tcPr>
            <w:tcW w:w="1470" w:type="dxa"/>
            <w:vAlign w:val="center"/>
          </w:tcPr>
          <w:p w14:paraId="2E84B813">
            <w:pPr>
              <w:spacing w:line="360" w:lineRule="auto"/>
              <w:jc w:val="center"/>
              <w:rPr>
                <w:sz w:val="18"/>
                <w:szCs w:val="18"/>
              </w:rPr>
            </w:pPr>
            <w:r>
              <w:rPr>
                <w:sz w:val="18"/>
                <w:szCs w:val="18"/>
              </w:rPr>
              <w:t>-</w:t>
            </w:r>
          </w:p>
        </w:tc>
        <w:tc>
          <w:tcPr>
            <w:tcW w:w="710" w:type="dxa"/>
            <w:vAlign w:val="center"/>
          </w:tcPr>
          <w:p w14:paraId="34967DC8">
            <w:pPr>
              <w:spacing w:line="360" w:lineRule="auto"/>
              <w:jc w:val="center"/>
              <w:rPr>
                <w:sz w:val="18"/>
                <w:szCs w:val="18"/>
              </w:rPr>
            </w:pPr>
            <w:r>
              <w:rPr>
                <w:sz w:val="18"/>
                <w:szCs w:val="18"/>
              </w:rPr>
              <w:t>-</w:t>
            </w:r>
          </w:p>
        </w:tc>
        <w:tc>
          <w:tcPr>
            <w:tcW w:w="415" w:type="dxa"/>
            <w:vAlign w:val="center"/>
          </w:tcPr>
          <w:p w14:paraId="0C642312">
            <w:pPr>
              <w:spacing w:line="360" w:lineRule="auto"/>
              <w:jc w:val="center"/>
              <w:rPr>
                <w:sz w:val="18"/>
                <w:szCs w:val="18"/>
              </w:rPr>
            </w:pPr>
            <w:r>
              <w:rPr>
                <w:sz w:val="18"/>
                <w:szCs w:val="18"/>
              </w:rPr>
              <w:t>-</w:t>
            </w:r>
          </w:p>
        </w:tc>
        <w:tc>
          <w:tcPr>
            <w:tcW w:w="465" w:type="dxa"/>
            <w:vAlign w:val="center"/>
          </w:tcPr>
          <w:p w14:paraId="78A232F7">
            <w:pPr>
              <w:spacing w:line="360" w:lineRule="auto"/>
              <w:jc w:val="center"/>
              <w:rPr>
                <w:sz w:val="18"/>
                <w:szCs w:val="18"/>
              </w:rPr>
            </w:pPr>
            <w:r>
              <w:rPr>
                <w:sz w:val="18"/>
                <w:szCs w:val="18"/>
              </w:rPr>
              <w:t>-</w:t>
            </w:r>
          </w:p>
        </w:tc>
        <w:tc>
          <w:tcPr>
            <w:tcW w:w="1489" w:type="dxa"/>
            <w:vAlign w:val="center"/>
          </w:tcPr>
          <w:p w14:paraId="018A2E3D">
            <w:pPr>
              <w:spacing w:line="360" w:lineRule="auto"/>
              <w:jc w:val="center"/>
              <w:rPr>
                <w:sz w:val="18"/>
                <w:szCs w:val="18"/>
              </w:rPr>
            </w:pPr>
            <w:r>
              <w:rPr>
                <w:sz w:val="18"/>
                <w:szCs w:val="18"/>
              </w:rPr>
              <w:t>-</w:t>
            </w:r>
          </w:p>
        </w:tc>
        <w:tc>
          <w:tcPr>
            <w:tcW w:w="1556" w:type="dxa"/>
            <w:vAlign w:val="center"/>
          </w:tcPr>
          <w:p w14:paraId="2D1C7B0E">
            <w:pPr>
              <w:spacing w:line="360" w:lineRule="auto"/>
              <w:jc w:val="center"/>
              <w:rPr>
                <w:sz w:val="18"/>
                <w:szCs w:val="18"/>
              </w:rPr>
            </w:pPr>
            <w:r>
              <w:rPr>
                <w:sz w:val="18"/>
                <w:szCs w:val="18"/>
              </w:rPr>
              <w:t>-</w:t>
            </w:r>
          </w:p>
        </w:tc>
      </w:tr>
      <w:tr w14:paraId="1C81E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5D378F78">
            <w:pPr>
              <w:spacing w:line="360" w:lineRule="auto"/>
              <w:ind w:firstLine="475"/>
              <w:rPr>
                <w:sz w:val="18"/>
                <w:szCs w:val="18"/>
              </w:rPr>
            </w:pPr>
            <w:r>
              <w:rPr>
                <w:sz w:val="18"/>
                <w:szCs w:val="18"/>
              </w:rPr>
              <w:t>其他</w:t>
            </w:r>
          </w:p>
        </w:tc>
        <w:tc>
          <w:tcPr>
            <w:tcW w:w="1530" w:type="dxa"/>
            <w:vAlign w:val="center"/>
          </w:tcPr>
          <w:p w14:paraId="3787E1AF">
            <w:pPr>
              <w:spacing w:line="360" w:lineRule="auto"/>
              <w:jc w:val="center"/>
              <w:rPr>
                <w:sz w:val="18"/>
                <w:szCs w:val="18"/>
              </w:rPr>
            </w:pPr>
            <w:r>
              <w:rPr>
                <w:sz w:val="18"/>
                <w:szCs w:val="18"/>
              </w:rPr>
              <w:t>-</w:t>
            </w:r>
          </w:p>
        </w:tc>
        <w:tc>
          <w:tcPr>
            <w:tcW w:w="465" w:type="dxa"/>
            <w:vAlign w:val="center"/>
          </w:tcPr>
          <w:p w14:paraId="72E9D069">
            <w:pPr>
              <w:spacing w:line="360" w:lineRule="auto"/>
              <w:jc w:val="center"/>
              <w:rPr>
                <w:sz w:val="18"/>
                <w:szCs w:val="18"/>
              </w:rPr>
            </w:pPr>
            <w:r>
              <w:rPr>
                <w:sz w:val="18"/>
                <w:szCs w:val="18"/>
              </w:rPr>
              <w:t>-</w:t>
            </w:r>
          </w:p>
        </w:tc>
        <w:tc>
          <w:tcPr>
            <w:tcW w:w="1470" w:type="dxa"/>
            <w:vAlign w:val="center"/>
          </w:tcPr>
          <w:p w14:paraId="0EED442F">
            <w:pPr>
              <w:spacing w:line="360" w:lineRule="auto"/>
              <w:jc w:val="center"/>
              <w:rPr>
                <w:sz w:val="18"/>
                <w:szCs w:val="18"/>
              </w:rPr>
            </w:pPr>
            <w:r>
              <w:rPr>
                <w:sz w:val="18"/>
                <w:szCs w:val="18"/>
              </w:rPr>
              <w:t>-</w:t>
            </w:r>
          </w:p>
        </w:tc>
        <w:tc>
          <w:tcPr>
            <w:tcW w:w="710" w:type="dxa"/>
            <w:vAlign w:val="center"/>
          </w:tcPr>
          <w:p w14:paraId="3F5D7240">
            <w:pPr>
              <w:spacing w:line="360" w:lineRule="auto"/>
              <w:jc w:val="center"/>
              <w:rPr>
                <w:sz w:val="18"/>
                <w:szCs w:val="18"/>
              </w:rPr>
            </w:pPr>
            <w:r>
              <w:rPr>
                <w:sz w:val="18"/>
                <w:szCs w:val="18"/>
              </w:rPr>
              <w:t>-</w:t>
            </w:r>
          </w:p>
        </w:tc>
        <w:tc>
          <w:tcPr>
            <w:tcW w:w="415" w:type="dxa"/>
            <w:vAlign w:val="center"/>
          </w:tcPr>
          <w:p w14:paraId="7EF4DD69">
            <w:pPr>
              <w:spacing w:line="360" w:lineRule="auto"/>
              <w:jc w:val="center"/>
              <w:rPr>
                <w:sz w:val="18"/>
                <w:szCs w:val="18"/>
              </w:rPr>
            </w:pPr>
            <w:r>
              <w:rPr>
                <w:sz w:val="18"/>
                <w:szCs w:val="18"/>
              </w:rPr>
              <w:t>-</w:t>
            </w:r>
          </w:p>
        </w:tc>
        <w:tc>
          <w:tcPr>
            <w:tcW w:w="465" w:type="dxa"/>
            <w:vAlign w:val="center"/>
          </w:tcPr>
          <w:p w14:paraId="12DEEF05">
            <w:pPr>
              <w:spacing w:line="360" w:lineRule="auto"/>
              <w:jc w:val="center"/>
              <w:rPr>
                <w:sz w:val="18"/>
                <w:szCs w:val="18"/>
              </w:rPr>
            </w:pPr>
            <w:r>
              <w:rPr>
                <w:sz w:val="18"/>
                <w:szCs w:val="18"/>
              </w:rPr>
              <w:t>-</w:t>
            </w:r>
          </w:p>
        </w:tc>
        <w:tc>
          <w:tcPr>
            <w:tcW w:w="1489" w:type="dxa"/>
            <w:vAlign w:val="center"/>
          </w:tcPr>
          <w:p w14:paraId="0D845F9F">
            <w:pPr>
              <w:spacing w:line="360" w:lineRule="auto"/>
              <w:jc w:val="center"/>
              <w:rPr>
                <w:sz w:val="18"/>
                <w:szCs w:val="18"/>
              </w:rPr>
            </w:pPr>
            <w:r>
              <w:rPr>
                <w:sz w:val="18"/>
                <w:szCs w:val="18"/>
              </w:rPr>
              <w:t>-</w:t>
            </w:r>
          </w:p>
        </w:tc>
        <w:tc>
          <w:tcPr>
            <w:tcW w:w="1556" w:type="dxa"/>
            <w:vAlign w:val="center"/>
          </w:tcPr>
          <w:p w14:paraId="2A551135">
            <w:pPr>
              <w:spacing w:line="360" w:lineRule="auto"/>
              <w:jc w:val="center"/>
              <w:rPr>
                <w:sz w:val="18"/>
                <w:szCs w:val="18"/>
              </w:rPr>
            </w:pPr>
            <w:r>
              <w:rPr>
                <w:sz w:val="18"/>
                <w:szCs w:val="18"/>
              </w:rPr>
              <w:t>-</w:t>
            </w:r>
          </w:p>
        </w:tc>
      </w:tr>
      <w:tr w14:paraId="0E321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3F40179A">
            <w:pPr>
              <w:spacing w:line="360" w:lineRule="auto"/>
              <w:rPr>
                <w:b/>
                <w:bCs/>
                <w:sz w:val="18"/>
                <w:szCs w:val="18"/>
              </w:rPr>
            </w:pPr>
            <w:r>
              <w:rPr>
                <w:b/>
                <w:bCs/>
                <w:sz w:val="18"/>
                <w:szCs w:val="18"/>
              </w:rPr>
              <w:t>二、本期期初余额</w:t>
            </w:r>
          </w:p>
        </w:tc>
        <w:tc>
          <w:tcPr>
            <w:tcW w:w="1530" w:type="dxa"/>
            <w:vAlign w:val="center"/>
          </w:tcPr>
          <w:p w14:paraId="18D639A7">
            <w:pPr>
              <w:spacing w:line="360" w:lineRule="auto"/>
              <w:jc w:val="center"/>
              <w:rPr>
                <w:sz w:val="18"/>
                <w:szCs w:val="18"/>
              </w:rPr>
            </w:pPr>
            <w:r>
              <w:rPr>
                <w:sz w:val="18"/>
                <w:szCs w:val="18"/>
              </w:rPr>
              <w:t>1,421,130,866.00</w:t>
            </w:r>
          </w:p>
        </w:tc>
        <w:tc>
          <w:tcPr>
            <w:tcW w:w="465" w:type="dxa"/>
            <w:vAlign w:val="center"/>
          </w:tcPr>
          <w:p w14:paraId="6D6E72D0">
            <w:pPr>
              <w:spacing w:line="360" w:lineRule="auto"/>
              <w:jc w:val="center"/>
              <w:rPr>
                <w:sz w:val="18"/>
                <w:szCs w:val="18"/>
              </w:rPr>
            </w:pPr>
            <w:r>
              <w:rPr>
                <w:sz w:val="18"/>
                <w:szCs w:val="18"/>
              </w:rPr>
              <w:t>-</w:t>
            </w:r>
          </w:p>
        </w:tc>
        <w:tc>
          <w:tcPr>
            <w:tcW w:w="1470" w:type="dxa"/>
            <w:vAlign w:val="center"/>
          </w:tcPr>
          <w:p w14:paraId="413789C7">
            <w:pPr>
              <w:spacing w:line="360" w:lineRule="auto"/>
              <w:jc w:val="center"/>
              <w:rPr>
                <w:sz w:val="18"/>
                <w:szCs w:val="18"/>
              </w:rPr>
            </w:pPr>
            <w:r>
              <w:rPr>
                <w:sz w:val="18"/>
                <w:szCs w:val="18"/>
              </w:rPr>
              <w:t>1,901,808,511.21</w:t>
            </w:r>
          </w:p>
        </w:tc>
        <w:tc>
          <w:tcPr>
            <w:tcW w:w="710" w:type="dxa"/>
            <w:vAlign w:val="center"/>
          </w:tcPr>
          <w:p w14:paraId="0AAD66A5">
            <w:pPr>
              <w:spacing w:line="360" w:lineRule="auto"/>
              <w:jc w:val="center"/>
              <w:rPr>
                <w:sz w:val="18"/>
                <w:szCs w:val="18"/>
              </w:rPr>
            </w:pPr>
            <w:r>
              <w:rPr>
                <w:sz w:val="18"/>
                <w:szCs w:val="18"/>
              </w:rPr>
              <w:t>-</w:t>
            </w:r>
          </w:p>
        </w:tc>
        <w:tc>
          <w:tcPr>
            <w:tcW w:w="415" w:type="dxa"/>
            <w:vAlign w:val="center"/>
          </w:tcPr>
          <w:p w14:paraId="39478921">
            <w:pPr>
              <w:spacing w:line="360" w:lineRule="auto"/>
              <w:jc w:val="center"/>
              <w:rPr>
                <w:sz w:val="18"/>
                <w:szCs w:val="18"/>
              </w:rPr>
            </w:pPr>
            <w:r>
              <w:rPr>
                <w:sz w:val="18"/>
                <w:szCs w:val="18"/>
              </w:rPr>
              <w:t>-</w:t>
            </w:r>
          </w:p>
        </w:tc>
        <w:tc>
          <w:tcPr>
            <w:tcW w:w="465" w:type="dxa"/>
            <w:vAlign w:val="center"/>
          </w:tcPr>
          <w:p w14:paraId="086491E1">
            <w:pPr>
              <w:spacing w:line="360" w:lineRule="auto"/>
              <w:jc w:val="center"/>
              <w:rPr>
                <w:sz w:val="18"/>
                <w:szCs w:val="18"/>
              </w:rPr>
            </w:pPr>
            <w:r>
              <w:rPr>
                <w:sz w:val="18"/>
                <w:szCs w:val="18"/>
              </w:rPr>
              <w:t>-</w:t>
            </w:r>
          </w:p>
        </w:tc>
        <w:tc>
          <w:tcPr>
            <w:tcW w:w="1489" w:type="dxa"/>
            <w:vAlign w:val="center"/>
          </w:tcPr>
          <w:p w14:paraId="153D24E1">
            <w:pPr>
              <w:spacing w:line="360" w:lineRule="auto"/>
              <w:jc w:val="center"/>
              <w:rPr>
                <w:sz w:val="18"/>
                <w:szCs w:val="18"/>
              </w:rPr>
            </w:pPr>
            <w:r>
              <w:rPr>
                <w:sz w:val="18"/>
                <w:szCs w:val="18"/>
              </w:rPr>
              <w:t>-305,138,984.51</w:t>
            </w:r>
          </w:p>
        </w:tc>
        <w:tc>
          <w:tcPr>
            <w:tcW w:w="1556" w:type="dxa"/>
            <w:vAlign w:val="center"/>
          </w:tcPr>
          <w:p w14:paraId="65BC91CB">
            <w:pPr>
              <w:spacing w:line="360" w:lineRule="auto"/>
              <w:jc w:val="center"/>
              <w:rPr>
                <w:sz w:val="18"/>
                <w:szCs w:val="18"/>
              </w:rPr>
            </w:pPr>
            <w:r>
              <w:rPr>
                <w:sz w:val="18"/>
                <w:szCs w:val="18"/>
              </w:rPr>
              <w:t>3,017,800,392.70</w:t>
            </w:r>
          </w:p>
        </w:tc>
      </w:tr>
      <w:tr w14:paraId="2C62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31FF9EF1">
            <w:pPr>
              <w:spacing w:line="360" w:lineRule="auto"/>
              <w:rPr>
                <w:b/>
                <w:bCs/>
                <w:sz w:val="18"/>
                <w:szCs w:val="18"/>
              </w:rPr>
            </w:pPr>
            <w:r>
              <w:rPr>
                <w:b/>
                <w:bCs/>
                <w:sz w:val="18"/>
                <w:szCs w:val="18"/>
              </w:rPr>
              <w:t>三、本期增减变动额（减少以“-”号填列）</w:t>
            </w:r>
          </w:p>
        </w:tc>
        <w:tc>
          <w:tcPr>
            <w:tcW w:w="1530" w:type="dxa"/>
            <w:vAlign w:val="center"/>
          </w:tcPr>
          <w:p w14:paraId="368161F6">
            <w:pPr>
              <w:spacing w:line="360" w:lineRule="auto"/>
              <w:jc w:val="center"/>
              <w:rPr>
                <w:sz w:val="18"/>
                <w:szCs w:val="18"/>
              </w:rPr>
            </w:pPr>
            <w:r>
              <w:rPr>
                <w:sz w:val="18"/>
                <w:szCs w:val="18"/>
              </w:rPr>
              <w:t>-</w:t>
            </w:r>
          </w:p>
        </w:tc>
        <w:tc>
          <w:tcPr>
            <w:tcW w:w="465" w:type="dxa"/>
            <w:vAlign w:val="center"/>
          </w:tcPr>
          <w:p w14:paraId="1C97EF1D">
            <w:pPr>
              <w:spacing w:line="360" w:lineRule="auto"/>
              <w:jc w:val="center"/>
              <w:rPr>
                <w:sz w:val="18"/>
                <w:szCs w:val="18"/>
              </w:rPr>
            </w:pPr>
            <w:r>
              <w:rPr>
                <w:sz w:val="18"/>
                <w:szCs w:val="18"/>
              </w:rPr>
              <w:t>-</w:t>
            </w:r>
          </w:p>
        </w:tc>
        <w:tc>
          <w:tcPr>
            <w:tcW w:w="1470" w:type="dxa"/>
            <w:vAlign w:val="center"/>
          </w:tcPr>
          <w:p w14:paraId="0BBCEFB9">
            <w:pPr>
              <w:spacing w:line="360" w:lineRule="auto"/>
              <w:jc w:val="center"/>
              <w:rPr>
                <w:sz w:val="18"/>
                <w:szCs w:val="18"/>
              </w:rPr>
            </w:pPr>
            <w:r>
              <w:rPr>
                <w:sz w:val="18"/>
                <w:szCs w:val="18"/>
              </w:rPr>
              <w:t>-</w:t>
            </w:r>
          </w:p>
        </w:tc>
        <w:tc>
          <w:tcPr>
            <w:tcW w:w="710" w:type="dxa"/>
            <w:vAlign w:val="center"/>
          </w:tcPr>
          <w:p w14:paraId="6A454AEB">
            <w:pPr>
              <w:spacing w:line="360" w:lineRule="auto"/>
              <w:jc w:val="center"/>
              <w:rPr>
                <w:sz w:val="18"/>
                <w:szCs w:val="18"/>
              </w:rPr>
            </w:pPr>
            <w:r>
              <w:rPr>
                <w:sz w:val="18"/>
                <w:szCs w:val="18"/>
              </w:rPr>
              <w:t>-</w:t>
            </w:r>
          </w:p>
        </w:tc>
        <w:tc>
          <w:tcPr>
            <w:tcW w:w="415" w:type="dxa"/>
            <w:vAlign w:val="center"/>
          </w:tcPr>
          <w:p w14:paraId="7F581AD8">
            <w:pPr>
              <w:spacing w:line="360" w:lineRule="auto"/>
              <w:jc w:val="center"/>
              <w:rPr>
                <w:sz w:val="18"/>
                <w:szCs w:val="18"/>
              </w:rPr>
            </w:pPr>
            <w:r>
              <w:rPr>
                <w:sz w:val="18"/>
                <w:szCs w:val="18"/>
              </w:rPr>
              <w:t>-</w:t>
            </w:r>
          </w:p>
        </w:tc>
        <w:tc>
          <w:tcPr>
            <w:tcW w:w="465" w:type="dxa"/>
            <w:vAlign w:val="center"/>
          </w:tcPr>
          <w:p w14:paraId="720ACBDF">
            <w:pPr>
              <w:spacing w:line="360" w:lineRule="auto"/>
              <w:jc w:val="center"/>
              <w:rPr>
                <w:sz w:val="18"/>
                <w:szCs w:val="18"/>
              </w:rPr>
            </w:pPr>
            <w:r>
              <w:rPr>
                <w:sz w:val="18"/>
                <w:szCs w:val="18"/>
              </w:rPr>
              <w:t>-</w:t>
            </w:r>
          </w:p>
        </w:tc>
        <w:tc>
          <w:tcPr>
            <w:tcW w:w="1489" w:type="dxa"/>
            <w:vAlign w:val="center"/>
          </w:tcPr>
          <w:p w14:paraId="233C3083">
            <w:pPr>
              <w:spacing w:line="360" w:lineRule="auto"/>
              <w:jc w:val="center"/>
              <w:rPr>
                <w:sz w:val="18"/>
                <w:szCs w:val="18"/>
              </w:rPr>
            </w:pPr>
            <w:r>
              <w:rPr>
                <w:sz w:val="18"/>
                <w:szCs w:val="18"/>
              </w:rPr>
              <w:t>-13,409,295.34</w:t>
            </w:r>
          </w:p>
        </w:tc>
        <w:tc>
          <w:tcPr>
            <w:tcW w:w="1556" w:type="dxa"/>
            <w:vAlign w:val="center"/>
          </w:tcPr>
          <w:p w14:paraId="571DC6DD">
            <w:pPr>
              <w:spacing w:line="360" w:lineRule="auto"/>
              <w:jc w:val="center"/>
              <w:rPr>
                <w:sz w:val="18"/>
                <w:szCs w:val="18"/>
              </w:rPr>
            </w:pPr>
            <w:r>
              <w:rPr>
                <w:sz w:val="18"/>
                <w:szCs w:val="18"/>
              </w:rPr>
              <w:t>-13,409,295.34</w:t>
            </w:r>
          </w:p>
        </w:tc>
      </w:tr>
      <w:tr w14:paraId="774FF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69FAC198">
            <w:pPr>
              <w:spacing w:line="360" w:lineRule="auto"/>
              <w:rPr>
                <w:sz w:val="18"/>
                <w:szCs w:val="18"/>
              </w:rPr>
            </w:pPr>
            <w:r>
              <w:rPr>
                <w:sz w:val="18"/>
                <w:szCs w:val="18"/>
              </w:rPr>
              <w:t>（一）综合收益总额</w:t>
            </w:r>
          </w:p>
        </w:tc>
        <w:tc>
          <w:tcPr>
            <w:tcW w:w="1530" w:type="dxa"/>
            <w:vAlign w:val="center"/>
          </w:tcPr>
          <w:p w14:paraId="53E1E1CC">
            <w:pPr>
              <w:spacing w:line="360" w:lineRule="auto"/>
              <w:jc w:val="center"/>
              <w:rPr>
                <w:sz w:val="18"/>
                <w:szCs w:val="18"/>
              </w:rPr>
            </w:pPr>
            <w:r>
              <w:rPr>
                <w:sz w:val="18"/>
                <w:szCs w:val="18"/>
              </w:rPr>
              <w:t>-</w:t>
            </w:r>
          </w:p>
        </w:tc>
        <w:tc>
          <w:tcPr>
            <w:tcW w:w="465" w:type="dxa"/>
            <w:vAlign w:val="center"/>
          </w:tcPr>
          <w:p w14:paraId="1BA0396F">
            <w:pPr>
              <w:spacing w:line="360" w:lineRule="auto"/>
              <w:jc w:val="center"/>
              <w:rPr>
                <w:sz w:val="18"/>
                <w:szCs w:val="18"/>
              </w:rPr>
            </w:pPr>
            <w:r>
              <w:rPr>
                <w:sz w:val="18"/>
                <w:szCs w:val="18"/>
              </w:rPr>
              <w:t>-</w:t>
            </w:r>
          </w:p>
        </w:tc>
        <w:tc>
          <w:tcPr>
            <w:tcW w:w="1470" w:type="dxa"/>
            <w:vAlign w:val="center"/>
          </w:tcPr>
          <w:p w14:paraId="6CC8277F">
            <w:pPr>
              <w:spacing w:line="360" w:lineRule="auto"/>
              <w:jc w:val="center"/>
              <w:rPr>
                <w:sz w:val="18"/>
                <w:szCs w:val="18"/>
              </w:rPr>
            </w:pPr>
            <w:r>
              <w:rPr>
                <w:sz w:val="18"/>
                <w:szCs w:val="18"/>
              </w:rPr>
              <w:t>-</w:t>
            </w:r>
          </w:p>
        </w:tc>
        <w:tc>
          <w:tcPr>
            <w:tcW w:w="710" w:type="dxa"/>
            <w:vAlign w:val="center"/>
          </w:tcPr>
          <w:p w14:paraId="55A01A9D">
            <w:pPr>
              <w:spacing w:line="360" w:lineRule="auto"/>
              <w:jc w:val="center"/>
              <w:rPr>
                <w:sz w:val="18"/>
                <w:szCs w:val="18"/>
              </w:rPr>
            </w:pPr>
            <w:r>
              <w:rPr>
                <w:sz w:val="18"/>
                <w:szCs w:val="18"/>
              </w:rPr>
              <w:t>-</w:t>
            </w:r>
          </w:p>
        </w:tc>
        <w:tc>
          <w:tcPr>
            <w:tcW w:w="415" w:type="dxa"/>
            <w:vAlign w:val="center"/>
          </w:tcPr>
          <w:p w14:paraId="7A29CD07">
            <w:pPr>
              <w:spacing w:line="360" w:lineRule="auto"/>
              <w:jc w:val="center"/>
              <w:rPr>
                <w:sz w:val="18"/>
                <w:szCs w:val="18"/>
              </w:rPr>
            </w:pPr>
            <w:r>
              <w:rPr>
                <w:sz w:val="18"/>
                <w:szCs w:val="18"/>
              </w:rPr>
              <w:t>-</w:t>
            </w:r>
          </w:p>
        </w:tc>
        <w:tc>
          <w:tcPr>
            <w:tcW w:w="465" w:type="dxa"/>
            <w:vAlign w:val="center"/>
          </w:tcPr>
          <w:p w14:paraId="30AB7723">
            <w:pPr>
              <w:spacing w:line="360" w:lineRule="auto"/>
              <w:jc w:val="center"/>
              <w:rPr>
                <w:sz w:val="18"/>
                <w:szCs w:val="18"/>
              </w:rPr>
            </w:pPr>
            <w:r>
              <w:rPr>
                <w:sz w:val="18"/>
                <w:szCs w:val="18"/>
              </w:rPr>
              <w:t>-</w:t>
            </w:r>
          </w:p>
        </w:tc>
        <w:tc>
          <w:tcPr>
            <w:tcW w:w="1489" w:type="dxa"/>
            <w:vAlign w:val="center"/>
          </w:tcPr>
          <w:p w14:paraId="3D063B47">
            <w:pPr>
              <w:spacing w:line="360" w:lineRule="auto"/>
              <w:jc w:val="center"/>
              <w:rPr>
                <w:sz w:val="18"/>
                <w:szCs w:val="18"/>
              </w:rPr>
            </w:pPr>
            <w:r>
              <w:rPr>
                <w:sz w:val="18"/>
                <w:szCs w:val="18"/>
              </w:rPr>
              <w:t>19,418,634.17</w:t>
            </w:r>
          </w:p>
        </w:tc>
        <w:tc>
          <w:tcPr>
            <w:tcW w:w="1556" w:type="dxa"/>
            <w:vAlign w:val="center"/>
          </w:tcPr>
          <w:p w14:paraId="331CEA29">
            <w:pPr>
              <w:spacing w:line="360" w:lineRule="auto"/>
              <w:jc w:val="center"/>
              <w:rPr>
                <w:sz w:val="18"/>
                <w:szCs w:val="18"/>
              </w:rPr>
            </w:pPr>
            <w:r>
              <w:rPr>
                <w:sz w:val="18"/>
                <w:szCs w:val="18"/>
              </w:rPr>
              <w:t>19,418,634.17</w:t>
            </w:r>
          </w:p>
        </w:tc>
      </w:tr>
      <w:tr w14:paraId="5583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52084BAD">
            <w:pPr>
              <w:spacing w:line="360" w:lineRule="auto"/>
              <w:rPr>
                <w:sz w:val="18"/>
                <w:szCs w:val="18"/>
              </w:rPr>
            </w:pPr>
            <w:r>
              <w:rPr>
                <w:sz w:val="18"/>
                <w:szCs w:val="18"/>
              </w:rPr>
              <w:t>（二）产品持有人申购和赎回</w:t>
            </w:r>
          </w:p>
        </w:tc>
        <w:tc>
          <w:tcPr>
            <w:tcW w:w="1530" w:type="dxa"/>
            <w:vAlign w:val="center"/>
          </w:tcPr>
          <w:p w14:paraId="234C1413">
            <w:pPr>
              <w:spacing w:line="360" w:lineRule="auto"/>
              <w:jc w:val="center"/>
              <w:rPr>
                <w:sz w:val="18"/>
                <w:szCs w:val="18"/>
              </w:rPr>
            </w:pPr>
            <w:r>
              <w:rPr>
                <w:sz w:val="18"/>
                <w:szCs w:val="18"/>
              </w:rPr>
              <w:t>-</w:t>
            </w:r>
          </w:p>
        </w:tc>
        <w:tc>
          <w:tcPr>
            <w:tcW w:w="465" w:type="dxa"/>
            <w:vAlign w:val="center"/>
          </w:tcPr>
          <w:p w14:paraId="38AAE9C8">
            <w:pPr>
              <w:spacing w:line="360" w:lineRule="auto"/>
              <w:jc w:val="center"/>
              <w:rPr>
                <w:sz w:val="18"/>
                <w:szCs w:val="18"/>
              </w:rPr>
            </w:pPr>
            <w:r>
              <w:rPr>
                <w:sz w:val="18"/>
                <w:szCs w:val="18"/>
              </w:rPr>
              <w:t>-</w:t>
            </w:r>
          </w:p>
        </w:tc>
        <w:tc>
          <w:tcPr>
            <w:tcW w:w="1470" w:type="dxa"/>
            <w:vAlign w:val="center"/>
          </w:tcPr>
          <w:p w14:paraId="0FD75F12">
            <w:pPr>
              <w:spacing w:line="360" w:lineRule="auto"/>
              <w:jc w:val="center"/>
              <w:rPr>
                <w:sz w:val="18"/>
                <w:szCs w:val="18"/>
              </w:rPr>
            </w:pPr>
            <w:r>
              <w:rPr>
                <w:sz w:val="18"/>
                <w:szCs w:val="18"/>
              </w:rPr>
              <w:t>-</w:t>
            </w:r>
          </w:p>
        </w:tc>
        <w:tc>
          <w:tcPr>
            <w:tcW w:w="710" w:type="dxa"/>
            <w:vAlign w:val="center"/>
          </w:tcPr>
          <w:p w14:paraId="5466FEF8">
            <w:pPr>
              <w:spacing w:line="360" w:lineRule="auto"/>
              <w:jc w:val="center"/>
              <w:rPr>
                <w:sz w:val="18"/>
                <w:szCs w:val="18"/>
              </w:rPr>
            </w:pPr>
            <w:r>
              <w:rPr>
                <w:sz w:val="18"/>
                <w:szCs w:val="18"/>
              </w:rPr>
              <w:t>-</w:t>
            </w:r>
          </w:p>
        </w:tc>
        <w:tc>
          <w:tcPr>
            <w:tcW w:w="415" w:type="dxa"/>
            <w:vAlign w:val="center"/>
          </w:tcPr>
          <w:p w14:paraId="0E504A3C">
            <w:pPr>
              <w:spacing w:line="360" w:lineRule="auto"/>
              <w:jc w:val="center"/>
              <w:rPr>
                <w:sz w:val="18"/>
                <w:szCs w:val="18"/>
              </w:rPr>
            </w:pPr>
            <w:r>
              <w:rPr>
                <w:sz w:val="18"/>
                <w:szCs w:val="18"/>
              </w:rPr>
              <w:t>-</w:t>
            </w:r>
          </w:p>
        </w:tc>
        <w:tc>
          <w:tcPr>
            <w:tcW w:w="465" w:type="dxa"/>
            <w:vAlign w:val="center"/>
          </w:tcPr>
          <w:p w14:paraId="393CA6FB">
            <w:pPr>
              <w:spacing w:line="360" w:lineRule="auto"/>
              <w:jc w:val="center"/>
              <w:rPr>
                <w:sz w:val="18"/>
                <w:szCs w:val="18"/>
              </w:rPr>
            </w:pPr>
            <w:r>
              <w:rPr>
                <w:sz w:val="18"/>
                <w:szCs w:val="18"/>
              </w:rPr>
              <w:t>-</w:t>
            </w:r>
          </w:p>
        </w:tc>
        <w:tc>
          <w:tcPr>
            <w:tcW w:w="1489" w:type="dxa"/>
            <w:vAlign w:val="center"/>
          </w:tcPr>
          <w:p w14:paraId="66DEB416">
            <w:pPr>
              <w:spacing w:line="360" w:lineRule="auto"/>
              <w:jc w:val="center"/>
              <w:rPr>
                <w:sz w:val="18"/>
                <w:szCs w:val="18"/>
              </w:rPr>
            </w:pPr>
            <w:r>
              <w:rPr>
                <w:sz w:val="18"/>
                <w:szCs w:val="18"/>
              </w:rPr>
              <w:t>-</w:t>
            </w:r>
          </w:p>
        </w:tc>
        <w:tc>
          <w:tcPr>
            <w:tcW w:w="1556" w:type="dxa"/>
            <w:vAlign w:val="center"/>
          </w:tcPr>
          <w:p w14:paraId="08AFA615">
            <w:pPr>
              <w:spacing w:line="360" w:lineRule="auto"/>
              <w:jc w:val="center"/>
              <w:rPr>
                <w:sz w:val="18"/>
                <w:szCs w:val="18"/>
              </w:rPr>
            </w:pPr>
            <w:r>
              <w:rPr>
                <w:sz w:val="18"/>
                <w:szCs w:val="18"/>
              </w:rPr>
              <w:t>-</w:t>
            </w:r>
          </w:p>
        </w:tc>
      </w:tr>
      <w:tr w14:paraId="45DC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2506F6E5">
            <w:pPr>
              <w:spacing w:line="360" w:lineRule="auto"/>
              <w:rPr>
                <w:sz w:val="18"/>
                <w:szCs w:val="18"/>
              </w:rPr>
            </w:pPr>
            <w:r>
              <w:rPr>
                <w:sz w:val="18"/>
                <w:szCs w:val="18"/>
              </w:rPr>
              <w:t>其中：产品申购</w:t>
            </w:r>
          </w:p>
        </w:tc>
        <w:tc>
          <w:tcPr>
            <w:tcW w:w="1530" w:type="dxa"/>
            <w:vAlign w:val="center"/>
          </w:tcPr>
          <w:p w14:paraId="173A7135">
            <w:pPr>
              <w:spacing w:line="360" w:lineRule="auto"/>
              <w:jc w:val="center"/>
              <w:rPr>
                <w:sz w:val="18"/>
                <w:szCs w:val="18"/>
              </w:rPr>
            </w:pPr>
            <w:r>
              <w:rPr>
                <w:sz w:val="18"/>
                <w:szCs w:val="18"/>
              </w:rPr>
              <w:t>-</w:t>
            </w:r>
          </w:p>
        </w:tc>
        <w:tc>
          <w:tcPr>
            <w:tcW w:w="465" w:type="dxa"/>
            <w:vAlign w:val="center"/>
          </w:tcPr>
          <w:p w14:paraId="3815B2B4">
            <w:pPr>
              <w:spacing w:line="360" w:lineRule="auto"/>
              <w:jc w:val="center"/>
              <w:rPr>
                <w:sz w:val="18"/>
                <w:szCs w:val="18"/>
              </w:rPr>
            </w:pPr>
            <w:r>
              <w:rPr>
                <w:sz w:val="18"/>
                <w:szCs w:val="18"/>
              </w:rPr>
              <w:t>-</w:t>
            </w:r>
          </w:p>
        </w:tc>
        <w:tc>
          <w:tcPr>
            <w:tcW w:w="1470" w:type="dxa"/>
            <w:vAlign w:val="center"/>
          </w:tcPr>
          <w:p w14:paraId="337582ED">
            <w:pPr>
              <w:spacing w:line="360" w:lineRule="auto"/>
              <w:jc w:val="center"/>
              <w:rPr>
                <w:sz w:val="18"/>
                <w:szCs w:val="18"/>
              </w:rPr>
            </w:pPr>
            <w:r>
              <w:rPr>
                <w:sz w:val="18"/>
                <w:szCs w:val="18"/>
              </w:rPr>
              <w:t>-</w:t>
            </w:r>
          </w:p>
        </w:tc>
        <w:tc>
          <w:tcPr>
            <w:tcW w:w="710" w:type="dxa"/>
            <w:vAlign w:val="center"/>
          </w:tcPr>
          <w:p w14:paraId="3E2C8847">
            <w:pPr>
              <w:spacing w:line="360" w:lineRule="auto"/>
              <w:jc w:val="center"/>
              <w:rPr>
                <w:sz w:val="18"/>
                <w:szCs w:val="18"/>
              </w:rPr>
            </w:pPr>
            <w:r>
              <w:rPr>
                <w:sz w:val="18"/>
                <w:szCs w:val="18"/>
              </w:rPr>
              <w:t>-</w:t>
            </w:r>
          </w:p>
        </w:tc>
        <w:tc>
          <w:tcPr>
            <w:tcW w:w="415" w:type="dxa"/>
            <w:vAlign w:val="center"/>
          </w:tcPr>
          <w:p w14:paraId="4D74DEE3">
            <w:pPr>
              <w:spacing w:line="360" w:lineRule="auto"/>
              <w:jc w:val="center"/>
              <w:rPr>
                <w:sz w:val="18"/>
                <w:szCs w:val="18"/>
              </w:rPr>
            </w:pPr>
            <w:r>
              <w:rPr>
                <w:sz w:val="18"/>
                <w:szCs w:val="18"/>
              </w:rPr>
              <w:t>-</w:t>
            </w:r>
          </w:p>
        </w:tc>
        <w:tc>
          <w:tcPr>
            <w:tcW w:w="465" w:type="dxa"/>
            <w:vAlign w:val="center"/>
          </w:tcPr>
          <w:p w14:paraId="1797952A">
            <w:pPr>
              <w:spacing w:line="360" w:lineRule="auto"/>
              <w:jc w:val="center"/>
              <w:rPr>
                <w:sz w:val="18"/>
                <w:szCs w:val="18"/>
              </w:rPr>
            </w:pPr>
            <w:r>
              <w:rPr>
                <w:sz w:val="18"/>
                <w:szCs w:val="18"/>
              </w:rPr>
              <w:t>-</w:t>
            </w:r>
          </w:p>
        </w:tc>
        <w:tc>
          <w:tcPr>
            <w:tcW w:w="1489" w:type="dxa"/>
            <w:vAlign w:val="center"/>
          </w:tcPr>
          <w:p w14:paraId="2D4238E9">
            <w:pPr>
              <w:spacing w:line="360" w:lineRule="auto"/>
              <w:jc w:val="center"/>
              <w:rPr>
                <w:sz w:val="18"/>
                <w:szCs w:val="18"/>
              </w:rPr>
            </w:pPr>
            <w:r>
              <w:rPr>
                <w:sz w:val="18"/>
                <w:szCs w:val="18"/>
              </w:rPr>
              <w:t>-</w:t>
            </w:r>
          </w:p>
        </w:tc>
        <w:tc>
          <w:tcPr>
            <w:tcW w:w="1556" w:type="dxa"/>
            <w:vAlign w:val="center"/>
          </w:tcPr>
          <w:p w14:paraId="608E1583">
            <w:pPr>
              <w:spacing w:line="360" w:lineRule="auto"/>
              <w:jc w:val="center"/>
              <w:rPr>
                <w:sz w:val="18"/>
                <w:szCs w:val="18"/>
              </w:rPr>
            </w:pPr>
            <w:r>
              <w:rPr>
                <w:sz w:val="18"/>
                <w:szCs w:val="18"/>
              </w:rPr>
              <w:t>-</w:t>
            </w:r>
          </w:p>
        </w:tc>
      </w:tr>
      <w:tr w14:paraId="09A7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2D5FFE67">
            <w:pPr>
              <w:spacing w:line="360" w:lineRule="auto"/>
              <w:rPr>
                <w:sz w:val="18"/>
                <w:szCs w:val="18"/>
              </w:rPr>
            </w:pPr>
            <w:r>
              <w:rPr>
                <w:sz w:val="18"/>
                <w:szCs w:val="18"/>
              </w:rPr>
              <w:t xml:space="preserve">      产品赎回</w:t>
            </w:r>
          </w:p>
        </w:tc>
        <w:tc>
          <w:tcPr>
            <w:tcW w:w="1530" w:type="dxa"/>
            <w:vAlign w:val="center"/>
          </w:tcPr>
          <w:p w14:paraId="56AF872A">
            <w:pPr>
              <w:spacing w:line="360" w:lineRule="auto"/>
              <w:jc w:val="center"/>
              <w:rPr>
                <w:sz w:val="18"/>
                <w:szCs w:val="18"/>
              </w:rPr>
            </w:pPr>
            <w:r>
              <w:rPr>
                <w:sz w:val="18"/>
                <w:szCs w:val="18"/>
              </w:rPr>
              <w:t>-</w:t>
            </w:r>
          </w:p>
        </w:tc>
        <w:tc>
          <w:tcPr>
            <w:tcW w:w="465" w:type="dxa"/>
            <w:vAlign w:val="center"/>
          </w:tcPr>
          <w:p w14:paraId="26E1369E">
            <w:pPr>
              <w:spacing w:line="360" w:lineRule="auto"/>
              <w:jc w:val="center"/>
              <w:rPr>
                <w:sz w:val="18"/>
                <w:szCs w:val="18"/>
              </w:rPr>
            </w:pPr>
            <w:r>
              <w:rPr>
                <w:sz w:val="18"/>
                <w:szCs w:val="18"/>
              </w:rPr>
              <w:t>-</w:t>
            </w:r>
          </w:p>
        </w:tc>
        <w:tc>
          <w:tcPr>
            <w:tcW w:w="1470" w:type="dxa"/>
            <w:vAlign w:val="center"/>
          </w:tcPr>
          <w:p w14:paraId="28F91581">
            <w:pPr>
              <w:spacing w:line="360" w:lineRule="auto"/>
              <w:jc w:val="center"/>
              <w:rPr>
                <w:sz w:val="18"/>
                <w:szCs w:val="18"/>
              </w:rPr>
            </w:pPr>
            <w:r>
              <w:rPr>
                <w:sz w:val="18"/>
                <w:szCs w:val="18"/>
              </w:rPr>
              <w:t>-</w:t>
            </w:r>
          </w:p>
        </w:tc>
        <w:tc>
          <w:tcPr>
            <w:tcW w:w="710" w:type="dxa"/>
            <w:vAlign w:val="center"/>
          </w:tcPr>
          <w:p w14:paraId="76BAC1FD">
            <w:pPr>
              <w:spacing w:line="360" w:lineRule="auto"/>
              <w:jc w:val="center"/>
              <w:rPr>
                <w:sz w:val="18"/>
                <w:szCs w:val="18"/>
              </w:rPr>
            </w:pPr>
            <w:r>
              <w:rPr>
                <w:sz w:val="18"/>
                <w:szCs w:val="18"/>
              </w:rPr>
              <w:t>-</w:t>
            </w:r>
          </w:p>
        </w:tc>
        <w:tc>
          <w:tcPr>
            <w:tcW w:w="415" w:type="dxa"/>
            <w:vAlign w:val="center"/>
          </w:tcPr>
          <w:p w14:paraId="75B0F5BA">
            <w:pPr>
              <w:spacing w:line="360" w:lineRule="auto"/>
              <w:jc w:val="center"/>
              <w:rPr>
                <w:sz w:val="18"/>
                <w:szCs w:val="18"/>
              </w:rPr>
            </w:pPr>
            <w:r>
              <w:rPr>
                <w:sz w:val="18"/>
                <w:szCs w:val="18"/>
              </w:rPr>
              <w:t>-</w:t>
            </w:r>
          </w:p>
        </w:tc>
        <w:tc>
          <w:tcPr>
            <w:tcW w:w="465" w:type="dxa"/>
            <w:vAlign w:val="center"/>
          </w:tcPr>
          <w:p w14:paraId="20CFD34A">
            <w:pPr>
              <w:spacing w:line="360" w:lineRule="auto"/>
              <w:jc w:val="center"/>
              <w:rPr>
                <w:sz w:val="18"/>
                <w:szCs w:val="18"/>
              </w:rPr>
            </w:pPr>
            <w:r>
              <w:rPr>
                <w:sz w:val="18"/>
                <w:szCs w:val="18"/>
              </w:rPr>
              <w:t>-</w:t>
            </w:r>
          </w:p>
        </w:tc>
        <w:tc>
          <w:tcPr>
            <w:tcW w:w="1489" w:type="dxa"/>
            <w:vAlign w:val="center"/>
          </w:tcPr>
          <w:p w14:paraId="5FE974F4">
            <w:pPr>
              <w:spacing w:line="360" w:lineRule="auto"/>
              <w:jc w:val="center"/>
              <w:rPr>
                <w:sz w:val="18"/>
                <w:szCs w:val="18"/>
              </w:rPr>
            </w:pPr>
            <w:r>
              <w:rPr>
                <w:sz w:val="18"/>
                <w:szCs w:val="18"/>
              </w:rPr>
              <w:t>-</w:t>
            </w:r>
          </w:p>
        </w:tc>
        <w:tc>
          <w:tcPr>
            <w:tcW w:w="1556" w:type="dxa"/>
            <w:vAlign w:val="center"/>
          </w:tcPr>
          <w:p w14:paraId="1A38A1E4">
            <w:pPr>
              <w:spacing w:line="360" w:lineRule="auto"/>
              <w:jc w:val="center"/>
              <w:rPr>
                <w:sz w:val="18"/>
                <w:szCs w:val="18"/>
              </w:rPr>
            </w:pPr>
            <w:r>
              <w:rPr>
                <w:sz w:val="18"/>
                <w:szCs w:val="18"/>
              </w:rPr>
              <w:t>-</w:t>
            </w:r>
          </w:p>
        </w:tc>
      </w:tr>
      <w:tr w14:paraId="4CB36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736F5C21">
            <w:pPr>
              <w:spacing w:line="360" w:lineRule="auto"/>
              <w:rPr>
                <w:sz w:val="18"/>
                <w:szCs w:val="18"/>
              </w:rPr>
            </w:pPr>
            <w:r>
              <w:rPr>
                <w:sz w:val="18"/>
                <w:szCs w:val="18"/>
              </w:rPr>
              <w:t>（三）利润分配</w:t>
            </w:r>
          </w:p>
        </w:tc>
        <w:tc>
          <w:tcPr>
            <w:tcW w:w="1530" w:type="dxa"/>
            <w:vAlign w:val="center"/>
          </w:tcPr>
          <w:p w14:paraId="122E4086">
            <w:pPr>
              <w:spacing w:line="360" w:lineRule="auto"/>
              <w:jc w:val="center"/>
              <w:rPr>
                <w:sz w:val="18"/>
                <w:szCs w:val="18"/>
              </w:rPr>
            </w:pPr>
            <w:r>
              <w:rPr>
                <w:sz w:val="18"/>
                <w:szCs w:val="18"/>
              </w:rPr>
              <w:t>-</w:t>
            </w:r>
          </w:p>
        </w:tc>
        <w:tc>
          <w:tcPr>
            <w:tcW w:w="465" w:type="dxa"/>
            <w:vAlign w:val="center"/>
          </w:tcPr>
          <w:p w14:paraId="136E02C3">
            <w:pPr>
              <w:spacing w:line="360" w:lineRule="auto"/>
              <w:jc w:val="center"/>
              <w:rPr>
                <w:sz w:val="18"/>
                <w:szCs w:val="18"/>
              </w:rPr>
            </w:pPr>
            <w:r>
              <w:rPr>
                <w:sz w:val="18"/>
                <w:szCs w:val="18"/>
              </w:rPr>
              <w:t>-</w:t>
            </w:r>
          </w:p>
        </w:tc>
        <w:tc>
          <w:tcPr>
            <w:tcW w:w="1470" w:type="dxa"/>
            <w:vAlign w:val="center"/>
          </w:tcPr>
          <w:p w14:paraId="7E6CC183">
            <w:pPr>
              <w:spacing w:line="360" w:lineRule="auto"/>
              <w:jc w:val="center"/>
              <w:rPr>
                <w:sz w:val="18"/>
                <w:szCs w:val="18"/>
              </w:rPr>
            </w:pPr>
            <w:r>
              <w:rPr>
                <w:sz w:val="18"/>
                <w:szCs w:val="18"/>
              </w:rPr>
              <w:t>-</w:t>
            </w:r>
          </w:p>
        </w:tc>
        <w:tc>
          <w:tcPr>
            <w:tcW w:w="710" w:type="dxa"/>
            <w:vAlign w:val="center"/>
          </w:tcPr>
          <w:p w14:paraId="2D48B427">
            <w:pPr>
              <w:spacing w:line="360" w:lineRule="auto"/>
              <w:jc w:val="center"/>
              <w:rPr>
                <w:sz w:val="18"/>
                <w:szCs w:val="18"/>
              </w:rPr>
            </w:pPr>
            <w:r>
              <w:rPr>
                <w:sz w:val="18"/>
                <w:szCs w:val="18"/>
              </w:rPr>
              <w:t>-</w:t>
            </w:r>
          </w:p>
        </w:tc>
        <w:tc>
          <w:tcPr>
            <w:tcW w:w="415" w:type="dxa"/>
            <w:vAlign w:val="center"/>
          </w:tcPr>
          <w:p w14:paraId="593415DB">
            <w:pPr>
              <w:spacing w:line="360" w:lineRule="auto"/>
              <w:jc w:val="center"/>
              <w:rPr>
                <w:sz w:val="18"/>
                <w:szCs w:val="18"/>
              </w:rPr>
            </w:pPr>
            <w:r>
              <w:rPr>
                <w:sz w:val="18"/>
                <w:szCs w:val="18"/>
              </w:rPr>
              <w:t>-</w:t>
            </w:r>
          </w:p>
        </w:tc>
        <w:tc>
          <w:tcPr>
            <w:tcW w:w="465" w:type="dxa"/>
            <w:vAlign w:val="center"/>
          </w:tcPr>
          <w:p w14:paraId="3E375CA8">
            <w:pPr>
              <w:spacing w:line="360" w:lineRule="auto"/>
              <w:jc w:val="center"/>
              <w:rPr>
                <w:sz w:val="18"/>
                <w:szCs w:val="18"/>
              </w:rPr>
            </w:pPr>
            <w:r>
              <w:rPr>
                <w:sz w:val="18"/>
                <w:szCs w:val="18"/>
              </w:rPr>
              <w:t>-</w:t>
            </w:r>
          </w:p>
        </w:tc>
        <w:tc>
          <w:tcPr>
            <w:tcW w:w="1489" w:type="dxa"/>
            <w:vAlign w:val="center"/>
          </w:tcPr>
          <w:p w14:paraId="6CEA7AA9">
            <w:pPr>
              <w:spacing w:line="360" w:lineRule="auto"/>
              <w:jc w:val="center"/>
              <w:rPr>
                <w:sz w:val="18"/>
                <w:szCs w:val="18"/>
              </w:rPr>
            </w:pPr>
            <w:r>
              <w:rPr>
                <w:sz w:val="18"/>
                <w:szCs w:val="18"/>
              </w:rPr>
              <w:t>-32,827,929.51</w:t>
            </w:r>
          </w:p>
        </w:tc>
        <w:tc>
          <w:tcPr>
            <w:tcW w:w="1556" w:type="dxa"/>
            <w:vAlign w:val="center"/>
          </w:tcPr>
          <w:p w14:paraId="7A70993B">
            <w:pPr>
              <w:spacing w:line="360" w:lineRule="auto"/>
              <w:jc w:val="center"/>
              <w:rPr>
                <w:sz w:val="18"/>
                <w:szCs w:val="18"/>
              </w:rPr>
            </w:pPr>
            <w:r>
              <w:rPr>
                <w:sz w:val="18"/>
                <w:szCs w:val="18"/>
              </w:rPr>
              <w:t>-32,827,929.51</w:t>
            </w:r>
          </w:p>
        </w:tc>
      </w:tr>
      <w:tr w14:paraId="3589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195306DD">
            <w:pPr>
              <w:spacing w:line="360" w:lineRule="auto"/>
              <w:ind w:left="15" w:hanging="12" w:hangingChars="7"/>
              <w:rPr>
                <w:sz w:val="18"/>
                <w:szCs w:val="18"/>
              </w:rPr>
            </w:pPr>
            <w:r>
              <w:rPr>
                <w:sz w:val="18"/>
                <w:szCs w:val="18"/>
              </w:rPr>
              <w:t>（四）其他综合收益结转留存收益</w:t>
            </w:r>
          </w:p>
        </w:tc>
        <w:tc>
          <w:tcPr>
            <w:tcW w:w="1530" w:type="dxa"/>
            <w:vAlign w:val="center"/>
          </w:tcPr>
          <w:p w14:paraId="213B01C9">
            <w:pPr>
              <w:spacing w:line="360" w:lineRule="auto"/>
              <w:jc w:val="center"/>
              <w:rPr>
                <w:sz w:val="18"/>
                <w:szCs w:val="18"/>
              </w:rPr>
            </w:pPr>
            <w:r>
              <w:rPr>
                <w:sz w:val="18"/>
                <w:szCs w:val="18"/>
              </w:rPr>
              <w:t>-</w:t>
            </w:r>
          </w:p>
        </w:tc>
        <w:tc>
          <w:tcPr>
            <w:tcW w:w="465" w:type="dxa"/>
            <w:vAlign w:val="center"/>
          </w:tcPr>
          <w:p w14:paraId="6FC04A04">
            <w:pPr>
              <w:spacing w:line="360" w:lineRule="auto"/>
              <w:jc w:val="center"/>
              <w:rPr>
                <w:sz w:val="18"/>
                <w:szCs w:val="18"/>
              </w:rPr>
            </w:pPr>
            <w:r>
              <w:rPr>
                <w:sz w:val="18"/>
                <w:szCs w:val="18"/>
              </w:rPr>
              <w:t>-</w:t>
            </w:r>
          </w:p>
        </w:tc>
        <w:tc>
          <w:tcPr>
            <w:tcW w:w="1470" w:type="dxa"/>
            <w:vAlign w:val="center"/>
          </w:tcPr>
          <w:p w14:paraId="3EE47F07">
            <w:pPr>
              <w:spacing w:line="360" w:lineRule="auto"/>
              <w:jc w:val="center"/>
              <w:rPr>
                <w:sz w:val="18"/>
                <w:szCs w:val="18"/>
              </w:rPr>
            </w:pPr>
            <w:r>
              <w:rPr>
                <w:sz w:val="18"/>
                <w:szCs w:val="18"/>
              </w:rPr>
              <w:t>-</w:t>
            </w:r>
          </w:p>
        </w:tc>
        <w:tc>
          <w:tcPr>
            <w:tcW w:w="710" w:type="dxa"/>
            <w:vAlign w:val="center"/>
          </w:tcPr>
          <w:p w14:paraId="5EEA07E2">
            <w:pPr>
              <w:spacing w:line="360" w:lineRule="auto"/>
              <w:jc w:val="center"/>
              <w:rPr>
                <w:sz w:val="18"/>
                <w:szCs w:val="18"/>
              </w:rPr>
            </w:pPr>
            <w:r>
              <w:rPr>
                <w:sz w:val="18"/>
                <w:szCs w:val="18"/>
              </w:rPr>
              <w:t>-</w:t>
            </w:r>
          </w:p>
        </w:tc>
        <w:tc>
          <w:tcPr>
            <w:tcW w:w="415" w:type="dxa"/>
            <w:vAlign w:val="center"/>
          </w:tcPr>
          <w:p w14:paraId="533D48DC">
            <w:pPr>
              <w:spacing w:line="360" w:lineRule="auto"/>
              <w:jc w:val="center"/>
              <w:rPr>
                <w:sz w:val="18"/>
                <w:szCs w:val="18"/>
              </w:rPr>
            </w:pPr>
            <w:r>
              <w:rPr>
                <w:sz w:val="18"/>
                <w:szCs w:val="18"/>
              </w:rPr>
              <w:t>-</w:t>
            </w:r>
          </w:p>
        </w:tc>
        <w:tc>
          <w:tcPr>
            <w:tcW w:w="465" w:type="dxa"/>
            <w:vAlign w:val="center"/>
          </w:tcPr>
          <w:p w14:paraId="7120FF01">
            <w:pPr>
              <w:spacing w:line="360" w:lineRule="auto"/>
              <w:jc w:val="center"/>
              <w:rPr>
                <w:sz w:val="18"/>
                <w:szCs w:val="18"/>
              </w:rPr>
            </w:pPr>
            <w:r>
              <w:rPr>
                <w:sz w:val="18"/>
                <w:szCs w:val="18"/>
              </w:rPr>
              <w:t>-</w:t>
            </w:r>
          </w:p>
        </w:tc>
        <w:tc>
          <w:tcPr>
            <w:tcW w:w="1489" w:type="dxa"/>
            <w:vAlign w:val="center"/>
          </w:tcPr>
          <w:p w14:paraId="19E3B676">
            <w:pPr>
              <w:spacing w:line="360" w:lineRule="auto"/>
              <w:jc w:val="center"/>
              <w:rPr>
                <w:sz w:val="18"/>
                <w:szCs w:val="18"/>
              </w:rPr>
            </w:pPr>
            <w:r>
              <w:rPr>
                <w:sz w:val="18"/>
                <w:szCs w:val="18"/>
              </w:rPr>
              <w:t>-</w:t>
            </w:r>
          </w:p>
        </w:tc>
        <w:tc>
          <w:tcPr>
            <w:tcW w:w="1556" w:type="dxa"/>
            <w:vAlign w:val="center"/>
          </w:tcPr>
          <w:p w14:paraId="4FDB9253">
            <w:pPr>
              <w:spacing w:line="360" w:lineRule="auto"/>
              <w:jc w:val="center"/>
              <w:rPr>
                <w:sz w:val="18"/>
                <w:szCs w:val="18"/>
              </w:rPr>
            </w:pPr>
            <w:r>
              <w:rPr>
                <w:sz w:val="18"/>
                <w:szCs w:val="18"/>
              </w:rPr>
              <w:t>-</w:t>
            </w:r>
          </w:p>
        </w:tc>
      </w:tr>
      <w:tr w14:paraId="3EB5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72988FB9">
            <w:pPr>
              <w:spacing w:line="360" w:lineRule="auto"/>
              <w:rPr>
                <w:sz w:val="18"/>
                <w:szCs w:val="18"/>
              </w:rPr>
            </w:pPr>
            <w:r>
              <w:rPr>
                <w:sz w:val="18"/>
                <w:szCs w:val="18"/>
              </w:rPr>
              <w:t>（五）专项储备</w:t>
            </w:r>
          </w:p>
        </w:tc>
        <w:tc>
          <w:tcPr>
            <w:tcW w:w="1530" w:type="dxa"/>
            <w:vAlign w:val="center"/>
          </w:tcPr>
          <w:p w14:paraId="61CEADFB">
            <w:pPr>
              <w:spacing w:line="360" w:lineRule="auto"/>
              <w:jc w:val="center"/>
              <w:rPr>
                <w:sz w:val="18"/>
                <w:szCs w:val="18"/>
              </w:rPr>
            </w:pPr>
            <w:r>
              <w:rPr>
                <w:sz w:val="18"/>
                <w:szCs w:val="18"/>
              </w:rPr>
              <w:t>-</w:t>
            </w:r>
          </w:p>
        </w:tc>
        <w:tc>
          <w:tcPr>
            <w:tcW w:w="465" w:type="dxa"/>
            <w:vAlign w:val="center"/>
          </w:tcPr>
          <w:p w14:paraId="50F5671A">
            <w:pPr>
              <w:spacing w:line="360" w:lineRule="auto"/>
              <w:jc w:val="center"/>
              <w:rPr>
                <w:sz w:val="18"/>
                <w:szCs w:val="18"/>
              </w:rPr>
            </w:pPr>
            <w:r>
              <w:rPr>
                <w:sz w:val="18"/>
                <w:szCs w:val="18"/>
              </w:rPr>
              <w:t>-</w:t>
            </w:r>
          </w:p>
        </w:tc>
        <w:tc>
          <w:tcPr>
            <w:tcW w:w="1470" w:type="dxa"/>
            <w:vAlign w:val="center"/>
          </w:tcPr>
          <w:p w14:paraId="71812004">
            <w:pPr>
              <w:spacing w:line="360" w:lineRule="auto"/>
              <w:jc w:val="center"/>
              <w:rPr>
                <w:sz w:val="18"/>
                <w:szCs w:val="18"/>
              </w:rPr>
            </w:pPr>
            <w:r>
              <w:rPr>
                <w:sz w:val="18"/>
                <w:szCs w:val="18"/>
              </w:rPr>
              <w:t>-</w:t>
            </w:r>
          </w:p>
        </w:tc>
        <w:tc>
          <w:tcPr>
            <w:tcW w:w="710" w:type="dxa"/>
            <w:vAlign w:val="center"/>
          </w:tcPr>
          <w:p w14:paraId="01B635EA">
            <w:pPr>
              <w:spacing w:line="360" w:lineRule="auto"/>
              <w:jc w:val="center"/>
              <w:rPr>
                <w:sz w:val="18"/>
                <w:szCs w:val="18"/>
              </w:rPr>
            </w:pPr>
            <w:r>
              <w:rPr>
                <w:sz w:val="18"/>
                <w:szCs w:val="18"/>
              </w:rPr>
              <w:t>-</w:t>
            </w:r>
          </w:p>
        </w:tc>
        <w:tc>
          <w:tcPr>
            <w:tcW w:w="415" w:type="dxa"/>
            <w:vAlign w:val="center"/>
          </w:tcPr>
          <w:p w14:paraId="463EFA3F">
            <w:pPr>
              <w:spacing w:line="360" w:lineRule="auto"/>
              <w:jc w:val="center"/>
              <w:rPr>
                <w:sz w:val="18"/>
                <w:szCs w:val="18"/>
              </w:rPr>
            </w:pPr>
            <w:r>
              <w:rPr>
                <w:sz w:val="18"/>
                <w:szCs w:val="18"/>
              </w:rPr>
              <w:t>-</w:t>
            </w:r>
          </w:p>
        </w:tc>
        <w:tc>
          <w:tcPr>
            <w:tcW w:w="465" w:type="dxa"/>
            <w:vAlign w:val="center"/>
          </w:tcPr>
          <w:p w14:paraId="79130B1E">
            <w:pPr>
              <w:spacing w:line="360" w:lineRule="auto"/>
              <w:jc w:val="center"/>
              <w:rPr>
                <w:sz w:val="18"/>
                <w:szCs w:val="18"/>
              </w:rPr>
            </w:pPr>
            <w:r>
              <w:rPr>
                <w:sz w:val="18"/>
                <w:szCs w:val="18"/>
              </w:rPr>
              <w:t>-</w:t>
            </w:r>
          </w:p>
        </w:tc>
        <w:tc>
          <w:tcPr>
            <w:tcW w:w="1489" w:type="dxa"/>
            <w:vAlign w:val="center"/>
          </w:tcPr>
          <w:p w14:paraId="6A9E72A2">
            <w:pPr>
              <w:spacing w:line="360" w:lineRule="auto"/>
              <w:jc w:val="center"/>
              <w:rPr>
                <w:sz w:val="18"/>
                <w:szCs w:val="18"/>
              </w:rPr>
            </w:pPr>
            <w:r>
              <w:rPr>
                <w:sz w:val="18"/>
                <w:szCs w:val="18"/>
              </w:rPr>
              <w:t>-</w:t>
            </w:r>
          </w:p>
        </w:tc>
        <w:tc>
          <w:tcPr>
            <w:tcW w:w="1556" w:type="dxa"/>
            <w:vAlign w:val="center"/>
          </w:tcPr>
          <w:p w14:paraId="5BA0B10D">
            <w:pPr>
              <w:spacing w:line="360" w:lineRule="auto"/>
              <w:jc w:val="center"/>
              <w:rPr>
                <w:sz w:val="18"/>
                <w:szCs w:val="18"/>
              </w:rPr>
            </w:pPr>
            <w:r>
              <w:rPr>
                <w:sz w:val="18"/>
                <w:szCs w:val="18"/>
              </w:rPr>
              <w:t>-</w:t>
            </w:r>
          </w:p>
        </w:tc>
      </w:tr>
      <w:tr w14:paraId="4F83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4928E6DE">
            <w:pPr>
              <w:spacing w:line="360" w:lineRule="auto"/>
              <w:rPr>
                <w:sz w:val="18"/>
                <w:szCs w:val="18"/>
              </w:rPr>
            </w:pPr>
            <w:r>
              <w:rPr>
                <w:sz w:val="18"/>
                <w:szCs w:val="18"/>
              </w:rPr>
              <w:t>其中：本期提取</w:t>
            </w:r>
          </w:p>
        </w:tc>
        <w:tc>
          <w:tcPr>
            <w:tcW w:w="1530" w:type="dxa"/>
            <w:vAlign w:val="center"/>
          </w:tcPr>
          <w:p w14:paraId="412DA0E0">
            <w:pPr>
              <w:spacing w:line="360" w:lineRule="auto"/>
              <w:jc w:val="center"/>
              <w:rPr>
                <w:sz w:val="18"/>
                <w:szCs w:val="18"/>
              </w:rPr>
            </w:pPr>
            <w:r>
              <w:rPr>
                <w:sz w:val="18"/>
                <w:szCs w:val="18"/>
              </w:rPr>
              <w:t>-</w:t>
            </w:r>
          </w:p>
        </w:tc>
        <w:tc>
          <w:tcPr>
            <w:tcW w:w="465" w:type="dxa"/>
            <w:vAlign w:val="center"/>
          </w:tcPr>
          <w:p w14:paraId="0E817D21">
            <w:pPr>
              <w:spacing w:line="360" w:lineRule="auto"/>
              <w:jc w:val="center"/>
              <w:rPr>
                <w:sz w:val="18"/>
                <w:szCs w:val="18"/>
              </w:rPr>
            </w:pPr>
            <w:r>
              <w:rPr>
                <w:sz w:val="18"/>
                <w:szCs w:val="18"/>
              </w:rPr>
              <w:t>-</w:t>
            </w:r>
          </w:p>
        </w:tc>
        <w:tc>
          <w:tcPr>
            <w:tcW w:w="1470" w:type="dxa"/>
            <w:vAlign w:val="center"/>
          </w:tcPr>
          <w:p w14:paraId="18AA26F8">
            <w:pPr>
              <w:spacing w:line="360" w:lineRule="auto"/>
              <w:jc w:val="center"/>
              <w:rPr>
                <w:sz w:val="18"/>
                <w:szCs w:val="18"/>
              </w:rPr>
            </w:pPr>
            <w:r>
              <w:rPr>
                <w:sz w:val="18"/>
                <w:szCs w:val="18"/>
              </w:rPr>
              <w:t>-</w:t>
            </w:r>
          </w:p>
        </w:tc>
        <w:tc>
          <w:tcPr>
            <w:tcW w:w="710" w:type="dxa"/>
            <w:vAlign w:val="center"/>
          </w:tcPr>
          <w:p w14:paraId="52A5B29D">
            <w:pPr>
              <w:spacing w:line="360" w:lineRule="auto"/>
              <w:jc w:val="center"/>
              <w:rPr>
                <w:sz w:val="18"/>
                <w:szCs w:val="18"/>
              </w:rPr>
            </w:pPr>
            <w:r>
              <w:rPr>
                <w:sz w:val="18"/>
                <w:szCs w:val="18"/>
              </w:rPr>
              <w:t>-</w:t>
            </w:r>
          </w:p>
        </w:tc>
        <w:tc>
          <w:tcPr>
            <w:tcW w:w="415" w:type="dxa"/>
            <w:vAlign w:val="center"/>
          </w:tcPr>
          <w:p w14:paraId="39C2058E">
            <w:pPr>
              <w:spacing w:line="360" w:lineRule="auto"/>
              <w:jc w:val="center"/>
              <w:rPr>
                <w:sz w:val="18"/>
                <w:szCs w:val="18"/>
              </w:rPr>
            </w:pPr>
            <w:r>
              <w:rPr>
                <w:sz w:val="18"/>
                <w:szCs w:val="18"/>
              </w:rPr>
              <w:t>-</w:t>
            </w:r>
          </w:p>
        </w:tc>
        <w:tc>
          <w:tcPr>
            <w:tcW w:w="465" w:type="dxa"/>
            <w:vAlign w:val="center"/>
          </w:tcPr>
          <w:p w14:paraId="635BEE3A">
            <w:pPr>
              <w:spacing w:line="360" w:lineRule="auto"/>
              <w:jc w:val="center"/>
              <w:rPr>
                <w:sz w:val="18"/>
                <w:szCs w:val="18"/>
              </w:rPr>
            </w:pPr>
            <w:r>
              <w:rPr>
                <w:sz w:val="18"/>
                <w:szCs w:val="18"/>
              </w:rPr>
              <w:t>-</w:t>
            </w:r>
          </w:p>
        </w:tc>
        <w:tc>
          <w:tcPr>
            <w:tcW w:w="1489" w:type="dxa"/>
            <w:vAlign w:val="center"/>
          </w:tcPr>
          <w:p w14:paraId="58CF1883">
            <w:pPr>
              <w:spacing w:line="360" w:lineRule="auto"/>
              <w:jc w:val="center"/>
              <w:rPr>
                <w:sz w:val="18"/>
                <w:szCs w:val="18"/>
              </w:rPr>
            </w:pPr>
            <w:r>
              <w:rPr>
                <w:sz w:val="18"/>
                <w:szCs w:val="18"/>
              </w:rPr>
              <w:t>-</w:t>
            </w:r>
          </w:p>
        </w:tc>
        <w:tc>
          <w:tcPr>
            <w:tcW w:w="1556" w:type="dxa"/>
            <w:vAlign w:val="center"/>
          </w:tcPr>
          <w:p w14:paraId="1BEC3395">
            <w:pPr>
              <w:spacing w:line="360" w:lineRule="auto"/>
              <w:jc w:val="center"/>
              <w:rPr>
                <w:sz w:val="18"/>
                <w:szCs w:val="18"/>
              </w:rPr>
            </w:pPr>
            <w:r>
              <w:rPr>
                <w:sz w:val="18"/>
                <w:szCs w:val="18"/>
              </w:rPr>
              <w:t>-</w:t>
            </w:r>
          </w:p>
        </w:tc>
      </w:tr>
      <w:tr w14:paraId="60EA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05DFF807">
            <w:pPr>
              <w:spacing w:line="360" w:lineRule="auto"/>
              <w:ind w:firstLine="540" w:firstLineChars="300"/>
              <w:rPr>
                <w:sz w:val="18"/>
                <w:szCs w:val="18"/>
              </w:rPr>
            </w:pPr>
            <w:r>
              <w:rPr>
                <w:sz w:val="18"/>
                <w:szCs w:val="18"/>
              </w:rPr>
              <w:t>本期使用</w:t>
            </w:r>
          </w:p>
        </w:tc>
        <w:tc>
          <w:tcPr>
            <w:tcW w:w="1530" w:type="dxa"/>
            <w:vAlign w:val="center"/>
          </w:tcPr>
          <w:p w14:paraId="7C3ACD27">
            <w:pPr>
              <w:spacing w:line="360" w:lineRule="auto"/>
              <w:jc w:val="center"/>
              <w:rPr>
                <w:sz w:val="18"/>
                <w:szCs w:val="18"/>
              </w:rPr>
            </w:pPr>
            <w:r>
              <w:rPr>
                <w:sz w:val="18"/>
                <w:szCs w:val="18"/>
              </w:rPr>
              <w:t>-</w:t>
            </w:r>
          </w:p>
        </w:tc>
        <w:tc>
          <w:tcPr>
            <w:tcW w:w="465" w:type="dxa"/>
            <w:vAlign w:val="center"/>
          </w:tcPr>
          <w:p w14:paraId="76DD3C3D">
            <w:pPr>
              <w:spacing w:line="360" w:lineRule="auto"/>
              <w:jc w:val="center"/>
              <w:rPr>
                <w:sz w:val="18"/>
                <w:szCs w:val="18"/>
              </w:rPr>
            </w:pPr>
            <w:r>
              <w:rPr>
                <w:sz w:val="18"/>
                <w:szCs w:val="18"/>
              </w:rPr>
              <w:t>-</w:t>
            </w:r>
          </w:p>
        </w:tc>
        <w:tc>
          <w:tcPr>
            <w:tcW w:w="1470" w:type="dxa"/>
            <w:vAlign w:val="center"/>
          </w:tcPr>
          <w:p w14:paraId="205CDFBB">
            <w:pPr>
              <w:spacing w:line="360" w:lineRule="auto"/>
              <w:jc w:val="center"/>
              <w:rPr>
                <w:sz w:val="18"/>
                <w:szCs w:val="18"/>
              </w:rPr>
            </w:pPr>
            <w:r>
              <w:rPr>
                <w:sz w:val="18"/>
                <w:szCs w:val="18"/>
              </w:rPr>
              <w:t>-</w:t>
            </w:r>
          </w:p>
        </w:tc>
        <w:tc>
          <w:tcPr>
            <w:tcW w:w="710" w:type="dxa"/>
            <w:vAlign w:val="center"/>
          </w:tcPr>
          <w:p w14:paraId="25FFCE3F">
            <w:pPr>
              <w:spacing w:line="360" w:lineRule="auto"/>
              <w:jc w:val="center"/>
              <w:rPr>
                <w:sz w:val="18"/>
                <w:szCs w:val="18"/>
              </w:rPr>
            </w:pPr>
            <w:r>
              <w:rPr>
                <w:sz w:val="18"/>
                <w:szCs w:val="18"/>
              </w:rPr>
              <w:t>-</w:t>
            </w:r>
          </w:p>
        </w:tc>
        <w:tc>
          <w:tcPr>
            <w:tcW w:w="415" w:type="dxa"/>
            <w:vAlign w:val="center"/>
          </w:tcPr>
          <w:p w14:paraId="6197FB09">
            <w:pPr>
              <w:spacing w:line="360" w:lineRule="auto"/>
              <w:jc w:val="center"/>
              <w:rPr>
                <w:sz w:val="18"/>
                <w:szCs w:val="18"/>
              </w:rPr>
            </w:pPr>
            <w:r>
              <w:rPr>
                <w:sz w:val="18"/>
                <w:szCs w:val="18"/>
              </w:rPr>
              <w:t>-</w:t>
            </w:r>
          </w:p>
        </w:tc>
        <w:tc>
          <w:tcPr>
            <w:tcW w:w="465" w:type="dxa"/>
            <w:vAlign w:val="center"/>
          </w:tcPr>
          <w:p w14:paraId="1E86724C">
            <w:pPr>
              <w:spacing w:line="360" w:lineRule="auto"/>
              <w:jc w:val="center"/>
              <w:rPr>
                <w:sz w:val="18"/>
                <w:szCs w:val="18"/>
              </w:rPr>
            </w:pPr>
            <w:r>
              <w:rPr>
                <w:sz w:val="18"/>
                <w:szCs w:val="18"/>
              </w:rPr>
              <w:t>-</w:t>
            </w:r>
          </w:p>
        </w:tc>
        <w:tc>
          <w:tcPr>
            <w:tcW w:w="1489" w:type="dxa"/>
            <w:vAlign w:val="center"/>
          </w:tcPr>
          <w:p w14:paraId="26DB81E9">
            <w:pPr>
              <w:spacing w:line="360" w:lineRule="auto"/>
              <w:jc w:val="center"/>
              <w:rPr>
                <w:sz w:val="18"/>
                <w:szCs w:val="18"/>
              </w:rPr>
            </w:pPr>
            <w:r>
              <w:rPr>
                <w:sz w:val="18"/>
                <w:szCs w:val="18"/>
              </w:rPr>
              <w:t>-</w:t>
            </w:r>
          </w:p>
        </w:tc>
        <w:tc>
          <w:tcPr>
            <w:tcW w:w="1556" w:type="dxa"/>
            <w:vAlign w:val="center"/>
          </w:tcPr>
          <w:p w14:paraId="4E13993E">
            <w:pPr>
              <w:spacing w:line="360" w:lineRule="auto"/>
              <w:jc w:val="center"/>
              <w:rPr>
                <w:sz w:val="18"/>
                <w:szCs w:val="18"/>
              </w:rPr>
            </w:pPr>
            <w:r>
              <w:rPr>
                <w:sz w:val="18"/>
                <w:szCs w:val="18"/>
              </w:rPr>
              <w:t>-</w:t>
            </w:r>
          </w:p>
        </w:tc>
      </w:tr>
      <w:tr w14:paraId="4C392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26B96343">
            <w:pPr>
              <w:spacing w:line="360" w:lineRule="auto"/>
              <w:rPr>
                <w:sz w:val="18"/>
                <w:szCs w:val="18"/>
              </w:rPr>
            </w:pPr>
            <w:r>
              <w:rPr>
                <w:sz w:val="18"/>
                <w:szCs w:val="18"/>
              </w:rPr>
              <w:t>（六）其他</w:t>
            </w:r>
          </w:p>
        </w:tc>
        <w:tc>
          <w:tcPr>
            <w:tcW w:w="1530" w:type="dxa"/>
            <w:vAlign w:val="center"/>
          </w:tcPr>
          <w:p w14:paraId="3121CCB8">
            <w:pPr>
              <w:spacing w:line="360" w:lineRule="auto"/>
              <w:jc w:val="center"/>
              <w:rPr>
                <w:sz w:val="18"/>
                <w:szCs w:val="18"/>
              </w:rPr>
            </w:pPr>
            <w:r>
              <w:rPr>
                <w:sz w:val="18"/>
                <w:szCs w:val="18"/>
              </w:rPr>
              <w:t>-</w:t>
            </w:r>
          </w:p>
        </w:tc>
        <w:tc>
          <w:tcPr>
            <w:tcW w:w="465" w:type="dxa"/>
            <w:vAlign w:val="center"/>
          </w:tcPr>
          <w:p w14:paraId="78B77E57">
            <w:pPr>
              <w:spacing w:line="360" w:lineRule="auto"/>
              <w:jc w:val="center"/>
              <w:rPr>
                <w:sz w:val="18"/>
                <w:szCs w:val="18"/>
              </w:rPr>
            </w:pPr>
            <w:r>
              <w:rPr>
                <w:sz w:val="18"/>
                <w:szCs w:val="18"/>
              </w:rPr>
              <w:t>-</w:t>
            </w:r>
          </w:p>
        </w:tc>
        <w:tc>
          <w:tcPr>
            <w:tcW w:w="1470" w:type="dxa"/>
            <w:vAlign w:val="center"/>
          </w:tcPr>
          <w:p w14:paraId="3276C518">
            <w:pPr>
              <w:spacing w:line="360" w:lineRule="auto"/>
              <w:jc w:val="center"/>
              <w:rPr>
                <w:sz w:val="18"/>
                <w:szCs w:val="18"/>
              </w:rPr>
            </w:pPr>
            <w:r>
              <w:rPr>
                <w:sz w:val="18"/>
                <w:szCs w:val="18"/>
              </w:rPr>
              <w:t>-</w:t>
            </w:r>
          </w:p>
        </w:tc>
        <w:tc>
          <w:tcPr>
            <w:tcW w:w="710" w:type="dxa"/>
            <w:vAlign w:val="center"/>
          </w:tcPr>
          <w:p w14:paraId="1173FC5E">
            <w:pPr>
              <w:spacing w:line="360" w:lineRule="auto"/>
              <w:jc w:val="center"/>
              <w:rPr>
                <w:sz w:val="18"/>
                <w:szCs w:val="18"/>
              </w:rPr>
            </w:pPr>
            <w:r>
              <w:rPr>
                <w:sz w:val="18"/>
                <w:szCs w:val="18"/>
              </w:rPr>
              <w:t>-</w:t>
            </w:r>
          </w:p>
        </w:tc>
        <w:tc>
          <w:tcPr>
            <w:tcW w:w="415" w:type="dxa"/>
            <w:vAlign w:val="center"/>
          </w:tcPr>
          <w:p w14:paraId="29A5630A">
            <w:pPr>
              <w:spacing w:line="360" w:lineRule="auto"/>
              <w:jc w:val="center"/>
              <w:rPr>
                <w:sz w:val="18"/>
                <w:szCs w:val="18"/>
              </w:rPr>
            </w:pPr>
            <w:r>
              <w:rPr>
                <w:sz w:val="18"/>
                <w:szCs w:val="18"/>
              </w:rPr>
              <w:t>-</w:t>
            </w:r>
          </w:p>
        </w:tc>
        <w:tc>
          <w:tcPr>
            <w:tcW w:w="465" w:type="dxa"/>
            <w:vAlign w:val="center"/>
          </w:tcPr>
          <w:p w14:paraId="48D535A6">
            <w:pPr>
              <w:spacing w:line="360" w:lineRule="auto"/>
              <w:jc w:val="center"/>
              <w:rPr>
                <w:sz w:val="18"/>
                <w:szCs w:val="18"/>
              </w:rPr>
            </w:pPr>
            <w:r>
              <w:rPr>
                <w:sz w:val="18"/>
                <w:szCs w:val="18"/>
              </w:rPr>
              <w:t>-</w:t>
            </w:r>
          </w:p>
        </w:tc>
        <w:tc>
          <w:tcPr>
            <w:tcW w:w="1489" w:type="dxa"/>
            <w:vAlign w:val="center"/>
          </w:tcPr>
          <w:p w14:paraId="3677F1EE">
            <w:pPr>
              <w:spacing w:line="360" w:lineRule="auto"/>
              <w:jc w:val="center"/>
              <w:rPr>
                <w:sz w:val="18"/>
                <w:szCs w:val="18"/>
              </w:rPr>
            </w:pPr>
            <w:r>
              <w:rPr>
                <w:sz w:val="18"/>
                <w:szCs w:val="18"/>
              </w:rPr>
              <w:t>-</w:t>
            </w:r>
          </w:p>
        </w:tc>
        <w:tc>
          <w:tcPr>
            <w:tcW w:w="1556" w:type="dxa"/>
            <w:vAlign w:val="center"/>
          </w:tcPr>
          <w:p w14:paraId="3288FC05">
            <w:pPr>
              <w:spacing w:line="360" w:lineRule="auto"/>
              <w:jc w:val="center"/>
              <w:rPr>
                <w:sz w:val="18"/>
                <w:szCs w:val="18"/>
              </w:rPr>
            </w:pPr>
            <w:r>
              <w:rPr>
                <w:sz w:val="18"/>
                <w:szCs w:val="18"/>
              </w:rPr>
              <w:t>-</w:t>
            </w:r>
          </w:p>
        </w:tc>
      </w:tr>
      <w:tr w14:paraId="55B4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47401CE6">
            <w:pPr>
              <w:spacing w:line="360" w:lineRule="auto"/>
              <w:rPr>
                <w:b/>
                <w:bCs/>
                <w:sz w:val="18"/>
                <w:szCs w:val="18"/>
              </w:rPr>
            </w:pPr>
            <w:r>
              <w:rPr>
                <w:b/>
                <w:bCs/>
                <w:sz w:val="18"/>
                <w:szCs w:val="18"/>
              </w:rPr>
              <w:t>四、本期期末余额</w:t>
            </w:r>
          </w:p>
        </w:tc>
        <w:tc>
          <w:tcPr>
            <w:tcW w:w="1530" w:type="dxa"/>
            <w:vAlign w:val="center"/>
          </w:tcPr>
          <w:p w14:paraId="01A18591">
            <w:pPr>
              <w:spacing w:line="360" w:lineRule="auto"/>
              <w:jc w:val="center"/>
              <w:rPr>
                <w:sz w:val="18"/>
                <w:szCs w:val="18"/>
              </w:rPr>
            </w:pPr>
            <w:r>
              <w:rPr>
                <w:sz w:val="18"/>
                <w:szCs w:val="18"/>
              </w:rPr>
              <w:t>1,421,130,866.00</w:t>
            </w:r>
          </w:p>
        </w:tc>
        <w:tc>
          <w:tcPr>
            <w:tcW w:w="465" w:type="dxa"/>
            <w:vAlign w:val="center"/>
          </w:tcPr>
          <w:p w14:paraId="2C8DAF45">
            <w:pPr>
              <w:spacing w:line="360" w:lineRule="auto"/>
              <w:jc w:val="center"/>
              <w:rPr>
                <w:sz w:val="18"/>
                <w:szCs w:val="18"/>
              </w:rPr>
            </w:pPr>
            <w:r>
              <w:rPr>
                <w:sz w:val="18"/>
                <w:szCs w:val="18"/>
              </w:rPr>
              <w:t>-</w:t>
            </w:r>
          </w:p>
        </w:tc>
        <w:tc>
          <w:tcPr>
            <w:tcW w:w="1470" w:type="dxa"/>
            <w:vAlign w:val="center"/>
          </w:tcPr>
          <w:p w14:paraId="5289A842">
            <w:pPr>
              <w:spacing w:line="360" w:lineRule="auto"/>
              <w:jc w:val="center"/>
              <w:rPr>
                <w:sz w:val="18"/>
                <w:szCs w:val="18"/>
              </w:rPr>
            </w:pPr>
            <w:r>
              <w:rPr>
                <w:sz w:val="18"/>
                <w:szCs w:val="18"/>
              </w:rPr>
              <w:t>1,901,808,511.21</w:t>
            </w:r>
          </w:p>
        </w:tc>
        <w:tc>
          <w:tcPr>
            <w:tcW w:w="710" w:type="dxa"/>
            <w:vAlign w:val="center"/>
          </w:tcPr>
          <w:p w14:paraId="0608C82E">
            <w:pPr>
              <w:spacing w:line="360" w:lineRule="auto"/>
              <w:jc w:val="center"/>
              <w:rPr>
                <w:sz w:val="18"/>
                <w:szCs w:val="18"/>
              </w:rPr>
            </w:pPr>
            <w:r>
              <w:rPr>
                <w:sz w:val="18"/>
                <w:szCs w:val="18"/>
              </w:rPr>
              <w:t>-</w:t>
            </w:r>
          </w:p>
        </w:tc>
        <w:tc>
          <w:tcPr>
            <w:tcW w:w="415" w:type="dxa"/>
            <w:vAlign w:val="center"/>
          </w:tcPr>
          <w:p w14:paraId="19F44090">
            <w:pPr>
              <w:spacing w:line="360" w:lineRule="auto"/>
              <w:jc w:val="center"/>
              <w:rPr>
                <w:sz w:val="18"/>
                <w:szCs w:val="18"/>
              </w:rPr>
            </w:pPr>
            <w:r>
              <w:rPr>
                <w:sz w:val="18"/>
                <w:szCs w:val="18"/>
              </w:rPr>
              <w:t>-</w:t>
            </w:r>
          </w:p>
        </w:tc>
        <w:tc>
          <w:tcPr>
            <w:tcW w:w="465" w:type="dxa"/>
            <w:vAlign w:val="center"/>
          </w:tcPr>
          <w:p w14:paraId="4A5DA276">
            <w:pPr>
              <w:spacing w:line="360" w:lineRule="auto"/>
              <w:jc w:val="center"/>
              <w:rPr>
                <w:sz w:val="18"/>
                <w:szCs w:val="18"/>
              </w:rPr>
            </w:pPr>
            <w:r>
              <w:rPr>
                <w:sz w:val="18"/>
                <w:szCs w:val="18"/>
              </w:rPr>
              <w:t>-</w:t>
            </w:r>
          </w:p>
        </w:tc>
        <w:tc>
          <w:tcPr>
            <w:tcW w:w="1489" w:type="dxa"/>
            <w:vAlign w:val="center"/>
          </w:tcPr>
          <w:p w14:paraId="052E7405">
            <w:pPr>
              <w:spacing w:line="360" w:lineRule="auto"/>
              <w:jc w:val="center"/>
              <w:rPr>
                <w:sz w:val="18"/>
                <w:szCs w:val="18"/>
              </w:rPr>
            </w:pPr>
            <w:r>
              <w:rPr>
                <w:sz w:val="18"/>
                <w:szCs w:val="18"/>
              </w:rPr>
              <w:t>-318,548,279.85</w:t>
            </w:r>
          </w:p>
        </w:tc>
        <w:tc>
          <w:tcPr>
            <w:tcW w:w="1556" w:type="dxa"/>
            <w:vAlign w:val="center"/>
          </w:tcPr>
          <w:p w14:paraId="62258D8D">
            <w:pPr>
              <w:spacing w:line="360" w:lineRule="auto"/>
              <w:jc w:val="center"/>
              <w:rPr>
                <w:sz w:val="18"/>
                <w:szCs w:val="18"/>
              </w:rPr>
            </w:pPr>
            <w:r>
              <w:rPr>
                <w:sz w:val="18"/>
                <w:szCs w:val="18"/>
              </w:rPr>
              <w:t>3,004,391,097.36</w:t>
            </w:r>
          </w:p>
        </w:tc>
      </w:tr>
      <w:bookmarkEnd w:id="343"/>
      <w:tr w14:paraId="0665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Merge w:val="restart"/>
            <w:vAlign w:val="center"/>
          </w:tcPr>
          <w:p w14:paraId="292C0DB5">
            <w:pPr>
              <w:spacing w:line="360" w:lineRule="auto"/>
              <w:jc w:val="center"/>
              <w:rPr>
                <w:sz w:val="18"/>
                <w:szCs w:val="18"/>
              </w:rPr>
            </w:pPr>
            <w:r>
              <w:rPr>
                <w:b/>
                <w:sz w:val="18"/>
                <w:szCs w:val="18"/>
              </w:rPr>
              <w:t>项目</w:t>
            </w:r>
          </w:p>
        </w:tc>
        <w:tc>
          <w:tcPr>
            <w:tcW w:w="8100" w:type="dxa"/>
            <w:gridSpan w:val="8"/>
            <w:vAlign w:val="center"/>
          </w:tcPr>
          <w:p w14:paraId="1A16A21D">
            <w:pPr>
              <w:spacing w:line="360" w:lineRule="auto"/>
              <w:jc w:val="center"/>
              <w:rPr>
                <w:b/>
                <w:sz w:val="18"/>
                <w:szCs w:val="18"/>
              </w:rPr>
            </w:pPr>
            <w:r>
              <w:rPr>
                <w:b/>
                <w:sz w:val="18"/>
                <w:szCs w:val="18"/>
              </w:rPr>
              <w:t>上年度可比期间</w:t>
            </w:r>
          </w:p>
          <w:p w14:paraId="7155DF57">
            <w:pPr>
              <w:spacing w:line="360" w:lineRule="auto"/>
              <w:jc w:val="center"/>
              <w:rPr>
                <w:sz w:val="18"/>
                <w:szCs w:val="18"/>
              </w:rPr>
            </w:pPr>
            <w:r>
              <w:rPr>
                <w:b/>
                <w:sz w:val="18"/>
                <w:szCs w:val="18"/>
              </w:rPr>
              <w:t>2025年1月1日至2025年6月30日</w:t>
            </w:r>
          </w:p>
        </w:tc>
      </w:tr>
      <w:tr w14:paraId="3435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Merge w:val="continue"/>
            <w:vAlign w:val="center"/>
          </w:tcPr>
          <w:p w14:paraId="11D88C0A">
            <w:pPr>
              <w:spacing w:line="360" w:lineRule="auto"/>
              <w:jc w:val="center"/>
              <w:rPr>
                <w:b/>
                <w:sz w:val="18"/>
                <w:szCs w:val="18"/>
              </w:rPr>
            </w:pPr>
          </w:p>
        </w:tc>
        <w:tc>
          <w:tcPr>
            <w:tcW w:w="1530" w:type="dxa"/>
            <w:vAlign w:val="center"/>
          </w:tcPr>
          <w:p w14:paraId="3B810F7C">
            <w:pPr>
              <w:spacing w:line="360" w:lineRule="auto"/>
              <w:jc w:val="center"/>
              <w:rPr>
                <w:b/>
                <w:sz w:val="18"/>
                <w:szCs w:val="18"/>
              </w:rPr>
            </w:pPr>
            <w:r>
              <w:rPr>
                <w:b/>
                <w:sz w:val="18"/>
                <w:szCs w:val="18"/>
              </w:rPr>
              <w:t>实收</w:t>
            </w:r>
          </w:p>
          <w:p w14:paraId="613BD632">
            <w:pPr>
              <w:spacing w:line="360" w:lineRule="auto"/>
              <w:jc w:val="center"/>
              <w:rPr>
                <w:b/>
                <w:sz w:val="18"/>
                <w:szCs w:val="18"/>
              </w:rPr>
            </w:pPr>
            <w:r>
              <w:rPr>
                <w:b/>
                <w:sz w:val="18"/>
                <w:szCs w:val="18"/>
              </w:rPr>
              <w:t>基金</w:t>
            </w:r>
          </w:p>
        </w:tc>
        <w:tc>
          <w:tcPr>
            <w:tcW w:w="465" w:type="dxa"/>
            <w:vAlign w:val="center"/>
          </w:tcPr>
          <w:p w14:paraId="4F952750">
            <w:pPr>
              <w:spacing w:line="360" w:lineRule="auto"/>
              <w:jc w:val="center"/>
              <w:rPr>
                <w:b/>
                <w:sz w:val="18"/>
                <w:szCs w:val="18"/>
              </w:rPr>
            </w:pPr>
            <w:r>
              <w:rPr>
                <w:b/>
                <w:sz w:val="18"/>
                <w:szCs w:val="18"/>
              </w:rPr>
              <w:t>其他权益工具</w:t>
            </w:r>
          </w:p>
        </w:tc>
        <w:tc>
          <w:tcPr>
            <w:tcW w:w="1470" w:type="dxa"/>
            <w:vAlign w:val="center"/>
          </w:tcPr>
          <w:p w14:paraId="2811F82A">
            <w:pPr>
              <w:spacing w:line="360" w:lineRule="auto"/>
              <w:jc w:val="center"/>
              <w:rPr>
                <w:b/>
                <w:sz w:val="18"/>
                <w:szCs w:val="18"/>
              </w:rPr>
            </w:pPr>
            <w:r>
              <w:rPr>
                <w:b/>
                <w:sz w:val="18"/>
                <w:szCs w:val="18"/>
              </w:rPr>
              <w:t>资本</w:t>
            </w:r>
          </w:p>
          <w:p w14:paraId="546A1D67">
            <w:pPr>
              <w:spacing w:line="360" w:lineRule="auto"/>
              <w:jc w:val="center"/>
              <w:rPr>
                <w:b/>
                <w:sz w:val="18"/>
                <w:szCs w:val="18"/>
              </w:rPr>
            </w:pPr>
            <w:r>
              <w:rPr>
                <w:b/>
                <w:sz w:val="18"/>
                <w:szCs w:val="18"/>
              </w:rPr>
              <w:t>公积</w:t>
            </w:r>
          </w:p>
        </w:tc>
        <w:tc>
          <w:tcPr>
            <w:tcW w:w="710" w:type="dxa"/>
            <w:vAlign w:val="center"/>
          </w:tcPr>
          <w:p w14:paraId="05F6D076">
            <w:pPr>
              <w:spacing w:line="360" w:lineRule="auto"/>
              <w:jc w:val="center"/>
              <w:rPr>
                <w:b/>
                <w:sz w:val="18"/>
                <w:szCs w:val="18"/>
              </w:rPr>
            </w:pPr>
            <w:r>
              <w:rPr>
                <w:b/>
                <w:sz w:val="18"/>
                <w:szCs w:val="18"/>
              </w:rPr>
              <w:t>其他</w:t>
            </w:r>
          </w:p>
          <w:p w14:paraId="68A802C0">
            <w:pPr>
              <w:spacing w:line="360" w:lineRule="auto"/>
              <w:jc w:val="center"/>
              <w:rPr>
                <w:b/>
                <w:sz w:val="18"/>
                <w:szCs w:val="18"/>
              </w:rPr>
            </w:pPr>
            <w:r>
              <w:rPr>
                <w:b/>
                <w:sz w:val="18"/>
                <w:szCs w:val="18"/>
              </w:rPr>
              <w:t>综合收益</w:t>
            </w:r>
          </w:p>
        </w:tc>
        <w:tc>
          <w:tcPr>
            <w:tcW w:w="415" w:type="dxa"/>
            <w:vAlign w:val="center"/>
          </w:tcPr>
          <w:p w14:paraId="107E6F52">
            <w:pPr>
              <w:spacing w:line="360" w:lineRule="auto"/>
              <w:jc w:val="center"/>
              <w:rPr>
                <w:b/>
                <w:sz w:val="18"/>
                <w:szCs w:val="18"/>
              </w:rPr>
            </w:pPr>
            <w:r>
              <w:rPr>
                <w:b/>
                <w:sz w:val="18"/>
                <w:szCs w:val="18"/>
              </w:rPr>
              <w:t>专项储备</w:t>
            </w:r>
          </w:p>
        </w:tc>
        <w:tc>
          <w:tcPr>
            <w:tcW w:w="465" w:type="dxa"/>
            <w:vAlign w:val="center"/>
          </w:tcPr>
          <w:p w14:paraId="5D816205">
            <w:pPr>
              <w:spacing w:line="360" w:lineRule="auto"/>
              <w:jc w:val="center"/>
              <w:rPr>
                <w:b/>
                <w:sz w:val="18"/>
                <w:szCs w:val="18"/>
              </w:rPr>
            </w:pPr>
            <w:r>
              <w:rPr>
                <w:b/>
                <w:sz w:val="18"/>
                <w:szCs w:val="18"/>
              </w:rPr>
              <w:t>盈余</w:t>
            </w:r>
          </w:p>
          <w:p w14:paraId="479A53B9">
            <w:pPr>
              <w:spacing w:line="360" w:lineRule="auto"/>
              <w:jc w:val="center"/>
              <w:rPr>
                <w:b/>
                <w:sz w:val="18"/>
                <w:szCs w:val="18"/>
              </w:rPr>
            </w:pPr>
            <w:r>
              <w:rPr>
                <w:b/>
                <w:sz w:val="18"/>
                <w:szCs w:val="18"/>
              </w:rPr>
              <w:t>公积</w:t>
            </w:r>
          </w:p>
        </w:tc>
        <w:tc>
          <w:tcPr>
            <w:tcW w:w="1489" w:type="dxa"/>
            <w:vAlign w:val="center"/>
          </w:tcPr>
          <w:p w14:paraId="068ACE5B">
            <w:pPr>
              <w:spacing w:line="360" w:lineRule="auto"/>
              <w:jc w:val="center"/>
              <w:rPr>
                <w:b/>
                <w:sz w:val="18"/>
                <w:szCs w:val="18"/>
              </w:rPr>
            </w:pPr>
            <w:r>
              <w:rPr>
                <w:b/>
                <w:sz w:val="18"/>
                <w:szCs w:val="18"/>
              </w:rPr>
              <w:t>未分配</w:t>
            </w:r>
          </w:p>
          <w:p w14:paraId="161B2CFD">
            <w:pPr>
              <w:spacing w:line="360" w:lineRule="auto"/>
              <w:jc w:val="center"/>
              <w:rPr>
                <w:b/>
                <w:sz w:val="18"/>
                <w:szCs w:val="18"/>
              </w:rPr>
            </w:pPr>
            <w:r>
              <w:rPr>
                <w:b/>
                <w:sz w:val="18"/>
                <w:szCs w:val="18"/>
              </w:rPr>
              <w:t>利润</w:t>
            </w:r>
          </w:p>
        </w:tc>
        <w:tc>
          <w:tcPr>
            <w:tcW w:w="1556" w:type="dxa"/>
            <w:vAlign w:val="center"/>
          </w:tcPr>
          <w:p w14:paraId="2B9994AB">
            <w:pPr>
              <w:spacing w:line="360" w:lineRule="auto"/>
              <w:jc w:val="center"/>
              <w:rPr>
                <w:b/>
                <w:sz w:val="18"/>
                <w:szCs w:val="18"/>
              </w:rPr>
            </w:pPr>
            <w:r>
              <w:rPr>
                <w:b/>
                <w:sz w:val="18"/>
                <w:szCs w:val="18"/>
              </w:rPr>
              <w:t>所有者权益</w:t>
            </w:r>
          </w:p>
          <w:p w14:paraId="3DE924C9">
            <w:pPr>
              <w:spacing w:line="360" w:lineRule="auto"/>
              <w:jc w:val="center"/>
              <w:rPr>
                <w:b/>
                <w:sz w:val="18"/>
                <w:szCs w:val="18"/>
              </w:rPr>
            </w:pPr>
            <w:r>
              <w:rPr>
                <w:b/>
                <w:sz w:val="18"/>
                <w:szCs w:val="18"/>
              </w:rPr>
              <w:t>合计</w:t>
            </w:r>
          </w:p>
        </w:tc>
      </w:tr>
      <w:tr w14:paraId="6427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70D3D5C2">
            <w:pPr>
              <w:spacing w:line="360" w:lineRule="auto"/>
              <w:rPr>
                <w:b/>
                <w:bCs/>
                <w:sz w:val="18"/>
                <w:szCs w:val="18"/>
              </w:rPr>
            </w:pPr>
            <w:r>
              <w:rPr>
                <w:b/>
                <w:bCs/>
                <w:sz w:val="18"/>
                <w:szCs w:val="18"/>
              </w:rPr>
              <w:t>一、上期期末余额</w:t>
            </w:r>
          </w:p>
        </w:tc>
        <w:tc>
          <w:tcPr>
            <w:tcW w:w="1530" w:type="dxa"/>
            <w:vAlign w:val="center"/>
          </w:tcPr>
          <w:p w14:paraId="09BC5D47">
            <w:pPr>
              <w:spacing w:line="360" w:lineRule="auto"/>
              <w:jc w:val="right"/>
              <w:rPr>
                <w:sz w:val="18"/>
                <w:szCs w:val="18"/>
              </w:rPr>
            </w:pPr>
            <w:r>
              <w:rPr>
                <w:sz w:val="18"/>
                <w:szCs w:val="18"/>
              </w:rPr>
              <w:t>1,421,130,866.00</w:t>
            </w:r>
          </w:p>
        </w:tc>
        <w:tc>
          <w:tcPr>
            <w:tcW w:w="465" w:type="dxa"/>
            <w:vAlign w:val="center"/>
          </w:tcPr>
          <w:p w14:paraId="1A53328E">
            <w:pPr>
              <w:spacing w:line="360" w:lineRule="auto"/>
              <w:jc w:val="right"/>
              <w:rPr>
                <w:sz w:val="18"/>
                <w:szCs w:val="18"/>
              </w:rPr>
            </w:pPr>
            <w:r>
              <w:rPr>
                <w:sz w:val="18"/>
                <w:szCs w:val="18"/>
              </w:rPr>
              <w:t>-</w:t>
            </w:r>
          </w:p>
        </w:tc>
        <w:tc>
          <w:tcPr>
            <w:tcW w:w="1470" w:type="dxa"/>
            <w:vAlign w:val="center"/>
          </w:tcPr>
          <w:p w14:paraId="04C72930">
            <w:pPr>
              <w:spacing w:line="360" w:lineRule="auto"/>
              <w:jc w:val="right"/>
              <w:rPr>
                <w:sz w:val="18"/>
                <w:szCs w:val="18"/>
              </w:rPr>
            </w:pPr>
            <w:r>
              <w:rPr>
                <w:sz w:val="18"/>
                <w:szCs w:val="18"/>
              </w:rPr>
              <w:t>1,901,808,511.21</w:t>
            </w:r>
          </w:p>
        </w:tc>
        <w:tc>
          <w:tcPr>
            <w:tcW w:w="710" w:type="dxa"/>
            <w:vAlign w:val="center"/>
          </w:tcPr>
          <w:p w14:paraId="6783C15F">
            <w:pPr>
              <w:spacing w:line="360" w:lineRule="auto"/>
              <w:jc w:val="right"/>
              <w:rPr>
                <w:sz w:val="18"/>
                <w:szCs w:val="18"/>
              </w:rPr>
            </w:pPr>
            <w:r>
              <w:rPr>
                <w:sz w:val="18"/>
                <w:szCs w:val="18"/>
              </w:rPr>
              <w:t>-</w:t>
            </w:r>
          </w:p>
        </w:tc>
        <w:tc>
          <w:tcPr>
            <w:tcW w:w="415" w:type="dxa"/>
            <w:vAlign w:val="center"/>
          </w:tcPr>
          <w:p w14:paraId="449E366C">
            <w:pPr>
              <w:spacing w:line="360" w:lineRule="auto"/>
              <w:jc w:val="right"/>
              <w:rPr>
                <w:sz w:val="18"/>
                <w:szCs w:val="18"/>
              </w:rPr>
            </w:pPr>
            <w:r>
              <w:rPr>
                <w:sz w:val="18"/>
                <w:szCs w:val="18"/>
              </w:rPr>
              <w:t>-</w:t>
            </w:r>
          </w:p>
        </w:tc>
        <w:tc>
          <w:tcPr>
            <w:tcW w:w="465" w:type="dxa"/>
            <w:vAlign w:val="center"/>
          </w:tcPr>
          <w:p w14:paraId="049AB012">
            <w:pPr>
              <w:spacing w:line="360" w:lineRule="auto"/>
              <w:jc w:val="right"/>
              <w:rPr>
                <w:sz w:val="18"/>
                <w:szCs w:val="18"/>
              </w:rPr>
            </w:pPr>
            <w:r>
              <w:rPr>
                <w:sz w:val="18"/>
                <w:szCs w:val="18"/>
              </w:rPr>
              <w:t>-</w:t>
            </w:r>
          </w:p>
        </w:tc>
        <w:tc>
          <w:tcPr>
            <w:tcW w:w="1489" w:type="dxa"/>
            <w:vAlign w:val="center"/>
          </w:tcPr>
          <w:p w14:paraId="3D61460E">
            <w:pPr>
              <w:spacing w:line="360" w:lineRule="auto"/>
              <w:jc w:val="right"/>
              <w:rPr>
                <w:sz w:val="18"/>
                <w:szCs w:val="18"/>
              </w:rPr>
            </w:pPr>
            <w:r>
              <w:rPr>
                <w:sz w:val="18"/>
                <w:szCs w:val="18"/>
              </w:rPr>
              <w:t>-164,163,341.59</w:t>
            </w:r>
          </w:p>
        </w:tc>
        <w:tc>
          <w:tcPr>
            <w:tcW w:w="1556" w:type="dxa"/>
            <w:vAlign w:val="center"/>
          </w:tcPr>
          <w:p w14:paraId="57C964AC">
            <w:pPr>
              <w:spacing w:line="360" w:lineRule="auto"/>
              <w:jc w:val="right"/>
              <w:rPr>
                <w:sz w:val="18"/>
                <w:szCs w:val="18"/>
              </w:rPr>
            </w:pPr>
            <w:r>
              <w:rPr>
                <w:sz w:val="18"/>
                <w:szCs w:val="18"/>
              </w:rPr>
              <w:t>3,158,776,035.62</w:t>
            </w:r>
          </w:p>
        </w:tc>
      </w:tr>
      <w:tr w14:paraId="17E8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6B144E7D">
            <w:pPr>
              <w:spacing w:line="360" w:lineRule="auto"/>
              <w:rPr>
                <w:sz w:val="18"/>
                <w:szCs w:val="18"/>
              </w:rPr>
            </w:pPr>
            <w:r>
              <w:rPr>
                <w:sz w:val="18"/>
                <w:szCs w:val="18"/>
              </w:rPr>
              <w:t>加：会计政策变更</w:t>
            </w:r>
          </w:p>
        </w:tc>
        <w:tc>
          <w:tcPr>
            <w:tcW w:w="1530" w:type="dxa"/>
            <w:vAlign w:val="center"/>
          </w:tcPr>
          <w:p w14:paraId="0513F25F">
            <w:pPr>
              <w:spacing w:line="360" w:lineRule="auto"/>
              <w:jc w:val="right"/>
              <w:rPr>
                <w:sz w:val="18"/>
                <w:szCs w:val="18"/>
              </w:rPr>
            </w:pPr>
            <w:r>
              <w:rPr>
                <w:sz w:val="18"/>
                <w:szCs w:val="18"/>
              </w:rPr>
              <w:t>-</w:t>
            </w:r>
          </w:p>
        </w:tc>
        <w:tc>
          <w:tcPr>
            <w:tcW w:w="465" w:type="dxa"/>
            <w:vAlign w:val="center"/>
          </w:tcPr>
          <w:p w14:paraId="6945DBC9">
            <w:pPr>
              <w:spacing w:line="360" w:lineRule="auto"/>
              <w:jc w:val="right"/>
              <w:rPr>
                <w:sz w:val="18"/>
                <w:szCs w:val="18"/>
              </w:rPr>
            </w:pPr>
            <w:r>
              <w:rPr>
                <w:sz w:val="18"/>
                <w:szCs w:val="18"/>
              </w:rPr>
              <w:t>-</w:t>
            </w:r>
          </w:p>
        </w:tc>
        <w:tc>
          <w:tcPr>
            <w:tcW w:w="1470" w:type="dxa"/>
            <w:vAlign w:val="center"/>
          </w:tcPr>
          <w:p w14:paraId="380D8D7B">
            <w:pPr>
              <w:spacing w:line="360" w:lineRule="auto"/>
              <w:jc w:val="right"/>
              <w:rPr>
                <w:sz w:val="18"/>
                <w:szCs w:val="18"/>
              </w:rPr>
            </w:pPr>
            <w:r>
              <w:rPr>
                <w:sz w:val="18"/>
                <w:szCs w:val="18"/>
              </w:rPr>
              <w:t>-</w:t>
            </w:r>
          </w:p>
        </w:tc>
        <w:tc>
          <w:tcPr>
            <w:tcW w:w="710" w:type="dxa"/>
            <w:vAlign w:val="center"/>
          </w:tcPr>
          <w:p w14:paraId="7AF96AE4">
            <w:pPr>
              <w:spacing w:line="360" w:lineRule="auto"/>
              <w:jc w:val="right"/>
              <w:rPr>
                <w:sz w:val="18"/>
                <w:szCs w:val="18"/>
              </w:rPr>
            </w:pPr>
            <w:r>
              <w:rPr>
                <w:sz w:val="18"/>
                <w:szCs w:val="18"/>
              </w:rPr>
              <w:t>-</w:t>
            </w:r>
          </w:p>
        </w:tc>
        <w:tc>
          <w:tcPr>
            <w:tcW w:w="415" w:type="dxa"/>
            <w:vAlign w:val="center"/>
          </w:tcPr>
          <w:p w14:paraId="4D86AA68">
            <w:pPr>
              <w:spacing w:line="360" w:lineRule="auto"/>
              <w:jc w:val="right"/>
              <w:rPr>
                <w:sz w:val="18"/>
                <w:szCs w:val="18"/>
              </w:rPr>
            </w:pPr>
            <w:r>
              <w:rPr>
                <w:sz w:val="18"/>
                <w:szCs w:val="18"/>
              </w:rPr>
              <w:t>-</w:t>
            </w:r>
          </w:p>
        </w:tc>
        <w:tc>
          <w:tcPr>
            <w:tcW w:w="465" w:type="dxa"/>
            <w:vAlign w:val="center"/>
          </w:tcPr>
          <w:p w14:paraId="4244421B">
            <w:pPr>
              <w:spacing w:line="360" w:lineRule="auto"/>
              <w:jc w:val="right"/>
              <w:rPr>
                <w:sz w:val="18"/>
                <w:szCs w:val="18"/>
              </w:rPr>
            </w:pPr>
            <w:r>
              <w:rPr>
                <w:sz w:val="18"/>
                <w:szCs w:val="18"/>
              </w:rPr>
              <w:t>-</w:t>
            </w:r>
          </w:p>
        </w:tc>
        <w:tc>
          <w:tcPr>
            <w:tcW w:w="1489" w:type="dxa"/>
            <w:vAlign w:val="center"/>
          </w:tcPr>
          <w:p w14:paraId="4FA8D5FB">
            <w:pPr>
              <w:spacing w:line="360" w:lineRule="auto"/>
              <w:jc w:val="right"/>
              <w:rPr>
                <w:sz w:val="18"/>
                <w:szCs w:val="18"/>
              </w:rPr>
            </w:pPr>
            <w:r>
              <w:rPr>
                <w:sz w:val="18"/>
                <w:szCs w:val="18"/>
              </w:rPr>
              <w:t>-</w:t>
            </w:r>
          </w:p>
        </w:tc>
        <w:tc>
          <w:tcPr>
            <w:tcW w:w="1556" w:type="dxa"/>
            <w:vAlign w:val="center"/>
          </w:tcPr>
          <w:p w14:paraId="1B25E5AA">
            <w:pPr>
              <w:spacing w:line="360" w:lineRule="auto"/>
              <w:jc w:val="right"/>
              <w:rPr>
                <w:sz w:val="18"/>
                <w:szCs w:val="18"/>
              </w:rPr>
            </w:pPr>
            <w:r>
              <w:rPr>
                <w:sz w:val="18"/>
                <w:szCs w:val="18"/>
              </w:rPr>
              <w:t>-</w:t>
            </w:r>
          </w:p>
        </w:tc>
      </w:tr>
      <w:tr w14:paraId="7B2C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4790DFAF">
            <w:pPr>
              <w:spacing w:line="360" w:lineRule="auto"/>
              <w:ind w:firstLine="475"/>
              <w:rPr>
                <w:sz w:val="18"/>
                <w:szCs w:val="18"/>
              </w:rPr>
            </w:pPr>
            <w:r>
              <w:rPr>
                <w:sz w:val="18"/>
                <w:szCs w:val="18"/>
              </w:rPr>
              <w:t>前期差错更正</w:t>
            </w:r>
          </w:p>
        </w:tc>
        <w:tc>
          <w:tcPr>
            <w:tcW w:w="1530" w:type="dxa"/>
            <w:vAlign w:val="center"/>
          </w:tcPr>
          <w:p w14:paraId="1BE228A0">
            <w:pPr>
              <w:spacing w:line="360" w:lineRule="auto"/>
              <w:jc w:val="right"/>
              <w:rPr>
                <w:sz w:val="18"/>
                <w:szCs w:val="18"/>
              </w:rPr>
            </w:pPr>
            <w:r>
              <w:rPr>
                <w:sz w:val="18"/>
                <w:szCs w:val="18"/>
              </w:rPr>
              <w:t>-</w:t>
            </w:r>
          </w:p>
        </w:tc>
        <w:tc>
          <w:tcPr>
            <w:tcW w:w="465" w:type="dxa"/>
            <w:vAlign w:val="center"/>
          </w:tcPr>
          <w:p w14:paraId="4E3D32C1">
            <w:pPr>
              <w:spacing w:line="360" w:lineRule="auto"/>
              <w:jc w:val="right"/>
              <w:rPr>
                <w:sz w:val="18"/>
                <w:szCs w:val="18"/>
              </w:rPr>
            </w:pPr>
            <w:r>
              <w:rPr>
                <w:sz w:val="18"/>
                <w:szCs w:val="18"/>
              </w:rPr>
              <w:t>-</w:t>
            </w:r>
          </w:p>
        </w:tc>
        <w:tc>
          <w:tcPr>
            <w:tcW w:w="1470" w:type="dxa"/>
            <w:vAlign w:val="center"/>
          </w:tcPr>
          <w:p w14:paraId="1CD0EB89">
            <w:pPr>
              <w:spacing w:line="360" w:lineRule="auto"/>
              <w:jc w:val="right"/>
              <w:rPr>
                <w:sz w:val="18"/>
                <w:szCs w:val="18"/>
              </w:rPr>
            </w:pPr>
            <w:r>
              <w:rPr>
                <w:sz w:val="18"/>
                <w:szCs w:val="18"/>
              </w:rPr>
              <w:t>-</w:t>
            </w:r>
          </w:p>
        </w:tc>
        <w:tc>
          <w:tcPr>
            <w:tcW w:w="710" w:type="dxa"/>
            <w:vAlign w:val="center"/>
          </w:tcPr>
          <w:p w14:paraId="15E89CF2">
            <w:pPr>
              <w:spacing w:line="360" w:lineRule="auto"/>
              <w:jc w:val="right"/>
              <w:rPr>
                <w:sz w:val="18"/>
                <w:szCs w:val="18"/>
              </w:rPr>
            </w:pPr>
            <w:r>
              <w:rPr>
                <w:sz w:val="18"/>
                <w:szCs w:val="18"/>
              </w:rPr>
              <w:t>-</w:t>
            </w:r>
          </w:p>
        </w:tc>
        <w:tc>
          <w:tcPr>
            <w:tcW w:w="415" w:type="dxa"/>
            <w:vAlign w:val="center"/>
          </w:tcPr>
          <w:p w14:paraId="17D9AFE8">
            <w:pPr>
              <w:spacing w:line="360" w:lineRule="auto"/>
              <w:jc w:val="right"/>
              <w:rPr>
                <w:sz w:val="18"/>
                <w:szCs w:val="18"/>
              </w:rPr>
            </w:pPr>
            <w:r>
              <w:rPr>
                <w:sz w:val="18"/>
                <w:szCs w:val="18"/>
              </w:rPr>
              <w:t>-</w:t>
            </w:r>
          </w:p>
        </w:tc>
        <w:tc>
          <w:tcPr>
            <w:tcW w:w="465" w:type="dxa"/>
            <w:vAlign w:val="center"/>
          </w:tcPr>
          <w:p w14:paraId="153E0F68">
            <w:pPr>
              <w:spacing w:line="360" w:lineRule="auto"/>
              <w:jc w:val="right"/>
              <w:rPr>
                <w:sz w:val="18"/>
                <w:szCs w:val="18"/>
              </w:rPr>
            </w:pPr>
            <w:r>
              <w:rPr>
                <w:sz w:val="18"/>
                <w:szCs w:val="18"/>
              </w:rPr>
              <w:t>-</w:t>
            </w:r>
          </w:p>
        </w:tc>
        <w:tc>
          <w:tcPr>
            <w:tcW w:w="1489" w:type="dxa"/>
            <w:vAlign w:val="center"/>
          </w:tcPr>
          <w:p w14:paraId="08E1BE22">
            <w:pPr>
              <w:spacing w:line="360" w:lineRule="auto"/>
              <w:jc w:val="right"/>
              <w:rPr>
                <w:sz w:val="18"/>
                <w:szCs w:val="18"/>
              </w:rPr>
            </w:pPr>
            <w:r>
              <w:rPr>
                <w:sz w:val="18"/>
                <w:szCs w:val="18"/>
              </w:rPr>
              <w:t>-</w:t>
            </w:r>
          </w:p>
        </w:tc>
        <w:tc>
          <w:tcPr>
            <w:tcW w:w="1556" w:type="dxa"/>
            <w:vAlign w:val="center"/>
          </w:tcPr>
          <w:p w14:paraId="5747DE6A">
            <w:pPr>
              <w:spacing w:line="360" w:lineRule="auto"/>
              <w:jc w:val="right"/>
              <w:rPr>
                <w:sz w:val="18"/>
                <w:szCs w:val="18"/>
              </w:rPr>
            </w:pPr>
            <w:r>
              <w:rPr>
                <w:sz w:val="18"/>
                <w:szCs w:val="18"/>
              </w:rPr>
              <w:t>-</w:t>
            </w:r>
          </w:p>
        </w:tc>
      </w:tr>
      <w:tr w14:paraId="268D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72834DF5">
            <w:pPr>
              <w:spacing w:line="360" w:lineRule="auto"/>
              <w:ind w:left="18" w:firstLine="329" w:firstLineChars="183"/>
              <w:rPr>
                <w:sz w:val="18"/>
                <w:szCs w:val="18"/>
              </w:rPr>
            </w:pPr>
            <w:r>
              <w:rPr>
                <w:sz w:val="18"/>
                <w:szCs w:val="18"/>
              </w:rPr>
              <w:t>同一控制下企业合并</w:t>
            </w:r>
          </w:p>
        </w:tc>
        <w:tc>
          <w:tcPr>
            <w:tcW w:w="1530" w:type="dxa"/>
            <w:vAlign w:val="center"/>
          </w:tcPr>
          <w:p w14:paraId="325296E2">
            <w:pPr>
              <w:spacing w:line="360" w:lineRule="auto"/>
              <w:jc w:val="right"/>
              <w:rPr>
                <w:sz w:val="18"/>
                <w:szCs w:val="18"/>
              </w:rPr>
            </w:pPr>
            <w:r>
              <w:rPr>
                <w:sz w:val="18"/>
                <w:szCs w:val="18"/>
              </w:rPr>
              <w:t>-</w:t>
            </w:r>
          </w:p>
        </w:tc>
        <w:tc>
          <w:tcPr>
            <w:tcW w:w="465" w:type="dxa"/>
            <w:vAlign w:val="center"/>
          </w:tcPr>
          <w:p w14:paraId="25731EB7">
            <w:pPr>
              <w:spacing w:line="360" w:lineRule="auto"/>
              <w:jc w:val="right"/>
              <w:rPr>
                <w:sz w:val="18"/>
                <w:szCs w:val="18"/>
              </w:rPr>
            </w:pPr>
            <w:r>
              <w:rPr>
                <w:sz w:val="18"/>
                <w:szCs w:val="18"/>
              </w:rPr>
              <w:t>-</w:t>
            </w:r>
          </w:p>
        </w:tc>
        <w:tc>
          <w:tcPr>
            <w:tcW w:w="1470" w:type="dxa"/>
            <w:vAlign w:val="center"/>
          </w:tcPr>
          <w:p w14:paraId="4C6E1850">
            <w:pPr>
              <w:spacing w:line="360" w:lineRule="auto"/>
              <w:jc w:val="right"/>
              <w:rPr>
                <w:sz w:val="18"/>
                <w:szCs w:val="18"/>
              </w:rPr>
            </w:pPr>
            <w:r>
              <w:rPr>
                <w:sz w:val="18"/>
                <w:szCs w:val="18"/>
              </w:rPr>
              <w:t>-</w:t>
            </w:r>
          </w:p>
        </w:tc>
        <w:tc>
          <w:tcPr>
            <w:tcW w:w="710" w:type="dxa"/>
            <w:vAlign w:val="center"/>
          </w:tcPr>
          <w:p w14:paraId="36A799FE">
            <w:pPr>
              <w:spacing w:line="360" w:lineRule="auto"/>
              <w:jc w:val="right"/>
              <w:rPr>
                <w:sz w:val="18"/>
                <w:szCs w:val="18"/>
              </w:rPr>
            </w:pPr>
            <w:r>
              <w:rPr>
                <w:sz w:val="18"/>
                <w:szCs w:val="18"/>
              </w:rPr>
              <w:t>-</w:t>
            </w:r>
          </w:p>
        </w:tc>
        <w:tc>
          <w:tcPr>
            <w:tcW w:w="415" w:type="dxa"/>
            <w:vAlign w:val="center"/>
          </w:tcPr>
          <w:p w14:paraId="56CB7273">
            <w:pPr>
              <w:spacing w:line="360" w:lineRule="auto"/>
              <w:jc w:val="right"/>
              <w:rPr>
                <w:sz w:val="18"/>
                <w:szCs w:val="18"/>
              </w:rPr>
            </w:pPr>
            <w:r>
              <w:rPr>
                <w:sz w:val="18"/>
                <w:szCs w:val="18"/>
              </w:rPr>
              <w:t>-</w:t>
            </w:r>
          </w:p>
        </w:tc>
        <w:tc>
          <w:tcPr>
            <w:tcW w:w="465" w:type="dxa"/>
            <w:vAlign w:val="center"/>
          </w:tcPr>
          <w:p w14:paraId="55F28310">
            <w:pPr>
              <w:spacing w:line="360" w:lineRule="auto"/>
              <w:jc w:val="right"/>
              <w:rPr>
                <w:sz w:val="18"/>
                <w:szCs w:val="18"/>
              </w:rPr>
            </w:pPr>
            <w:r>
              <w:rPr>
                <w:sz w:val="18"/>
                <w:szCs w:val="18"/>
              </w:rPr>
              <w:t>-</w:t>
            </w:r>
          </w:p>
        </w:tc>
        <w:tc>
          <w:tcPr>
            <w:tcW w:w="1489" w:type="dxa"/>
            <w:vAlign w:val="center"/>
          </w:tcPr>
          <w:p w14:paraId="539ADC1F">
            <w:pPr>
              <w:spacing w:line="360" w:lineRule="auto"/>
              <w:jc w:val="right"/>
              <w:rPr>
                <w:sz w:val="18"/>
                <w:szCs w:val="18"/>
              </w:rPr>
            </w:pPr>
            <w:r>
              <w:rPr>
                <w:sz w:val="18"/>
                <w:szCs w:val="18"/>
              </w:rPr>
              <w:t>-</w:t>
            </w:r>
          </w:p>
        </w:tc>
        <w:tc>
          <w:tcPr>
            <w:tcW w:w="1556" w:type="dxa"/>
            <w:vAlign w:val="center"/>
          </w:tcPr>
          <w:p w14:paraId="76FB6CE5">
            <w:pPr>
              <w:spacing w:line="360" w:lineRule="auto"/>
              <w:jc w:val="right"/>
              <w:rPr>
                <w:sz w:val="18"/>
                <w:szCs w:val="18"/>
              </w:rPr>
            </w:pPr>
            <w:r>
              <w:rPr>
                <w:sz w:val="18"/>
                <w:szCs w:val="18"/>
              </w:rPr>
              <w:t>-</w:t>
            </w:r>
          </w:p>
        </w:tc>
      </w:tr>
      <w:tr w14:paraId="74A3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204DC3D1">
            <w:pPr>
              <w:spacing w:line="360" w:lineRule="auto"/>
              <w:ind w:firstLine="475"/>
              <w:rPr>
                <w:sz w:val="18"/>
                <w:szCs w:val="18"/>
              </w:rPr>
            </w:pPr>
            <w:r>
              <w:rPr>
                <w:sz w:val="18"/>
                <w:szCs w:val="18"/>
              </w:rPr>
              <w:t>其他</w:t>
            </w:r>
          </w:p>
        </w:tc>
        <w:tc>
          <w:tcPr>
            <w:tcW w:w="1530" w:type="dxa"/>
            <w:vAlign w:val="center"/>
          </w:tcPr>
          <w:p w14:paraId="625DE7B7">
            <w:pPr>
              <w:spacing w:line="360" w:lineRule="auto"/>
              <w:jc w:val="right"/>
              <w:rPr>
                <w:sz w:val="18"/>
                <w:szCs w:val="18"/>
              </w:rPr>
            </w:pPr>
            <w:r>
              <w:rPr>
                <w:sz w:val="18"/>
                <w:szCs w:val="18"/>
              </w:rPr>
              <w:t>-</w:t>
            </w:r>
          </w:p>
        </w:tc>
        <w:tc>
          <w:tcPr>
            <w:tcW w:w="465" w:type="dxa"/>
            <w:vAlign w:val="center"/>
          </w:tcPr>
          <w:p w14:paraId="478F3990">
            <w:pPr>
              <w:spacing w:line="360" w:lineRule="auto"/>
              <w:jc w:val="right"/>
              <w:rPr>
                <w:sz w:val="18"/>
                <w:szCs w:val="18"/>
              </w:rPr>
            </w:pPr>
            <w:r>
              <w:rPr>
                <w:sz w:val="18"/>
                <w:szCs w:val="18"/>
              </w:rPr>
              <w:t>-</w:t>
            </w:r>
          </w:p>
        </w:tc>
        <w:tc>
          <w:tcPr>
            <w:tcW w:w="1470" w:type="dxa"/>
            <w:vAlign w:val="center"/>
          </w:tcPr>
          <w:p w14:paraId="5CA01A3C">
            <w:pPr>
              <w:spacing w:line="360" w:lineRule="auto"/>
              <w:jc w:val="right"/>
              <w:rPr>
                <w:sz w:val="18"/>
                <w:szCs w:val="18"/>
              </w:rPr>
            </w:pPr>
            <w:r>
              <w:rPr>
                <w:sz w:val="18"/>
                <w:szCs w:val="18"/>
              </w:rPr>
              <w:t>-</w:t>
            </w:r>
          </w:p>
        </w:tc>
        <w:tc>
          <w:tcPr>
            <w:tcW w:w="710" w:type="dxa"/>
            <w:vAlign w:val="center"/>
          </w:tcPr>
          <w:p w14:paraId="051B503C">
            <w:pPr>
              <w:spacing w:line="360" w:lineRule="auto"/>
              <w:jc w:val="right"/>
              <w:rPr>
                <w:sz w:val="18"/>
                <w:szCs w:val="18"/>
              </w:rPr>
            </w:pPr>
            <w:r>
              <w:rPr>
                <w:sz w:val="18"/>
                <w:szCs w:val="18"/>
              </w:rPr>
              <w:t>-</w:t>
            </w:r>
          </w:p>
        </w:tc>
        <w:tc>
          <w:tcPr>
            <w:tcW w:w="415" w:type="dxa"/>
            <w:vAlign w:val="center"/>
          </w:tcPr>
          <w:p w14:paraId="03E1B883">
            <w:pPr>
              <w:spacing w:line="360" w:lineRule="auto"/>
              <w:jc w:val="right"/>
              <w:rPr>
                <w:sz w:val="18"/>
                <w:szCs w:val="18"/>
              </w:rPr>
            </w:pPr>
            <w:r>
              <w:rPr>
                <w:sz w:val="18"/>
                <w:szCs w:val="18"/>
              </w:rPr>
              <w:t>-</w:t>
            </w:r>
          </w:p>
        </w:tc>
        <w:tc>
          <w:tcPr>
            <w:tcW w:w="465" w:type="dxa"/>
            <w:vAlign w:val="center"/>
          </w:tcPr>
          <w:p w14:paraId="05701B3D">
            <w:pPr>
              <w:spacing w:line="360" w:lineRule="auto"/>
              <w:jc w:val="right"/>
              <w:rPr>
                <w:sz w:val="18"/>
                <w:szCs w:val="18"/>
              </w:rPr>
            </w:pPr>
            <w:r>
              <w:rPr>
                <w:sz w:val="18"/>
                <w:szCs w:val="18"/>
              </w:rPr>
              <w:t>-</w:t>
            </w:r>
          </w:p>
        </w:tc>
        <w:tc>
          <w:tcPr>
            <w:tcW w:w="1489" w:type="dxa"/>
            <w:vAlign w:val="center"/>
          </w:tcPr>
          <w:p w14:paraId="38D195A1">
            <w:pPr>
              <w:spacing w:line="360" w:lineRule="auto"/>
              <w:jc w:val="right"/>
              <w:rPr>
                <w:sz w:val="18"/>
                <w:szCs w:val="18"/>
              </w:rPr>
            </w:pPr>
            <w:r>
              <w:rPr>
                <w:sz w:val="18"/>
                <w:szCs w:val="18"/>
              </w:rPr>
              <w:t>-</w:t>
            </w:r>
          </w:p>
        </w:tc>
        <w:tc>
          <w:tcPr>
            <w:tcW w:w="1556" w:type="dxa"/>
            <w:vAlign w:val="center"/>
          </w:tcPr>
          <w:p w14:paraId="5B660A3E">
            <w:pPr>
              <w:spacing w:line="360" w:lineRule="auto"/>
              <w:jc w:val="right"/>
              <w:rPr>
                <w:sz w:val="18"/>
                <w:szCs w:val="18"/>
              </w:rPr>
            </w:pPr>
            <w:r>
              <w:rPr>
                <w:sz w:val="18"/>
                <w:szCs w:val="18"/>
              </w:rPr>
              <w:t>-</w:t>
            </w:r>
          </w:p>
        </w:tc>
      </w:tr>
      <w:tr w14:paraId="42FE3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4C22B6C1">
            <w:pPr>
              <w:spacing w:line="360" w:lineRule="auto"/>
              <w:rPr>
                <w:b/>
                <w:bCs/>
                <w:sz w:val="18"/>
                <w:szCs w:val="18"/>
              </w:rPr>
            </w:pPr>
            <w:r>
              <w:rPr>
                <w:b/>
                <w:bCs/>
                <w:sz w:val="18"/>
                <w:szCs w:val="18"/>
              </w:rPr>
              <w:t>二、本期期初余额</w:t>
            </w:r>
          </w:p>
        </w:tc>
        <w:tc>
          <w:tcPr>
            <w:tcW w:w="1530" w:type="dxa"/>
            <w:vAlign w:val="center"/>
          </w:tcPr>
          <w:p w14:paraId="6AC9F615">
            <w:pPr>
              <w:spacing w:line="360" w:lineRule="auto"/>
              <w:jc w:val="right"/>
              <w:rPr>
                <w:sz w:val="18"/>
                <w:szCs w:val="18"/>
              </w:rPr>
            </w:pPr>
            <w:r>
              <w:rPr>
                <w:sz w:val="18"/>
                <w:szCs w:val="18"/>
              </w:rPr>
              <w:t>1,421,130,866.00</w:t>
            </w:r>
          </w:p>
        </w:tc>
        <w:tc>
          <w:tcPr>
            <w:tcW w:w="465" w:type="dxa"/>
            <w:vAlign w:val="center"/>
          </w:tcPr>
          <w:p w14:paraId="60F27A04">
            <w:pPr>
              <w:spacing w:line="360" w:lineRule="auto"/>
              <w:jc w:val="right"/>
              <w:rPr>
                <w:sz w:val="18"/>
                <w:szCs w:val="18"/>
              </w:rPr>
            </w:pPr>
            <w:r>
              <w:rPr>
                <w:sz w:val="18"/>
                <w:szCs w:val="18"/>
              </w:rPr>
              <w:t>-</w:t>
            </w:r>
          </w:p>
        </w:tc>
        <w:tc>
          <w:tcPr>
            <w:tcW w:w="1470" w:type="dxa"/>
            <w:vAlign w:val="center"/>
          </w:tcPr>
          <w:p w14:paraId="513FC4FE">
            <w:pPr>
              <w:spacing w:line="360" w:lineRule="auto"/>
              <w:jc w:val="right"/>
              <w:rPr>
                <w:sz w:val="18"/>
                <w:szCs w:val="18"/>
              </w:rPr>
            </w:pPr>
            <w:r>
              <w:rPr>
                <w:sz w:val="18"/>
                <w:szCs w:val="18"/>
              </w:rPr>
              <w:t>1,901,808,511.21</w:t>
            </w:r>
          </w:p>
        </w:tc>
        <w:tc>
          <w:tcPr>
            <w:tcW w:w="710" w:type="dxa"/>
            <w:vAlign w:val="center"/>
          </w:tcPr>
          <w:p w14:paraId="16752070">
            <w:pPr>
              <w:spacing w:line="360" w:lineRule="auto"/>
              <w:jc w:val="right"/>
              <w:rPr>
                <w:sz w:val="18"/>
                <w:szCs w:val="18"/>
              </w:rPr>
            </w:pPr>
            <w:r>
              <w:rPr>
                <w:sz w:val="18"/>
                <w:szCs w:val="18"/>
              </w:rPr>
              <w:t>-</w:t>
            </w:r>
          </w:p>
        </w:tc>
        <w:tc>
          <w:tcPr>
            <w:tcW w:w="415" w:type="dxa"/>
            <w:vAlign w:val="center"/>
          </w:tcPr>
          <w:p w14:paraId="266A2C33">
            <w:pPr>
              <w:spacing w:line="360" w:lineRule="auto"/>
              <w:jc w:val="right"/>
              <w:rPr>
                <w:sz w:val="18"/>
                <w:szCs w:val="18"/>
              </w:rPr>
            </w:pPr>
            <w:r>
              <w:rPr>
                <w:sz w:val="18"/>
                <w:szCs w:val="18"/>
              </w:rPr>
              <w:t>-</w:t>
            </w:r>
          </w:p>
        </w:tc>
        <w:tc>
          <w:tcPr>
            <w:tcW w:w="465" w:type="dxa"/>
            <w:vAlign w:val="center"/>
          </w:tcPr>
          <w:p w14:paraId="522E6D41">
            <w:pPr>
              <w:spacing w:line="360" w:lineRule="auto"/>
              <w:jc w:val="right"/>
              <w:rPr>
                <w:sz w:val="18"/>
                <w:szCs w:val="18"/>
              </w:rPr>
            </w:pPr>
            <w:r>
              <w:rPr>
                <w:sz w:val="18"/>
                <w:szCs w:val="18"/>
              </w:rPr>
              <w:t>-</w:t>
            </w:r>
          </w:p>
        </w:tc>
        <w:tc>
          <w:tcPr>
            <w:tcW w:w="1489" w:type="dxa"/>
            <w:vAlign w:val="center"/>
          </w:tcPr>
          <w:p w14:paraId="5A223073">
            <w:pPr>
              <w:spacing w:line="360" w:lineRule="auto"/>
              <w:jc w:val="right"/>
              <w:rPr>
                <w:sz w:val="18"/>
                <w:szCs w:val="18"/>
              </w:rPr>
            </w:pPr>
            <w:r>
              <w:rPr>
                <w:sz w:val="18"/>
                <w:szCs w:val="18"/>
              </w:rPr>
              <w:t>-164,163,341.59</w:t>
            </w:r>
          </w:p>
        </w:tc>
        <w:tc>
          <w:tcPr>
            <w:tcW w:w="1556" w:type="dxa"/>
            <w:vAlign w:val="center"/>
          </w:tcPr>
          <w:p w14:paraId="6CA9A3CF">
            <w:pPr>
              <w:spacing w:line="360" w:lineRule="auto"/>
              <w:jc w:val="right"/>
              <w:rPr>
                <w:sz w:val="18"/>
                <w:szCs w:val="18"/>
              </w:rPr>
            </w:pPr>
            <w:r>
              <w:rPr>
                <w:sz w:val="18"/>
                <w:szCs w:val="18"/>
              </w:rPr>
              <w:t>3,158,776,035.62</w:t>
            </w:r>
          </w:p>
        </w:tc>
      </w:tr>
      <w:tr w14:paraId="610F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2E4ECDF1">
            <w:pPr>
              <w:spacing w:line="360" w:lineRule="auto"/>
              <w:rPr>
                <w:b/>
                <w:bCs/>
                <w:sz w:val="18"/>
                <w:szCs w:val="18"/>
              </w:rPr>
            </w:pPr>
            <w:r>
              <w:rPr>
                <w:b/>
                <w:bCs/>
                <w:sz w:val="18"/>
                <w:szCs w:val="18"/>
              </w:rPr>
              <w:t>三、本期增减变动额（减少以“-”号填列）</w:t>
            </w:r>
          </w:p>
        </w:tc>
        <w:tc>
          <w:tcPr>
            <w:tcW w:w="1530" w:type="dxa"/>
            <w:vAlign w:val="center"/>
          </w:tcPr>
          <w:p w14:paraId="203F6946">
            <w:pPr>
              <w:spacing w:line="360" w:lineRule="auto"/>
              <w:jc w:val="right"/>
              <w:rPr>
                <w:sz w:val="18"/>
                <w:szCs w:val="18"/>
              </w:rPr>
            </w:pPr>
            <w:r>
              <w:rPr>
                <w:sz w:val="18"/>
                <w:szCs w:val="18"/>
              </w:rPr>
              <w:t>-</w:t>
            </w:r>
          </w:p>
        </w:tc>
        <w:tc>
          <w:tcPr>
            <w:tcW w:w="465" w:type="dxa"/>
            <w:vAlign w:val="center"/>
          </w:tcPr>
          <w:p w14:paraId="3BB66A49">
            <w:pPr>
              <w:spacing w:line="360" w:lineRule="auto"/>
              <w:jc w:val="right"/>
              <w:rPr>
                <w:sz w:val="18"/>
                <w:szCs w:val="18"/>
              </w:rPr>
            </w:pPr>
            <w:r>
              <w:rPr>
                <w:sz w:val="18"/>
                <w:szCs w:val="18"/>
              </w:rPr>
              <w:t>-</w:t>
            </w:r>
          </w:p>
        </w:tc>
        <w:tc>
          <w:tcPr>
            <w:tcW w:w="1470" w:type="dxa"/>
            <w:vAlign w:val="center"/>
          </w:tcPr>
          <w:p w14:paraId="601853C6">
            <w:pPr>
              <w:spacing w:line="360" w:lineRule="auto"/>
              <w:jc w:val="right"/>
              <w:rPr>
                <w:sz w:val="18"/>
                <w:szCs w:val="18"/>
              </w:rPr>
            </w:pPr>
            <w:r>
              <w:rPr>
                <w:sz w:val="18"/>
                <w:szCs w:val="18"/>
              </w:rPr>
              <w:t>-</w:t>
            </w:r>
          </w:p>
        </w:tc>
        <w:tc>
          <w:tcPr>
            <w:tcW w:w="710" w:type="dxa"/>
            <w:vAlign w:val="center"/>
          </w:tcPr>
          <w:p w14:paraId="2052CA4B">
            <w:pPr>
              <w:spacing w:line="360" w:lineRule="auto"/>
              <w:jc w:val="right"/>
              <w:rPr>
                <w:sz w:val="18"/>
                <w:szCs w:val="18"/>
              </w:rPr>
            </w:pPr>
            <w:r>
              <w:rPr>
                <w:sz w:val="18"/>
                <w:szCs w:val="18"/>
              </w:rPr>
              <w:t>-</w:t>
            </w:r>
          </w:p>
        </w:tc>
        <w:tc>
          <w:tcPr>
            <w:tcW w:w="415" w:type="dxa"/>
            <w:vAlign w:val="center"/>
          </w:tcPr>
          <w:p w14:paraId="23276049">
            <w:pPr>
              <w:spacing w:line="360" w:lineRule="auto"/>
              <w:jc w:val="right"/>
              <w:rPr>
                <w:sz w:val="18"/>
                <w:szCs w:val="18"/>
              </w:rPr>
            </w:pPr>
            <w:r>
              <w:rPr>
                <w:sz w:val="18"/>
                <w:szCs w:val="18"/>
              </w:rPr>
              <w:t>-</w:t>
            </w:r>
          </w:p>
        </w:tc>
        <w:tc>
          <w:tcPr>
            <w:tcW w:w="465" w:type="dxa"/>
            <w:vAlign w:val="center"/>
          </w:tcPr>
          <w:p w14:paraId="38A59D79">
            <w:pPr>
              <w:spacing w:line="360" w:lineRule="auto"/>
              <w:jc w:val="right"/>
              <w:rPr>
                <w:sz w:val="18"/>
                <w:szCs w:val="18"/>
              </w:rPr>
            </w:pPr>
            <w:r>
              <w:rPr>
                <w:sz w:val="18"/>
                <w:szCs w:val="18"/>
              </w:rPr>
              <w:t>-</w:t>
            </w:r>
          </w:p>
        </w:tc>
        <w:tc>
          <w:tcPr>
            <w:tcW w:w="1489" w:type="dxa"/>
            <w:vAlign w:val="center"/>
          </w:tcPr>
          <w:p w14:paraId="4496F356">
            <w:pPr>
              <w:spacing w:line="360" w:lineRule="auto"/>
              <w:jc w:val="right"/>
              <w:rPr>
                <w:sz w:val="18"/>
                <w:szCs w:val="18"/>
              </w:rPr>
            </w:pPr>
            <w:r>
              <w:rPr>
                <w:sz w:val="18"/>
                <w:szCs w:val="18"/>
              </w:rPr>
              <w:t>-14,288,864.41</w:t>
            </w:r>
          </w:p>
        </w:tc>
        <w:tc>
          <w:tcPr>
            <w:tcW w:w="1556" w:type="dxa"/>
            <w:vAlign w:val="center"/>
          </w:tcPr>
          <w:p w14:paraId="6E0215E9">
            <w:pPr>
              <w:spacing w:line="360" w:lineRule="auto"/>
              <w:jc w:val="right"/>
              <w:rPr>
                <w:sz w:val="18"/>
                <w:szCs w:val="18"/>
              </w:rPr>
            </w:pPr>
            <w:r>
              <w:rPr>
                <w:sz w:val="18"/>
                <w:szCs w:val="18"/>
              </w:rPr>
              <w:t>-14,288,864.41</w:t>
            </w:r>
          </w:p>
        </w:tc>
      </w:tr>
      <w:tr w14:paraId="39E3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2C8EB457">
            <w:pPr>
              <w:spacing w:line="360" w:lineRule="auto"/>
              <w:rPr>
                <w:sz w:val="18"/>
                <w:szCs w:val="18"/>
              </w:rPr>
            </w:pPr>
            <w:r>
              <w:rPr>
                <w:sz w:val="18"/>
                <w:szCs w:val="18"/>
              </w:rPr>
              <w:t>（一）综合收益总额</w:t>
            </w:r>
          </w:p>
        </w:tc>
        <w:tc>
          <w:tcPr>
            <w:tcW w:w="1530" w:type="dxa"/>
            <w:vAlign w:val="center"/>
          </w:tcPr>
          <w:p w14:paraId="79A94844">
            <w:pPr>
              <w:spacing w:line="360" w:lineRule="auto"/>
              <w:jc w:val="right"/>
              <w:rPr>
                <w:sz w:val="18"/>
                <w:szCs w:val="18"/>
              </w:rPr>
            </w:pPr>
            <w:r>
              <w:rPr>
                <w:sz w:val="18"/>
                <w:szCs w:val="18"/>
              </w:rPr>
              <w:t>-</w:t>
            </w:r>
          </w:p>
        </w:tc>
        <w:tc>
          <w:tcPr>
            <w:tcW w:w="465" w:type="dxa"/>
            <w:vAlign w:val="center"/>
          </w:tcPr>
          <w:p w14:paraId="6E4650A9">
            <w:pPr>
              <w:spacing w:line="360" w:lineRule="auto"/>
              <w:jc w:val="right"/>
              <w:rPr>
                <w:sz w:val="18"/>
                <w:szCs w:val="18"/>
              </w:rPr>
            </w:pPr>
            <w:r>
              <w:rPr>
                <w:sz w:val="18"/>
                <w:szCs w:val="18"/>
              </w:rPr>
              <w:t>-</w:t>
            </w:r>
          </w:p>
        </w:tc>
        <w:tc>
          <w:tcPr>
            <w:tcW w:w="1470" w:type="dxa"/>
            <w:vAlign w:val="center"/>
          </w:tcPr>
          <w:p w14:paraId="1A915C42">
            <w:pPr>
              <w:spacing w:line="360" w:lineRule="auto"/>
              <w:jc w:val="right"/>
              <w:rPr>
                <w:sz w:val="18"/>
                <w:szCs w:val="18"/>
              </w:rPr>
            </w:pPr>
            <w:r>
              <w:rPr>
                <w:sz w:val="18"/>
                <w:szCs w:val="18"/>
              </w:rPr>
              <w:t>-</w:t>
            </w:r>
          </w:p>
        </w:tc>
        <w:tc>
          <w:tcPr>
            <w:tcW w:w="710" w:type="dxa"/>
            <w:vAlign w:val="center"/>
          </w:tcPr>
          <w:p w14:paraId="558D0300">
            <w:pPr>
              <w:spacing w:line="360" w:lineRule="auto"/>
              <w:jc w:val="right"/>
              <w:rPr>
                <w:sz w:val="18"/>
                <w:szCs w:val="18"/>
              </w:rPr>
            </w:pPr>
            <w:r>
              <w:rPr>
                <w:sz w:val="18"/>
                <w:szCs w:val="18"/>
              </w:rPr>
              <w:t>-</w:t>
            </w:r>
          </w:p>
        </w:tc>
        <w:tc>
          <w:tcPr>
            <w:tcW w:w="415" w:type="dxa"/>
            <w:vAlign w:val="center"/>
          </w:tcPr>
          <w:p w14:paraId="1DB90B97">
            <w:pPr>
              <w:spacing w:line="360" w:lineRule="auto"/>
              <w:jc w:val="right"/>
              <w:rPr>
                <w:sz w:val="18"/>
                <w:szCs w:val="18"/>
              </w:rPr>
            </w:pPr>
            <w:r>
              <w:rPr>
                <w:sz w:val="18"/>
                <w:szCs w:val="18"/>
              </w:rPr>
              <w:t>-</w:t>
            </w:r>
          </w:p>
        </w:tc>
        <w:tc>
          <w:tcPr>
            <w:tcW w:w="465" w:type="dxa"/>
            <w:vAlign w:val="center"/>
          </w:tcPr>
          <w:p w14:paraId="5EFE6B9B">
            <w:pPr>
              <w:spacing w:line="360" w:lineRule="auto"/>
              <w:jc w:val="right"/>
              <w:rPr>
                <w:sz w:val="18"/>
                <w:szCs w:val="18"/>
              </w:rPr>
            </w:pPr>
            <w:r>
              <w:rPr>
                <w:sz w:val="18"/>
                <w:szCs w:val="18"/>
              </w:rPr>
              <w:t>-</w:t>
            </w:r>
          </w:p>
        </w:tc>
        <w:tc>
          <w:tcPr>
            <w:tcW w:w="1489" w:type="dxa"/>
            <w:vAlign w:val="center"/>
          </w:tcPr>
          <w:p w14:paraId="61730BA6">
            <w:pPr>
              <w:spacing w:line="360" w:lineRule="auto"/>
              <w:jc w:val="right"/>
              <w:rPr>
                <w:sz w:val="18"/>
                <w:szCs w:val="18"/>
              </w:rPr>
            </w:pPr>
            <w:r>
              <w:rPr>
                <w:sz w:val="18"/>
                <w:szCs w:val="18"/>
              </w:rPr>
              <w:t>25,928,734.28</w:t>
            </w:r>
          </w:p>
        </w:tc>
        <w:tc>
          <w:tcPr>
            <w:tcW w:w="1556" w:type="dxa"/>
            <w:vAlign w:val="center"/>
          </w:tcPr>
          <w:p w14:paraId="1592C031">
            <w:pPr>
              <w:spacing w:line="360" w:lineRule="auto"/>
              <w:jc w:val="right"/>
              <w:rPr>
                <w:sz w:val="18"/>
                <w:szCs w:val="18"/>
              </w:rPr>
            </w:pPr>
            <w:r>
              <w:rPr>
                <w:sz w:val="18"/>
                <w:szCs w:val="18"/>
              </w:rPr>
              <w:t>25,928,734.28</w:t>
            </w:r>
          </w:p>
        </w:tc>
      </w:tr>
      <w:tr w14:paraId="7A24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722E1DA5">
            <w:pPr>
              <w:spacing w:line="360" w:lineRule="auto"/>
              <w:rPr>
                <w:sz w:val="18"/>
                <w:szCs w:val="18"/>
              </w:rPr>
            </w:pPr>
            <w:r>
              <w:rPr>
                <w:sz w:val="18"/>
                <w:szCs w:val="18"/>
              </w:rPr>
              <w:t>（二）产品持有人申购和赎回</w:t>
            </w:r>
          </w:p>
        </w:tc>
        <w:tc>
          <w:tcPr>
            <w:tcW w:w="1530" w:type="dxa"/>
            <w:vAlign w:val="center"/>
          </w:tcPr>
          <w:p w14:paraId="6E343461">
            <w:pPr>
              <w:spacing w:line="360" w:lineRule="auto"/>
              <w:jc w:val="right"/>
              <w:rPr>
                <w:sz w:val="18"/>
                <w:szCs w:val="18"/>
              </w:rPr>
            </w:pPr>
            <w:r>
              <w:rPr>
                <w:sz w:val="18"/>
                <w:szCs w:val="18"/>
              </w:rPr>
              <w:t>-</w:t>
            </w:r>
          </w:p>
        </w:tc>
        <w:tc>
          <w:tcPr>
            <w:tcW w:w="465" w:type="dxa"/>
            <w:vAlign w:val="center"/>
          </w:tcPr>
          <w:p w14:paraId="63CA6DBD">
            <w:pPr>
              <w:spacing w:line="360" w:lineRule="auto"/>
              <w:jc w:val="right"/>
              <w:rPr>
                <w:sz w:val="18"/>
                <w:szCs w:val="18"/>
              </w:rPr>
            </w:pPr>
            <w:r>
              <w:rPr>
                <w:sz w:val="18"/>
                <w:szCs w:val="18"/>
              </w:rPr>
              <w:t>-</w:t>
            </w:r>
          </w:p>
        </w:tc>
        <w:tc>
          <w:tcPr>
            <w:tcW w:w="1470" w:type="dxa"/>
            <w:vAlign w:val="center"/>
          </w:tcPr>
          <w:p w14:paraId="67E0D947">
            <w:pPr>
              <w:spacing w:line="360" w:lineRule="auto"/>
              <w:jc w:val="right"/>
              <w:rPr>
                <w:sz w:val="18"/>
                <w:szCs w:val="18"/>
              </w:rPr>
            </w:pPr>
            <w:r>
              <w:rPr>
                <w:sz w:val="18"/>
                <w:szCs w:val="18"/>
              </w:rPr>
              <w:t>-</w:t>
            </w:r>
          </w:p>
        </w:tc>
        <w:tc>
          <w:tcPr>
            <w:tcW w:w="710" w:type="dxa"/>
            <w:vAlign w:val="center"/>
          </w:tcPr>
          <w:p w14:paraId="37FC6F08">
            <w:pPr>
              <w:spacing w:line="360" w:lineRule="auto"/>
              <w:jc w:val="right"/>
              <w:rPr>
                <w:sz w:val="18"/>
                <w:szCs w:val="18"/>
              </w:rPr>
            </w:pPr>
            <w:r>
              <w:rPr>
                <w:sz w:val="18"/>
                <w:szCs w:val="18"/>
              </w:rPr>
              <w:t>-</w:t>
            </w:r>
          </w:p>
        </w:tc>
        <w:tc>
          <w:tcPr>
            <w:tcW w:w="415" w:type="dxa"/>
            <w:vAlign w:val="center"/>
          </w:tcPr>
          <w:p w14:paraId="6A3C5182">
            <w:pPr>
              <w:spacing w:line="360" w:lineRule="auto"/>
              <w:jc w:val="right"/>
              <w:rPr>
                <w:sz w:val="18"/>
                <w:szCs w:val="18"/>
              </w:rPr>
            </w:pPr>
            <w:r>
              <w:rPr>
                <w:sz w:val="18"/>
                <w:szCs w:val="18"/>
              </w:rPr>
              <w:t>-</w:t>
            </w:r>
          </w:p>
        </w:tc>
        <w:tc>
          <w:tcPr>
            <w:tcW w:w="465" w:type="dxa"/>
            <w:vAlign w:val="center"/>
          </w:tcPr>
          <w:p w14:paraId="270FCCA2">
            <w:pPr>
              <w:spacing w:line="360" w:lineRule="auto"/>
              <w:jc w:val="right"/>
              <w:rPr>
                <w:sz w:val="18"/>
                <w:szCs w:val="18"/>
              </w:rPr>
            </w:pPr>
            <w:r>
              <w:rPr>
                <w:sz w:val="18"/>
                <w:szCs w:val="18"/>
              </w:rPr>
              <w:t>-</w:t>
            </w:r>
          </w:p>
        </w:tc>
        <w:tc>
          <w:tcPr>
            <w:tcW w:w="1489" w:type="dxa"/>
            <w:vAlign w:val="center"/>
          </w:tcPr>
          <w:p w14:paraId="242A259D">
            <w:pPr>
              <w:spacing w:line="360" w:lineRule="auto"/>
              <w:jc w:val="right"/>
              <w:rPr>
                <w:sz w:val="18"/>
                <w:szCs w:val="18"/>
              </w:rPr>
            </w:pPr>
            <w:r>
              <w:rPr>
                <w:sz w:val="18"/>
                <w:szCs w:val="18"/>
              </w:rPr>
              <w:t>-</w:t>
            </w:r>
          </w:p>
        </w:tc>
        <w:tc>
          <w:tcPr>
            <w:tcW w:w="1556" w:type="dxa"/>
            <w:vAlign w:val="center"/>
          </w:tcPr>
          <w:p w14:paraId="7FF1CBCD">
            <w:pPr>
              <w:spacing w:line="360" w:lineRule="auto"/>
              <w:jc w:val="right"/>
              <w:rPr>
                <w:sz w:val="18"/>
                <w:szCs w:val="18"/>
              </w:rPr>
            </w:pPr>
            <w:r>
              <w:rPr>
                <w:sz w:val="18"/>
                <w:szCs w:val="18"/>
              </w:rPr>
              <w:t>-</w:t>
            </w:r>
          </w:p>
        </w:tc>
      </w:tr>
      <w:tr w14:paraId="6803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647D34AE">
            <w:pPr>
              <w:spacing w:line="360" w:lineRule="auto"/>
              <w:rPr>
                <w:sz w:val="18"/>
                <w:szCs w:val="18"/>
              </w:rPr>
            </w:pPr>
            <w:r>
              <w:rPr>
                <w:sz w:val="18"/>
                <w:szCs w:val="18"/>
              </w:rPr>
              <w:t>其中：产品申购</w:t>
            </w:r>
          </w:p>
        </w:tc>
        <w:tc>
          <w:tcPr>
            <w:tcW w:w="1530" w:type="dxa"/>
            <w:vAlign w:val="center"/>
          </w:tcPr>
          <w:p w14:paraId="325AD47F">
            <w:pPr>
              <w:spacing w:line="360" w:lineRule="auto"/>
              <w:jc w:val="right"/>
              <w:rPr>
                <w:sz w:val="18"/>
                <w:szCs w:val="18"/>
              </w:rPr>
            </w:pPr>
            <w:r>
              <w:rPr>
                <w:sz w:val="18"/>
                <w:szCs w:val="18"/>
              </w:rPr>
              <w:t>-</w:t>
            </w:r>
          </w:p>
        </w:tc>
        <w:tc>
          <w:tcPr>
            <w:tcW w:w="465" w:type="dxa"/>
            <w:vAlign w:val="center"/>
          </w:tcPr>
          <w:p w14:paraId="6196EB72">
            <w:pPr>
              <w:spacing w:line="360" w:lineRule="auto"/>
              <w:jc w:val="right"/>
              <w:rPr>
                <w:sz w:val="18"/>
                <w:szCs w:val="18"/>
              </w:rPr>
            </w:pPr>
            <w:r>
              <w:rPr>
                <w:sz w:val="18"/>
                <w:szCs w:val="18"/>
              </w:rPr>
              <w:t>-</w:t>
            </w:r>
          </w:p>
        </w:tc>
        <w:tc>
          <w:tcPr>
            <w:tcW w:w="1470" w:type="dxa"/>
            <w:vAlign w:val="center"/>
          </w:tcPr>
          <w:p w14:paraId="75D3500C">
            <w:pPr>
              <w:spacing w:line="360" w:lineRule="auto"/>
              <w:jc w:val="right"/>
              <w:rPr>
                <w:sz w:val="18"/>
                <w:szCs w:val="18"/>
              </w:rPr>
            </w:pPr>
            <w:r>
              <w:rPr>
                <w:sz w:val="18"/>
                <w:szCs w:val="18"/>
              </w:rPr>
              <w:t>-</w:t>
            </w:r>
          </w:p>
        </w:tc>
        <w:tc>
          <w:tcPr>
            <w:tcW w:w="710" w:type="dxa"/>
            <w:vAlign w:val="center"/>
          </w:tcPr>
          <w:p w14:paraId="46B2E22E">
            <w:pPr>
              <w:spacing w:line="360" w:lineRule="auto"/>
              <w:jc w:val="right"/>
              <w:rPr>
                <w:sz w:val="18"/>
                <w:szCs w:val="18"/>
              </w:rPr>
            </w:pPr>
            <w:r>
              <w:rPr>
                <w:sz w:val="18"/>
                <w:szCs w:val="18"/>
              </w:rPr>
              <w:t>-</w:t>
            </w:r>
          </w:p>
        </w:tc>
        <w:tc>
          <w:tcPr>
            <w:tcW w:w="415" w:type="dxa"/>
            <w:vAlign w:val="center"/>
          </w:tcPr>
          <w:p w14:paraId="579BE86F">
            <w:pPr>
              <w:spacing w:line="360" w:lineRule="auto"/>
              <w:jc w:val="right"/>
              <w:rPr>
                <w:sz w:val="18"/>
                <w:szCs w:val="18"/>
              </w:rPr>
            </w:pPr>
            <w:r>
              <w:rPr>
                <w:sz w:val="18"/>
                <w:szCs w:val="18"/>
              </w:rPr>
              <w:t>-</w:t>
            </w:r>
          </w:p>
        </w:tc>
        <w:tc>
          <w:tcPr>
            <w:tcW w:w="465" w:type="dxa"/>
            <w:vAlign w:val="center"/>
          </w:tcPr>
          <w:p w14:paraId="1330CF7B">
            <w:pPr>
              <w:spacing w:line="360" w:lineRule="auto"/>
              <w:jc w:val="right"/>
              <w:rPr>
                <w:sz w:val="18"/>
                <w:szCs w:val="18"/>
              </w:rPr>
            </w:pPr>
            <w:r>
              <w:rPr>
                <w:sz w:val="18"/>
                <w:szCs w:val="18"/>
              </w:rPr>
              <w:t>-</w:t>
            </w:r>
          </w:p>
        </w:tc>
        <w:tc>
          <w:tcPr>
            <w:tcW w:w="1489" w:type="dxa"/>
            <w:vAlign w:val="center"/>
          </w:tcPr>
          <w:p w14:paraId="52945D67">
            <w:pPr>
              <w:spacing w:line="360" w:lineRule="auto"/>
              <w:jc w:val="right"/>
              <w:rPr>
                <w:sz w:val="18"/>
                <w:szCs w:val="18"/>
              </w:rPr>
            </w:pPr>
            <w:r>
              <w:rPr>
                <w:sz w:val="18"/>
                <w:szCs w:val="18"/>
              </w:rPr>
              <w:t>-</w:t>
            </w:r>
          </w:p>
        </w:tc>
        <w:tc>
          <w:tcPr>
            <w:tcW w:w="1556" w:type="dxa"/>
            <w:vAlign w:val="center"/>
          </w:tcPr>
          <w:p w14:paraId="20D00958">
            <w:pPr>
              <w:spacing w:line="360" w:lineRule="auto"/>
              <w:jc w:val="right"/>
              <w:rPr>
                <w:sz w:val="18"/>
                <w:szCs w:val="18"/>
              </w:rPr>
            </w:pPr>
            <w:r>
              <w:rPr>
                <w:sz w:val="18"/>
                <w:szCs w:val="18"/>
              </w:rPr>
              <w:t>-</w:t>
            </w:r>
          </w:p>
        </w:tc>
      </w:tr>
      <w:tr w14:paraId="00A9B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5D3063B4">
            <w:pPr>
              <w:spacing w:line="360" w:lineRule="auto"/>
              <w:rPr>
                <w:sz w:val="18"/>
                <w:szCs w:val="18"/>
              </w:rPr>
            </w:pPr>
            <w:r>
              <w:rPr>
                <w:sz w:val="18"/>
                <w:szCs w:val="18"/>
              </w:rPr>
              <w:t xml:space="preserve">      产品赎回</w:t>
            </w:r>
          </w:p>
        </w:tc>
        <w:tc>
          <w:tcPr>
            <w:tcW w:w="1530" w:type="dxa"/>
            <w:vAlign w:val="center"/>
          </w:tcPr>
          <w:p w14:paraId="246DDEC3">
            <w:pPr>
              <w:spacing w:line="360" w:lineRule="auto"/>
              <w:jc w:val="right"/>
              <w:rPr>
                <w:sz w:val="18"/>
                <w:szCs w:val="18"/>
              </w:rPr>
            </w:pPr>
            <w:r>
              <w:rPr>
                <w:sz w:val="18"/>
                <w:szCs w:val="18"/>
              </w:rPr>
              <w:t>-</w:t>
            </w:r>
          </w:p>
        </w:tc>
        <w:tc>
          <w:tcPr>
            <w:tcW w:w="465" w:type="dxa"/>
            <w:vAlign w:val="center"/>
          </w:tcPr>
          <w:p w14:paraId="2607A7AC">
            <w:pPr>
              <w:spacing w:line="360" w:lineRule="auto"/>
              <w:jc w:val="right"/>
              <w:rPr>
                <w:sz w:val="18"/>
                <w:szCs w:val="18"/>
              </w:rPr>
            </w:pPr>
            <w:r>
              <w:rPr>
                <w:sz w:val="18"/>
                <w:szCs w:val="18"/>
              </w:rPr>
              <w:t>-</w:t>
            </w:r>
          </w:p>
        </w:tc>
        <w:tc>
          <w:tcPr>
            <w:tcW w:w="1470" w:type="dxa"/>
            <w:vAlign w:val="center"/>
          </w:tcPr>
          <w:p w14:paraId="0EB83A3E">
            <w:pPr>
              <w:spacing w:line="360" w:lineRule="auto"/>
              <w:jc w:val="right"/>
              <w:rPr>
                <w:sz w:val="18"/>
                <w:szCs w:val="18"/>
              </w:rPr>
            </w:pPr>
            <w:r>
              <w:rPr>
                <w:sz w:val="18"/>
                <w:szCs w:val="18"/>
              </w:rPr>
              <w:t>-</w:t>
            </w:r>
          </w:p>
        </w:tc>
        <w:tc>
          <w:tcPr>
            <w:tcW w:w="710" w:type="dxa"/>
            <w:vAlign w:val="center"/>
          </w:tcPr>
          <w:p w14:paraId="4C9F1E4F">
            <w:pPr>
              <w:spacing w:line="360" w:lineRule="auto"/>
              <w:jc w:val="right"/>
              <w:rPr>
                <w:sz w:val="18"/>
                <w:szCs w:val="18"/>
              </w:rPr>
            </w:pPr>
            <w:r>
              <w:rPr>
                <w:sz w:val="18"/>
                <w:szCs w:val="18"/>
              </w:rPr>
              <w:t>-</w:t>
            </w:r>
          </w:p>
        </w:tc>
        <w:tc>
          <w:tcPr>
            <w:tcW w:w="415" w:type="dxa"/>
            <w:vAlign w:val="center"/>
          </w:tcPr>
          <w:p w14:paraId="0F5AA8F9">
            <w:pPr>
              <w:spacing w:line="360" w:lineRule="auto"/>
              <w:jc w:val="right"/>
              <w:rPr>
                <w:sz w:val="18"/>
                <w:szCs w:val="18"/>
              </w:rPr>
            </w:pPr>
            <w:r>
              <w:rPr>
                <w:sz w:val="18"/>
                <w:szCs w:val="18"/>
              </w:rPr>
              <w:t>-</w:t>
            </w:r>
          </w:p>
        </w:tc>
        <w:tc>
          <w:tcPr>
            <w:tcW w:w="465" w:type="dxa"/>
            <w:vAlign w:val="center"/>
          </w:tcPr>
          <w:p w14:paraId="24111DFE">
            <w:pPr>
              <w:spacing w:line="360" w:lineRule="auto"/>
              <w:jc w:val="right"/>
              <w:rPr>
                <w:sz w:val="18"/>
                <w:szCs w:val="18"/>
              </w:rPr>
            </w:pPr>
            <w:r>
              <w:rPr>
                <w:sz w:val="18"/>
                <w:szCs w:val="18"/>
              </w:rPr>
              <w:t>-</w:t>
            </w:r>
          </w:p>
        </w:tc>
        <w:tc>
          <w:tcPr>
            <w:tcW w:w="1489" w:type="dxa"/>
            <w:vAlign w:val="center"/>
          </w:tcPr>
          <w:p w14:paraId="3FB86254">
            <w:pPr>
              <w:spacing w:line="360" w:lineRule="auto"/>
              <w:jc w:val="right"/>
              <w:rPr>
                <w:sz w:val="18"/>
                <w:szCs w:val="18"/>
              </w:rPr>
            </w:pPr>
            <w:r>
              <w:rPr>
                <w:sz w:val="18"/>
                <w:szCs w:val="18"/>
              </w:rPr>
              <w:t>-</w:t>
            </w:r>
          </w:p>
        </w:tc>
        <w:tc>
          <w:tcPr>
            <w:tcW w:w="1556" w:type="dxa"/>
            <w:vAlign w:val="center"/>
          </w:tcPr>
          <w:p w14:paraId="1FA10E2E">
            <w:pPr>
              <w:spacing w:line="360" w:lineRule="auto"/>
              <w:jc w:val="right"/>
              <w:rPr>
                <w:sz w:val="18"/>
                <w:szCs w:val="18"/>
              </w:rPr>
            </w:pPr>
            <w:r>
              <w:rPr>
                <w:sz w:val="18"/>
                <w:szCs w:val="18"/>
              </w:rPr>
              <w:t>-</w:t>
            </w:r>
          </w:p>
        </w:tc>
      </w:tr>
      <w:tr w14:paraId="7546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08D6F5C0">
            <w:pPr>
              <w:spacing w:line="360" w:lineRule="auto"/>
              <w:rPr>
                <w:sz w:val="18"/>
                <w:szCs w:val="18"/>
              </w:rPr>
            </w:pPr>
            <w:r>
              <w:rPr>
                <w:sz w:val="18"/>
                <w:szCs w:val="18"/>
              </w:rPr>
              <w:t>（三）利润分配</w:t>
            </w:r>
          </w:p>
        </w:tc>
        <w:tc>
          <w:tcPr>
            <w:tcW w:w="1530" w:type="dxa"/>
            <w:vAlign w:val="center"/>
          </w:tcPr>
          <w:p w14:paraId="399E81B8">
            <w:pPr>
              <w:spacing w:line="360" w:lineRule="auto"/>
              <w:jc w:val="right"/>
              <w:rPr>
                <w:sz w:val="18"/>
                <w:szCs w:val="18"/>
              </w:rPr>
            </w:pPr>
            <w:r>
              <w:rPr>
                <w:sz w:val="18"/>
                <w:szCs w:val="18"/>
              </w:rPr>
              <w:t>-</w:t>
            </w:r>
          </w:p>
        </w:tc>
        <w:tc>
          <w:tcPr>
            <w:tcW w:w="465" w:type="dxa"/>
            <w:vAlign w:val="center"/>
          </w:tcPr>
          <w:p w14:paraId="10E35350">
            <w:pPr>
              <w:spacing w:line="360" w:lineRule="auto"/>
              <w:jc w:val="right"/>
              <w:rPr>
                <w:sz w:val="18"/>
                <w:szCs w:val="18"/>
              </w:rPr>
            </w:pPr>
            <w:r>
              <w:rPr>
                <w:sz w:val="18"/>
                <w:szCs w:val="18"/>
              </w:rPr>
              <w:t>-</w:t>
            </w:r>
          </w:p>
        </w:tc>
        <w:tc>
          <w:tcPr>
            <w:tcW w:w="1470" w:type="dxa"/>
            <w:vAlign w:val="center"/>
          </w:tcPr>
          <w:p w14:paraId="7BFFEF96">
            <w:pPr>
              <w:spacing w:line="360" w:lineRule="auto"/>
              <w:jc w:val="right"/>
              <w:rPr>
                <w:sz w:val="18"/>
                <w:szCs w:val="18"/>
              </w:rPr>
            </w:pPr>
            <w:r>
              <w:rPr>
                <w:sz w:val="18"/>
                <w:szCs w:val="18"/>
              </w:rPr>
              <w:t>-</w:t>
            </w:r>
          </w:p>
        </w:tc>
        <w:tc>
          <w:tcPr>
            <w:tcW w:w="710" w:type="dxa"/>
            <w:vAlign w:val="center"/>
          </w:tcPr>
          <w:p w14:paraId="2497514B">
            <w:pPr>
              <w:spacing w:line="360" w:lineRule="auto"/>
              <w:jc w:val="right"/>
              <w:rPr>
                <w:sz w:val="18"/>
                <w:szCs w:val="18"/>
              </w:rPr>
            </w:pPr>
            <w:r>
              <w:rPr>
                <w:sz w:val="18"/>
                <w:szCs w:val="18"/>
              </w:rPr>
              <w:t>-</w:t>
            </w:r>
          </w:p>
        </w:tc>
        <w:tc>
          <w:tcPr>
            <w:tcW w:w="415" w:type="dxa"/>
            <w:vAlign w:val="center"/>
          </w:tcPr>
          <w:p w14:paraId="5C167134">
            <w:pPr>
              <w:spacing w:line="360" w:lineRule="auto"/>
              <w:jc w:val="right"/>
              <w:rPr>
                <w:sz w:val="18"/>
                <w:szCs w:val="18"/>
              </w:rPr>
            </w:pPr>
            <w:r>
              <w:rPr>
                <w:sz w:val="18"/>
                <w:szCs w:val="18"/>
              </w:rPr>
              <w:t>-</w:t>
            </w:r>
          </w:p>
        </w:tc>
        <w:tc>
          <w:tcPr>
            <w:tcW w:w="465" w:type="dxa"/>
            <w:vAlign w:val="center"/>
          </w:tcPr>
          <w:p w14:paraId="6401B241">
            <w:pPr>
              <w:spacing w:line="360" w:lineRule="auto"/>
              <w:jc w:val="right"/>
              <w:rPr>
                <w:sz w:val="18"/>
                <w:szCs w:val="18"/>
              </w:rPr>
            </w:pPr>
            <w:r>
              <w:rPr>
                <w:sz w:val="18"/>
                <w:szCs w:val="18"/>
              </w:rPr>
              <w:t>-</w:t>
            </w:r>
          </w:p>
        </w:tc>
        <w:tc>
          <w:tcPr>
            <w:tcW w:w="1489" w:type="dxa"/>
            <w:vAlign w:val="center"/>
          </w:tcPr>
          <w:p w14:paraId="302043B4">
            <w:pPr>
              <w:spacing w:line="360" w:lineRule="auto"/>
              <w:jc w:val="right"/>
              <w:rPr>
                <w:sz w:val="18"/>
                <w:szCs w:val="18"/>
              </w:rPr>
            </w:pPr>
            <w:r>
              <w:rPr>
                <w:sz w:val="18"/>
                <w:szCs w:val="18"/>
              </w:rPr>
              <w:t>-40,217,598.69</w:t>
            </w:r>
          </w:p>
        </w:tc>
        <w:tc>
          <w:tcPr>
            <w:tcW w:w="1556" w:type="dxa"/>
            <w:vAlign w:val="center"/>
          </w:tcPr>
          <w:p w14:paraId="60D20CEE">
            <w:pPr>
              <w:spacing w:line="360" w:lineRule="auto"/>
              <w:jc w:val="right"/>
              <w:rPr>
                <w:sz w:val="18"/>
                <w:szCs w:val="18"/>
              </w:rPr>
            </w:pPr>
            <w:r>
              <w:rPr>
                <w:sz w:val="18"/>
                <w:szCs w:val="18"/>
              </w:rPr>
              <w:t>-40,217,598.69</w:t>
            </w:r>
          </w:p>
        </w:tc>
      </w:tr>
      <w:tr w14:paraId="7C01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3F7E88F3">
            <w:pPr>
              <w:spacing w:line="360" w:lineRule="auto"/>
              <w:ind w:left="15" w:hanging="12" w:hangingChars="7"/>
              <w:rPr>
                <w:sz w:val="18"/>
                <w:szCs w:val="18"/>
              </w:rPr>
            </w:pPr>
            <w:r>
              <w:rPr>
                <w:sz w:val="18"/>
                <w:szCs w:val="18"/>
              </w:rPr>
              <w:t>（四）其他综合收益结转留存收益</w:t>
            </w:r>
          </w:p>
        </w:tc>
        <w:tc>
          <w:tcPr>
            <w:tcW w:w="1530" w:type="dxa"/>
            <w:vAlign w:val="center"/>
          </w:tcPr>
          <w:p w14:paraId="7458A79E">
            <w:pPr>
              <w:spacing w:line="360" w:lineRule="auto"/>
              <w:jc w:val="right"/>
              <w:rPr>
                <w:sz w:val="18"/>
                <w:szCs w:val="18"/>
              </w:rPr>
            </w:pPr>
            <w:r>
              <w:rPr>
                <w:sz w:val="18"/>
                <w:szCs w:val="18"/>
              </w:rPr>
              <w:t>-</w:t>
            </w:r>
          </w:p>
        </w:tc>
        <w:tc>
          <w:tcPr>
            <w:tcW w:w="465" w:type="dxa"/>
            <w:vAlign w:val="center"/>
          </w:tcPr>
          <w:p w14:paraId="08235455">
            <w:pPr>
              <w:spacing w:line="360" w:lineRule="auto"/>
              <w:jc w:val="right"/>
              <w:rPr>
                <w:sz w:val="18"/>
                <w:szCs w:val="18"/>
              </w:rPr>
            </w:pPr>
            <w:r>
              <w:rPr>
                <w:sz w:val="18"/>
                <w:szCs w:val="18"/>
              </w:rPr>
              <w:t>-</w:t>
            </w:r>
          </w:p>
        </w:tc>
        <w:tc>
          <w:tcPr>
            <w:tcW w:w="1470" w:type="dxa"/>
            <w:vAlign w:val="center"/>
          </w:tcPr>
          <w:p w14:paraId="4E670523">
            <w:pPr>
              <w:spacing w:line="360" w:lineRule="auto"/>
              <w:jc w:val="right"/>
              <w:rPr>
                <w:sz w:val="18"/>
                <w:szCs w:val="18"/>
              </w:rPr>
            </w:pPr>
            <w:r>
              <w:rPr>
                <w:sz w:val="18"/>
                <w:szCs w:val="18"/>
              </w:rPr>
              <w:t>-</w:t>
            </w:r>
          </w:p>
        </w:tc>
        <w:tc>
          <w:tcPr>
            <w:tcW w:w="710" w:type="dxa"/>
            <w:vAlign w:val="center"/>
          </w:tcPr>
          <w:p w14:paraId="7B933ED4">
            <w:pPr>
              <w:spacing w:line="360" w:lineRule="auto"/>
              <w:jc w:val="right"/>
              <w:rPr>
                <w:sz w:val="18"/>
                <w:szCs w:val="18"/>
              </w:rPr>
            </w:pPr>
            <w:r>
              <w:rPr>
                <w:sz w:val="18"/>
                <w:szCs w:val="18"/>
              </w:rPr>
              <w:t>-</w:t>
            </w:r>
          </w:p>
        </w:tc>
        <w:tc>
          <w:tcPr>
            <w:tcW w:w="415" w:type="dxa"/>
            <w:vAlign w:val="center"/>
          </w:tcPr>
          <w:p w14:paraId="5ADE46CC">
            <w:pPr>
              <w:spacing w:line="360" w:lineRule="auto"/>
              <w:jc w:val="right"/>
              <w:rPr>
                <w:sz w:val="18"/>
                <w:szCs w:val="18"/>
              </w:rPr>
            </w:pPr>
            <w:r>
              <w:rPr>
                <w:sz w:val="18"/>
                <w:szCs w:val="18"/>
              </w:rPr>
              <w:t>-</w:t>
            </w:r>
          </w:p>
        </w:tc>
        <w:tc>
          <w:tcPr>
            <w:tcW w:w="465" w:type="dxa"/>
            <w:vAlign w:val="center"/>
          </w:tcPr>
          <w:p w14:paraId="1C4EDCA6">
            <w:pPr>
              <w:spacing w:line="360" w:lineRule="auto"/>
              <w:jc w:val="right"/>
              <w:rPr>
                <w:sz w:val="18"/>
                <w:szCs w:val="18"/>
              </w:rPr>
            </w:pPr>
            <w:r>
              <w:rPr>
                <w:sz w:val="18"/>
                <w:szCs w:val="18"/>
              </w:rPr>
              <w:t>-</w:t>
            </w:r>
          </w:p>
        </w:tc>
        <w:tc>
          <w:tcPr>
            <w:tcW w:w="1489" w:type="dxa"/>
            <w:vAlign w:val="center"/>
          </w:tcPr>
          <w:p w14:paraId="18738C4C">
            <w:pPr>
              <w:spacing w:line="360" w:lineRule="auto"/>
              <w:jc w:val="right"/>
              <w:rPr>
                <w:sz w:val="18"/>
                <w:szCs w:val="18"/>
              </w:rPr>
            </w:pPr>
            <w:r>
              <w:rPr>
                <w:sz w:val="18"/>
                <w:szCs w:val="18"/>
              </w:rPr>
              <w:t>-</w:t>
            </w:r>
          </w:p>
        </w:tc>
        <w:tc>
          <w:tcPr>
            <w:tcW w:w="1556" w:type="dxa"/>
            <w:vAlign w:val="center"/>
          </w:tcPr>
          <w:p w14:paraId="23D9F7BC">
            <w:pPr>
              <w:spacing w:line="360" w:lineRule="auto"/>
              <w:jc w:val="right"/>
              <w:rPr>
                <w:sz w:val="18"/>
                <w:szCs w:val="18"/>
              </w:rPr>
            </w:pPr>
            <w:r>
              <w:rPr>
                <w:sz w:val="18"/>
                <w:szCs w:val="18"/>
              </w:rPr>
              <w:t>-</w:t>
            </w:r>
          </w:p>
        </w:tc>
      </w:tr>
      <w:tr w14:paraId="114F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64E34C5E">
            <w:pPr>
              <w:spacing w:line="360" w:lineRule="auto"/>
              <w:rPr>
                <w:sz w:val="18"/>
                <w:szCs w:val="18"/>
              </w:rPr>
            </w:pPr>
            <w:r>
              <w:rPr>
                <w:sz w:val="18"/>
                <w:szCs w:val="18"/>
              </w:rPr>
              <w:t>（五）专项储备</w:t>
            </w:r>
          </w:p>
        </w:tc>
        <w:tc>
          <w:tcPr>
            <w:tcW w:w="1530" w:type="dxa"/>
            <w:vAlign w:val="center"/>
          </w:tcPr>
          <w:p w14:paraId="7EF597AC">
            <w:pPr>
              <w:spacing w:line="360" w:lineRule="auto"/>
              <w:jc w:val="right"/>
              <w:rPr>
                <w:sz w:val="18"/>
                <w:szCs w:val="18"/>
              </w:rPr>
            </w:pPr>
            <w:r>
              <w:rPr>
                <w:sz w:val="18"/>
                <w:szCs w:val="18"/>
              </w:rPr>
              <w:t>-</w:t>
            </w:r>
          </w:p>
        </w:tc>
        <w:tc>
          <w:tcPr>
            <w:tcW w:w="465" w:type="dxa"/>
            <w:vAlign w:val="center"/>
          </w:tcPr>
          <w:p w14:paraId="2EC8A669">
            <w:pPr>
              <w:spacing w:line="360" w:lineRule="auto"/>
              <w:jc w:val="right"/>
              <w:rPr>
                <w:sz w:val="18"/>
                <w:szCs w:val="18"/>
              </w:rPr>
            </w:pPr>
            <w:r>
              <w:rPr>
                <w:sz w:val="18"/>
                <w:szCs w:val="18"/>
              </w:rPr>
              <w:t>-</w:t>
            </w:r>
          </w:p>
        </w:tc>
        <w:tc>
          <w:tcPr>
            <w:tcW w:w="1470" w:type="dxa"/>
            <w:vAlign w:val="center"/>
          </w:tcPr>
          <w:p w14:paraId="62A4C69C">
            <w:pPr>
              <w:spacing w:line="360" w:lineRule="auto"/>
              <w:jc w:val="right"/>
              <w:rPr>
                <w:sz w:val="18"/>
                <w:szCs w:val="18"/>
              </w:rPr>
            </w:pPr>
            <w:r>
              <w:rPr>
                <w:sz w:val="18"/>
                <w:szCs w:val="18"/>
              </w:rPr>
              <w:t>-</w:t>
            </w:r>
          </w:p>
        </w:tc>
        <w:tc>
          <w:tcPr>
            <w:tcW w:w="710" w:type="dxa"/>
            <w:vAlign w:val="center"/>
          </w:tcPr>
          <w:p w14:paraId="66643EEA">
            <w:pPr>
              <w:spacing w:line="360" w:lineRule="auto"/>
              <w:jc w:val="right"/>
              <w:rPr>
                <w:sz w:val="18"/>
                <w:szCs w:val="18"/>
              </w:rPr>
            </w:pPr>
            <w:r>
              <w:rPr>
                <w:sz w:val="18"/>
                <w:szCs w:val="18"/>
              </w:rPr>
              <w:t>-</w:t>
            </w:r>
          </w:p>
        </w:tc>
        <w:tc>
          <w:tcPr>
            <w:tcW w:w="415" w:type="dxa"/>
            <w:vAlign w:val="center"/>
          </w:tcPr>
          <w:p w14:paraId="2ECE7498">
            <w:pPr>
              <w:spacing w:line="360" w:lineRule="auto"/>
              <w:jc w:val="right"/>
              <w:rPr>
                <w:sz w:val="18"/>
                <w:szCs w:val="18"/>
              </w:rPr>
            </w:pPr>
            <w:r>
              <w:rPr>
                <w:sz w:val="18"/>
                <w:szCs w:val="18"/>
              </w:rPr>
              <w:t>-</w:t>
            </w:r>
          </w:p>
        </w:tc>
        <w:tc>
          <w:tcPr>
            <w:tcW w:w="465" w:type="dxa"/>
            <w:vAlign w:val="center"/>
          </w:tcPr>
          <w:p w14:paraId="415BC00A">
            <w:pPr>
              <w:spacing w:line="360" w:lineRule="auto"/>
              <w:jc w:val="right"/>
              <w:rPr>
                <w:sz w:val="18"/>
                <w:szCs w:val="18"/>
              </w:rPr>
            </w:pPr>
            <w:r>
              <w:rPr>
                <w:sz w:val="18"/>
                <w:szCs w:val="18"/>
              </w:rPr>
              <w:t>-</w:t>
            </w:r>
          </w:p>
        </w:tc>
        <w:tc>
          <w:tcPr>
            <w:tcW w:w="1489" w:type="dxa"/>
            <w:vAlign w:val="center"/>
          </w:tcPr>
          <w:p w14:paraId="77E30AC8">
            <w:pPr>
              <w:spacing w:line="360" w:lineRule="auto"/>
              <w:jc w:val="right"/>
              <w:rPr>
                <w:sz w:val="18"/>
                <w:szCs w:val="18"/>
              </w:rPr>
            </w:pPr>
            <w:r>
              <w:rPr>
                <w:sz w:val="18"/>
                <w:szCs w:val="18"/>
              </w:rPr>
              <w:t>-</w:t>
            </w:r>
          </w:p>
        </w:tc>
        <w:tc>
          <w:tcPr>
            <w:tcW w:w="1556" w:type="dxa"/>
            <w:vAlign w:val="center"/>
          </w:tcPr>
          <w:p w14:paraId="5C21A1FA">
            <w:pPr>
              <w:spacing w:line="360" w:lineRule="auto"/>
              <w:jc w:val="right"/>
              <w:rPr>
                <w:sz w:val="18"/>
                <w:szCs w:val="18"/>
              </w:rPr>
            </w:pPr>
            <w:r>
              <w:rPr>
                <w:sz w:val="18"/>
                <w:szCs w:val="18"/>
              </w:rPr>
              <w:t>-</w:t>
            </w:r>
          </w:p>
        </w:tc>
      </w:tr>
      <w:tr w14:paraId="520AB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3DD69AF7">
            <w:pPr>
              <w:spacing w:line="360" w:lineRule="auto"/>
              <w:rPr>
                <w:sz w:val="18"/>
                <w:szCs w:val="18"/>
              </w:rPr>
            </w:pPr>
            <w:r>
              <w:rPr>
                <w:sz w:val="18"/>
                <w:szCs w:val="18"/>
              </w:rPr>
              <w:t>其中：本期提取</w:t>
            </w:r>
          </w:p>
        </w:tc>
        <w:tc>
          <w:tcPr>
            <w:tcW w:w="1530" w:type="dxa"/>
            <w:vAlign w:val="center"/>
          </w:tcPr>
          <w:p w14:paraId="6D03B8F0">
            <w:pPr>
              <w:spacing w:line="360" w:lineRule="auto"/>
              <w:jc w:val="right"/>
              <w:rPr>
                <w:sz w:val="18"/>
                <w:szCs w:val="18"/>
              </w:rPr>
            </w:pPr>
            <w:r>
              <w:rPr>
                <w:sz w:val="18"/>
                <w:szCs w:val="18"/>
              </w:rPr>
              <w:t>-</w:t>
            </w:r>
          </w:p>
        </w:tc>
        <w:tc>
          <w:tcPr>
            <w:tcW w:w="465" w:type="dxa"/>
            <w:vAlign w:val="center"/>
          </w:tcPr>
          <w:p w14:paraId="42DACCC4">
            <w:pPr>
              <w:spacing w:line="360" w:lineRule="auto"/>
              <w:jc w:val="right"/>
              <w:rPr>
                <w:sz w:val="18"/>
                <w:szCs w:val="18"/>
              </w:rPr>
            </w:pPr>
            <w:r>
              <w:rPr>
                <w:sz w:val="18"/>
                <w:szCs w:val="18"/>
              </w:rPr>
              <w:t>-</w:t>
            </w:r>
          </w:p>
        </w:tc>
        <w:tc>
          <w:tcPr>
            <w:tcW w:w="1470" w:type="dxa"/>
            <w:vAlign w:val="center"/>
          </w:tcPr>
          <w:p w14:paraId="5EEE6586">
            <w:pPr>
              <w:spacing w:line="360" w:lineRule="auto"/>
              <w:jc w:val="right"/>
              <w:rPr>
                <w:sz w:val="18"/>
                <w:szCs w:val="18"/>
              </w:rPr>
            </w:pPr>
            <w:r>
              <w:rPr>
                <w:sz w:val="18"/>
                <w:szCs w:val="18"/>
              </w:rPr>
              <w:t>-</w:t>
            </w:r>
          </w:p>
        </w:tc>
        <w:tc>
          <w:tcPr>
            <w:tcW w:w="710" w:type="dxa"/>
            <w:vAlign w:val="center"/>
          </w:tcPr>
          <w:p w14:paraId="7AB9BC37">
            <w:pPr>
              <w:spacing w:line="360" w:lineRule="auto"/>
              <w:jc w:val="right"/>
              <w:rPr>
                <w:sz w:val="18"/>
                <w:szCs w:val="18"/>
              </w:rPr>
            </w:pPr>
            <w:r>
              <w:rPr>
                <w:sz w:val="18"/>
                <w:szCs w:val="18"/>
              </w:rPr>
              <w:t>-</w:t>
            </w:r>
          </w:p>
        </w:tc>
        <w:tc>
          <w:tcPr>
            <w:tcW w:w="415" w:type="dxa"/>
            <w:vAlign w:val="center"/>
          </w:tcPr>
          <w:p w14:paraId="42767175">
            <w:pPr>
              <w:spacing w:line="360" w:lineRule="auto"/>
              <w:jc w:val="right"/>
              <w:rPr>
                <w:sz w:val="18"/>
                <w:szCs w:val="18"/>
              </w:rPr>
            </w:pPr>
            <w:r>
              <w:rPr>
                <w:sz w:val="18"/>
                <w:szCs w:val="18"/>
              </w:rPr>
              <w:t>-</w:t>
            </w:r>
          </w:p>
        </w:tc>
        <w:tc>
          <w:tcPr>
            <w:tcW w:w="465" w:type="dxa"/>
            <w:vAlign w:val="center"/>
          </w:tcPr>
          <w:p w14:paraId="54EB697F">
            <w:pPr>
              <w:spacing w:line="360" w:lineRule="auto"/>
              <w:jc w:val="right"/>
              <w:rPr>
                <w:sz w:val="18"/>
                <w:szCs w:val="18"/>
              </w:rPr>
            </w:pPr>
            <w:r>
              <w:rPr>
                <w:sz w:val="18"/>
                <w:szCs w:val="18"/>
              </w:rPr>
              <w:t>-</w:t>
            </w:r>
          </w:p>
        </w:tc>
        <w:tc>
          <w:tcPr>
            <w:tcW w:w="1489" w:type="dxa"/>
            <w:vAlign w:val="center"/>
          </w:tcPr>
          <w:p w14:paraId="663B1EBA">
            <w:pPr>
              <w:spacing w:line="360" w:lineRule="auto"/>
              <w:jc w:val="right"/>
              <w:rPr>
                <w:sz w:val="18"/>
                <w:szCs w:val="18"/>
              </w:rPr>
            </w:pPr>
            <w:r>
              <w:rPr>
                <w:sz w:val="18"/>
                <w:szCs w:val="18"/>
              </w:rPr>
              <w:t>-</w:t>
            </w:r>
          </w:p>
        </w:tc>
        <w:tc>
          <w:tcPr>
            <w:tcW w:w="1556" w:type="dxa"/>
            <w:vAlign w:val="center"/>
          </w:tcPr>
          <w:p w14:paraId="0516AD80">
            <w:pPr>
              <w:spacing w:line="360" w:lineRule="auto"/>
              <w:jc w:val="right"/>
              <w:rPr>
                <w:sz w:val="18"/>
                <w:szCs w:val="18"/>
              </w:rPr>
            </w:pPr>
            <w:r>
              <w:rPr>
                <w:sz w:val="18"/>
                <w:szCs w:val="18"/>
              </w:rPr>
              <w:t>-</w:t>
            </w:r>
          </w:p>
        </w:tc>
      </w:tr>
      <w:tr w14:paraId="2EE6E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0054FEC4">
            <w:pPr>
              <w:spacing w:line="360" w:lineRule="auto"/>
              <w:ind w:firstLine="540" w:firstLineChars="300"/>
              <w:rPr>
                <w:sz w:val="18"/>
                <w:szCs w:val="18"/>
              </w:rPr>
            </w:pPr>
            <w:r>
              <w:rPr>
                <w:sz w:val="18"/>
                <w:szCs w:val="18"/>
              </w:rPr>
              <w:t>本期使用</w:t>
            </w:r>
          </w:p>
        </w:tc>
        <w:tc>
          <w:tcPr>
            <w:tcW w:w="1530" w:type="dxa"/>
            <w:vAlign w:val="center"/>
          </w:tcPr>
          <w:p w14:paraId="57BE46C5">
            <w:pPr>
              <w:spacing w:line="360" w:lineRule="auto"/>
              <w:jc w:val="right"/>
              <w:rPr>
                <w:sz w:val="18"/>
                <w:szCs w:val="18"/>
              </w:rPr>
            </w:pPr>
            <w:r>
              <w:rPr>
                <w:sz w:val="18"/>
                <w:szCs w:val="18"/>
              </w:rPr>
              <w:t>-</w:t>
            </w:r>
          </w:p>
        </w:tc>
        <w:tc>
          <w:tcPr>
            <w:tcW w:w="465" w:type="dxa"/>
            <w:vAlign w:val="center"/>
          </w:tcPr>
          <w:p w14:paraId="39ADDBCB">
            <w:pPr>
              <w:spacing w:line="360" w:lineRule="auto"/>
              <w:jc w:val="right"/>
              <w:rPr>
                <w:sz w:val="18"/>
                <w:szCs w:val="18"/>
              </w:rPr>
            </w:pPr>
            <w:r>
              <w:rPr>
                <w:sz w:val="18"/>
                <w:szCs w:val="18"/>
              </w:rPr>
              <w:t>-</w:t>
            </w:r>
          </w:p>
        </w:tc>
        <w:tc>
          <w:tcPr>
            <w:tcW w:w="1470" w:type="dxa"/>
            <w:vAlign w:val="center"/>
          </w:tcPr>
          <w:p w14:paraId="5DD5D602">
            <w:pPr>
              <w:spacing w:line="360" w:lineRule="auto"/>
              <w:jc w:val="right"/>
              <w:rPr>
                <w:sz w:val="18"/>
                <w:szCs w:val="18"/>
              </w:rPr>
            </w:pPr>
            <w:r>
              <w:rPr>
                <w:sz w:val="18"/>
                <w:szCs w:val="18"/>
              </w:rPr>
              <w:t>-</w:t>
            </w:r>
          </w:p>
        </w:tc>
        <w:tc>
          <w:tcPr>
            <w:tcW w:w="710" w:type="dxa"/>
            <w:vAlign w:val="center"/>
          </w:tcPr>
          <w:p w14:paraId="6F7FEDB4">
            <w:pPr>
              <w:spacing w:line="360" w:lineRule="auto"/>
              <w:jc w:val="right"/>
              <w:rPr>
                <w:sz w:val="18"/>
                <w:szCs w:val="18"/>
              </w:rPr>
            </w:pPr>
            <w:r>
              <w:rPr>
                <w:sz w:val="18"/>
                <w:szCs w:val="18"/>
              </w:rPr>
              <w:t>-</w:t>
            </w:r>
          </w:p>
        </w:tc>
        <w:tc>
          <w:tcPr>
            <w:tcW w:w="415" w:type="dxa"/>
            <w:vAlign w:val="center"/>
          </w:tcPr>
          <w:p w14:paraId="19CF1093">
            <w:pPr>
              <w:spacing w:line="360" w:lineRule="auto"/>
              <w:jc w:val="right"/>
              <w:rPr>
                <w:sz w:val="18"/>
                <w:szCs w:val="18"/>
              </w:rPr>
            </w:pPr>
            <w:r>
              <w:rPr>
                <w:sz w:val="18"/>
                <w:szCs w:val="18"/>
              </w:rPr>
              <w:t>-</w:t>
            </w:r>
          </w:p>
        </w:tc>
        <w:tc>
          <w:tcPr>
            <w:tcW w:w="465" w:type="dxa"/>
            <w:vAlign w:val="center"/>
          </w:tcPr>
          <w:p w14:paraId="37BB8662">
            <w:pPr>
              <w:spacing w:line="360" w:lineRule="auto"/>
              <w:jc w:val="right"/>
              <w:rPr>
                <w:sz w:val="18"/>
                <w:szCs w:val="18"/>
              </w:rPr>
            </w:pPr>
            <w:r>
              <w:rPr>
                <w:sz w:val="18"/>
                <w:szCs w:val="18"/>
              </w:rPr>
              <w:t>-</w:t>
            </w:r>
          </w:p>
        </w:tc>
        <w:tc>
          <w:tcPr>
            <w:tcW w:w="1489" w:type="dxa"/>
            <w:vAlign w:val="center"/>
          </w:tcPr>
          <w:p w14:paraId="301F332C">
            <w:pPr>
              <w:spacing w:line="360" w:lineRule="auto"/>
              <w:jc w:val="right"/>
              <w:rPr>
                <w:sz w:val="18"/>
                <w:szCs w:val="18"/>
              </w:rPr>
            </w:pPr>
            <w:r>
              <w:rPr>
                <w:sz w:val="18"/>
                <w:szCs w:val="18"/>
              </w:rPr>
              <w:t>-</w:t>
            </w:r>
          </w:p>
        </w:tc>
        <w:tc>
          <w:tcPr>
            <w:tcW w:w="1556" w:type="dxa"/>
            <w:vAlign w:val="center"/>
          </w:tcPr>
          <w:p w14:paraId="37FAE318">
            <w:pPr>
              <w:spacing w:line="360" w:lineRule="auto"/>
              <w:jc w:val="right"/>
              <w:rPr>
                <w:sz w:val="18"/>
                <w:szCs w:val="18"/>
              </w:rPr>
            </w:pPr>
            <w:r>
              <w:rPr>
                <w:sz w:val="18"/>
                <w:szCs w:val="18"/>
              </w:rPr>
              <w:t>-</w:t>
            </w:r>
          </w:p>
        </w:tc>
      </w:tr>
      <w:tr w14:paraId="7F81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6C3EBD3F">
            <w:pPr>
              <w:spacing w:line="360" w:lineRule="auto"/>
              <w:rPr>
                <w:sz w:val="18"/>
                <w:szCs w:val="18"/>
              </w:rPr>
            </w:pPr>
            <w:r>
              <w:rPr>
                <w:sz w:val="18"/>
                <w:szCs w:val="18"/>
              </w:rPr>
              <w:t>（六）其他</w:t>
            </w:r>
          </w:p>
        </w:tc>
        <w:tc>
          <w:tcPr>
            <w:tcW w:w="1530" w:type="dxa"/>
            <w:vAlign w:val="center"/>
          </w:tcPr>
          <w:p w14:paraId="3DEF14EB">
            <w:pPr>
              <w:spacing w:line="360" w:lineRule="auto"/>
              <w:jc w:val="right"/>
              <w:rPr>
                <w:sz w:val="18"/>
                <w:szCs w:val="18"/>
              </w:rPr>
            </w:pPr>
            <w:r>
              <w:rPr>
                <w:sz w:val="18"/>
                <w:szCs w:val="18"/>
              </w:rPr>
              <w:t>-</w:t>
            </w:r>
          </w:p>
        </w:tc>
        <w:tc>
          <w:tcPr>
            <w:tcW w:w="465" w:type="dxa"/>
            <w:vAlign w:val="center"/>
          </w:tcPr>
          <w:p w14:paraId="18025F1A">
            <w:pPr>
              <w:spacing w:line="360" w:lineRule="auto"/>
              <w:jc w:val="right"/>
              <w:rPr>
                <w:sz w:val="18"/>
                <w:szCs w:val="18"/>
              </w:rPr>
            </w:pPr>
            <w:r>
              <w:rPr>
                <w:sz w:val="18"/>
                <w:szCs w:val="18"/>
              </w:rPr>
              <w:t>-</w:t>
            </w:r>
          </w:p>
        </w:tc>
        <w:tc>
          <w:tcPr>
            <w:tcW w:w="1470" w:type="dxa"/>
            <w:vAlign w:val="center"/>
          </w:tcPr>
          <w:p w14:paraId="2E073938">
            <w:pPr>
              <w:spacing w:line="360" w:lineRule="auto"/>
              <w:jc w:val="right"/>
              <w:rPr>
                <w:sz w:val="18"/>
                <w:szCs w:val="18"/>
              </w:rPr>
            </w:pPr>
            <w:r>
              <w:rPr>
                <w:sz w:val="18"/>
                <w:szCs w:val="18"/>
              </w:rPr>
              <w:t>-</w:t>
            </w:r>
          </w:p>
        </w:tc>
        <w:tc>
          <w:tcPr>
            <w:tcW w:w="710" w:type="dxa"/>
            <w:vAlign w:val="center"/>
          </w:tcPr>
          <w:p w14:paraId="662AEBD6">
            <w:pPr>
              <w:spacing w:line="360" w:lineRule="auto"/>
              <w:jc w:val="right"/>
              <w:rPr>
                <w:sz w:val="18"/>
                <w:szCs w:val="18"/>
              </w:rPr>
            </w:pPr>
            <w:r>
              <w:rPr>
                <w:sz w:val="18"/>
                <w:szCs w:val="18"/>
              </w:rPr>
              <w:t>-</w:t>
            </w:r>
          </w:p>
        </w:tc>
        <w:tc>
          <w:tcPr>
            <w:tcW w:w="415" w:type="dxa"/>
            <w:vAlign w:val="center"/>
          </w:tcPr>
          <w:p w14:paraId="17A6706C">
            <w:pPr>
              <w:spacing w:line="360" w:lineRule="auto"/>
              <w:jc w:val="right"/>
              <w:rPr>
                <w:sz w:val="18"/>
                <w:szCs w:val="18"/>
              </w:rPr>
            </w:pPr>
            <w:r>
              <w:rPr>
                <w:sz w:val="18"/>
                <w:szCs w:val="18"/>
              </w:rPr>
              <w:t>-</w:t>
            </w:r>
          </w:p>
        </w:tc>
        <w:tc>
          <w:tcPr>
            <w:tcW w:w="465" w:type="dxa"/>
            <w:vAlign w:val="center"/>
          </w:tcPr>
          <w:p w14:paraId="6733A67D">
            <w:pPr>
              <w:spacing w:line="360" w:lineRule="auto"/>
              <w:jc w:val="right"/>
              <w:rPr>
                <w:sz w:val="18"/>
                <w:szCs w:val="18"/>
              </w:rPr>
            </w:pPr>
            <w:r>
              <w:rPr>
                <w:sz w:val="18"/>
                <w:szCs w:val="18"/>
              </w:rPr>
              <w:t>-</w:t>
            </w:r>
          </w:p>
        </w:tc>
        <w:tc>
          <w:tcPr>
            <w:tcW w:w="1489" w:type="dxa"/>
            <w:vAlign w:val="center"/>
          </w:tcPr>
          <w:p w14:paraId="4386FFA6">
            <w:pPr>
              <w:spacing w:line="360" w:lineRule="auto"/>
              <w:jc w:val="right"/>
              <w:rPr>
                <w:sz w:val="18"/>
                <w:szCs w:val="18"/>
              </w:rPr>
            </w:pPr>
            <w:r>
              <w:rPr>
                <w:sz w:val="18"/>
                <w:szCs w:val="18"/>
              </w:rPr>
              <w:t>-</w:t>
            </w:r>
          </w:p>
        </w:tc>
        <w:tc>
          <w:tcPr>
            <w:tcW w:w="1556" w:type="dxa"/>
            <w:vAlign w:val="center"/>
          </w:tcPr>
          <w:p w14:paraId="2D0A4EE9">
            <w:pPr>
              <w:spacing w:line="360" w:lineRule="auto"/>
              <w:jc w:val="right"/>
              <w:rPr>
                <w:sz w:val="18"/>
                <w:szCs w:val="18"/>
              </w:rPr>
            </w:pPr>
            <w:r>
              <w:rPr>
                <w:sz w:val="18"/>
                <w:szCs w:val="18"/>
              </w:rPr>
              <w:t>-</w:t>
            </w:r>
          </w:p>
        </w:tc>
      </w:tr>
      <w:tr w14:paraId="2C2C3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17" w:type="dxa"/>
            <w:vAlign w:val="center"/>
          </w:tcPr>
          <w:p w14:paraId="07A2E3B8">
            <w:pPr>
              <w:spacing w:line="360" w:lineRule="auto"/>
              <w:rPr>
                <w:b/>
                <w:bCs/>
                <w:sz w:val="18"/>
                <w:szCs w:val="18"/>
              </w:rPr>
            </w:pPr>
            <w:r>
              <w:rPr>
                <w:b/>
                <w:bCs/>
                <w:sz w:val="18"/>
                <w:szCs w:val="18"/>
              </w:rPr>
              <w:t>四、本期期末余额</w:t>
            </w:r>
          </w:p>
        </w:tc>
        <w:tc>
          <w:tcPr>
            <w:tcW w:w="1530" w:type="dxa"/>
            <w:vAlign w:val="center"/>
          </w:tcPr>
          <w:p w14:paraId="0F06BC6C">
            <w:pPr>
              <w:spacing w:line="360" w:lineRule="auto"/>
              <w:jc w:val="right"/>
              <w:rPr>
                <w:sz w:val="18"/>
                <w:szCs w:val="18"/>
              </w:rPr>
            </w:pPr>
            <w:r>
              <w:rPr>
                <w:sz w:val="18"/>
                <w:szCs w:val="18"/>
              </w:rPr>
              <w:t>1,421,130,866.00</w:t>
            </w:r>
          </w:p>
        </w:tc>
        <w:tc>
          <w:tcPr>
            <w:tcW w:w="465" w:type="dxa"/>
            <w:vAlign w:val="center"/>
          </w:tcPr>
          <w:p w14:paraId="10774604">
            <w:pPr>
              <w:spacing w:line="360" w:lineRule="auto"/>
              <w:jc w:val="right"/>
              <w:rPr>
                <w:sz w:val="18"/>
                <w:szCs w:val="18"/>
              </w:rPr>
            </w:pPr>
            <w:r>
              <w:rPr>
                <w:sz w:val="18"/>
                <w:szCs w:val="18"/>
              </w:rPr>
              <w:t>-</w:t>
            </w:r>
          </w:p>
        </w:tc>
        <w:tc>
          <w:tcPr>
            <w:tcW w:w="1470" w:type="dxa"/>
            <w:vAlign w:val="center"/>
          </w:tcPr>
          <w:p w14:paraId="4AC5C591">
            <w:pPr>
              <w:spacing w:line="360" w:lineRule="auto"/>
              <w:jc w:val="right"/>
              <w:rPr>
                <w:sz w:val="18"/>
                <w:szCs w:val="18"/>
              </w:rPr>
            </w:pPr>
            <w:r>
              <w:rPr>
                <w:sz w:val="18"/>
                <w:szCs w:val="18"/>
              </w:rPr>
              <w:t>1,901,808,511.21</w:t>
            </w:r>
          </w:p>
        </w:tc>
        <w:tc>
          <w:tcPr>
            <w:tcW w:w="710" w:type="dxa"/>
            <w:vAlign w:val="center"/>
          </w:tcPr>
          <w:p w14:paraId="20393BC5">
            <w:pPr>
              <w:spacing w:line="360" w:lineRule="auto"/>
              <w:jc w:val="right"/>
              <w:rPr>
                <w:sz w:val="18"/>
                <w:szCs w:val="18"/>
              </w:rPr>
            </w:pPr>
            <w:r>
              <w:rPr>
                <w:sz w:val="18"/>
                <w:szCs w:val="18"/>
              </w:rPr>
              <w:t>-</w:t>
            </w:r>
          </w:p>
        </w:tc>
        <w:tc>
          <w:tcPr>
            <w:tcW w:w="415" w:type="dxa"/>
            <w:vAlign w:val="center"/>
          </w:tcPr>
          <w:p w14:paraId="4EB6C437">
            <w:pPr>
              <w:spacing w:line="360" w:lineRule="auto"/>
              <w:jc w:val="right"/>
              <w:rPr>
                <w:sz w:val="18"/>
                <w:szCs w:val="18"/>
              </w:rPr>
            </w:pPr>
            <w:r>
              <w:rPr>
                <w:sz w:val="18"/>
                <w:szCs w:val="18"/>
              </w:rPr>
              <w:t>-</w:t>
            </w:r>
          </w:p>
        </w:tc>
        <w:tc>
          <w:tcPr>
            <w:tcW w:w="465" w:type="dxa"/>
            <w:vAlign w:val="center"/>
          </w:tcPr>
          <w:p w14:paraId="54924F0A">
            <w:pPr>
              <w:spacing w:line="360" w:lineRule="auto"/>
              <w:jc w:val="right"/>
              <w:rPr>
                <w:sz w:val="18"/>
                <w:szCs w:val="18"/>
              </w:rPr>
            </w:pPr>
            <w:r>
              <w:rPr>
                <w:sz w:val="18"/>
                <w:szCs w:val="18"/>
              </w:rPr>
              <w:t>-</w:t>
            </w:r>
          </w:p>
        </w:tc>
        <w:tc>
          <w:tcPr>
            <w:tcW w:w="1489" w:type="dxa"/>
            <w:vAlign w:val="center"/>
          </w:tcPr>
          <w:p w14:paraId="0BEF2367">
            <w:pPr>
              <w:spacing w:line="360" w:lineRule="auto"/>
              <w:jc w:val="right"/>
              <w:rPr>
                <w:sz w:val="18"/>
                <w:szCs w:val="18"/>
              </w:rPr>
            </w:pPr>
            <w:r>
              <w:rPr>
                <w:sz w:val="18"/>
                <w:szCs w:val="18"/>
              </w:rPr>
              <w:t>-178,452,206.00</w:t>
            </w:r>
          </w:p>
        </w:tc>
        <w:tc>
          <w:tcPr>
            <w:tcW w:w="1556" w:type="dxa"/>
            <w:vAlign w:val="center"/>
          </w:tcPr>
          <w:p w14:paraId="702DE80D">
            <w:pPr>
              <w:spacing w:line="360" w:lineRule="auto"/>
              <w:jc w:val="right"/>
              <w:rPr>
                <w:sz w:val="18"/>
                <w:szCs w:val="18"/>
              </w:rPr>
            </w:pPr>
            <w:r>
              <w:rPr>
                <w:sz w:val="18"/>
                <w:szCs w:val="18"/>
              </w:rPr>
              <w:t>3,144,487,171.21</w:t>
            </w:r>
          </w:p>
        </w:tc>
      </w:tr>
      <w:bookmarkEnd w:id="344"/>
    </w:tbl>
    <w:p w14:paraId="1C667B45">
      <w:pPr>
        <w:spacing w:line="360" w:lineRule="auto"/>
        <w:outlineLvl w:val="2"/>
        <w:rPr>
          <w:b/>
        </w:rPr>
      </w:pPr>
      <w:bookmarkStart w:id="345" w:name="_Toc98601355"/>
      <w:bookmarkStart w:id="346" w:name="_Toc96424958"/>
      <w:bookmarkStart w:id="347" w:name="_Toc98602704"/>
      <w:r>
        <w:rPr>
          <w:b/>
          <w:kern w:val="0"/>
        </w:rPr>
        <w:t>9.4.2</w:t>
      </w:r>
      <w:r>
        <w:rPr>
          <w:b/>
        </w:rPr>
        <w:t xml:space="preserve">  个别所有者权益变动表</w:t>
      </w:r>
      <w:bookmarkEnd w:id="345"/>
      <w:bookmarkEnd w:id="346"/>
      <w:bookmarkEnd w:id="347"/>
    </w:p>
    <w:p w14:paraId="2293C04A">
      <w:pPr>
        <w:spacing w:line="360" w:lineRule="auto"/>
        <w:rPr>
          <w:kern w:val="0"/>
        </w:rPr>
      </w:pPr>
      <w:r>
        <w:t>会计主体：</w:t>
      </w:r>
      <w:r>
        <w:rPr>
          <w:kern w:val="0"/>
        </w:rPr>
        <w:t>博时招商蛇口产业园封闭式基础设施证券投资基金</w:t>
      </w:r>
    </w:p>
    <w:p w14:paraId="19448F88">
      <w:pPr>
        <w:spacing w:line="360" w:lineRule="auto"/>
        <w:rPr>
          <w:kern w:val="0"/>
        </w:rPr>
      </w:pPr>
      <w:r>
        <w:t>本报告期：</w:t>
      </w:r>
      <w:r>
        <w:rPr>
          <w:kern w:val="0"/>
        </w:rPr>
        <w:t>2026年1月1日至2026年6月30日</w:t>
      </w:r>
    </w:p>
    <w:p w14:paraId="1011B2FB">
      <w:pPr>
        <w:spacing w:line="360" w:lineRule="auto"/>
        <w:jc w:val="right"/>
        <w:rPr>
          <w:rFonts w:eastAsiaTheme="minorEastAsia"/>
        </w:rPr>
      </w:pPr>
      <w:r>
        <w:rPr>
          <w:rFonts w:eastAsiaTheme="minorEastAsia"/>
        </w:rPr>
        <w:t>单位：人民币元</w:t>
      </w:r>
    </w:p>
    <w:tbl>
      <w:tblPr>
        <w:tblStyle w:val="4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1952"/>
        <w:gridCol w:w="1588"/>
        <w:gridCol w:w="1080"/>
        <w:gridCol w:w="1800"/>
        <w:gridCol w:w="1706"/>
      </w:tblGrid>
      <w:tr w14:paraId="3398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Merge w:val="restart"/>
            <w:vAlign w:val="center"/>
          </w:tcPr>
          <w:p w14:paraId="120C0FCB">
            <w:pPr>
              <w:jc w:val="center"/>
              <w:rPr>
                <w:rFonts w:eastAsiaTheme="minorEastAsia"/>
                <w:b/>
                <w:sz w:val="18"/>
                <w:szCs w:val="18"/>
              </w:rPr>
            </w:pPr>
            <w:r>
              <w:rPr>
                <w:rFonts w:eastAsiaTheme="minorEastAsia"/>
                <w:b/>
                <w:sz w:val="18"/>
                <w:szCs w:val="18"/>
              </w:rPr>
              <w:t>项目</w:t>
            </w:r>
          </w:p>
        </w:tc>
        <w:tc>
          <w:tcPr>
            <w:tcW w:w="8126" w:type="dxa"/>
            <w:gridSpan w:val="5"/>
            <w:vAlign w:val="center"/>
          </w:tcPr>
          <w:p w14:paraId="73C69298">
            <w:pPr>
              <w:jc w:val="center"/>
              <w:rPr>
                <w:rFonts w:eastAsiaTheme="minorEastAsia"/>
                <w:b/>
                <w:sz w:val="18"/>
                <w:szCs w:val="18"/>
              </w:rPr>
            </w:pPr>
            <w:r>
              <w:rPr>
                <w:rFonts w:eastAsiaTheme="minorEastAsia"/>
                <w:b/>
                <w:sz w:val="18"/>
                <w:szCs w:val="18"/>
              </w:rPr>
              <w:t>本期</w:t>
            </w:r>
          </w:p>
          <w:p w14:paraId="23F2C5BC">
            <w:pPr>
              <w:jc w:val="center"/>
              <w:rPr>
                <w:rFonts w:eastAsiaTheme="minorEastAsia"/>
                <w:b/>
                <w:sz w:val="18"/>
                <w:szCs w:val="18"/>
              </w:rPr>
            </w:pPr>
            <w:r>
              <w:rPr>
                <w:rFonts w:eastAsiaTheme="minorEastAsia"/>
                <w:b/>
                <w:sz w:val="18"/>
                <w:szCs w:val="18"/>
              </w:rPr>
              <w:t>2026年1月1日至2026年6月30日</w:t>
            </w:r>
          </w:p>
        </w:tc>
      </w:tr>
      <w:tr w14:paraId="38D73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Merge w:val="continue"/>
            <w:vAlign w:val="center"/>
          </w:tcPr>
          <w:p w14:paraId="7CC60F98">
            <w:pPr>
              <w:jc w:val="center"/>
              <w:rPr>
                <w:rFonts w:eastAsiaTheme="minorEastAsia"/>
                <w:b/>
                <w:sz w:val="18"/>
                <w:szCs w:val="18"/>
              </w:rPr>
            </w:pPr>
          </w:p>
        </w:tc>
        <w:tc>
          <w:tcPr>
            <w:tcW w:w="1952" w:type="dxa"/>
            <w:vAlign w:val="center"/>
          </w:tcPr>
          <w:p w14:paraId="55513CF8">
            <w:pPr>
              <w:jc w:val="center"/>
              <w:rPr>
                <w:rFonts w:eastAsiaTheme="minorEastAsia"/>
                <w:b/>
                <w:sz w:val="18"/>
                <w:szCs w:val="18"/>
              </w:rPr>
            </w:pPr>
            <w:r>
              <w:rPr>
                <w:rFonts w:eastAsiaTheme="minorEastAsia"/>
                <w:b/>
                <w:sz w:val="18"/>
                <w:szCs w:val="18"/>
              </w:rPr>
              <w:t>实收</w:t>
            </w:r>
          </w:p>
          <w:p w14:paraId="289CCE96">
            <w:pPr>
              <w:jc w:val="center"/>
              <w:rPr>
                <w:rFonts w:eastAsiaTheme="minorEastAsia"/>
                <w:b/>
                <w:sz w:val="18"/>
                <w:szCs w:val="18"/>
              </w:rPr>
            </w:pPr>
            <w:r>
              <w:rPr>
                <w:rFonts w:eastAsiaTheme="minorEastAsia"/>
                <w:b/>
                <w:sz w:val="18"/>
                <w:szCs w:val="18"/>
              </w:rPr>
              <w:t>基金</w:t>
            </w:r>
          </w:p>
        </w:tc>
        <w:tc>
          <w:tcPr>
            <w:tcW w:w="1588" w:type="dxa"/>
            <w:vAlign w:val="center"/>
          </w:tcPr>
          <w:p w14:paraId="22AE17D3">
            <w:pPr>
              <w:jc w:val="center"/>
              <w:rPr>
                <w:rFonts w:eastAsiaTheme="minorEastAsia"/>
                <w:b/>
                <w:sz w:val="18"/>
                <w:szCs w:val="18"/>
              </w:rPr>
            </w:pPr>
            <w:r>
              <w:rPr>
                <w:rFonts w:eastAsiaTheme="minorEastAsia"/>
                <w:b/>
                <w:sz w:val="18"/>
                <w:szCs w:val="18"/>
              </w:rPr>
              <w:t>资本</w:t>
            </w:r>
          </w:p>
          <w:p w14:paraId="0BD4D07F">
            <w:pPr>
              <w:jc w:val="center"/>
              <w:rPr>
                <w:rFonts w:eastAsiaTheme="minorEastAsia"/>
                <w:b/>
                <w:sz w:val="18"/>
                <w:szCs w:val="18"/>
              </w:rPr>
            </w:pPr>
            <w:r>
              <w:rPr>
                <w:rFonts w:eastAsiaTheme="minorEastAsia"/>
                <w:b/>
                <w:sz w:val="18"/>
                <w:szCs w:val="18"/>
              </w:rPr>
              <w:t>公积</w:t>
            </w:r>
          </w:p>
        </w:tc>
        <w:tc>
          <w:tcPr>
            <w:tcW w:w="1080" w:type="dxa"/>
            <w:vAlign w:val="center"/>
          </w:tcPr>
          <w:p w14:paraId="7E4F5F9D">
            <w:pPr>
              <w:jc w:val="center"/>
              <w:rPr>
                <w:rFonts w:eastAsiaTheme="minorEastAsia"/>
                <w:b/>
                <w:sz w:val="18"/>
                <w:szCs w:val="18"/>
              </w:rPr>
            </w:pPr>
            <w:r>
              <w:rPr>
                <w:rFonts w:eastAsiaTheme="minorEastAsia"/>
                <w:b/>
                <w:sz w:val="18"/>
                <w:szCs w:val="18"/>
              </w:rPr>
              <w:t>其他</w:t>
            </w:r>
          </w:p>
          <w:p w14:paraId="4614152D">
            <w:pPr>
              <w:jc w:val="center"/>
              <w:rPr>
                <w:rFonts w:eastAsiaTheme="minorEastAsia"/>
                <w:b/>
                <w:sz w:val="18"/>
                <w:szCs w:val="18"/>
              </w:rPr>
            </w:pPr>
            <w:r>
              <w:rPr>
                <w:rFonts w:eastAsiaTheme="minorEastAsia"/>
                <w:b/>
                <w:sz w:val="18"/>
                <w:szCs w:val="18"/>
              </w:rPr>
              <w:t>综合收益</w:t>
            </w:r>
          </w:p>
        </w:tc>
        <w:tc>
          <w:tcPr>
            <w:tcW w:w="1800" w:type="dxa"/>
            <w:vAlign w:val="center"/>
          </w:tcPr>
          <w:p w14:paraId="0B7D4507">
            <w:pPr>
              <w:jc w:val="center"/>
              <w:rPr>
                <w:rFonts w:eastAsiaTheme="minorEastAsia"/>
                <w:b/>
                <w:sz w:val="18"/>
                <w:szCs w:val="18"/>
              </w:rPr>
            </w:pPr>
            <w:r>
              <w:rPr>
                <w:rFonts w:eastAsiaTheme="minorEastAsia"/>
                <w:b/>
                <w:sz w:val="18"/>
                <w:szCs w:val="18"/>
              </w:rPr>
              <w:t>未分配</w:t>
            </w:r>
          </w:p>
          <w:p w14:paraId="5FCDE3AD">
            <w:pPr>
              <w:jc w:val="center"/>
              <w:rPr>
                <w:rFonts w:eastAsiaTheme="minorEastAsia"/>
                <w:b/>
                <w:sz w:val="18"/>
                <w:szCs w:val="18"/>
              </w:rPr>
            </w:pPr>
            <w:r>
              <w:rPr>
                <w:rFonts w:eastAsiaTheme="minorEastAsia"/>
                <w:b/>
                <w:sz w:val="18"/>
                <w:szCs w:val="18"/>
              </w:rPr>
              <w:t>利润</w:t>
            </w:r>
          </w:p>
        </w:tc>
        <w:tc>
          <w:tcPr>
            <w:tcW w:w="1706" w:type="dxa"/>
            <w:vAlign w:val="center"/>
          </w:tcPr>
          <w:p w14:paraId="78A43E48">
            <w:pPr>
              <w:jc w:val="center"/>
              <w:rPr>
                <w:rFonts w:eastAsiaTheme="minorEastAsia"/>
                <w:b/>
                <w:sz w:val="18"/>
                <w:szCs w:val="18"/>
              </w:rPr>
            </w:pPr>
            <w:r>
              <w:rPr>
                <w:rFonts w:eastAsiaTheme="minorEastAsia"/>
                <w:b/>
                <w:sz w:val="18"/>
                <w:szCs w:val="18"/>
              </w:rPr>
              <w:t>所有者权益</w:t>
            </w:r>
          </w:p>
          <w:p w14:paraId="4FF65993">
            <w:pPr>
              <w:jc w:val="center"/>
              <w:rPr>
                <w:rFonts w:eastAsiaTheme="minorEastAsia"/>
                <w:b/>
                <w:sz w:val="18"/>
                <w:szCs w:val="18"/>
              </w:rPr>
            </w:pPr>
            <w:r>
              <w:rPr>
                <w:rFonts w:eastAsiaTheme="minorEastAsia"/>
                <w:b/>
                <w:sz w:val="18"/>
                <w:szCs w:val="18"/>
              </w:rPr>
              <w:t>合计</w:t>
            </w:r>
          </w:p>
        </w:tc>
      </w:tr>
      <w:tr w14:paraId="6A7E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340C3167">
            <w:pPr>
              <w:rPr>
                <w:rFonts w:eastAsiaTheme="minorEastAsia"/>
                <w:b/>
                <w:sz w:val="18"/>
                <w:szCs w:val="18"/>
              </w:rPr>
            </w:pPr>
            <w:r>
              <w:rPr>
                <w:rFonts w:eastAsiaTheme="minorEastAsia"/>
                <w:b/>
                <w:sz w:val="18"/>
                <w:szCs w:val="18"/>
              </w:rPr>
              <w:t>一、上期期末余额</w:t>
            </w:r>
          </w:p>
        </w:tc>
        <w:tc>
          <w:tcPr>
            <w:tcW w:w="1952" w:type="dxa"/>
            <w:vAlign w:val="center"/>
          </w:tcPr>
          <w:p w14:paraId="52D00A1E">
            <w:pPr>
              <w:jc w:val="right"/>
              <w:rPr>
                <w:rFonts w:eastAsiaTheme="minorEastAsia"/>
                <w:bCs/>
                <w:sz w:val="18"/>
                <w:szCs w:val="18"/>
              </w:rPr>
            </w:pPr>
            <w:r>
              <w:rPr>
                <w:rFonts w:eastAsiaTheme="minorEastAsia"/>
                <w:bCs/>
                <w:sz w:val="18"/>
                <w:szCs w:val="18"/>
              </w:rPr>
              <w:t>1,421,130,866.00</w:t>
            </w:r>
          </w:p>
        </w:tc>
        <w:tc>
          <w:tcPr>
            <w:tcW w:w="1588" w:type="dxa"/>
            <w:vAlign w:val="center"/>
          </w:tcPr>
          <w:p w14:paraId="1221089A">
            <w:pPr>
              <w:jc w:val="right"/>
              <w:rPr>
                <w:rFonts w:eastAsiaTheme="minorEastAsia"/>
                <w:bCs/>
                <w:sz w:val="18"/>
                <w:szCs w:val="18"/>
              </w:rPr>
            </w:pPr>
            <w:r>
              <w:rPr>
                <w:rFonts w:eastAsiaTheme="minorEastAsia"/>
                <w:bCs/>
                <w:sz w:val="18"/>
                <w:szCs w:val="18"/>
              </w:rPr>
              <w:t>1,901,808,511.21</w:t>
            </w:r>
          </w:p>
        </w:tc>
        <w:tc>
          <w:tcPr>
            <w:tcW w:w="1080" w:type="dxa"/>
            <w:vAlign w:val="center"/>
          </w:tcPr>
          <w:p w14:paraId="1853BE69">
            <w:pPr>
              <w:jc w:val="right"/>
              <w:rPr>
                <w:rFonts w:eastAsiaTheme="minorEastAsia"/>
                <w:bCs/>
                <w:sz w:val="18"/>
                <w:szCs w:val="18"/>
              </w:rPr>
            </w:pPr>
            <w:r>
              <w:rPr>
                <w:rFonts w:eastAsiaTheme="minorEastAsia"/>
                <w:bCs/>
                <w:sz w:val="18"/>
                <w:szCs w:val="18"/>
              </w:rPr>
              <w:t>-</w:t>
            </w:r>
          </w:p>
        </w:tc>
        <w:tc>
          <w:tcPr>
            <w:tcW w:w="1800" w:type="dxa"/>
            <w:vAlign w:val="center"/>
          </w:tcPr>
          <w:p w14:paraId="5FBC7A0A">
            <w:pPr>
              <w:jc w:val="right"/>
              <w:rPr>
                <w:rFonts w:eastAsiaTheme="minorEastAsia"/>
                <w:bCs/>
                <w:sz w:val="18"/>
                <w:szCs w:val="18"/>
              </w:rPr>
            </w:pPr>
            <w:r>
              <w:rPr>
                <w:rFonts w:eastAsiaTheme="minorEastAsia"/>
                <w:bCs/>
                <w:sz w:val="18"/>
                <w:szCs w:val="18"/>
              </w:rPr>
              <w:t>-195,435,410.88</w:t>
            </w:r>
          </w:p>
        </w:tc>
        <w:tc>
          <w:tcPr>
            <w:tcW w:w="1706" w:type="dxa"/>
            <w:vAlign w:val="center"/>
          </w:tcPr>
          <w:p w14:paraId="5CA2BECD">
            <w:pPr>
              <w:jc w:val="right"/>
              <w:rPr>
                <w:rFonts w:eastAsiaTheme="minorEastAsia"/>
                <w:bCs/>
                <w:sz w:val="18"/>
                <w:szCs w:val="18"/>
              </w:rPr>
            </w:pPr>
            <w:r>
              <w:rPr>
                <w:rFonts w:eastAsiaTheme="minorEastAsia"/>
                <w:bCs/>
                <w:sz w:val="18"/>
                <w:szCs w:val="18"/>
              </w:rPr>
              <w:t>3,127,503,966.33</w:t>
            </w:r>
          </w:p>
        </w:tc>
      </w:tr>
      <w:tr w14:paraId="42B7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19633BAC">
            <w:pPr>
              <w:rPr>
                <w:rFonts w:eastAsiaTheme="minorEastAsia"/>
                <w:sz w:val="18"/>
                <w:szCs w:val="18"/>
              </w:rPr>
            </w:pPr>
            <w:r>
              <w:rPr>
                <w:rFonts w:eastAsiaTheme="minorEastAsia"/>
                <w:sz w:val="18"/>
                <w:szCs w:val="18"/>
              </w:rPr>
              <w:t>加：会计政策变更</w:t>
            </w:r>
          </w:p>
        </w:tc>
        <w:tc>
          <w:tcPr>
            <w:tcW w:w="1952" w:type="dxa"/>
            <w:vAlign w:val="center"/>
          </w:tcPr>
          <w:p w14:paraId="0EF4F148">
            <w:pPr>
              <w:jc w:val="right"/>
              <w:rPr>
                <w:rFonts w:eastAsiaTheme="minorEastAsia"/>
                <w:sz w:val="18"/>
                <w:szCs w:val="18"/>
              </w:rPr>
            </w:pPr>
            <w:r>
              <w:rPr>
                <w:rFonts w:eastAsiaTheme="minorEastAsia"/>
                <w:sz w:val="18"/>
                <w:szCs w:val="18"/>
              </w:rPr>
              <w:t>-</w:t>
            </w:r>
          </w:p>
        </w:tc>
        <w:tc>
          <w:tcPr>
            <w:tcW w:w="1588" w:type="dxa"/>
            <w:vAlign w:val="center"/>
          </w:tcPr>
          <w:p w14:paraId="65D908AF">
            <w:pPr>
              <w:jc w:val="right"/>
              <w:rPr>
                <w:rFonts w:eastAsiaTheme="minorEastAsia"/>
                <w:sz w:val="18"/>
                <w:szCs w:val="18"/>
              </w:rPr>
            </w:pPr>
            <w:r>
              <w:rPr>
                <w:rFonts w:eastAsiaTheme="minorEastAsia"/>
                <w:sz w:val="18"/>
                <w:szCs w:val="18"/>
              </w:rPr>
              <w:t>-</w:t>
            </w:r>
          </w:p>
        </w:tc>
        <w:tc>
          <w:tcPr>
            <w:tcW w:w="1080" w:type="dxa"/>
            <w:vAlign w:val="center"/>
          </w:tcPr>
          <w:p w14:paraId="522EFDE3">
            <w:pPr>
              <w:jc w:val="right"/>
              <w:rPr>
                <w:rFonts w:eastAsiaTheme="minorEastAsia"/>
                <w:sz w:val="18"/>
                <w:szCs w:val="18"/>
              </w:rPr>
            </w:pPr>
            <w:r>
              <w:rPr>
                <w:rFonts w:eastAsiaTheme="minorEastAsia"/>
                <w:sz w:val="18"/>
                <w:szCs w:val="18"/>
              </w:rPr>
              <w:t>-</w:t>
            </w:r>
          </w:p>
        </w:tc>
        <w:tc>
          <w:tcPr>
            <w:tcW w:w="1800" w:type="dxa"/>
            <w:vAlign w:val="center"/>
          </w:tcPr>
          <w:p w14:paraId="6FCEBEE9">
            <w:pPr>
              <w:jc w:val="right"/>
              <w:rPr>
                <w:rFonts w:eastAsiaTheme="minorEastAsia"/>
                <w:sz w:val="18"/>
                <w:szCs w:val="18"/>
              </w:rPr>
            </w:pPr>
            <w:r>
              <w:rPr>
                <w:rFonts w:eastAsiaTheme="minorEastAsia"/>
                <w:sz w:val="18"/>
                <w:szCs w:val="18"/>
              </w:rPr>
              <w:t>-</w:t>
            </w:r>
          </w:p>
        </w:tc>
        <w:tc>
          <w:tcPr>
            <w:tcW w:w="1706" w:type="dxa"/>
            <w:vAlign w:val="center"/>
          </w:tcPr>
          <w:p w14:paraId="697EDB7D">
            <w:pPr>
              <w:jc w:val="right"/>
              <w:rPr>
                <w:rFonts w:eastAsiaTheme="minorEastAsia"/>
                <w:sz w:val="18"/>
                <w:szCs w:val="18"/>
              </w:rPr>
            </w:pPr>
            <w:r>
              <w:rPr>
                <w:rFonts w:eastAsiaTheme="minorEastAsia"/>
                <w:sz w:val="18"/>
                <w:szCs w:val="18"/>
              </w:rPr>
              <w:t>-</w:t>
            </w:r>
          </w:p>
        </w:tc>
      </w:tr>
      <w:tr w14:paraId="5B3B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0CD8B929">
            <w:pPr>
              <w:rPr>
                <w:rFonts w:eastAsiaTheme="minorEastAsia"/>
                <w:sz w:val="18"/>
                <w:szCs w:val="18"/>
              </w:rPr>
            </w:pPr>
            <w:r>
              <w:rPr>
                <w:rFonts w:hint="eastAsia" w:eastAsiaTheme="minorEastAsia"/>
                <w:sz w:val="18"/>
                <w:szCs w:val="18"/>
              </w:rPr>
              <w:t xml:space="preserve">   </w:t>
            </w:r>
            <w:r>
              <w:rPr>
                <w:rFonts w:eastAsiaTheme="minorEastAsia"/>
                <w:sz w:val="18"/>
                <w:szCs w:val="18"/>
              </w:rPr>
              <w:t xml:space="preserve"> 前期差错更正</w:t>
            </w:r>
          </w:p>
        </w:tc>
        <w:tc>
          <w:tcPr>
            <w:tcW w:w="1952" w:type="dxa"/>
            <w:vAlign w:val="center"/>
          </w:tcPr>
          <w:p w14:paraId="714401D4">
            <w:pPr>
              <w:jc w:val="right"/>
              <w:rPr>
                <w:rFonts w:eastAsiaTheme="minorEastAsia"/>
                <w:sz w:val="18"/>
                <w:szCs w:val="18"/>
              </w:rPr>
            </w:pPr>
            <w:r>
              <w:rPr>
                <w:rFonts w:eastAsiaTheme="minorEastAsia"/>
                <w:sz w:val="18"/>
                <w:szCs w:val="18"/>
              </w:rPr>
              <w:t>-</w:t>
            </w:r>
          </w:p>
        </w:tc>
        <w:tc>
          <w:tcPr>
            <w:tcW w:w="1588" w:type="dxa"/>
            <w:vAlign w:val="center"/>
          </w:tcPr>
          <w:p w14:paraId="59071B19">
            <w:pPr>
              <w:jc w:val="right"/>
              <w:rPr>
                <w:rFonts w:eastAsiaTheme="minorEastAsia"/>
                <w:sz w:val="18"/>
                <w:szCs w:val="18"/>
              </w:rPr>
            </w:pPr>
            <w:r>
              <w:rPr>
                <w:rFonts w:eastAsiaTheme="minorEastAsia"/>
                <w:sz w:val="18"/>
                <w:szCs w:val="18"/>
              </w:rPr>
              <w:t>-</w:t>
            </w:r>
          </w:p>
        </w:tc>
        <w:tc>
          <w:tcPr>
            <w:tcW w:w="1080" w:type="dxa"/>
            <w:vAlign w:val="center"/>
          </w:tcPr>
          <w:p w14:paraId="00A77C4E">
            <w:pPr>
              <w:jc w:val="right"/>
              <w:rPr>
                <w:rFonts w:eastAsiaTheme="minorEastAsia"/>
                <w:sz w:val="18"/>
                <w:szCs w:val="18"/>
              </w:rPr>
            </w:pPr>
            <w:r>
              <w:rPr>
                <w:rFonts w:eastAsiaTheme="minorEastAsia"/>
                <w:sz w:val="18"/>
                <w:szCs w:val="18"/>
              </w:rPr>
              <w:t>-</w:t>
            </w:r>
          </w:p>
        </w:tc>
        <w:tc>
          <w:tcPr>
            <w:tcW w:w="1800" w:type="dxa"/>
            <w:vAlign w:val="center"/>
          </w:tcPr>
          <w:p w14:paraId="3458773B">
            <w:pPr>
              <w:jc w:val="right"/>
              <w:rPr>
                <w:rFonts w:eastAsiaTheme="minorEastAsia"/>
                <w:sz w:val="18"/>
                <w:szCs w:val="18"/>
              </w:rPr>
            </w:pPr>
            <w:r>
              <w:rPr>
                <w:rFonts w:eastAsiaTheme="minorEastAsia"/>
                <w:sz w:val="18"/>
                <w:szCs w:val="18"/>
              </w:rPr>
              <w:t>-</w:t>
            </w:r>
          </w:p>
        </w:tc>
        <w:tc>
          <w:tcPr>
            <w:tcW w:w="1706" w:type="dxa"/>
            <w:vAlign w:val="center"/>
          </w:tcPr>
          <w:p w14:paraId="40E2E36F">
            <w:pPr>
              <w:jc w:val="right"/>
              <w:rPr>
                <w:rFonts w:eastAsiaTheme="minorEastAsia"/>
                <w:sz w:val="18"/>
                <w:szCs w:val="18"/>
              </w:rPr>
            </w:pPr>
            <w:r>
              <w:rPr>
                <w:rFonts w:eastAsiaTheme="minorEastAsia"/>
                <w:sz w:val="18"/>
                <w:szCs w:val="18"/>
              </w:rPr>
              <w:t>-</w:t>
            </w:r>
          </w:p>
        </w:tc>
      </w:tr>
      <w:tr w14:paraId="5A6D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23EE2AD9">
            <w:pPr>
              <w:rPr>
                <w:rFonts w:eastAsiaTheme="minorEastAsia"/>
                <w:sz w:val="18"/>
                <w:szCs w:val="18"/>
              </w:rPr>
            </w:pPr>
            <w:r>
              <w:rPr>
                <w:rFonts w:hint="eastAsia" w:eastAsiaTheme="minorEastAsia"/>
                <w:sz w:val="18"/>
                <w:szCs w:val="18"/>
              </w:rPr>
              <w:t xml:space="preserve">   </w:t>
            </w:r>
            <w:r>
              <w:rPr>
                <w:rFonts w:eastAsiaTheme="minorEastAsia"/>
                <w:sz w:val="18"/>
                <w:szCs w:val="18"/>
              </w:rPr>
              <w:t xml:space="preserve"> 其他</w:t>
            </w:r>
          </w:p>
        </w:tc>
        <w:tc>
          <w:tcPr>
            <w:tcW w:w="1952" w:type="dxa"/>
            <w:vAlign w:val="center"/>
          </w:tcPr>
          <w:p w14:paraId="02EE9F54">
            <w:pPr>
              <w:jc w:val="right"/>
              <w:rPr>
                <w:rFonts w:eastAsiaTheme="minorEastAsia"/>
                <w:sz w:val="18"/>
                <w:szCs w:val="18"/>
              </w:rPr>
            </w:pPr>
            <w:r>
              <w:rPr>
                <w:rFonts w:eastAsiaTheme="minorEastAsia"/>
                <w:sz w:val="18"/>
                <w:szCs w:val="18"/>
              </w:rPr>
              <w:t>-</w:t>
            </w:r>
          </w:p>
        </w:tc>
        <w:tc>
          <w:tcPr>
            <w:tcW w:w="1588" w:type="dxa"/>
            <w:vAlign w:val="center"/>
          </w:tcPr>
          <w:p w14:paraId="1762FA7D">
            <w:pPr>
              <w:jc w:val="right"/>
              <w:rPr>
                <w:rFonts w:eastAsiaTheme="minorEastAsia"/>
                <w:sz w:val="18"/>
                <w:szCs w:val="18"/>
              </w:rPr>
            </w:pPr>
            <w:r>
              <w:rPr>
                <w:rFonts w:eastAsiaTheme="minorEastAsia"/>
                <w:sz w:val="18"/>
                <w:szCs w:val="18"/>
              </w:rPr>
              <w:t>-</w:t>
            </w:r>
          </w:p>
        </w:tc>
        <w:tc>
          <w:tcPr>
            <w:tcW w:w="1080" w:type="dxa"/>
            <w:vAlign w:val="center"/>
          </w:tcPr>
          <w:p w14:paraId="4B303DE4">
            <w:pPr>
              <w:jc w:val="right"/>
              <w:rPr>
                <w:rFonts w:eastAsiaTheme="minorEastAsia"/>
                <w:sz w:val="18"/>
                <w:szCs w:val="18"/>
              </w:rPr>
            </w:pPr>
            <w:r>
              <w:rPr>
                <w:rFonts w:eastAsiaTheme="minorEastAsia"/>
                <w:sz w:val="18"/>
                <w:szCs w:val="18"/>
              </w:rPr>
              <w:t>-</w:t>
            </w:r>
          </w:p>
        </w:tc>
        <w:tc>
          <w:tcPr>
            <w:tcW w:w="1800" w:type="dxa"/>
            <w:vAlign w:val="center"/>
          </w:tcPr>
          <w:p w14:paraId="14C33251">
            <w:pPr>
              <w:jc w:val="right"/>
              <w:rPr>
                <w:rFonts w:eastAsiaTheme="minorEastAsia"/>
                <w:sz w:val="18"/>
                <w:szCs w:val="18"/>
              </w:rPr>
            </w:pPr>
            <w:r>
              <w:rPr>
                <w:rFonts w:eastAsiaTheme="minorEastAsia"/>
                <w:sz w:val="18"/>
                <w:szCs w:val="18"/>
              </w:rPr>
              <w:t>-</w:t>
            </w:r>
          </w:p>
        </w:tc>
        <w:tc>
          <w:tcPr>
            <w:tcW w:w="1706" w:type="dxa"/>
            <w:vAlign w:val="center"/>
          </w:tcPr>
          <w:p w14:paraId="1F6E02C7">
            <w:pPr>
              <w:jc w:val="right"/>
              <w:rPr>
                <w:rFonts w:eastAsiaTheme="minorEastAsia"/>
                <w:sz w:val="18"/>
                <w:szCs w:val="18"/>
              </w:rPr>
            </w:pPr>
            <w:r>
              <w:rPr>
                <w:rFonts w:eastAsiaTheme="minorEastAsia"/>
                <w:sz w:val="18"/>
                <w:szCs w:val="18"/>
              </w:rPr>
              <w:t>-</w:t>
            </w:r>
          </w:p>
        </w:tc>
      </w:tr>
      <w:tr w14:paraId="2D5D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2E172483">
            <w:pPr>
              <w:rPr>
                <w:rFonts w:eastAsiaTheme="minorEastAsia"/>
                <w:b/>
                <w:sz w:val="18"/>
                <w:szCs w:val="18"/>
              </w:rPr>
            </w:pPr>
            <w:r>
              <w:rPr>
                <w:rFonts w:eastAsiaTheme="minorEastAsia"/>
                <w:b/>
                <w:sz w:val="18"/>
                <w:szCs w:val="18"/>
              </w:rPr>
              <w:t>二、本期期初余额</w:t>
            </w:r>
          </w:p>
        </w:tc>
        <w:tc>
          <w:tcPr>
            <w:tcW w:w="1952" w:type="dxa"/>
            <w:vAlign w:val="center"/>
          </w:tcPr>
          <w:p w14:paraId="48E08D2E">
            <w:pPr>
              <w:jc w:val="right"/>
              <w:rPr>
                <w:rFonts w:eastAsiaTheme="minorEastAsia"/>
                <w:bCs/>
                <w:sz w:val="18"/>
                <w:szCs w:val="18"/>
              </w:rPr>
            </w:pPr>
            <w:r>
              <w:rPr>
                <w:rFonts w:eastAsiaTheme="minorEastAsia"/>
                <w:bCs/>
                <w:sz w:val="18"/>
                <w:szCs w:val="18"/>
              </w:rPr>
              <w:t>1,421,130,866.00</w:t>
            </w:r>
          </w:p>
        </w:tc>
        <w:tc>
          <w:tcPr>
            <w:tcW w:w="1588" w:type="dxa"/>
            <w:vAlign w:val="center"/>
          </w:tcPr>
          <w:p w14:paraId="69950483">
            <w:pPr>
              <w:jc w:val="right"/>
              <w:rPr>
                <w:rFonts w:eastAsiaTheme="minorEastAsia"/>
                <w:bCs/>
                <w:sz w:val="18"/>
                <w:szCs w:val="18"/>
              </w:rPr>
            </w:pPr>
            <w:r>
              <w:rPr>
                <w:rFonts w:eastAsiaTheme="minorEastAsia"/>
                <w:bCs/>
                <w:sz w:val="18"/>
                <w:szCs w:val="18"/>
              </w:rPr>
              <w:t>1,901,808,511.21</w:t>
            </w:r>
          </w:p>
        </w:tc>
        <w:tc>
          <w:tcPr>
            <w:tcW w:w="1080" w:type="dxa"/>
            <w:vAlign w:val="center"/>
          </w:tcPr>
          <w:p w14:paraId="14DAF786">
            <w:pPr>
              <w:jc w:val="right"/>
              <w:rPr>
                <w:rFonts w:eastAsiaTheme="minorEastAsia"/>
                <w:bCs/>
                <w:sz w:val="18"/>
                <w:szCs w:val="18"/>
              </w:rPr>
            </w:pPr>
            <w:r>
              <w:rPr>
                <w:rFonts w:eastAsiaTheme="minorEastAsia"/>
                <w:bCs/>
                <w:sz w:val="18"/>
                <w:szCs w:val="18"/>
              </w:rPr>
              <w:t>-</w:t>
            </w:r>
          </w:p>
        </w:tc>
        <w:tc>
          <w:tcPr>
            <w:tcW w:w="1800" w:type="dxa"/>
            <w:vAlign w:val="center"/>
          </w:tcPr>
          <w:p w14:paraId="2F5692AB">
            <w:pPr>
              <w:jc w:val="right"/>
              <w:rPr>
                <w:rFonts w:eastAsiaTheme="minorEastAsia"/>
                <w:bCs/>
                <w:sz w:val="18"/>
                <w:szCs w:val="18"/>
              </w:rPr>
            </w:pPr>
            <w:r>
              <w:rPr>
                <w:rFonts w:eastAsiaTheme="minorEastAsia"/>
                <w:bCs/>
                <w:sz w:val="18"/>
                <w:szCs w:val="18"/>
              </w:rPr>
              <w:t>-195,435,410.88</w:t>
            </w:r>
          </w:p>
        </w:tc>
        <w:tc>
          <w:tcPr>
            <w:tcW w:w="1706" w:type="dxa"/>
            <w:vAlign w:val="center"/>
          </w:tcPr>
          <w:p w14:paraId="27456C6F">
            <w:pPr>
              <w:jc w:val="right"/>
              <w:rPr>
                <w:rFonts w:eastAsiaTheme="minorEastAsia"/>
                <w:bCs/>
                <w:sz w:val="18"/>
                <w:szCs w:val="18"/>
              </w:rPr>
            </w:pPr>
            <w:r>
              <w:rPr>
                <w:rFonts w:eastAsiaTheme="minorEastAsia"/>
                <w:bCs/>
                <w:sz w:val="18"/>
                <w:szCs w:val="18"/>
              </w:rPr>
              <w:t>3,127,503,966.33</w:t>
            </w:r>
          </w:p>
        </w:tc>
      </w:tr>
      <w:tr w14:paraId="1DF02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7E01E55A">
            <w:pPr>
              <w:rPr>
                <w:rFonts w:eastAsiaTheme="minorEastAsia"/>
                <w:b/>
                <w:sz w:val="18"/>
                <w:szCs w:val="18"/>
              </w:rPr>
            </w:pPr>
            <w:r>
              <w:rPr>
                <w:rFonts w:eastAsiaTheme="minorEastAsia"/>
                <w:b/>
                <w:sz w:val="18"/>
                <w:szCs w:val="18"/>
              </w:rPr>
              <w:t>三、本期增减变动额（减少以</w:t>
            </w:r>
            <w:r>
              <w:rPr>
                <w:rFonts w:hint="eastAsia" w:eastAsiaTheme="minorEastAsia"/>
                <w:b/>
                <w:sz w:val="18"/>
                <w:szCs w:val="18"/>
              </w:rPr>
              <w:t>“-”</w:t>
            </w:r>
            <w:r>
              <w:rPr>
                <w:rFonts w:eastAsiaTheme="minorEastAsia"/>
                <w:b/>
                <w:sz w:val="18"/>
                <w:szCs w:val="18"/>
              </w:rPr>
              <w:t>号填列）</w:t>
            </w:r>
          </w:p>
        </w:tc>
        <w:tc>
          <w:tcPr>
            <w:tcW w:w="1952" w:type="dxa"/>
            <w:vAlign w:val="center"/>
          </w:tcPr>
          <w:p w14:paraId="29C89FBD">
            <w:pPr>
              <w:jc w:val="right"/>
              <w:rPr>
                <w:rFonts w:eastAsiaTheme="minorEastAsia"/>
                <w:bCs/>
                <w:sz w:val="18"/>
                <w:szCs w:val="18"/>
              </w:rPr>
            </w:pPr>
            <w:r>
              <w:rPr>
                <w:rFonts w:eastAsiaTheme="minorEastAsia"/>
                <w:bCs/>
                <w:sz w:val="18"/>
                <w:szCs w:val="18"/>
              </w:rPr>
              <w:t>-</w:t>
            </w:r>
          </w:p>
        </w:tc>
        <w:tc>
          <w:tcPr>
            <w:tcW w:w="1588" w:type="dxa"/>
            <w:vAlign w:val="center"/>
          </w:tcPr>
          <w:p w14:paraId="10A4DAD2">
            <w:pPr>
              <w:jc w:val="right"/>
              <w:rPr>
                <w:rFonts w:eastAsiaTheme="minorEastAsia"/>
                <w:bCs/>
                <w:sz w:val="18"/>
                <w:szCs w:val="18"/>
              </w:rPr>
            </w:pPr>
            <w:r>
              <w:rPr>
                <w:rFonts w:eastAsiaTheme="minorEastAsia"/>
                <w:bCs/>
                <w:sz w:val="18"/>
                <w:szCs w:val="18"/>
              </w:rPr>
              <w:t>-</w:t>
            </w:r>
          </w:p>
        </w:tc>
        <w:tc>
          <w:tcPr>
            <w:tcW w:w="1080" w:type="dxa"/>
            <w:vAlign w:val="center"/>
          </w:tcPr>
          <w:p w14:paraId="1F6B76DE">
            <w:pPr>
              <w:jc w:val="right"/>
              <w:rPr>
                <w:rFonts w:eastAsiaTheme="minorEastAsia"/>
                <w:bCs/>
                <w:sz w:val="18"/>
                <w:szCs w:val="18"/>
              </w:rPr>
            </w:pPr>
            <w:r>
              <w:rPr>
                <w:rFonts w:eastAsiaTheme="minorEastAsia"/>
                <w:bCs/>
                <w:sz w:val="18"/>
                <w:szCs w:val="18"/>
              </w:rPr>
              <w:t>-</w:t>
            </w:r>
          </w:p>
        </w:tc>
        <w:tc>
          <w:tcPr>
            <w:tcW w:w="1800" w:type="dxa"/>
            <w:vAlign w:val="center"/>
          </w:tcPr>
          <w:p w14:paraId="78BBEE8C">
            <w:pPr>
              <w:jc w:val="right"/>
              <w:rPr>
                <w:rFonts w:eastAsiaTheme="minorEastAsia"/>
                <w:bCs/>
                <w:sz w:val="18"/>
                <w:szCs w:val="18"/>
              </w:rPr>
            </w:pPr>
            <w:r>
              <w:rPr>
                <w:rFonts w:eastAsiaTheme="minorEastAsia"/>
                <w:bCs/>
                <w:sz w:val="18"/>
                <w:szCs w:val="18"/>
              </w:rPr>
              <w:t>5,537,533.83</w:t>
            </w:r>
          </w:p>
        </w:tc>
        <w:tc>
          <w:tcPr>
            <w:tcW w:w="1706" w:type="dxa"/>
            <w:vAlign w:val="center"/>
          </w:tcPr>
          <w:p w14:paraId="5CBB7123">
            <w:pPr>
              <w:jc w:val="right"/>
              <w:rPr>
                <w:rFonts w:eastAsiaTheme="minorEastAsia"/>
                <w:bCs/>
                <w:sz w:val="18"/>
                <w:szCs w:val="18"/>
              </w:rPr>
            </w:pPr>
            <w:r>
              <w:rPr>
                <w:rFonts w:eastAsiaTheme="minorEastAsia"/>
                <w:bCs/>
                <w:sz w:val="18"/>
                <w:szCs w:val="18"/>
              </w:rPr>
              <w:t>5,537,533.83</w:t>
            </w:r>
          </w:p>
        </w:tc>
      </w:tr>
      <w:tr w14:paraId="2C85A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20AF8C54">
            <w:pPr>
              <w:rPr>
                <w:rFonts w:eastAsiaTheme="minorEastAsia"/>
                <w:sz w:val="18"/>
                <w:szCs w:val="18"/>
              </w:rPr>
            </w:pPr>
            <w:r>
              <w:rPr>
                <w:rFonts w:eastAsiaTheme="minorEastAsia"/>
                <w:sz w:val="18"/>
                <w:szCs w:val="18"/>
              </w:rPr>
              <w:t>（一）综合收益总额</w:t>
            </w:r>
          </w:p>
        </w:tc>
        <w:tc>
          <w:tcPr>
            <w:tcW w:w="1952" w:type="dxa"/>
            <w:vAlign w:val="center"/>
          </w:tcPr>
          <w:p w14:paraId="09A7411E">
            <w:pPr>
              <w:jc w:val="right"/>
              <w:rPr>
                <w:rFonts w:eastAsiaTheme="minorEastAsia"/>
                <w:sz w:val="18"/>
                <w:szCs w:val="18"/>
              </w:rPr>
            </w:pPr>
            <w:r>
              <w:rPr>
                <w:rFonts w:eastAsiaTheme="minorEastAsia"/>
                <w:sz w:val="18"/>
                <w:szCs w:val="18"/>
              </w:rPr>
              <w:t>-</w:t>
            </w:r>
          </w:p>
        </w:tc>
        <w:tc>
          <w:tcPr>
            <w:tcW w:w="1588" w:type="dxa"/>
            <w:vAlign w:val="center"/>
          </w:tcPr>
          <w:p w14:paraId="7079E420">
            <w:pPr>
              <w:jc w:val="right"/>
              <w:rPr>
                <w:rFonts w:eastAsiaTheme="minorEastAsia"/>
                <w:sz w:val="18"/>
                <w:szCs w:val="18"/>
              </w:rPr>
            </w:pPr>
            <w:r>
              <w:rPr>
                <w:rFonts w:eastAsiaTheme="minorEastAsia"/>
                <w:sz w:val="18"/>
                <w:szCs w:val="18"/>
              </w:rPr>
              <w:t>-</w:t>
            </w:r>
          </w:p>
        </w:tc>
        <w:tc>
          <w:tcPr>
            <w:tcW w:w="1080" w:type="dxa"/>
            <w:vAlign w:val="center"/>
          </w:tcPr>
          <w:p w14:paraId="0F31A3BA">
            <w:pPr>
              <w:jc w:val="right"/>
              <w:rPr>
                <w:rFonts w:eastAsiaTheme="minorEastAsia"/>
                <w:sz w:val="18"/>
                <w:szCs w:val="18"/>
              </w:rPr>
            </w:pPr>
            <w:r>
              <w:rPr>
                <w:rFonts w:eastAsiaTheme="minorEastAsia"/>
                <w:sz w:val="18"/>
                <w:szCs w:val="18"/>
              </w:rPr>
              <w:t>-</w:t>
            </w:r>
          </w:p>
        </w:tc>
        <w:tc>
          <w:tcPr>
            <w:tcW w:w="1800" w:type="dxa"/>
            <w:vAlign w:val="center"/>
          </w:tcPr>
          <w:p w14:paraId="7E62D309">
            <w:pPr>
              <w:jc w:val="right"/>
              <w:rPr>
                <w:rFonts w:eastAsiaTheme="minorEastAsia"/>
                <w:sz w:val="18"/>
                <w:szCs w:val="18"/>
              </w:rPr>
            </w:pPr>
            <w:r>
              <w:rPr>
                <w:rFonts w:eastAsiaTheme="minorEastAsia"/>
                <w:sz w:val="18"/>
                <w:szCs w:val="18"/>
              </w:rPr>
              <w:t>38,365,463.34</w:t>
            </w:r>
          </w:p>
        </w:tc>
        <w:tc>
          <w:tcPr>
            <w:tcW w:w="1706" w:type="dxa"/>
            <w:vAlign w:val="center"/>
          </w:tcPr>
          <w:p w14:paraId="3046F083">
            <w:pPr>
              <w:jc w:val="right"/>
              <w:rPr>
                <w:rFonts w:eastAsiaTheme="minorEastAsia"/>
                <w:sz w:val="18"/>
                <w:szCs w:val="18"/>
              </w:rPr>
            </w:pPr>
            <w:r>
              <w:rPr>
                <w:rFonts w:eastAsiaTheme="minorEastAsia"/>
                <w:sz w:val="18"/>
                <w:szCs w:val="18"/>
              </w:rPr>
              <w:t>38,365,463.34</w:t>
            </w:r>
          </w:p>
        </w:tc>
      </w:tr>
      <w:tr w14:paraId="54FD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1FA3E5E9">
            <w:pPr>
              <w:rPr>
                <w:rFonts w:eastAsiaTheme="minorEastAsia"/>
                <w:sz w:val="18"/>
                <w:szCs w:val="18"/>
              </w:rPr>
            </w:pPr>
            <w:r>
              <w:rPr>
                <w:rFonts w:eastAsiaTheme="minorEastAsia"/>
                <w:sz w:val="18"/>
                <w:szCs w:val="18"/>
              </w:rPr>
              <w:t>（二）产品持有人申购和赎回</w:t>
            </w:r>
          </w:p>
        </w:tc>
        <w:tc>
          <w:tcPr>
            <w:tcW w:w="1952" w:type="dxa"/>
            <w:vAlign w:val="center"/>
          </w:tcPr>
          <w:p w14:paraId="6DB7DE8E">
            <w:pPr>
              <w:jc w:val="right"/>
              <w:rPr>
                <w:rFonts w:eastAsiaTheme="minorEastAsia"/>
                <w:sz w:val="18"/>
                <w:szCs w:val="18"/>
              </w:rPr>
            </w:pPr>
            <w:r>
              <w:rPr>
                <w:rFonts w:eastAsiaTheme="minorEastAsia"/>
                <w:sz w:val="18"/>
                <w:szCs w:val="18"/>
              </w:rPr>
              <w:t>-</w:t>
            </w:r>
          </w:p>
        </w:tc>
        <w:tc>
          <w:tcPr>
            <w:tcW w:w="1588" w:type="dxa"/>
            <w:vAlign w:val="center"/>
          </w:tcPr>
          <w:p w14:paraId="41E1CF4B">
            <w:pPr>
              <w:jc w:val="right"/>
              <w:rPr>
                <w:rFonts w:eastAsiaTheme="minorEastAsia"/>
                <w:sz w:val="18"/>
                <w:szCs w:val="18"/>
              </w:rPr>
            </w:pPr>
            <w:r>
              <w:rPr>
                <w:rFonts w:eastAsiaTheme="minorEastAsia"/>
                <w:sz w:val="18"/>
                <w:szCs w:val="18"/>
              </w:rPr>
              <w:t>-</w:t>
            </w:r>
          </w:p>
        </w:tc>
        <w:tc>
          <w:tcPr>
            <w:tcW w:w="1080" w:type="dxa"/>
            <w:vAlign w:val="center"/>
          </w:tcPr>
          <w:p w14:paraId="0EDA44B2">
            <w:pPr>
              <w:jc w:val="right"/>
              <w:rPr>
                <w:rFonts w:eastAsiaTheme="minorEastAsia"/>
                <w:sz w:val="18"/>
                <w:szCs w:val="18"/>
              </w:rPr>
            </w:pPr>
            <w:r>
              <w:rPr>
                <w:rFonts w:eastAsiaTheme="minorEastAsia"/>
                <w:sz w:val="18"/>
                <w:szCs w:val="18"/>
              </w:rPr>
              <w:t>-</w:t>
            </w:r>
          </w:p>
        </w:tc>
        <w:tc>
          <w:tcPr>
            <w:tcW w:w="1800" w:type="dxa"/>
            <w:vAlign w:val="center"/>
          </w:tcPr>
          <w:p w14:paraId="668A08F9">
            <w:pPr>
              <w:jc w:val="right"/>
              <w:rPr>
                <w:rFonts w:eastAsiaTheme="minorEastAsia"/>
                <w:sz w:val="18"/>
                <w:szCs w:val="18"/>
              </w:rPr>
            </w:pPr>
            <w:r>
              <w:rPr>
                <w:rFonts w:eastAsiaTheme="minorEastAsia"/>
                <w:sz w:val="18"/>
                <w:szCs w:val="18"/>
              </w:rPr>
              <w:t>-</w:t>
            </w:r>
          </w:p>
        </w:tc>
        <w:tc>
          <w:tcPr>
            <w:tcW w:w="1706" w:type="dxa"/>
            <w:vAlign w:val="center"/>
          </w:tcPr>
          <w:p w14:paraId="58872E05">
            <w:pPr>
              <w:jc w:val="right"/>
              <w:rPr>
                <w:rFonts w:eastAsiaTheme="minorEastAsia"/>
                <w:sz w:val="18"/>
                <w:szCs w:val="18"/>
              </w:rPr>
            </w:pPr>
            <w:r>
              <w:rPr>
                <w:rFonts w:eastAsiaTheme="minorEastAsia"/>
                <w:sz w:val="18"/>
                <w:szCs w:val="18"/>
              </w:rPr>
              <w:t>-</w:t>
            </w:r>
          </w:p>
        </w:tc>
      </w:tr>
      <w:tr w14:paraId="3F2C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14DD1218">
            <w:pPr>
              <w:rPr>
                <w:rFonts w:eastAsiaTheme="minorEastAsia"/>
                <w:sz w:val="18"/>
                <w:szCs w:val="18"/>
              </w:rPr>
            </w:pPr>
            <w:r>
              <w:rPr>
                <w:rFonts w:eastAsiaTheme="minorEastAsia"/>
                <w:sz w:val="18"/>
                <w:szCs w:val="18"/>
              </w:rPr>
              <w:t>其中：产品申购</w:t>
            </w:r>
          </w:p>
        </w:tc>
        <w:tc>
          <w:tcPr>
            <w:tcW w:w="1952" w:type="dxa"/>
            <w:vAlign w:val="center"/>
          </w:tcPr>
          <w:p w14:paraId="000BE21D">
            <w:pPr>
              <w:jc w:val="right"/>
              <w:rPr>
                <w:rFonts w:eastAsiaTheme="minorEastAsia"/>
                <w:sz w:val="18"/>
                <w:szCs w:val="18"/>
              </w:rPr>
            </w:pPr>
            <w:r>
              <w:rPr>
                <w:rFonts w:eastAsiaTheme="minorEastAsia"/>
                <w:sz w:val="18"/>
                <w:szCs w:val="18"/>
              </w:rPr>
              <w:t>-</w:t>
            </w:r>
          </w:p>
        </w:tc>
        <w:tc>
          <w:tcPr>
            <w:tcW w:w="1588" w:type="dxa"/>
            <w:vAlign w:val="center"/>
          </w:tcPr>
          <w:p w14:paraId="62EE1945">
            <w:pPr>
              <w:jc w:val="right"/>
              <w:rPr>
                <w:rFonts w:eastAsiaTheme="minorEastAsia"/>
                <w:sz w:val="18"/>
                <w:szCs w:val="18"/>
              </w:rPr>
            </w:pPr>
            <w:r>
              <w:rPr>
                <w:rFonts w:eastAsiaTheme="minorEastAsia"/>
                <w:sz w:val="18"/>
                <w:szCs w:val="18"/>
              </w:rPr>
              <w:t>-</w:t>
            </w:r>
          </w:p>
        </w:tc>
        <w:tc>
          <w:tcPr>
            <w:tcW w:w="1080" w:type="dxa"/>
            <w:vAlign w:val="center"/>
          </w:tcPr>
          <w:p w14:paraId="634C68BF">
            <w:pPr>
              <w:jc w:val="right"/>
              <w:rPr>
                <w:rFonts w:eastAsiaTheme="minorEastAsia"/>
                <w:sz w:val="18"/>
                <w:szCs w:val="18"/>
              </w:rPr>
            </w:pPr>
            <w:r>
              <w:rPr>
                <w:rFonts w:eastAsiaTheme="minorEastAsia"/>
                <w:sz w:val="18"/>
                <w:szCs w:val="18"/>
              </w:rPr>
              <w:t>-</w:t>
            </w:r>
          </w:p>
        </w:tc>
        <w:tc>
          <w:tcPr>
            <w:tcW w:w="1800" w:type="dxa"/>
            <w:vAlign w:val="center"/>
          </w:tcPr>
          <w:p w14:paraId="055B5875">
            <w:pPr>
              <w:jc w:val="right"/>
              <w:rPr>
                <w:rFonts w:eastAsiaTheme="minorEastAsia"/>
                <w:sz w:val="18"/>
                <w:szCs w:val="18"/>
              </w:rPr>
            </w:pPr>
            <w:r>
              <w:rPr>
                <w:rFonts w:eastAsiaTheme="minorEastAsia"/>
                <w:sz w:val="18"/>
                <w:szCs w:val="18"/>
              </w:rPr>
              <w:t>-</w:t>
            </w:r>
          </w:p>
        </w:tc>
        <w:tc>
          <w:tcPr>
            <w:tcW w:w="1706" w:type="dxa"/>
            <w:vAlign w:val="center"/>
          </w:tcPr>
          <w:p w14:paraId="1C5D37A7">
            <w:pPr>
              <w:jc w:val="right"/>
              <w:rPr>
                <w:rFonts w:eastAsiaTheme="minorEastAsia"/>
                <w:sz w:val="18"/>
                <w:szCs w:val="18"/>
              </w:rPr>
            </w:pPr>
            <w:r>
              <w:rPr>
                <w:rFonts w:eastAsiaTheme="minorEastAsia"/>
                <w:sz w:val="18"/>
                <w:szCs w:val="18"/>
              </w:rPr>
              <w:t>-</w:t>
            </w:r>
          </w:p>
        </w:tc>
      </w:tr>
      <w:tr w14:paraId="0994F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3521F097">
            <w:pPr>
              <w:rPr>
                <w:rFonts w:eastAsiaTheme="minorEastAsia"/>
                <w:sz w:val="18"/>
                <w:szCs w:val="18"/>
              </w:rPr>
            </w:pPr>
            <w:r>
              <w:rPr>
                <w:rFonts w:eastAsiaTheme="minorEastAsia"/>
                <w:sz w:val="18"/>
                <w:szCs w:val="18"/>
              </w:rPr>
              <w:t xml:space="preserve">      产品赎回</w:t>
            </w:r>
          </w:p>
        </w:tc>
        <w:tc>
          <w:tcPr>
            <w:tcW w:w="1952" w:type="dxa"/>
            <w:vAlign w:val="center"/>
          </w:tcPr>
          <w:p w14:paraId="7217B16F">
            <w:pPr>
              <w:jc w:val="right"/>
              <w:rPr>
                <w:rFonts w:eastAsiaTheme="minorEastAsia"/>
                <w:sz w:val="18"/>
                <w:szCs w:val="18"/>
              </w:rPr>
            </w:pPr>
            <w:r>
              <w:rPr>
                <w:rFonts w:eastAsiaTheme="minorEastAsia"/>
                <w:sz w:val="18"/>
                <w:szCs w:val="18"/>
              </w:rPr>
              <w:t>-</w:t>
            </w:r>
          </w:p>
        </w:tc>
        <w:tc>
          <w:tcPr>
            <w:tcW w:w="1588" w:type="dxa"/>
            <w:vAlign w:val="center"/>
          </w:tcPr>
          <w:p w14:paraId="11FEF4B3">
            <w:pPr>
              <w:jc w:val="right"/>
              <w:rPr>
                <w:rFonts w:eastAsiaTheme="minorEastAsia"/>
                <w:sz w:val="18"/>
                <w:szCs w:val="18"/>
              </w:rPr>
            </w:pPr>
            <w:r>
              <w:rPr>
                <w:rFonts w:eastAsiaTheme="minorEastAsia"/>
                <w:sz w:val="18"/>
                <w:szCs w:val="18"/>
              </w:rPr>
              <w:t>-</w:t>
            </w:r>
          </w:p>
        </w:tc>
        <w:tc>
          <w:tcPr>
            <w:tcW w:w="1080" w:type="dxa"/>
            <w:vAlign w:val="center"/>
          </w:tcPr>
          <w:p w14:paraId="7CFE36CA">
            <w:pPr>
              <w:jc w:val="right"/>
              <w:rPr>
                <w:rFonts w:eastAsiaTheme="minorEastAsia"/>
                <w:sz w:val="18"/>
                <w:szCs w:val="18"/>
              </w:rPr>
            </w:pPr>
            <w:r>
              <w:rPr>
                <w:rFonts w:eastAsiaTheme="minorEastAsia"/>
                <w:sz w:val="18"/>
                <w:szCs w:val="18"/>
              </w:rPr>
              <w:t>-</w:t>
            </w:r>
          </w:p>
        </w:tc>
        <w:tc>
          <w:tcPr>
            <w:tcW w:w="1800" w:type="dxa"/>
            <w:vAlign w:val="center"/>
          </w:tcPr>
          <w:p w14:paraId="3F88D353">
            <w:pPr>
              <w:jc w:val="right"/>
              <w:rPr>
                <w:rFonts w:eastAsiaTheme="minorEastAsia"/>
                <w:sz w:val="18"/>
                <w:szCs w:val="18"/>
              </w:rPr>
            </w:pPr>
            <w:r>
              <w:rPr>
                <w:rFonts w:eastAsiaTheme="minorEastAsia"/>
                <w:sz w:val="18"/>
                <w:szCs w:val="18"/>
              </w:rPr>
              <w:t>-</w:t>
            </w:r>
          </w:p>
        </w:tc>
        <w:tc>
          <w:tcPr>
            <w:tcW w:w="1706" w:type="dxa"/>
            <w:vAlign w:val="center"/>
          </w:tcPr>
          <w:p w14:paraId="7F1FFF60">
            <w:pPr>
              <w:jc w:val="right"/>
              <w:rPr>
                <w:rFonts w:eastAsiaTheme="minorEastAsia"/>
                <w:sz w:val="18"/>
                <w:szCs w:val="18"/>
              </w:rPr>
            </w:pPr>
            <w:r>
              <w:rPr>
                <w:rFonts w:eastAsiaTheme="minorEastAsia"/>
                <w:sz w:val="18"/>
                <w:szCs w:val="18"/>
              </w:rPr>
              <w:t>-</w:t>
            </w:r>
          </w:p>
        </w:tc>
      </w:tr>
      <w:tr w14:paraId="1A9B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3325B576">
            <w:pPr>
              <w:rPr>
                <w:rFonts w:eastAsiaTheme="minorEastAsia"/>
                <w:sz w:val="18"/>
                <w:szCs w:val="18"/>
              </w:rPr>
            </w:pPr>
            <w:r>
              <w:rPr>
                <w:rFonts w:eastAsiaTheme="minorEastAsia"/>
                <w:sz w:val="18"/>
                <w:szCs w:val="18"/>
              </w:rPr>
              <w:t>（三）利润分配</w:t>
            </w:r>
          </w:p>
        </w:tc>
        <w:tc>
          <w:tcPr>
            <w:tcW w:w="1952" w:type="dxa"/>
            <w:vAlign w:val="center"/>
          </w:tcPr>
          <w:p w14:paraId="48AF473C">
            <w:pPr>
              <w:jc w:val="right"/>
              <w:rPr>
                <w:rFonts w:eastAsiaTheme="minorEastAsia"/>
                <w:sz w:val="18"/>
                <w:szCs w:val="18"/>
              </w:rPr>
            </w:pPr>
            <w:r>
              <w:rPr>
                <w:rFonts w:eastAsiaTheme="minorEastAsia"/>
                <w:sz w:val="18"/>
                <w:szCs w:val="18"/>
              </w:rPr>
              <w:t>-</w:t>
            </w:r>
          </w:p>
        </w:tc>
        <w:tc>
          <w:tcPr>
            <w:tcW w:w="1588" w:type="dxa"/>
            <w:vAlign w:val="center"/>
          </w:tcPr>
          <w:p w14:paraId="074C9AB3">
            <w:pPr>
              <w:jc w:val="right"/>
              <w:rPr>
                <w:rFonts w:eastAsiaTheme="minorEastAsia"/>
                <w:sz w:val="18"/>
                <w:szCs w:val="18"/>
              </w:rPr>
            </w:pPr>
            <w:r>
              <w:rPr>
                <w:rFonts w:eastAsiaTheme="minorEastAsia"/>
                <w:sz w:val="18"/>
                <w:szCs w:val="18"/>
              </w:rPr>
              <w:t>-</w:t>
            </w:r>
          </w:p>
        </w:tc>
        <w:tc>
          <w:tcPr>
            <w:tcW w:w="1080" w:type="dxa"/>
            <w:vAlign w:val="center"/>
          </w:tcPr>
          <w:p w14:paraId="20D76699">
            <w:pPr>
              <w:jc w:val="right"/>
              <w:rPr>
                <w:rFonts w:eastAsiaTheme="minorEastAsia"/>
                <w:sz w:val="18"/>
                <w:szCs w:val="18"/>
              </w:rPr>
            </w:pPr>
            <w:r>
              <w:rPr>
                <w:rFonts w:eastAsiaTheme="minorEastAsia"/>
                <w:sz w:val="18"/>
                <w:szCs w:val="18"/>
              </w:rPr>
              <w:t>-</w:t>
            </w:r>
          </w:p>
        </w:tc>
        <w:tc>
          <w:tcPr>
            <w:tcW w:w="1800" w:type="dxa"/>
            <w:vAlign w:val="center"/>
          </w:tcPr>
          <w:p w14:paraId="0287BD73">
            <w:pPr>
              <w:jc w:val="right"/>
              <w:rPr>
                <w:rFonts w:eastAsiaTheme="minorEastAsia"/>
                <w:sz w:val="18"/>
                <w:szCs w:val="18"/>
              </w:rPr>
            </w:pPr>
            <w:r>
              <w:rPr>
                <w:rFonts w:eastAsiaTheme="minorEastAsia"/>
                <w:sz w:val="18"/>
                <w:szCs w:val="18"/>
              </w:rPr>
              <w:t>-32,827,929.51</w:t>
            </w:r>
          </w:p>
        </w:tc>
        <w:tc>
          <w:tcPr>
            <w:tcW w:w="1706" w:type="dxa"/>
            <w:vAlign w:val="center"/>
          </w:tcPr>
          <w:p w14:paraId="2C7B8B4B">
            <w:pPr>
              <w:jc w:val="right"/>
              <w:rPr>
                <w:rFonts w:eastAsiaTheme="minorEastAsia"/>
                <w:sz w:val="18"/>
                <w:szCs w:val="18"/>
              </w:rPr>
            </w:pPr>
            <w:r>
              <w:rPr>
                <w:rFonts w:eastAsiaTheme="minorEastAsia"/>
                <w:sz w:val="18"/>
                <w:szCs w:val="18"/>
              </w:rPr>
              <w:t>-32,827,929.51</w:t>
            </w:r>
          </w:p>
        </w:tc>
      </w:tr>
      <w:tr w14:paraId="20F0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5A309CD3">
            <w:pPr>
              <w:ind w:left="15" w:hanging="12" w:hangingChars="7"/>
              <w:rPr>
                <w:rFonts w:eastAsiaTheme="minorEastAsia"/>
                <w:sz w:val="18"/>
                <w:szCs w:val="18"/>
              </w:rPr>
            </w:pPr>
            <w:r>
              <w:rPr>
                <w:rFonts w:eastAsiaTheme="minorEastAsia"/>
                <w:sz w:val="18"/>
                <w:szCs w:val="18"/>
              </w:rPr>
              <w:t>（四）其他综合收益结转留存收益</w:t>
            </w:r>
          </w:p>
        </w:tc>
        <w:tc>
          <w:tcPr>
            <w:tcW w:w="1952" w:type="dxa"/>
            <w:vAlign w:val="center"/>
          </w:tcPr>
          <w:p w14:paraId="15FD4217">
            <w:pPr>
              <w:jc w:val="right"/>
              <w:rPr>
                <w:rFonts w:eastAsiaTheme="minorEastAsia"/>
                <w:sz w:val="18"/>
                <w:szCs w:val="18"/>
              </w:rPr>
            </w:pPr>
            <w:r>
              <w:rPr>
                <w:rFonts w:eastAsiaTheme="minorEastAsia"/>
                <w:sz w:val="18"/>
                <w:szCs w:val="18"/>
              </w:rPr>
              <w:t>-</w:t>
            </w:r>
          </w:p>
        </w:tc>
        <w:tc>
          <w:tcPr>
            <w:tcW w:w="1588" w:type="dxa"/>
            <w:vAlign w:val="center"/>
          </w:tcPr>
          <w:p w14:paraId="2FDD345D">
            <w:pPr>
              <w:jc w:val="right"/>
              <w:rPr>
                <w:rFonts w:eastAsiaTheme="minorEastAsia"/>
                <w:sz w:val="18"/>
                <w:szCs w:val="18"/>
              </w:rPr>
            </w:pPr>
            <w:r>
              <w:rPr>
                <w:rFonts w:eastAsiaTheme="minorEastAsia"/>
                <w:sz w:val="18"/>
                <w:szCs w:val="18"/>
              </w:rPr>
              <w:t>-</w:t>
            </w:r>
          </w:p>
        </w:tc>
        <w:tc>
          <w:tcPr>
            <w:tcW w:w="1080" w:type="dxa"/>
            <w:vAlign w:val="center"/>
          </w:tcPr>
          <w:p w14:paraId="542E9C9D">
            <w:pPr>
              <w:jc w:val="right"/>
              <w:rPr>
                <w:rFonts w:eastAsiaTheme="minorEastAsia"/>
                <w:sz w:val="18"/>
                <w:szCs w:val="18"/>
              </w:rPr>
            </w:pPr>
            <w:r>
              <w:rPr>
                <w:rFonts w:eastAsiaTheme="minorEastAsia"/>
                <w:sz w:val="18"/>
                <w:szCs w:val="18"/>
              </w:rPr>
              <w:t>-</w:t>
            </w:r>
          </w:p>
        </w:tc>
        <w:tc>
          <w:tcPr>
            <w:tcW w:w="1800" w:type="dxa"/>
            <w:vAlign w:val="center"/>
          </w:tcPr>
          <w:p w14:paraId="1B3B2228">
            <w:pPr>
              <w:jc w:val="right"/>
              <w:rPr>
                <w:rFonts w:eastAsiaTheme="minorEastAsia"/>
                <w:sz w:val="18"/>
                <w:szCs w:val="18"/>
              </w:rPr>
            </w:pPr>
            <w:r>
              <w:rPr>
                <w:rFonts w:eastAsiaTheme="minorEastAsia"/>
                <w:sz w:val="18"/>
                <w:szCs w:val="18"/>
              </w:rPr>
              <w:t>-</w:t>
            </w:r>
          </w:p>
        </w:tc>
        <w:tc>
          <w:tcPr>
            <w:tcW w:w="1706" w:type="dxa"/>
            <w:vAlign w:val="center"/>
          </w:tcPr>
          <w:p w14:paraId="469A1A51">
            <w:pPr>
              <w:jc w:val="right"/>
              <w:rPr>
                <w:rFonts w:eastAsiaTheme="minorEastAsia"/>
                <w:sz w:val="18"/>
                <w:szCs w:val="18"/>
              </w:rPr>
            </w:pPr>
            <w:r>
              <w:rPr>
                <w:rFonts w:eastAsiaTheme="minorEastAsia"/>
                <w:sz w:val="18"/>
                <w:szCs w:val="18"/>
              </w:rPr>
              <w:t>-</w:t>
            </w:r>
          </w:p>
        </w:tc>
      </w:tr>
      <w:tr w14:paraId="670F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45AC7590">
            <w:pPr>
              <w:rPr>
                <w:rFonts w:eastAsiaTheme="minorEastAsia"/>
                <w:sz w:val="18"/>
                <w:szCs w:val="18"/>
              </w:rPr>
            </w:pPr>
            <w:r>
              <w:rPr>
                <w:rFonts w:eastAsiaTheme="minorEastAsia"/>
                <w:sz w:val="18"/>
                <w:szCs w:val="18"/>
              </w:rPr>
              <w:t>（五）其他</w:t>
            </w:r>
          </w:p>
        </w:tc>
        <w:tc>
          <w:tcPr>
            <w:tcW w:w="1952" w:type="dxa"/>
            <w:vAlign w:val="center"/>
          </w:tcPr>
          <w:p w14:paraId="0426DE5F">
            <w:pPr>
              <w:jc w:val="right"/>
              <w:rPr>
                <w:rFonts w:eastAsiaTheme="minorEastAsia"/>
                <w:sz w:val="18"/>
                <w:szCs w:val="18"/>
              </w:rPr>
            </w:pPr>
            <w:r>
              <w:rPr>
                <w:rFonts w:eastAsiaTheme="minorEastAsia"/>
                <w:sz w:val="18"/>
                <w:szCs w:val="18"/>
              </w:rPr>
              <w:t>-</w:t>
            </w:r>
          </w:p>
        </w:tc>
        <w:tc>
          <w:tcPr>
            <w:tcW w:w="1588" w:type="dxa"/>
            <w:vAlign w:val="center"/>
          </w:tcPr>
          <w:p w14:paraId="622D99CF">
            <w:pPr>
              <w:jc w:val="right"/>
              <w:rPr>
                <w:rFonts w:eastAsiaTheme="minorEastAsia"/>
                <w:sz w:val="18"/>
                <w:szCs w:val="18"/>
              </w:rPr>
            </w:pPr>
            <w:r>
              <w:rPr>
                <w:rFonts w:eastAsiaTheme="minorEastAsia"/>
                <w:sz w:val="18"/>
                <w:szCs w:val="18"/>
              </w:rPr>
              <w:t>-</w:t>
            </w:r>
          </w:p>
        </w:tc>
        <w:tc>
          <w:tcPr>
            <w:tcW w:w="1080" w:type="dxa"/>
            <w:vAlign w:val="center"/>
          </w:tcPr>
          <w:p w14:paraId="0A7275FD">
            <w:pPr>
              <w:jc w:val="right"/>
              <w:rPr>
                <w:rFonts w:eastAsiaTheme="minorEastAsia"/>
                <w:sz w:val="18"/>
                <w:szCs w:val="18"/>
              </w:rPr>
            </w:pPr>
            <w:r>
              <w:rPr>
                <w:rFonts w:eastAsiaTheme="minorEastAsia"/>
                <w:sz w:val="18"/>
                <w:szCs w:val="18"/>
              </w:rPr>
              <w:t>-</w:t>
            </w:r>
          </w:p>
        </w:tc>
        <w:tc>
          <w:tcPr>
            <w:tcW w:w="1800" w:type="dxa"/>
            <w:vAlign w:val="center"/>
          </w:tcPr>
          <w:p w14:paraId="642531F1">
            <w:pPr>
              <w:jc w:val="right"/>
              <w:rPr>
                <w:rFonts w:eastAsiaTheme="minorEastAsia"/>
                <w:sz w:val="18"/>
                <w:szCs w:val="18"/>
              </w:rPr>
            </w:pPr>
            <w:r>
              <w:rPr>
                <w:rFonts w:eastAsiaTheme="minorEastAsia"/>
                <w:sz w:val="18"/>
                <w:szCs w:val="18"/>
              </w:rPr>
              <w:t>-</w:t>
            </w:r>
          </w:p>
        </w:tc>
        <w:tc>
          <w:tcPr>
            <w:tcW w:w="1706" w:type="dxa"/>
            <w:vAlign w:val="center"/>
          </w:tcPr>
          <w:p w14:paraId="01F9CBE3">
            <w:pPr>
              <w:jc w:val="right"/>
              <w:rPr>
                <w:rFonts w:eastAsiaTheme="minorEastAsia"/>
                <w:sz w:val="18"/>
                <w:szCs w:val="18"/>
              </w:rPr>
            </w:pPr>
            <w:r>
              <w:rPr>
                <w:rFonts w:eastAsiaTheme="minorEastAsia"/>
                <w:sz w:val="18"/>
                <w:szCs w:val="18"/>
              </w:rPr>
              <w:t>-</w:t>
            </w:r>
          </w:p>
        </w:tc>
      </w:tr>
      <w:tr w14:paraId="36B5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0D5BB3C9">
            <w:pPr>
              <w:rPr>
                <w:rFonts w:eastAsiaTheme="minorEastAsia"/>
                <w:b/>
                <w:sz w:val="18"/>
                <w:szCs w:val="18"/>
              </w:rPr>
            </w:pPr>
            <w:r>
              <w:rPr>
                <w:rFonts w:eastAsiaTheme="minorEastAsia"/>
                <w:b/>
                <w:sz w:val="18"/>
                <w:szCs w:val="18"/>
              </w:rPr>
              <w:t>四、本期期末余额</w:t>
            </w:r>
          </w:p>
        </w:tc>
        <w:tc>
          <w:tcPr>
            <w:tcW w:w="1952" w:type="dxa"/>
            <w:vAlign w:val="center"/>
          </w:tcPr>
          <w:p w14:paraId="120CD813">
            <w:pPr>
              <w:jc w:val="right"/>
              <w:rPr>
                <w:rFonts w:eastAsiaTheme="minorEastAsia"/>
                <w:bCs/>
                <w:sz w:val="18"/>
                <w:szCs w:val="18"/>
              </w:rPr>
            </w:pPr>
            <w:r>
              <w:rPr>
                <w:rFonts w:eastAsiaTheme="minorEastAsia"/>
                <w:bCs/>
                <w:sz w:val="18"/>
                <w:szCs w:val="18"/>
              </w:rPr>
              <w:t>1,421,130,866.00</w:t>
            </w:r>
          </w:p>
        </w:tc>
        <w:tc>
          <w:tcPr>
            <w:tcW w:w="1588" w:type="dxa"/>
            <w:vAlign w:val="center"/>
          </w:tcPr>
          <w:p w14:paraId="11CA1145">
            <w:pPr>
              <w:jc w:val="right"/>
              <w:rPr>
                <w:rFonts w:eastAsiaTheme="minorEastAsia"/>
                <w:bCs/>
                <w:sz w:val="18"/>
                <w:szCs w:val="18"/>
              </w:rPr>
            </w:pPr>
            <w:r>
              <w:rPr>
                <w:rFonts w:eastAsiaTheme="minorEastAsia"/>
                <w:bCs/>
                <w:sz w:val="18"/>
                <w:szCs w:val="18"/>
              </w:rPr>
              <w:t>1,901,808,511.21</w:t>
            </w:r>
          </w:p>
        </w:tc>
        <w:tc>
          <w:tcPr>
            <w:tcW w:w="1080" w:type="dxa"/>
            <w:vAlign w:val="center"/>
          </w:tcPr>
          <w:p w14:paraId="100538AB">
            <w:pPr>
              <w:jc w:val="right"/>
              <w:rPr>
                <w:rFonts w:eastAsiaTheme="minorEastAsia"/>
                <w:bCs/>
                <w:sz w:val="18"/>
                <w:szCs w:val="18"/>
              </w:rPr>
            </w:pPr>
            <w:r>
              <w:rPr>
                <w:rFonts w:eastAsiaTheme="minorEastAsia"/>
                <w:bCs/>
                <w:sz w:val="18"/>
                <w:szCs w:val="18"/>
              </w:rPr>
              <w:t>-</w:t>
            </w:r>
          </w:p>
        </w:tc>
        <w:tc>
          <w:tcPr>
            <w:tcW w:w="1800" w:type="dxa"/>
            <w:vAlign w:val="center"/>
          </w:tcPr>
          <w:p w14:paraId="335BBF3B">
            <w:pPr>
              <w:jc w:val="right"/>
              <w:rPr>
                <w:rFonts w:eastAsiaTheme="minorEastAsia"/>
                <w:bCs/>
                <w:sz w:val="18"/>
                <w:szCs w:val="18"/>
              </w:rPr>
            </w:pPr>
            <w:r>
              <w:rPr>
                <w:rFonts w:eastAsiaTheme="minorEastAsia"/>
                <w:bCs/>
                <w:sz w:val="18"/>
                <w:szCs w:val="18"/>
              </w:rPr>
              <w:t>-189,897,877.05</w:t>
            </w:r>
          </w:p>
        </w:tc>
        <w:tc>
          <w:tcPr>
            <w:tcW w:w="1706" w:type="dxa"/>
            <w:vAlign w:val="center"/>
          </w:tcPr>
          <w:p w14:paraId="61C3FC5E">
            <w:pPr>
              <w:jc w:val="right"/>
              <w:rPr>
                <w:rFonts w:eastAsiaTheme="minorEastAsia"/>
                <w:bCs/>
                <w:sz w:val="18"/>
                <w:szCs w:val="18"/>
              </w:rPr>
            </w:pPr>
            <w:r>
              <w:rPr>
                <w:rFonts w:eastAsiaTheme="minorEastAsia"/>
                <w:bCs/>
                <w:sz w:val="18"/>
                <w:szCs w:val="18"/>
              </w:rPr>
              <w:t>3,133,041,500.16</w:t>
            </w:r>
          </w:p>
        </w:tc>
      </w:tr>
      <w:tr w14:paraId="683A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Merge w:val="restart"/>
            <w:vAlign w:val="center"/>
          </w:tcPr>
          <w:p w14:paraId="50726049">
            <w:pPr>
              <w:jc w:val="center"/>
              <w:rPr>
                <w:rFonts w:eastAsiaTheme="minorEastAsia"/>
                <w:b/>
                <w:sz w:val="18"/>
                <w:szCs w:val="18"/>
              </w:rPr>
            </w:pPr>
            <w:r>
              <w:rPr>
                <w:rFonts w:eastAsiaTheme="minorEastAsia"/>
                <w:b/>
                <w:sz w:val="18"/>
                <w:szCs w:val="18"/>
              </w:rPr>
              <w:t>项目</w:t>
            </w:r>
          </w:p>
        </w:tc>
        <w:tc>
          <w:tcPr>
            <w:tcW w:w="8126" w:type="dxa"/>
            <w:gridSpan w:val="5"/>
            <w:vAlign w:val="center"/>
          </w:tcPr>
          <w:p w14:paraId="4EE4A736">
            <w:pPr>
              <w:jc w:val="center"/>
              <w:rPr>
                <w:rFonts w:eastAsiaTheme="minorEastAsia"/>
                <w:b/>
                <w:sz w:val="18"/>
                <w:szCs w:val="18"/>
              </w:rPr>
            </w:pPr>
            <w:r>
              <w:rPr>
                <w:rFonts w:eastAsiaTheme="minorEastAsia"/>
                <w:b/>
                <w:sz w:val="18"/>
                <w:szCs w:val="18"/>
              </w:rPr>
              <w:t>上年度可比期间</w:t>
            </w:r>
          </w:p>
          <w:p w14:paraId="34EFA287">
            <w:pPr>
              <w:jc w:val="center"/>
              <w:rPr>
                <w:rFonts w:eastAsiaTheme="minorEastAsia"/>
                <w:b/>
                <w:sz w:val="18"/>
                <w:szCs w:val="18"/>
              </w:rPr>
            </w:pPr>
            <w:r>
              <w:rPr>
                <w:rFonts w:eastAsiaTheme="minorEastAsia"/>
                <w:b/>
                <w:sz w:val="18"/>
                <w:szCs w:val="18"/>
              </w:rPr>
              <w:t>2025年1月1日至2025年6月30日</w:t>
            </w:r>
          </w:p>
        </w:tc>
      </w:tr>
      <w:tr w14:paraId="7BCA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Merge w:val="continue"/>
            <w:vAlign w:val="center"/>
          </w:tcPr>
          <w:p w14:paraId="350B46E2">
            <w:pPr>
              <w:jc w:val="center"/>
              <w:rPr>
                <w:rFonts w:eastAsiaTheme="minorEastAsia"/>
                <w:b/>
                <w:sz w:val="18"/>
                <w:szCs w:val="18"/>
              </w:rPr>
            </w:pPr>
          </w:p>
        </w:tc>
        <w:tc>
          <w:tcPr>
            <w:tcW w:w="1952" w:type="dxa"/>
            <w:vAlign w:val="center"/>
          </w:tcPr>
          <w:p w14:paraId="0CAB1250">
            <w:pPr>
              <w:jc w:val="center"/>
              <w:rPr>
                <w:rFonts w:eastAsiaTheme="minorEastAsia"/>
                <w:b/>
                <w:sz w:val="18"/>
                <w:szCs w:val="18"/>
              </w:rPr>
            </w:pPr>
            <w:r>
              <w:rPr>
                <w:rFonts w:eastAsiaTheme="minorEastAsia"/>
                <w:b/>
                <w:sz w:val="18"/>
                <w:szCs w:val="18"/>
              </w:rPr>
              <w:t>实收</w:t>
            </w:r>
          </w:p>
          <w:p w14:paraId="19EA421C">
            <w:pPr>
              <w:jc w:val="center"/>
              <w:rPr>
                <w:rFonts w:eastAsiaTheme="minorEastAsia"/>
                <w:b/>
                <w:sz w:val="18"/>
                <w:szCs w:val="18"/>
              </w:rPr>
            </w:pPr>
            <w:r>
              <w:rPr>
                <w:rFonts w:eastAsiaTheme="minorEastAsia"/>
                <w:b/>
                <w:sz w:val="18"/>
                <w:szCs w:val="18"/>
              </w:rPr>
              <w:t>基金</w:t>
            </w:r>
          </w:p>
        </w:tc>
        <w:tc>
          <w:tcPr>
            <w:tcW w:w="1588" w:type="dxa"/>
            <w:vAlign w:val="center"/>
          </w:tcPr>
          <w:p w14:paraId="4AF6E4BE">
            <w:pPr>
              <w:jc w:val="center"/>
              <w:rPr>
                <w:rFonts w:eastAsiaTheme="minorEastAsia"/>
                <w:b/>
                <w:sz w:val="18"/>
                <w:szCs w:val="18"/>
              </w:rPr>
            </w:pPr>
            <w:r>
              <w:rPr>
                <w:rFonts w:eastAsiaTheme="minorEastAsia"/>
                <w:b/>
                <w:sz w:val="18"/>
                <w:szCs w:val="18"/>
              </w:rPr>
              <w:t>资本</w:t>
            </w:r>
          </w:p>
          <w:p w14:paraId="7CB22C2E">
            <w:pPr>
              <w:jc w:val="center"/>
              <w:rPr>
                <w:rFonts w:eastAsiaTheme="minorEastAsia"/>
                <w:b/>
                <w:sz w:val="18"/>
                <w:szCs w:val="18"/>
              </w:rPr>
            </w:pPr>
            <w:r>
              <w:rPr>
                <w:rFonts w:eastAsiaTheme="minorEastAsia"/>
                <w:b/>
                <w:sz w:val="18"/>
                <w:szCs w:val="18"/>
              </w:rPr>
              <w:t>公积</w:t>
            </w:r>
          </w:p>
        </w:tc>
        <w:tc>
          <w:tcPr>
            <w:tcW w:w="1080" w:type="dxa"/>
            <w:vAlign w:val="center"/>
          </w:tcPr>
          <w:p w14:paraId="5A55D4C6">
            <w:pPr>
              <w:jc w:val="center"/>
              <w:rPr>
                <w:rFonts w:eastAsiaTheme="minorEastAsia"/>
                <w:b/>
                <w:sz w:val="18"/>
                <w:szCs w:val="18"/>
              </w:rPr>
            </w:pPr>
            <w:r>
              <w:rPr>
                <w:rFonts w:eastAsiaTheme="minorEastAsia"/>
                <w:b/>
                <w:sz w:val="18"/>
                <w:szCs w:val="18"/>
              </w:rPr>
              <w:t>其他</w:t>
            </w:r>
          </w:p>
          <w:p w14:paraId="29D097B5">
            <w:pPr>
              <w:jc w:val="center"/>
              <w:rPr>
                <w:rFonts w:eastAsiaTheme="minorEastAsia"/>
                <w:b/>
                <w:sz w:val="18"/>
                <w:szCs w:val="18"/>
              </w:rPr>
            </w:pPr>
            <w:r>
              <w:rPr>
                <w:rFonts w:eastAsiaTheme="minorEastAsia"/>
                <w:b/>
                <w:sz w:val="18"/>
                <w:szCs w:val="18"/>
              </w:rPr>
              <w:t>综合收益</w:t>
            </w:r>
          </w:p>
        </w:tc>
        <w:tc>
          <w:tcPr>
            <w:tcW w:w="1800" w:type="dxa"/>
            <w:vAlign w:val="center"/>
          </w:tcPr>
          <w:p w14:paraId="4258C42F">
            <w:pPr>
              <w:jc w:val="center"/>
              <w:rPr>
                <w:rFonts w:eastAsiaTheme="minorEastAsia"/>
                <w:b/>
                <w:sz w:val="18"/>
                <w:szCs w:val="18"/>
              </w:rPr>
            </w:pPr>
            <w:r>
              <w:rPr>
                <w:rFonts w:eastAsiaTheme="minorEastAsia"/>
                <w:b/>
                <w:sz w:val="18"/>
                <w:szCs w:val="18"/>
              </w:rPr>
              <w:t>未分配</w:t>
            </w:r>
          </w:p>
          <w:p w14:paraId="626B1936">
            <w:pPr>
              <w:jc w:val="center"/>
              <w:rPr>
                <w:rFonts w:eastAsiaTheme="minorEastAsia"/>
                <w:b/>
                <w:sz w:val="18"/>
                <w:szCs w:val="18"/>
              </w:rPr>
            </w:pPr>
            <w:r>
              <w:rPr>
                <w:rFonts w:eastAsiaTheme="minorEastAsia"/>
                <w:b/>
                <w:sz w:val="18"/>
                <w:szCs w:val="18"/>
              </w:rPr>
              <w:t>利润</w:t>
            </w:r>
          </w:p>
        </w:tc>
        <w:tc>
          <w:tcPr>
            <w:tcW w:w="1706" w:type="dxa"/>
            <w:vAlign w:val="center"/>
          </w:tcPr>
          <w:p w14:paraId="41B31A2A">
            <w:pPr>
              <w:jc w:val="center"/>
              <w:rPr>
                <w:rFonts w:eastAsiaTheme="minorEastAsia"/>
                <w:b/>
                <w:sz w:val="18"/>
                <w:szCs w:val="18"/>
              </w:rPr>
            </w:pPr>
            <w:r>
              <w:rPr>
                <w:rFonts w:eastAsiaTheme="minorEastAsia"/>
                <w:b/>
                <w:sz w:val="18"/>
                <w:szCs w:val="18"/>
              </w:rPr>
              <w:t>所有者权益</w:t>
            </w:r>
          </w:p>
          <w:p w14:paraId="0EFF862B">
            <w:pPr>
              <w:jc w:val="center"/>
              <w:rPr>
                <w:rFonts w:eastAsiaTheme="minorEastAsia"/>
                <w:b/>
                <w:sz w:val="18"/>
                <w:szCs w:val="18"/>
              </w:rPr>
            </w:pPr>
            <w:r>
              <w:rPr>
                <w:rFonts w:eastAsiaTheme="minorEastAsia"/>
                <w:b/>
                <w:sz w:val="18"/>
                <w:szCs w:val="18"/>
              </w:rPr>
              <w:t>合计</w:t>
            </w:r>
          </w:p>
        </w:tc>
      </w:tr>
      <w:tr w14:paraId="595A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2D8D2937">
            <w:pPr>
              <w:rPr>
                <w:rFonts w:eastAsiaTheme="minorEastAsia"/>
                <w:b/>
                <w:sz w:val="18"/>
                <w:szCs w:val="18"/>
              </w:rPr>
            </w:pPr>
            <w:r>
              <w:rPr>
                <w:rFonts w:eastAsiaTheme="minorEastAsia"/>
                <w:b/>
                <w:sz w:val="18"/>
                <w:szCs w:val="18"/>
              </w:rPr>
              <w:t>一、上期期末余额</w:t>
            </w:r>
          </w:p>
        </w:tc>
        <w:tc>
          <w:tcPr>
            <w:tcW w:w="1952" w:type="dxa"/>
            <w:vAlign w:val="center"/>
          </w:tcPr>
          <w:p w14:paraId="1B72E957">
            <w:pPr>
              <w:jc w:val="right"/>
              <w:rPr>
                <w:rFonts w:eastAsiaTheme="minorEastAsia"/>
                <w:bCs/>
                <w:sz w:val="18"/>
                <w:szCs w:val="18"/>
              </w:rPr>
            </w:pPr>
            <w:r>
              <w:rPr>
                <w:rFonts w:eastAsiaTheme="minorEastAsia"/>
                <w:bCs/>
                <w:sz w:val="18"/>
                <w:szCs w:val="18"/>
              </w:rPr>
              <w:t>1,421,130,866.00</w:t>
            </w:r>
          </w:p>
        </w:tc>
        <w:tc>
          <w:tcPr>
            <w:tcW w:w="1588" w:type="dxa"/>
            <w:vAlign w:val="center"/>
          </w:tcPr>
          <w:p w14:paraId="226E7796">
            <w:pPr>
              <w:jc w:val="right"/>
              <w:rPr>
                <w:rFonts w:eastAsiaTheme="minorEastAsia"/>
                <w:bCs/>
                <w:sz w:val="18"/>
                <w:szCs w:val="18"/>
              </w:rPr>
            </w:pPr>
            <w:r>
              <w:rPr>
                <w:rFonts w:eastAsiaTheme="minorEastAsia"/>
                <w:bCs/>
                <w:sz w:val="18"/>
                <w:szCs w:val="18"/>
              </w:rPr>
              <w:t>1,901,808,511.21</w:t>
            </w:r>
          </w:p>
        </w:tc>
        <w:tc>
          <w:tcPr>
            <w:tcW w:w="1080" w:type="dxa"/>
            <w:vAlign w:val="center"/>
          </w:tcPr>
          <w:p w14:paraId="02EE8C30">
            <w:pPr>
              <w:jc w:val="right"/>
              <w:rPr>
                <w:rFonts w:eastAsiaTheme="minorEastAsia"/>
                <w:bCs/>
                <w:sz w:val="18"/>
                <w:szCs w:val="18"/>
              </w:rPr>
            </w:pPr>
            <w:r>
              <w:rPr>
                <w:rFonts w:eastAsiaTheme="minorEastAsia"/>
                <w:bCs/>
                <w:sz w:val="18"/>
                <w:szCs w:val="18"/>
              </w:rPr>
              <w:t>-</w:t>
            </w:r>
          </w:p>
        </w:tc>
        <w:tc>
          <w:tcPr>
            <w:tcW w:w="1800" w:type="dxa"/>
            <w:vAlign w:val="center"/>
          </w:tcPr>
          <w:p w14:paraId="1484C6FC">
            <w:pPr>
              <w:jc w:val="right"/>
              <w:rPr>
                <w:rFonts w:eastAsiaTheme="minorEastAsia"/>
                <w:bCs/>
                <w:sz w:val="18"/>
                <w:szCs w:val="18"/>
              </w:rPr>
            </w:pPr>
            <w:r>
              <w:rPr>
                <w:rFonts w:eastAsiaTheme="minorEastAsia"/>
                <w:bCs/>
                <w:sz w:val="18"/>
                <w:szCs w:val="18"/>
              </w:rPr>
              <w:t>-32,021,180.89</w:t>
            </w:r>
          </w:p>
        </w:tc>
        <w:tc>
          <w:tcPr>
            <w:tcW w:w="1706" w:type="dxa"/>
            <w:vAlign w:val="center"/>
          </w:tcPr>
          <w:p w14:paraId="44D27835">
            <w:pPr>
              <w:jc w:val="right"/>
              <w:rPr>
                <w:rFonts w:eastAsiaTheme="minorEastAsia"/>
                <w:bCs/>
                <w:sz w:val="18"/>
                <w:szCs w:val="18"/>
              </w:rPr>
            </w:pPr>
            <w:r>
              <w:rPr>
                <w:rFonts w:eastAsiaTheme="minorEastAsia"/>
                <w:bCs/>
                <w:sz w:val="18"/>
                <w:szCs w:val="18"/>
              </w:rPr>
              <w:t>3,290,918,196.32</w:t>
            </w:r>
          </w:p>
        </w:tc>
      </w:tr>
      <w:tr w14:paraId="7C026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7AF1A8E3">
            <w:pPr>
              <w:rPr>
                <w:rFonts w:eastAsiaTheme="minorEastAsia"/>
                <w:sz w:val="18"/>
                <w:szCs w:val="18"/>
              </w:rPr>
            </w:pPr>
            <w:r>
              <w:rPr>
                <w:rFonts w:eastAsiaTheme="minorEastAsia"/>
                <w:sz w:val="18"/>
                <w:szCs w:val="18"/>
              </w:rPr>
              <w:t>加：会计政策变更</w:t>
            </w:r>
          </w:p>
        </w:tc>
        <w:tc>
          <w:tcPr>
            <w:tcW w:w="1952" w:type="dxa"/>
            <w:vAlign w:val="center"/>
          </w:tcPr>
          <w:p w14:paraId="23E91510">
            <w:pPr>
              <w:jc w:val="right"/>
              <w:rPr>
                <w:rFonts w:eastAsiaTheme="minorEastAsia"/>
                <w:sz w:val="18"/>
                <w:szCs w:val="18"/>
              </w:rPr>
            </w:pPr>
            <w:r>
              <w:rPr>
                <w:rFonts w:eastAsiaTheme="minorEastAsia"/>
                <w:sz w:val="18"/>
                <w:szCs w:val="18"/>
              </w:rPr>
              <w:t>-</w:t>
            </w:r>
          </w:p>
        </w:tc>
        <w:tc>
          <w:tcPr>
            <w:tcW w:w="1588" w:type="dxa"/>
            <w:vAlign w:val="center"/>
          </w:tcPr>
          <w:p w14:paraId="3FD9BF62">
            <w:pPr>
              <w:jc w:val="right"/>
              <w:rPr>
                <w:rFonts w:eastAsiaTheme="minorEastAsia"/>
                <w:sz w:val="18"/>
                <w:szCs w:val="18"/>
              </w:rPr>
            </w:pPr>
            <w:r>
              <w:rPr>
                <w:rFonts w:eastAsiaTheme="minorEastAsia"/>
                <w:sz w:val="18"/>
                <w:szCs w:val="18"/>
              </w:rPr>
              <w:t>-</w:t>
            </w:r>
          </w:p>
        </w:tc>
        <w:tc>
          <w:tcPr>
            <w:tcW w:w="1080" w:type="dxa"/>
            <w:vAlign w:val="center"/>
          </w:tcPr>
          <w:p w14:paraId="1F8FF1C3">
            <w:pPr>
              <w:jc w:val="right"/>
              <w:rPr>
                <w:rFonts w:eastAsiaTheme="minorEastAsia"/>
                <w:sz w:val="18"/>
                <w:szCs w:val="18"/>
              </w:rPr>
            </w:pPr>
            <w:r>
              <w:rPr>
                <w:rFonts w:eastAsiaTheme="minorEastAsia"/>
                <w:sz w:val="18"/>
                <w:szCs w:val="18"/>
              </w:rPr>
              <w:t>-</w:t>
            </w:r>
          </w:p>
        </w:tc>
        <w:tc>
          <w:tcPr>
            <w:tcW w:w="1800" w:type="dxa"/>
            <w:vAlign w:val="center"/>
          </w:tcPr>
          <w:p w14:paraId="703A938A">
            <w:pPr>
              <w:jc w:val="right"/>
              <w:rPr>
                <w:rFonts w:eastAsiaTheme="minorEastAsia"/>
                <w:sz w:val="18"/>
                <w:szCs w:val="18"/>
              </w:rPr>
            </w:pPr>
            <w:bookmarkStart w:id="348" w:name="OLE_LINK11"/>
            <w:r>
              <w:rPr>
                <w:rFonts w:eastAsiaTheme="minorEastAsia"/>
                <w:sz w:val="18"/>
                <w:szCs w:val="18"/>
              </w:rPr>
              <w:t>-</w:t>
            </w:r>
            <w:bookmarkEnd w:id="348"/>
          </w:p>
        </w:tc>
        <w:tc>
          <w:tcPr>
            <w:tcW w:w="1706" w:type="dxa"/>
            <w:vAlign w:val="center"/>
          </w:tcPr>
          <w:p w14:paraId="123AFCD6">
            <w:pPr>
              <w:jc w:val="right"/>
              <w:rPr>
                <w:rFonts w:eastAsiaTheme="minorEastAsia"/>
                <w:sz w:val="18"/>
                <w:szCs w:val="18"/>
              </w:rPr>
            </w:pPr>
            <w:r>
              <w:rPr>
                <w:rFonts w:eastAsiaTheme="minorEastAsia"/>
                <w:sz w:val="18"/>
                <w:szCs w:val="18"/>
              </w:rPr>
              <w:t>-</w:t>
            </w:r>
          </w:p>
        </w:tc>
      </w:tr>
      <w:tr w14:paraId="7AC0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02318928">
            <w:pPr>
              <w:rPr>
                <w:rFonts w:eastAsiaTheme="minorEastAsia"/>
                <w:sz w:val="18"/>
                <w:szCs w:val="18"/>
              </w:rPr>
            </w:pPr>
            <w:r>
              <w:rPr>
                <w:rFonts w:hint="eastAsia" w:eastAsiaTheme="minorEastAsia"/>
                <w:sz w:val="18"/>
                <w:szCs w:val="18"/>
              </w:rPr>
              <w:t xml:space="preserve">   </w:t>
            </w:r>
            <w:r>
              <w:rPr>
                <w:rFonts w:eastAsiaTheme="minorEastAsia"/>
                <w:sz w:val="18"/>
                <w:szCs w:val="18"/>
              </w:rPr>
              <w:t xml:space="preserve"> 前期差错更正</w:t>
            </w:r>
          </w:p>
        </w:tc>
        <w:tc>
          <w:tcPr>
            <w:tcW w:w="1952" w:type="dxa"/>
            <w:vAlign w:val="center"/>
          </w:tcPr>
          <w:p w14:paraId="41676420">
            <w:pPr>
              <w:jc w:val="right"/>
              <w:rPr>
                <w:rFonts w:eastAsiaTheme="minorEastAsia"/>
                <w:sz w:val="18"/>
                <w:szCs w:val="18"/>
              </w:rPr>
            </w:pPr>
            <w:r>
              <w:rPr>
                <w:rFonts w:eastAsiaTheme="minorEastAsia"/>
                <w:sz w:val="18"/>
                <w:szCs w:val="18"/>
              </w:rPr>
              <w:t>-</w:t>
            </w:r>
          </w:p>
        </w:tc>
        <w:tc>
          <w:tcPr>
            <w:tcW w:w="1588" w:type="dxa"/>
            <w:vAlign w:val="center"/>
          </w:tcPr>
          <w:p w14:paraId="3678F9FE">
            <w:pPr>
              <w:jc w:val="right"/>
              <w:rPr>
                <w:rFonts w:eastAsiaTheme="minorEastAsia"/>
                <w:sz w:val="18"/>
                <w:szCs w:val="18"/>
              </w:rPr>
            </w:pPr>
            <w:r>
              <w:rPr>
                <w:rFonts w:eastAsiaTheme="minorEastAsia"/>
                <w:sz w:val="18"/>
                <w:szCs w:val="18"/>
              </w:rPr>
              <w:t>-</w:t>
            </w:r>
          </w:p>
        </w:tc>
        <w:tc>
          <w:tcPr>
            <w:tcW w:w="1080" w:type="dxa"/>
            <w:vAlign w:val="center"/>
          </w:tcPr>
          <w:p w14:paraId="5A1B5200">
            <w:pPr>
              <w:jc w:val="right"/>
              <w:rPr>
                <w:rFonts w:eastAsiaTheme="minorEastAsia"/>
                <w:sz w:val="18"/>
                <w:szCs w:val="18"/>
              </w:rPr>
            </w:pPr>
            <w:r>
              <w:rPr>
                <w:rFonts w:eastAsiaTheme="minorEastAsia"/>
                <w:sz w:val="18"/>
                <w:szCs w:val="18"/>
              </w:rPr>
              <w:t>-</w:t>
            </w:r>
          </w:p>
        </w:tc>
        <w:tc>
          <w:tcPr>
            <w:tcW w:w="1800" w:type="dxa"/>
            <w:vAlign w:val="center"/>
          </w:tcPr>
          <w:p w14:paraId="6525A3D6">
            <w:pPr>
              <w:jc w:val="right"/>
              <w:rPr>
                <w:rFonts w:eastAsiaTheme="minorEastAsia"/>
                <w:sz w:val="18"/>
                <w:szCs w:val="18"/>
              </w:rPr>
            </w:pPr>
            <w:r>
              <w:rPr>
                <w:rFonts w:eastAsiaTheme="minorEastAsia"/>
                <w:sz w:val="18"/>
                <w:szCs w:val="18"/>
              </w:rPr>
              <w:t>-</w:t>
            </w:r>
          </w:p>
        </w:tc>
        <w:tc>
          <w:tcPr>
            <w:tcW w:w="1706" w:type="dxa"/>
            <w:vAlign w:val="center"/>
          </w:tcPr>
          <w:p w14:paraId="700B40C6">
            <w:pPr>
              <w:jc w:val="right"/>
              <w:rPr>
                <w:rFonts w:eastAsiaTheme="minorEastAsia"/>
                <w:sz w:val="18"/>
                <w:szCs w:val="18"/>
              </w:rPr>
            </w:pPr>
            <w:r>
              <w:rPr>
                <w:rFonts w:eastAsiaTheme="minorEastAsia"/>
                <w:sz w:val="18"/>
                <w:szCs w:val="18"/>
              </w:rPr>
              <w:t>-</w:t>
            </w:r>
          </w:p>
        </w:tc>
      </w:tr>
      <w:tr w14:paraId="78BE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561E66E0">
            <w:pPr>
              <w:rPr>
                <w:rFonts w:eastAsiaTheme="minorEastAsia"/>
                <w:sz w:val="18"/>
                <w:szCs w:val="18"/>
              </w:rPr>
            </w:pPr>
            <w:r>
              <w:rPr>
                <w:rFonts w:hint="eastAsia" w:eastAsiaTheme="minorEastAsia"/>
                <w:sz w:val="18"/>
                <w:szCs w:val="18"/>
              </w:rPr>
              <w:t xml:space="preserve">   </w:t>
            </w:r>
            <w:r>
              <w:rPr>
                <w:rFonts w:eastAsiaTheme="minorEastAsia"/>
                <w:sz w:val="18"/>
                <w:szCs w:val="18"/>
              </w:rPr>
              <w:t xml:space="preserve"> 其他</w:t>
            </w:r>
          </w:p>
        </w:tc>
        <w:tc>
          <w:tcPr>
            <w:tcW w:w="1952" w:type="dxa"/>
            <w:vAlign w:val="center"/>
          </w:tcPr>
          <w:p w14:paraId="675D722B">
            <w:pPr>
              <w:jc w:val="right"/>
              <w:rPr>
                <w:rFonts w:eastAsiaTheme="minorEastAsia"/>
                <w:sz w:val="18"/>
                <w:szCs w:val="18"/>
              </w:rPr>
            </w:pPr>
            <w:r>
              <w:rPr>
                <w:rFonts w:eastAsiaTheme="minorEastAsia"/>
                <w:sz w:val="18"/>
                <w:szCs w:val="18"/>
              </w:rPr>
              <w:t>-</w:t>
            </w:r>
          </w:p>
        </w:tc>
        <w:tc>
          <w:tcPr>
            <w:tcW w:w="1588" w:type="dxa"/>
            <w:vAlign w:val="center"/>
          </w:tcPr>
          <w:p w14:paraId="06F1D0D0">
            <w:pPr>
              <w:jc w:val="right"/>
              <w:rPr>
                <w:rFonts w:eastAsiaTheme="minorEastAsia"/>
                <w:sz w:val="18"/>
                <w:szCs w:val="18"/>
              </w:rPr>
            </w:pPr>
            <w:r>
              <w:rPr>
                <w:rFonts w:eastAsiaTheme="minorEastAsia"/>
                <w:sz w:val="18"/>
                <w:szCs w:val="18"/>
              </w:rPr>
              <w:t>-</w:t>
            </w:r>
          </w:p>
        </w:tc>
        <w:tc>
          <w:tcPr>
            <w:tcW w:w="1080" w:type="dxa"/>
            <w:vAlign w:val="center"/>
          </w:tcPr>
          <w:p w14:paraId="05E47257">
            <w:pPr>
              <w:jc w:val="right"/>
              <w:rPr>
                <w:rFonts w:eastAsiaTheme="minorEastAsia"/>
                <w:sz w:val="18"/>
                <w:szCs w:val="18"/>
              </w:rPr>
            </w:pPr>
            <w:r>
              <w:rPr>
                <w:rFonts w:eastAsiaTheme="minorEastAsia"/>
                <w:sz w:val="18"/>
                <w:szCs w:val="18"/>
              </w:rPr>
              <w:t>-</w:t>
            </w:r>
          </w:p>
        </w:tc>
        <w:tc>
          <w:tcPr>
            <w:tcW w:w="1800" w:type="dxa"/>
            <w:vAlign w:val="center"/>
          </w:tcPr>
          <w:p w14:paraId="28031E9E">
            <w:pPr>
              <w:jc w:val="right"/>
              <w:rPr>
                <w:rFonts w:eastAsiaTheme="minorEastAsia"/>
                <w:sz w:val="18"/>
                <w:szCs w:val="18"/>
              </w:rPr>
            </w:pPr>
            <w:r>
              <w:rPr>
                <w:rFonts w:eastAsiaTheme="minorEastAsia"/>
                <w:sz w:val="18"/>
                <w:szCs w:val="18"/>
              </w:rPr>
              <w:t>-</w:t>
            </w:r>
          </w:p>
        </w:tc>
        <w:tc>
          <w:tcPr>
            <w:tcW w:w="1706" w:type="dxa"/>
            <w:vAlign w:val="center"/>
          </w:tcPr>
          <w:p w14:paraId="1ABA50EB">
            <w:pPr>
              <w:jc w:val="right"/>
              <w:rPr>
                <w:rFonts w:eastAsiaTheme="minorEastAsia"/>
                <w:sz w:val="18"/>
                <w:szCs w:val="18"/>
              </w:rPr>
            </w:pPr>
            <w:r>
              <w:rPr>
                <w:rFonts w:eastAsiaTheme="minorEastAsia"/>
                <w:sz w:val="18"/>
                <w:szCs w:val="18"/>
              </w:rPr>
              <w:t>-</w:t>
            </w:r>
          </w:p>
        </w:tc>
      </w:tr>
      <w:tr w14:paraId="35E4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52650019">
            <w:pPr>
              <w:rPr>
                <w:rFonts w:eastAsiaTheme="minorEastAsia"/>
                <w:b/>
                <w:sz w:val="18"/>
                <w:szCs w:val="18"/>
              </w:rPr>
            </w:pPr>
            <w:r>
              <w:rPr>
                <w:rFonts w:eastAsiaTheme="minorEastAsia"/>
                <w:b/>
                <w:sz w:val="18"/>
                <w:szCs w:val="18"/>
              </w:rPr>
              <w:t>二、本期期初余额</w:t>
            </w:r>
          </w:p>
        </w:tc>
        <w:tc>
          <w:tcPr>
            <w:tcW w:w="1952" w:type="dxa"/>
            <w:vAlign w:val="center"/>
          </w:tcPr>
          <w:p w14:paraId="07C19939">
            <w:pPr>
              <w:jc w:val="right"/>
              <w:rPr>
                <w:rFonts w:eastAsiaTheme="minorEastAsia"/>
                <w:bCs/>
                <w:sz w:val="18"/>
                <w:szCs w:val="18"/>
              </w:rPr>
            </w:pPr>
            <w:r>
              <w:rPr>
                <w:rFonts w:eastAsiaTheme="minorEastAsia"/>
                <w:bCs/>
                <w:sz w:val="18"/>
                <w:szCs w:val="18"/>
              </w:rPr>
              <w:t>1,421,130,866.00</w:t>
            </w:r>
          </w:p>
        </w:tc>
        <w:tc>
          <w:tcPr>
            <w:tcW w:w="1588" w:type="dxa"/>
            <w:vAlign w:val="center"/>
          </w:tcPr>
          <w:p w14:paraId="291FE6E4">
            <w:pPr>
              <w:jc w:val="right"/>
              <w:rPr>
                <w:rFonts w:eastAsiaTheme="minorEastAsia"/>
                <w:bCs/>
                <w:sz w:val="18"/>
                <w:szCs w:val="18"/>
              </w:rPr>
            </w:pPr>
            <w:r>
              <w:rPr>
                <w:rFonts w:eastAsiaTheme="minorEastAsia"/>
                <w:bCs/>
                <w:sz w:val="18"/>
                <w:szCs w:val="18"/>
              </w:rPr>
              <w:t>1,901,808,511.21</w:t>
            </w:r>
          </w:p>
        </w:tc>
        <w:tc>
          <w:tcPr>
            <w:tcW w:w="1080" w:type="dxa"/>
            <w:vAlign w:val="center"/>
          </w:tcPr>
          <w:p w14:paraId="47E981BC">
            <w:pPr>
              <w:jc w:val="right"/>
              <w:rPr>
                <w:rFonts w:eastAsiaTheme="minorEastAsia"/>
                <w:bCs/>
                <w:sz w:val="18"/>
                <w:szCs w:val="18"/>
              </w:rPr>
            </w:pPr>
            <w:r>
              <w:rPr>
                <w:rFonts w:eastAsiaTheme="minorEastAsia"/>
                <w:bCs/>
                <w:sz w:val="18"/>
                <w:szCs w:val="18"/>
              </w:rPr>
              <w:t>-</w:t>
            </w:r>
          </w:p>
        </w:tc>
        <w:tc>
          <w:tcPr>
            <w:tcW w:w="1800" w:type="dxa"/>
            <w:vAlign w:val="center"/>
          </w:tcPr>
          <w:p w14:paraId="6422D905">
            <w:pPr>
              <w:jc w:val="right"/>
              <w:rPr>
                <w:rFonts w:eastAsiaTheme="minorEastAsia"/>
                <w:bCs/>
                <w:sz w:val="18"/>
                <w:szCs w:val="18"/>
              </w:rPr>
            </w:pPr>
            <w:r>
              <w:rPr>
                <w:rFonts w:eastAsiaTheme="minorEastAsia"/>
                <w:bCs/>
                <w:sz w:val="18"/>
                <w:szCs w:val="18"/>
              </w:rPr>
              <w:t>-32,021,180.89</w:t>
            </w:r>
          </w:p>
        </w:tc>
        <w:tc>
          <w:tcPr>
            <w:tcW w:w="1706" w:type="dxa"/>
            <w:vAlign w:val="center"/>
          </w:tcPr>
          <w:p w14:paraId="27EC78D9">
            <w:pPr>
              <w:jc w:val="right"/>
              <w:rPr>
                <w:rFonts w:eastAsiaTheme="minorEastAsia"/>
                <w:bCs/>
                <w:sz w:val="18"/>
                <w:szCs w:val="18"/>
              </w:rPr>
            </w:pPr>
            <w:r>
              <w:rPr>
                <w:rFonts w:eastAsiaTheme="minorEastAsia"/>
                <w:bCs/>
                <w:sz w:val="18"/>
                <w:szCs w:val="18"/>
              </w:rPr>
              <w:t>3,290,918,196.32</w:t>
            </w:r>
          </w:p>
        </w:tc>
      </w:tr>
      <w:tr w14:paraId="48DC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28E9B7E9">
            <w:pPr>
              <w:rPr>
                <w:rFonts w:eastAsiaTheme="minorEastAsia"/>
                <w:b/>
                <w:sz w:val="18"/>
                <w:szCs w:val="18"/>
              </w:rPr>
            </w:pPr>
            <w:r>
              <w:rPr>
                <w:rFonts w:eastAsiaTheme="minorEastAsia"/>
                <w:b/>
                <w:sz w:val="18"/>
                <w:szCs w:val="18"/>
              </w:rPr>
              <w:t>三、本期增减变动额（减少以</w:t>
            </w:r>
            <w:r>
              <w:rPr>
                <w:rFonts w:hint="eastAsia" w:eastAsiaTheme="minorEastAsia"/>
                <w:b/>
                <w:sz w:val="18"/>
                <w:szCs w:val="18"/>
              </w:rPr>
              <w:t>“-”</w:t>
            </w:r>
            <w:r>
              <w:rPr>
                <w:rFonts w:eastAsiaTheme="minorEastAsia"/>
                <w:b/>
                <w:sz w:val="18"/>
                <w:szCs w:val="18"/>
              </w:rPr>
              <w:t>号填列）</w:t>
            </w:r>
          </w:p>
        </w:tc>
        <w:tc>
          <w:tcPr>
            <w:tcW w:w="1952" w:type="dxa"/>
            <w:vAlign w:val="center"/>
          </w:tcPr>
          <w:p w14:paraId="29414076">
            <w:pPr>
              <w:jc w:val="right"/>
              <w:rPr>
                <w:rFonts w:eastAsiaTheme="minorEastAsia"/>
                <w:bCs/>
                <w:sz w:val="18"/>
                <w:szCs w:val="18"/>
              </w:rPr>
            </w:pPr>
            <w:r>
              <w:rPr>
                <w:rFonts w:eastAsiaTheme="minorEastAsia"/>
                <w:bCs/>
                <w:sz w:val="18"/>
                <w:szCs w:val="18"/>
              </w:rPr>
              <w:t>-</w:t>
            </w:r>
          </w:p>
        </w:tc>
        <w:tc>
          <w:tcPr>
            <w:tcW w:w="1588" w:type="dxa"/>
            <w:vAlign w:val="center"/>
          </w:tcPr>
          <w:p w14:paraId="4752A80A">
            <w:pPr>
              <w:jc w:val="right"/>
              <w:rPr>
                <w:rFonts w:eastAsiaTheme="minorEastAsia"/>
                <w:bCs/>
                <w:sz w:val="18"/>
                <w:szCs w:val="18"/>
              </w:rPr>
            </w:pPr>
            <w:r>
              <w:rPr>
                <w:rFonts w:eastAsiaTheme="minorEastAsia"/>
                <w:bCs/>
                <w:sz w:val="18"/>
                <w:szCs w:val="18"/>
              </w:rPr>
              <w:t>-</w:t>
            </w:r>
          </w:p>
        </w:tc>
        <w:tc>
          <w:tcPr>
            <w:tcW w:w="1080" w:type="dxa"/>
            <w:vAlign w:val="center"/>
          </w:tcPr>
          <w:p w14:paraId="490551D0">
            <w:pPr>
              <w:jc w:val="right"/>
              <w:rPr>
                <w:rFonts w:eastAsiaTheme="minorEastAsia"/>
                <w:bCs/>
                <w:sz w:val="18"/>
                <w:szCs w:val="18"/>
              </w:rPr>
            </w:pPr>
            <w:r>
              <w:rPr>
                <w:rFonts w:eastAsiaTheme="minorEastAsia"/>
                <w:bCs/>
                <w:sz w:val="18"/>
                <w:szCs w:val="18"/>
              </w:rPr>
              <w:t>-</w:t>
            </w:r>
          </w:p>
        </w:tc>
        <w:tc>
          <w:tcPr>
            <w:tcW w:w="1800" w:type="dxa"/>
            <w:vAlign w:val="center"/>
          </w:tcPr>
          <w:p w14:paraId="6C206BA8">
            <w:pPr>
              <w:jc w:val="right"/>
              <w:rPr>
                <w:rFonts w:eastAsiaTheme="minorEastAsia"/>
                <w:bCs/>
                <w:sz w:val="18"/>
                <w:szCs w:val="18"/>
              </w:rPr>
            </w:pPr>
            <w:r>
              <w:rPr>
                <w:rFonts w:eastAsiaTheme="minorEastAsia"/>
                <w:bCs/>
                <w:sz w:val="18"/>
                <w:szCs w:val="18"/>
              </w:rPr>
              <w:t>3,127,011.82</w:t>
            </w:r>
          </w:p>
        </w:tc>
        <w:tc>
          <w:tcPr>
            <w:tcW w:w="1706" w:type="dxa"/>
            <w:vAlign w:val="center"/>
          </w:tcPr>
          <w:p w14:paraId="32CEF6BB">
            <w:pPr>
              <w:jc w:val="right"/>
              <w:rPr>
                <w:rFonts w:eastAsiaTheme="minorEastAsia"/>
                <w:bCs/>
                <w:sz w:val="18"/>
                <w:szCs w:val="18"/>
              </w:rPr>
            </w:pPr>
            <w:r>
              <w:rPr>
                <w:rFonts w:eastAsiaTheme="minorEastAsia"/>
                <w:bCs/>
                <w:sz w:val="18"/>
                <w:szCs w:val="18"/>
              </w:rPr>
              <w:t>3,127,011.82</w:t>
            </w:r>
          </w:p>
        </w:tc>
      </w:tr>
      <w:tr w14:paraId="494A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4240BD5D">
            <w:pPr>
              <w:rPr>
                <w:rFonts w:eastAsiaTheme="minorEastAsia"/>
                <w:sz w:val="18"/>
                <w:szCs w:val="18"/>
              </w:rPr>
            </w:pPr>
            <w:r>
              <w:rPr>
                <w:rFonts w:eastAsiaTheme="minorEastAsia"/>
                <w:sz w:val="18"/>
                <w:szCs w:val="18"/>
              </w:rPr>
              <w:t>（一）综合收益总额</w:t>
            </w:r>
          </w:p>
        </w:tc>
        <w:tc>
          <w:tcPr>
            <w:tcW w:w="1952" w:type="dxa"/>
            <w:vAlign w:val="center"/>
          </w:tcPr>
          <w:p w14:paraId="48AD6E94">
            <w:pPr>
              <w:jc w:val="right"/>
              <w:rPr>
                <w:rFonts w:eastAsiaTheme="minorEastAsia"/>
                <w:sz w:val="18"/>
                <w:szCs w:val="18"/>
              </w:rPr>
            </w:pPr>
            <w:r>
              <w:rPr>
                <w:rFonts w:eastAsiaTheme="minorEastAsia"/>
                <w:sz w:val="18"/>
                <w:szCs w:val="18"/>
              </w:rPr>
              <w:t>-</w:t>
            </w:r>
          </w:p>
        </w:tc>
        <w:tc>
          <w:tcPr>
            <w:tcW w:w="1588" w:type="dxa"/>
            <w:vAlign w:val="center"/>
          </w:tcPr>
          <w:p w14:paraId="4077FCC8">
            <w:pPr>
              <w:jc w:val="right"/>
              <w:rPr>
                <w:rFonts w:eastAsiaTheme="minorEastAsia"/>
                <w:sz w:val="18"/>
                <w:szCs w:val="18"/>
              </w:rPr>
            </w:pPr>
            <w:r>
              <w:rPr>
                <w:rFonts w:eastAsiaTheme="minorEastAsia"/>
                <w:sz w:val="18"/>
                <w:szCs w:val="18"/>
              </w:rPr>
              <w:t>-</w:t>
            </w:r>
          </w:p>
        </w:tc>
        <w:tc>
          <w:tcPr>
            <w:tcW w:w="1080" w:type="dxa"/>
            <w:vAlign w:val="center"/>
          </w:tcPr>
          <w:p w14:paraId="56295667">
            <w:pPr>
              <w:jc w:val="right"/>
              <w:rPr>
                <w:rFonts w:eastAsiaTheme="minorEastAsia"/>
                <w:sz w:val="18"/>
                <w:szCs w:val="18"/>
              </w:rPr>
            </w:pPr>
            <w:r>
              <w:rPr>
                <w:rFonts w:eastAsiaTheme="minorEastAsia"/>
                <w:sz w:val="18"/>
                <w:szCs w:val="18"/>
              </w:rPr>
              <w:t>-</w:t>
            </w:r>
          </w:p>
        </w:tc>
        <w:tc>
          <w:tcPr>
            <w:tcW w:w="1800" w:type="dxa"/>
            <w:vAlign w:val="center"/>
          </w:tcPr>
          <w:p w14:paraId="0AE48DC8">
            <w:pPr>
              <w:jc w:val="right"/>
              <w:rPr>
                <w:rFonts w:eastAsiaTheme="minorEastAsia"/>
                <w:sz w:val="18"/>
                <w:szCs w:val="18"/>
              </w:rPr>
            </w:pPr>
            <w:r>
              <w:rPr>
                <w:rFonts w:eastAsiaTheme="minorEastAsia"/>
                <w:sz w:val="18"/>
                <w:szCs w:val="18"/>
              </w:rPr>
              <w:t>43,344,610.51</w:t>
            </w:r>
          </w:p>
        </w:tc>
        <w:tc>
          <w:tcPr>
            <w:tcW w:w="1706" w:type="dxa"/>
            <w:vAlign w:val="center"/>
          </w:tcPr>
          <w:p w14:paraId="7D1FD565">
            <w:pPr>
              <w:jc w:val="right"/>
              <w:rPr>
                <w:rFonts w:eastAsiaTheme="minorEastAsia"/>
                <w:sz w:val="18"/>
                <w:szCs w:val="18"/>
              </w:rPr>
            </w:pPr>
            <w:r>
              <w:rPr>
                <w:rFonts w:eastAsiaTheme="minorEastAsia"/>
                <w:sz w:val="18"/>
                <w:szCs w:val="18"/>
              </w:rPr>
              <w:t>43,344,610.51</w:t>
            </w:r>
          </w:p>
        </w:tc>
      </w:tr>
      <w:tr w14:paraId="5658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48A4B188">
            <w:pPr>
              <w:rPr>
                <w:rFonts w:eastAsiaTheme="minorEastAsia"/>
                <w:sz w:val="18"/>
                <w:szCs w:val="18"/>
              </w:rPr>
            </w:pPr>
            <w:r>
              <w:rPr>
                <w:rFonts w:eastAsiaTheme="minorEastAsia"/>
                <w:sz w:val="18"/>
                <w:szCs w:val="18"/>
              </w:rPr>
              <w:t>（二）产品持有人申购和赎回</w:t>
            </w:r>
          </w:p>
        </w:tc>
        <w:tc>
          <w:tcPr>
            <w:tcW w:w="1952" w:type="dxa"/>
            <w:vAlign w:val="center"/>
          </w:tcPr>
          <w:p w14:paraId="713B7AAE">
            <w:pPr>
              <w:jc w:val="right"/>
              <w:rPr>
                <w:rFonts w:eastAsiaTheme="minorEastAsia"/>
                <w:sz w:val="18"/>
                <w:szCs w:val="18"/>
              </w:rPr>
            </w:pPr>
            <w:r>
              <w:rPr>
                <w:rFonts w:eastAsiaTheme="minorEastAsia"/>
                <w:sz w:val="18"/>
                <w:szCs w:val="18"/>
              </w:rPr>
              <w:t>-</w:t>
            </w:r>
          </w:p>
        </w:tc>
        <w:tc>
          <w:tcPr>
            <w:tcW w:w="1588" w:type="dxa"/>
            <w:vAlign w:val="center"/>
          </w:tcPr>
          <w:p w14:paraId="11DE61F8">
            <w:pPr>
              <w:jc w:val="right"/>
              <w:rPr>
                <w:rFonts w:eastAsiaTheme="minorEastAsia"/>
                <w:sz w:val="18"/>
                <w:szCs w:val="18"/>
              </w:rPr>
            </w:pPr>
            <w:r>
              <w:rPr>
                <w:rFonts w:eastAsiaTheme="minorEastAsia"/>
                <w:sz w:val="18"/>
                <w:szCs w:val="18"/>
              </w:rPr>
              <w:t>-</w:t>
            </w:r>
          </w:p>
        </w:tc>
        <w:tc>
          <w:tcPr>
            <w:tcW w:w="1080" w:type="dxa"/>
            <w:vAlign w:val="center"/>
          </w:tcPr>
          <w:p w14:paraId="1B612B35">
            <w:pPr>
              <w:jc w:val="right"/>
              <w:rPr>
                <w:rFonts w:eastAsiaTheme="minorEastAsia"/>
                <w:sz w:val="18"/>
                <w:szCs w:val="18"/>
              </w:rPr>
            </w:pPr>
            <w:r>
              <w:rPr>
                <w:rFonts w:eastAsiaTheme="minorEastAsia"/>
                <w:sz w:val="18"/>
                <w:szCs w:val="18"/>
              </w:rPr>
              <w:t>-</w:t>
            </w:r>
          </w:p>
        </w:tc>
        <w:tc>
          <w:tcPr>
            <w:tcW w:w="1800" w:type="dxa"/>
            <w:vAlign w:val="center"/>
          </w:tcPr>
          <w:p w14:paraId="79C347FF">
            <w:pPr>
              <w:jc w:val="right"/>
              <w:rPr>
                <w:rFonts w:eastAsiaTheme="minorEastAsia"/>
                <w:sz w:val="18"/>
                <w:szCs w:val="18"/>
              </w:rPr>
            </w:pPr>
            <w:r>
              <w:rPr>
                <w:rFonts w:eastAsiaTheme="minorEastAsia"/>
                <w:sz w:val="18"/>
                <w:szCs w:val="18"/>
              </w:rPr>
              <w:t>-</w:t>
            </w:r>
          </w:p>
        </w:tc>
        <w:tc>
          <w:tcPr>
            <w:tcW w:w="1706" w:type="dxa"/>
            <w:vAlign w:val="center"/>
          </w:tcPr>
          <w:p w14:paraId="53AE073C">
            <w:pPr>
              <w:jc w:val="right"/>
              <w:rPr>
                <w:rFonts w:eastAsiaTheme="minorEastAsia"/>
                <w:sz w:val="18"/>
                <w:szCs w:val="18"/>
              </w:rPr>
            </w:pPr>
            <w:r>
              <w:rPr>
                <w:rFonts w:eastAsiaTheme="minorEastAsia"/>
                <w:sz w:val="18"/>
                <w:szCs w:val="18"/>
              </w:rPr>
              <w:t>-</w:t>
            </w:r>
          </w:p>
        </w:tc>
      </w:tr>
      <w:tr w14:paraId="31F6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170961AF">
            <w:pPr>
              <w:rPr>
                <w:rFonts w:eastAsiaTheme="minorEastAsia"/>
                <w:sz w:val="18"/>
                <w:szCs w:val="18"/>
              </w:rPr>
            </w:pPr>
            <w:r>
              <w:rPr>
                <w:rFonts w:eastAsiaTheme="minorEastAsia"/>
                <w:sz w:val="18"/>
                <w:szCs w:val="18"/>
              </w:rPr>
              <w:t>其中：产品申购</w:t>
            </w:r>
          </w:p>
        </w:tc>
        <w:tc>
          <w:tcPr>
            <w:tcW w:w="1952" w:type="dxa"/>
            <w:vAlign w:val="center"/>
          </w:tcPr>
          <w:p w14:paraId="5DF5354A">
            <w:pPr>
              <w:jc w:val="right"/>
              <w:rPr>
                <w:rFonts w:eastAsiaTheme="minorEastAsia"/>
                <w:sz w:val="18"/>
                <w:szCs w:val="18"/>
              </w:rPr>
            </w:pPr>
            <w:r>
              <w:rPr>
                <w:rFonts w:eastAsiaTheme="minorEastAsia"/>
                <w:sz w:val="18"/>
                <w:szCs w:val="18"/>
              </w:rPr>
              <w:t>-</w:t>
            </w:r>
          </w:p>
        </w:tc>
        <w:tc>
          <w:tcPr>
            <w:tcW w:w="1588" w:type="dxa"/>
            <w:vAlign w:val="center"/>
          </w:tcPr>
          <w:p w14:paraId="230A32FF">
            <w:pPr>
              <w:jc w:val="right"/>
              <w:rPr>
                <w:rFonts w:eastAsiaTheme="minorEastAsia"/>
                <w:sz w:val="18"/>
                <w:szCs w:val="18"/>
              </w:rPr>
            </w:pPr>
            <w:r>
              <w:rPr>
                <w:rFonts w:eastAsiaTheme="minorEastAsia"/>
                <w:sz w:val="18"/>
                <w:szCs w:val="18"/>
              </w:rPr>
              <w:t>-</w:t>
            </w:r>
          </w:p>
        </w:tc>
        <w:tc>
          <w:tcPr>
            <w:tcW w:w="1080" w:type="dxa"/>
            <w:vAlign w:val="center"/>
          </w:tcPr>
          <w:p w14:paraId="595335AE">
            <w:pPr>
              <w:jc w:val="right"/>
              <w:rPr>
                <w:rFonts w:eastAsiaTheme="minorEastAsia"/>
                <w:sz w:val="18"/>
                <w:szCs w:val="18"/>
              </w:rPr>
            </w:pPr>
            <w:r>
              <w:rPr>
                <w:rFonts w:eastAsiaTheme="minorEastAsia"/>
                <w:sz w:val="18"/>
                <w:szCs w:val="18"/>
              </w:rPr>
              <w:t>-</w:t>
            </w:r>
          </w:p>
        </w:tc>
        <w:tc>
          <w:tcPr>
            <w:tcW w:w="1800" w:type="dxa"/>
            <w:vAlign w:val="center"/>
          </w:tcPr>
          <w:p w14:paraId="683F3444">
            <w:pPr>
              <w:jc w:val="right"/>
              <w:rPr>
                <w:rFonts w:eastAsiaTheme="minorEastAsia"/>
                <w:sz w:val="18"/>
                <w:szCs w:val="18"/>
              </w:rPr>
            </w:pPr>
            <w:r>
              <w:rPr>
                <w:rFonts w:eastAsiaTheme="minorEastAsia"/>
                <w:sz w:val="18"/>
                <w:szCs w:val="18"/>
              </w:rPr>
              <w:t>-</w:t>
            </w:r>
          </w:p>
        </w:tc>
        <w:tc>
          <w:tcPr>
            <w:tcW w:w="1706" w:type="dxa"/>
            <w:vAlign w:val="center"/>
          </w:tcPr>
          <w:p w14:paraId="5BC50FA9">
            <w:pPr>
              <w:jc w:val="right"/>
              <w:rPr>
                <w:rFonts w:eastAsiaTheme="minorEastAsia"/>
                <w:sz w:val="18"/>
                <w:szCs w:val="18"/>
              </w:rPr>
            </w:pPr>
            <w:r>
              <w:rPr>
                <w:rFonts w:eastAsiaTheme="minorEastAsia"/>
                <w:sz w:val="18"/>
                <w:szCs w:val="18"/>
              </w:rPr>
              <w:t>-</w:t>
            </w:r>
          </w:p>
        </w:tc>
      </w:tr>
      <w:tr w14:paraId="21E1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5DD84AAF">
            <w:pPr>
              <w:rPr>
                <w:rFonts w:eastAsiaTheme="minorEastAsia"/>
                <w:sz w:val="18"/>
                <w:szCs w:val="18"/>
              </w:rPr>
            </w:pPr>
            <w:r>
              <w:rPr>
                <w:rFonts w:eastAsiaTheme="minorEastAsia"/>
                <w:sz w:val="18"/>
                <w:szCs w:val="18"/>
              </w:rPr>
              <w:t xml:space="preserve">      产品赎回</w:t>
            </w:r>
          </w:p>
        </w:tc>
        <w:tc>
          <w:tcPr>
            <w:tcW w:w="1952" w:type="dxa"/>
            <w:vAlign w:val="center"/>
          </w:tcPr>
          <w:p w14:paraId="4DB5F5F0">
            <w:pPr>
              <w:jc w:val="right"/>
              <w:rPr>
                <w:rFonts w:eastAsiaTheme="minorEastAsia"/>
                <w:sz w:val="18"/>
                <w:szCs w:val="18"/>
              </w:rPr>
            </w:pPr>
            <w:r>
              <w:rPr>
                <w:rFonts w:eastAsiaTheme="minorEastAsia"/>
                <w:sz w:val="18"/>
                <w:szCs w:val="18"/>
              </w:rPr>
              <w:t>-</w:t>
            </w:r>
          </w:p>
        </w:tc>
        <w:tc>
          <w:tcPr>
            <w:tcW w:w="1588" w:type="dxa"/>
            <w:vAlign w:val="center"/>
          </w:tcPr>
          <w:p w14:paraId="58A8D446">
            <w:pPr>
              <w:jc w:val="right"/>
              <w:rPr>
                <w:rFonts w:eastAsiaTheme="minorEastAsia"/>
                <w:sz w:val="18"/>
                <w:szCs w:val="18"/>
              </w:rPr>
            </w:pPr>
            <w:r>
              <w:rPr>
                <w:rFonts w:eastAsiaTheme="minorEastAsia"/>
                <w:sz w:val="18"/>
                <w:szCs w:val="18"/>
              </w:rPr>
              <w:t>-</w:t>
            </w:r>
          </w:p>
        </w:tc>
        <w:tc>
          <w:tcPr>
            <w:tcW w:w="1080" w:type="dxa"/>
            <w:vAlign w:val="center"/>
          </w:tcPr>
          <w:p w14:paraId="5FE46455">
            <w:pPr>
              <w:jc w:val="right"/>
              <w:rPr>
                <w:rFonts w:eastAsiaTheme="minorEastAsia"/>
                <w:sz w:val="18"/>
                <w:szCs w:val="18"/>
              </w:rPr>
            </w:pPr>
            <w:r>
              <w:rPr>
                <w:rFonts w:eastAsiaTheme="minorEastAsia"/>
                <w:sz w:val="18"/>
                <w:szCs w:val="18"/>
              </w:rPr>
              <w:t>-</w:t>
            </w:r>
          </w:p>
        </w:tc>
        <w:tc>
          <w:tcPr>
            <w:tcW w:w="1800" w:type="dxa"/>
            <w:vAlign w:val="center"/>
          </w:tcPr>
          <w:p w14:paraId="57EA0817">
            <w:pPr>
              <w:jc w:val="right"/>
              <w:rPr>
                <w:rFonts w:eastAsiaTheme="minorEastAsia"/>
                <w:sz w:val="18"/>
                <w:szCs w:val="18"/>
              </w:rPr>
            </w:pPr>
            <w:r>
              <w:rPr>
                <w:rFonts w:eastAsiaTheme="minorEastAsia"/>
                <w:sz w:val="18"/>
                <w:szCs w:val="18"/>
              </w:rPr>
              <w:t>-</w:t>
            </w:r>
          </w:p>
        </w:tc>
        <w:tc>
          <w:tcPr>
            <w:tcW w:w="1706" w:type="dxa"/>
            <w:vAlign w:val="center"/>
          </w:tcPr>
          <w:p w14:paraId="484533D2">
            <w:pPr>
              <w:jc w:val="right"/>
              <w:rPr>
                <w:rFonts w:eastAsiaTheme="minorEastAsia"/>
                <w:sz w:val="18"/>
                <w:szCs w:val="18"/>
              </w:rPr>
            </w:pPr>
            <w:r>
              <w:rPr>
                <w:rFonts w:eastAsiaTheme="minorEastAsia"/>
                <w:sz w:val="18"/>
                <w:szCs w:val="18"/>
              </w:rPr>
              <w:t>-</w:t>
            </w:r>
          </w:p>
        </w:tc>
      </w:tr>
      <w:tr w14:paraId="05CD2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6FA160AD">
            <w:pPr>
              <w:rPr>
                <w:rFonts w:eastAsiaTheme="minorEastAsia"/>
                <w:sz w:val="18"/>
                <w:szCs w:val="18"/>
              </w:rPr>
            </w:pPr>
            <w:r>
              <w:rPr>
                <w:rFonts w:eastAsiaTheme="minorEastAsia"/>
                <w:sz w:val="18"/>
                <w:szCs w:val="18"/>
              </w:rPr>
              <w:t>（三）利润分配</w:t>
            </w:r>
          </w:p>
        </w:tc>
        <w:tc>
          <w:tcPr>
            <w:tcW w:w="1952" w:type="dxa"/>
            <w:vAlign w:val="center"/>
          </w:tcPr>
          <w:p w14:paraId="1D06BF91">
            <w:pPr>
              <w:jc w:val="right"/>
              <w:rPr>
                <w:rFonts w:eastAsiaTheme="minorEastAsia"/>
                <w:sz w:val="18"/>
                <w:szCs w:val="18"/>
              </w:rPr>
            </w:pPr>
            <w:r>
              <w:rPr>
                <w:rFonts w:eastAsiaTheme="minorEastAsia"/>
                <w:sz w:val="18"/>
                <w:szCs w:val="18"/>
              </w:rPr>
              <w:t>-</w:t>
            </w:r>
          </w:p>
        </w:tc>
        <w:tc>
          <w:tcPr>
            <w:tcW w:w="1588" w:type="dxa"/>
            <w:vAlign w:val="center"/>
          </w:tcPr>
          <w:p w14:paraId="26EFD4C0">
            <w:pPr>
              <w:jc w:val="right"/>
              <w:rPr>
                <w:rFonts w:eastAsiaTheme="minorEastAsia"/>
                <w:sz w:val="18"/>
                <w:szCs w:val="18"/>
              </w:rPr>
            </w:pPr>
            <w:r>
              <w:rPr>
                <w:rFonts w:eastAsiaTheme="minorEastAsia"/>
                <w:sz w:val="18"/>
                <w:szCs w:val="18"/>
              </w:rPr>
              <w:t>-</w:t>
            </w:r>
          </w:p>
        </w:tc>
        <w:tc>
          <w:tcPr>
            <w:tcW w:w="1080" w:type="dxa"/>
            <w:vAlign w:val="center"/>
          </w:tcPr>
          <w:p w14:paraId="59C190A2">
            <w:pPr>
              <w:jc w:val="right"/>
              <w:rPr>
                <w:rFonts w:eastAsiaTheme="minorEastAsia"/>
                <w:sz w:val="18"/>
                <w:szCs w:val="18"/>
              </w:rPr>
            </w:pPr>
            <w:r>
              <w:rPr>
                <w:rFonts w:eastAsiaTheme="minorEastAsia"/>
                <w:sz w:val="18"/>
                <w:szCs w:val="18"/>
              </w:rPr>
              <w:t>-</w:t>
            </w:r>
          </w:p>
        </w:tc>
        <w:tc>
          <w:tcPr>
            <w:tcW w:w="1800" w:type="dxa"/>
            <w:vAlign w:val="center"/>
          </w:tcPr>
          <w:p w14:paraId="71D66A3E">
            <w:pPr>
              <w:jc w:val="right"/>
              <w:rPr>
                <w:rFonts w:eastAsiaTheme="minorEastAsia"/>
                <w:sz w:val="18"/>
                <w:szCs w:val="18"/>
              </w:rPr>
            </w:pPr>
            <w:r>
              <w:rPr>
                <w:rFonts w:eastAsiaTheme="minorEastAsia"/>
                <w:sz w:val="18"/>
                <w:szCs w:val="18"/>
              </w:rPr>
              <w:t>-40,217,598.69</w:t>
            </w:r>
          </w:p>
        </w:tc>
        <w:tc>
          <w:tcPr>
            <w:tcW w:w="1706" w:type="dxa"/>
            <w:vAlign w:val="center"/>
          </w:tcPr>
          <w:p w14:paraId="49B6D318">
            <w:pPr>
              <w:jc w:val="right"/>
              <w:rPr>
                <w:rFonts w:eastAsiaTheme="minorEastAsia"/>
                <w:sz w:val="18"/>
                <w:szCs w:val="18"/>
              </w:rPr>
            </w:pPr>
            <w:r>
              <w:rPr>
                <w:rFonts w:eastAsiaTheme="minorEastAsia"/>
                <w:sz w:val="18"/>
                <w:szCs w:val="18"/>
              </w:rPr>
              <w:t>-40,217,598.69</w:t>
            </w:r>
          </w:p>
        </w:tc>
      </w:tr>
      <w:tr w14:paraId="3E87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29A7C59F">
            <w:pPr>
              <w:ind w:left="15" w:hanging="12" w:hangingChars="7"/>
              <w:rPr>
                <w:rFonts w:eastAsiaTheme="minorEastAsia"/>
                <w:sz w:val="18"/>
                <w:szCs w:val="18"/>
              </w:rPr>
            </w:pPr>
            <w:r>
              <w:rPr>
                <w:rFonts w:eastAsiaTheme="minorEastAsia"/>
                <w:sz w:val="18"/>
                <w:szCs w:val="18"/>
              </w:rPr>
              <w:t>（四）其他综合收益结转留存收益</w:t>
            </w:r>
          </w:p>
        </w:tc>
        <w:tc>
          <w:tcPr>
            <w:tcW w:w="1952" w:type="dxa"/>
            <w:vAlign w:val="center"/>
          </w:tcPr>
          <w:p w14:paraId="24552C78">
            <w:pPr>
              <w:jc w:val="right"/>
              <w:rPr>
                <w:rFonts w:eastAsiaTheme="minorEastAsia"/>
                <w:sz w:val="18"/>
                <w:szCs w:val="18"/>
              </w:rPr>
            </w:pPr>
            <w:r>
              <w:rPr>
                <w:rFonts w:eastAsiaTheme="minorEastAsia"/>
                <w:sz w:val="18"/>
                <w:szCs w:val="18"/>
              </w:rPr>
              <w:t>-</w:t>
            </w:r>
          </w:p>
        </w:tc>
        <w:tc>
          <w:tcPr>
            <w:tcW w:w="1588" w:type="dxa"/>
            <w:vAlign w:val="center"/>
          </w:tcPr>
          <w:p w14:paraId="7297CAE9">
            <w:pPr>
              <w:jc w:val="right"/>
              <w:rPr>
                <w:rFonts w:eastAsiaTheme="minorEastAsia"/>
                <w:sz w:val="18"/>
                <w:szCs w:val="18"/>
              </w:rPr>
            </w:pPr>
            <w:r>
              <w:rPr>
                <w:rFonts w:eastAsiaTheme="minorEastAsia"/>
                <w:sz w:val="18"/>
                <w:szCs w:val="18"/>
              </w:rPr>
              <w:t>-</w:t>
            </w:r>
          </w:p>
        </w:tc>
        <w:tc>
          <w:tcPr>
            <w:tcW w:w="1080" w:type="dxa"/>
            <w:vAlign w:val="center"/>
          </w:tcPr>
          <w:p w14:paraId="44504C3F">
            <w:pPr>
              <w:jc w:val="right"/>
              <w:rPr>
                <w:rFonts w:eastAsiaTheme="minorEastAsia"/>
                <w:sz w:val="18"/>
                <w:szCs w:val="18"/>
              </w:rPr>
            </w:pPr>
            <w:r>
              <w:rPr>
                <w:rFonts w:eastAsiaTheme="minorEastAsia"/>
                <w:sz w:val="18"/>
                <w:szCs w:val="18"/>
              </w:rPr>
              <w:t>-</w:t>
            </w:r>
          </w:p>
        </w:tc>
        <w:tc>
          <w:tcPr>
            <w:tcW w:w="1800" w:type="dxa"/>
            <w:vAlign w:val="center"/>
          </w:tcPr>
          <w:p w14:paraId="5789F39D">
            <w:pPr>
              <w:jc w:val="right"/>
              <w:rPr>
                <w:rFonts w:eastAsiaTheme="minorEastAsia"/>
                <w:sz w:val="18"/>
                <w:szCs w:val="18"/>
              </w:rPr>
            </w:pPr>
            <w:r>
              <w:rPr>
                <w:rFonts w:eastAsiaTheme="minorEastAsia"/>
                <w:sz w:val="18"/>
                <w:szCs w:val="18"/>
              </w:rPr>
              <w:t>-</w:t>
            </w:r>
          </w:p>
        </w:tc>
        <w:tc>
          <w:tcPr>
            <w:tcW w:w="1706" w:type="dxa"/>
            <w:vAlign w:val="center"/>
          </w:tcPr>
          <w:p w14:paraId="6253A8FF">
            <w:pPr>
              <w:jc w:val="right"/>
              <w:rPr>
                <w:rFonts w:eastAsiaTheme="minorEastAsia"/>
                <w:sz w:val="18"/>
                <w:szCs w:val="18"/>
              </w:rPr>
            </w:pPr>
            <w:r>
              <w:rPr>
                <w:rFonts w:eastAsiaTheme="minorEastAsia"/>
                <w:sz w:val="18"/>
                <w:szCs w:val="18"/>
              </w:rPr>
              <w:t>-</w:t>
            </w:r>
          </w:p>
        </w:tc>
      </w:tr>
      <w:tr w14:paraId="449D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62B3F01B">
            <w:pPr>
              <w:rPr>
                <w:rFonts w:eastAsiaTheme="minorEastAsia"/>
                <w:sz w:val="18"/>
                <w:szCs w:val="18"/>
              </w:rPr>
            </w:pPr>
            <w:r>
              <w:rPr>
                <w:rFonts w:eastAsiaTheme="minorEastAsia"/>
                <w:sz w:val="18"/>
                <w:szCs w:val="18"/>
              </w:rPr>
              <w:t>（五）其他</w:t>
            </w:r>
          </w:p>
        </w:tc>
        <w:tc>
          <w:tcPr>
            <w:tcW w:w="1952" w:type="dxa"/>
            <w:vAlign w:val="center"/>
          </w:tcPr>
          <w:p w14:paraId="2C0F3605">
            <w:pPr>
              <w:jc w:val="right"/>
              <w:rPr>
                <w:rFonts w:eastAsiaTheme="minorEastAsia"/>
                <w:sz w:val="18"/>
                <w:szCs w:val="18"/>
              </w:rPr>
            </w:pPr>
            <w:r>
              <w:rPr>
                <w:rFonts w:eastAsiaTheme="minorEastAsia"/>
                <w:sz w:val="18"/>
                <w:szCs w:val="18"/>
              </w:rPr>
              <w:t>-</w:t>
            </w:r>
          </w:p>
        </w:tc>
        <w:tc>
          <w:tcPr>
            <w:tcW w:w="1588" w:type="dxa"/>
            <w:vAlign w:val="center"/>
          </w:tcPr>
          <w:p w14:paraId="5E981B1B">
            <w:pPr>
              <w:jc w:val="right"/>
              <w:rPr>
                <w:rFonts w:eastAsiaTheme="minorEastAsia"/>
                <w:sz w:val="18"/>
                <w:szCs w:val="18"/>
              </w:rPr>
            </w:pPr>
            <w:r>
              <w:rPr>
                <w:rFonts w:eastAsiaTheme="minorEastAsia"/>
                <w:sz w:val="18"/>
                <w:szCs w:val="18"/>
              </w:rPr>
              <w:t>-</w:t>
            </w:r>
          </w:p>
        </w:tc>
        <w:tc>
          <w:tcPr>
            <w:tcW w:w="1080" w:type="dxa"/>
            <w:vAlign w:val="center"/>
          </w:tcPr>
          <w:p w14:paraId="0C54CAFB">
            <w:pPr>
              <w:jc w:val="right"/>
              <w:rPr>
                <w:rFonts w:eastAsiaTheme="minorEastAsia"/>
                <w:sz w:val="18"/>
                <w:szCs w:val="18"/>
              </w:rPr>
            </w:pPr>
            <w:r>
              <w:rPr>
                <w:rFonts w:eastAsiaTheme="minorEastAsia"/>
                <w:sz w:val="18"/>
                <w:szCs w:val="18"/>
              </w:rPr>
              <w:t>-</w:t>
            </w:r>
          </w:p>
        </w:tc>
        <w:tc>
          <w:tcPr>
            <w:tcW w:w="1800" w:type="dxa"/>
            <w:vAlign w:val="center"/>
          </w:tcPr>
          <w:p w14:paraId="2BFBAF70">
            <w:pPr>
              <w:jc w:val="right"/>
              <w:rPr>
                <w:rFonts w:eastAsiaTheme="minorEastAsia"/>
                <w:sz w:val="18"/>
                <w:szCs w:val="18"/>
              </w:rPr>
            </w:pPr>
            <w:r>
              <w:rPr>
                <w:rFonts w:eastAsiaTheme="minorEastAsia"/>
                <w:sz w:val="18"/>
                <w:szCs w:val="18"/>
              </w:rPr>
              <w:t>-</w:t>
            </w:r>
          </w:p>
        </w:tc>
        <w:tc>
          <w:tcPr>
            <w:tcW w:w="1706" w:type="dxa"/>
            <w:vAlign w:val="center"/>
          </w:tcPr>
          <w:p w14:paraId="718634A0">
            <w:pPr>
              <w:jc w:val="right"/>
              <w:rPr>
                <w:rFonts w:eastAsiaTheme="minorEastAsia"/>
                <w:sz w:val="18"/>
                <w:szCs w:val="18"/>
              </w:rPr>
            </w:pPr>
            <w:r>
              <w:rPr>
                <w:rFonts w:eastAsiaTheme="minorEastAsia"/>
                <w:sz w:val="18"/>
                <w:szCs w:val="18"/>
              </w:rPr>
              <w:t>-</w:t>
            </w:r>
          </w:p>
        </w:tc>
      </w:tr>
      <w:tr w14:paraId="5DA1D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1" w:type="dxa"/>
            <w:vAlign w:val="center"/>
          </w:tcPr>
          <w:p w14:paraId="5564733E">
            <w:pPr>
              <w:rPr>
                <w:rFonts w:eastAsiaTheme="minorEastAsia"/>
                <w:b/>
                <w:sz w:val="18"/>
                <w:szCs w:val="18"/>
              </w:rPr>
            </w:pPr>
            <w:r>
              <w:rPr>
                <w:rFonts w:eastAsiaTheme="minorEastAsia"/>
                <w:b/>
                <w:sz w:val="18"/>
                <w:szCs w:val="18"/>
              </w:rPr>
              <w:t>四、本期期末余额</w:t>
            </w:r>
          </w:p>
        </w:tc>
        <w:tc>
          <w:tcPr>
            <w:tcW w:w="1952" w:type="dxa"/>
            <w:vAlign w:val="center"/>
          </w:tcPr>
          <w:p w14:paraId="09A6055E">
            <w:pPr>
              <w:jc w:val="right"/>
              <w:rPr>
                <w:rFonts w:eastAsiaTheme="minorEastAsia"/>
                <w:bCs/>
                <w:sz w:val="18"/>
                <w:szCs w:val="18"/>
              </w:rPr>
            </w:pPr>
            <w:r>
              <w:rPr>
                <w:rFonts w:eastAsiaTheme="minorEastAsia"/>
                <w:bCs/>
                <w:sz w:val="18"/>
                <w:szCs w:val="18"/>
              </w:rPr>
              <w:t>1,421,130,866.00</w:t>
            </w:r>
          </w:p>
        </w:tc>
        <w:tc>
          <w:tcPr>
            <w:tcW w:w="1588" w:type="dxa"/>
            <w:vAlign w:val="center"/>
          </w:tcPr>
          <w:p w14:paraId="41289395">
            <w:pPr>
              <w:jc w:val="right"/>
              <w:rPr>
                <w:rFonts w:eastAsiaTheme="minorEastAsia"/>
                <w:bCs/>
                <w:sz w:val="18"/>
                <w:szCs w:val="18"/>
              </w:rPr>
            </w:pPr>
            <w:r>
              <w:rPr>
                <w:rFonts w:eastAsiaTheme="minorEastAsia"/>
                <w:bCs/>
                <w:sz w:val="18"/>
                <w:szCs w:val="18"/>
              </w:rPr>
              <w:t>1,901,808,511.21</w:t>
            </w:r>
          </w:p>
        </w:tc>
        <w:tc>
          <w:tcPr>
            <w:tcW w:w="1080" w:type="dxa"/>
            <w:vAlign w:val="center"/>
          </w:tcPr>
          <w:p w14:paraId="4CB289F4">
            <w:pPr>
              <w:jc w:val="right"/>
              <w:rPr>
                <w:rFonts w:eastAsiaTheme="minorEastAsia"/>
                <w:bCs/>
                <w:sz w:val="18"/>
                <w:szCs w:val="18"/>
              </w:rPr>
            </w:pPr>
            <w:r>
              <w:rPr>
                <w:rFonts w:eastAsiaTheme="minorEastAsia"/>
                <w:bCs/>
                <w:sz w:val="18"/>
                <w:szCs w:val="18"/>
              </w:rPr>
              <w:t>-</w:t>
            </w:r>
          </w:p>
        </w:tc>
        <w:tc>
          <w:tcPr>
            <w:tcW w:w="1800" w:type="dxa"/>
            <w:vAlign w:val="center"/>
          </w:tcPr>
          <w:p w14:paraId="786332C6">
            <w:pPr>
              <w:jc w:val="right"/>
              <w:rPr>
                <w:rFonts w:eastAsiaTheme="minorEastAsia"/>
                <w:bCs/>
                <w:sz w:val="18"/>
                <w:szCs w:val="18"/>
              </w:rPr>
            </w:pPr>
            <w:r>
              <w:rPr>
                <w:rFonts w:eastAsiaTheme="minorEastAsia"/>
                <w:bCs/>
                <w:sz w:val="18"/>
                <w:szCs w:val="18"/>
              </w:rPr>
              <w:t>-28,894,169.07</w:t>
            </w:r>
          </w:p>
        </w:tc>
        <w:tc>
          <w:tcPr>
            <w:tcW w:w="1706" w:type="dxa"/>
            <w:vAlign w:val="center"/>
          </w:tcPr>
          <w:p w14:paraId="109FCDAB">
            <w:pPr>
              <w:jc w:val="right"/>
              <w:rPr>
                <w:rFonts w:eastAsiaTheme="minorEastAsia"/>
                <w:bCs/>
                <w:sz w:val="18"/>
                <w:szCs w:val="18"/>
              </w:rPr>
            </w:pPr>
            <w:r>
              <w:rPr>
                <w:rFonts w:eastAsiaTheme="minorEastAsia"/>
                <w:bCs/>
                <w:sz w:val="18"/>
                <w:szCs w:val="18"/>
              </w:rPr>
              <w:t>3,294,045,208.14</w:t>
            </w:r>
          </w:p>
        </w:tc>
      </w:tr>
    </w:tbl>
    <w:p w14:paraId="5B350E55">
      <w:pPr>
        <w:spacing w:before="312" w:beforeLines="100" w:line="360" w:lineRule="auto"/>
      </w:pPr>
      <w:r>
        <w:t>报表附注为财务报表的组成部分。</w:t>
      </w:r>
    </w:p>
    <w:p w14:paraId="1D73BA5B">
      <w:pPr>
        <w:spacing w:line="360" w:lineRule="auto"/>
      </w:pPr>
      <w:r>
        <w:t>本报告9.1至9.5，财务报表由下列负责人签署：</w:t>
      </w:r>
    </w:p>
    <w:p w14:paraId="1A283A75">
      <w:pPr>
        <w:pStyle w:val="167"/>
        <w:spacing w:line="360" w:lineRule="auto"/>
        <w:rPr>
          <w:rFonts w:ascii="Times New Roman" w:hAnsi="Times New Roman"/>
          <w:color w:val="0C0C0C" w:themeColor="text1" w:themeTint="F2"/>
        </w:rPr>
      </w:pPr>
      <w:bookmarkStart w:id="349" w:name="_Toc98601356"/>
      <w:bookmarkStart w:id="350" w:name="_Toc98603022"/>
      <w:bookmarkStart w:id="351" w:name="_Toc13635"/>
      <w:bookmarkStart w:id="352" w:name="_Toc98602705"/>
      <w:bookmarkStart w:id="353" w:name="_Toc98511657"/>
      <w:bookmarkStart w:id="354" w:name="_Toc98512413"/>
      <w:bookmarkStart w:id="355" w:name="_Toc98508994"/>
      <w:r>
        <w:rPr>
          <w:rFonts w:ascii="Times New Roman" w:hAnsi="Times New Roman"/>
          <w:color w:val="0C0C0C" w:themeColor="text1" w:themeTint="F2"/>
        </w:rPr>
        <w:t>_______________________    ______________________    _______________________</w:t>
      </w:r>
    </w:p>
    <w:p w14:paraId="5DD83E3A">
      <w:pPr>
        <w:pStyle w:val="167"/>
        <w:spacing w:line="360" w:lineRule="auto"/>
        <w:rPr>
          <w:rFonts w:ascii="Times New Roman" w:hAnsi="Times New Roman"/>
        </w:rPr>
      </w:pPr>
      <w:r>
        <w:rPr>
          <w:rFonts w:ascii="Times New Roman" w:hAnsi="Times New Roman"/>
        </w:rPr>
        <w:t>基金管理人负责人：张东，主管会计工作负责人：吴慧峰，会计机构负责人：陈子成</w:t>
      </w:r>
    </w:p>
    <w:p w14:paraId="1C48602D">
      <w:pPr>
        <w:pStyle w:val="3"/>
        <w:spacing w:before="312" w:beforeLines="100" w:after="0"/>
        <w:rPr>
          <w:rFonts w:ascii="Times New Roman" w:hAnsi="Times New Roman" w:cs="Times New Roman"/>
          <w:kern w:val="0"/>
          <w:sz w:val="21"/>
          <w:szCs w:val="21"/>
        </w:rPr>
      </w:pPr>
      <w:r>
        <w:rPr>
          <w:rFonts w:ascii="Times New Roman" w:hAnsi="Times New Roman" w:cs="Times New Roman"/>
          <w:kern w:val="0"/>
          <w:sz w:val="21"/>
          <w:szCs w:val="21"/>
        </w:rPr>
        <w:t>9.5 报表附注</w:t>
      </w:r>
      <w:bookmarkEnd w:id="309"/>
      <w:bookmarkEnd w:id="310"/>
      <w:bookmarkEnd w:id="311"/>
      <w:bookmarkEnd w:id="349"/>
      <w:bookmarkEnd w:id="350"/>
      <w:bookmarkEnd w:id="351"/>
      <w:bookmarkEnd w:id="352"/>
      <w:bookmarkEnd w:id="353"/>
      <w:bookmarkEnd w:id="354"/>
      <w:bookmarkEnd w:id="355"/>
    </w:p>
    <w:p w14:paraId="1F9E55F2">
      <w:pPr>
        <w:spacing w:line="360" w:lineRule="auto"/>
        <w:outlineLvl w:val="2"/>
        <w:rPr>
          <w:b/>
          <w:kern w:val="0"/>
        </w:rPr>
      </w:pPr>
      <w:bookmarkStart w:id="356" w:name="_Toc98602706"/>
      <w:bookmarkStart w:id="357" w:name="_Toc98601357"/>
      <w:bookmarkStart w:id="358" w:name="_Toc98601360"/>
      <w:bookmarkStart w:id="359" w:name="_Toc98602709"/>
      <w:r>
        <w:rPr>
          <w:b/>
          <w:kern w:val="0"/>
        </w:rPr>
        <w:t>9.5.1 基金基本情况</w:t>
      </w:r>
      <w:bookmarkEnd w:id="356"/>
      <w:bookmarkEnd w:id="357"/>
    </w:p>
    <w:p w14:paraId="35CDDC31">
      <w:pPr>
        <w:spacing w:line="360" w:lineRule="auto"/>
        <w:ind w:firstLine="420" w:firstLineChars="200"/>
      </w:pPr>
      <w:r>
        <w:t>博时招商蛇口产业园封闭式基础设施证券投资基金（以下简称“本基金”）系由基金管理人博时基金管理有限公司依照《中华人民共和国证券投资基金法》、《博时招商蛇口产业园封闭式基础设施证券投资基金基金合同》（以下简称“基金合同”）及其他有关法律法规的规定，经中国证券监督管理委员会（以下简称“中国证监会”）证监许可[2021]1664号《关于准予博时招商蛇口产业园封闭式基础设施证券投资基金注册的批复》和机构部函[2021]1731号《关于博时招商蛇口产业园封闭式基础设施证券投资基金备案确认的函》准予公开募集注册。本基金为契约型封闭式，存续期限为50年，募集金额为人民币2,079,000,000.00元，业经普华永道中天会计师事务所（特殊普通合伙）验证，并出具了普华永道中天验字（2021）第0565号验资报告。</w:t>
      </w:r>
    </w:p>
    <w:p w14:paraId="69AA0D39">
      <w:pPr>
        <w:spacing w:line="360" w:lineRule="auto"/>
        <w:ind w:firstLine="420" w:firstLineChars="200"/>
      </w:pPr>
      <w:r>
        <w:t>经向中国证监会备案，基金合同于2021年6月7日正式生效，募集基金份额数量为9亿份，其中招商局蛇口工业区控股股份有限公司（以下简称“招商蛇口”）认购数量2.88亿份，占募集份额总数的比例为32%。2021年6月21日，本基金在深圳证券交易所上市交易。本基金的基金管理人为博时基金管理有限公司，基金托管人为招商银行股份有限公司。</w:t>
      </w:r>
    </w:p>
    <w:p w14:paraId="6DC6FD5E">
      <w:pPr>
        <w:spacing w:line="360" w:lineRule="auto"/>
        <w:ind w:firstLine="420" w:firstLineChars="200"/>
      </w:pPr>
      <w:r>
        <w:t>本基金经中国证监会证监许可[2023]734号《关于准予博时招商蛇口产业园封闭式基础设施证券投资基金变更注册的批复》准予变更注册，并根据基金管理人博时基金管理有限公司于2023年5月19日发布的《博时基金管理有限公司关于博时招商蛇口产业园封闭式基础设施证券投资基金基金份额持有人大会表决结果暨决议生效的公告》组织基金扩募发售。本基金本次扩募金额为人民币1,243,939,377.21元，扩募后募集金额为人民币3,322,939,377.21元，业经普华永道中天会计师事务所（特殊普通合伙）验证，并出具了普华永道中天验字（2023）第0312号验资报告。</w:t>
      </w:r>
    </w:p>
    <w:p w14:paraId="07864479">
      <w:pPr>
        <w:spacing w:line="360" w:lineRule="auto"/>
        <w:ind w:firstLine="420" w:firstLineChars="200"/>
      </w:pPr>
      <w:r>
        <w:t>经向中国证监会备案，本次扩募基金合同于2023年6月2日正式生效，扩募募集基金份额数量为521,130,866.00份，其中招商局光明科技园有限公司（以下简称“招商光明”）认购数量166,761,877.00份，占本次扩募募集份额总数的比例为32%。2023年6月16日，本基金扩募份额在深圳证券交易所上市交易。本基金扩募后，募集基金份额总数量为1,421,130,866.00份。</w:t>
      </w:r>
    </w:p>
    <w:p w14:paraId="40CAD527">
      <w:pPr>
        <w:spacing w:line="360" w:lineRule="auto"/>
        <w:ind w:firstLine="420" w:firstLineChars="200"/>
      </w:pPr>
      <w:r>
        <w:t xml:space="preserve">根据《中华人民共和国证券投资基金法》和《博时招商蛇口产业园封闭式基础设施证券投资基金基金合同》的有关规定，本基金存续期内主要投资于最终投资标的为不动产项目的不动产资产支持证券，并持有其全部份额；基金通过资产支持证券等特殊目的载体取得不动产项目公司全部股权，最终取得相关不动产项目完全所有权。本基金的其他基金资产可以投资于利率债（包括国债、政策性金融债、地方政府债、央行票据）、AAA级信用债（包括符合要求的企业债、公司债、金融债、中期票据、短期融资券、超短期融资券、公开发行的次级债、政府支持机构债、可分离交易可转债的纯债部分）、货币市场工具（包括同业存单、债券回购、银行存款（含协议存款、定期存款及其他银行存款）等）及法律法规或中国证监会允许基金投资的其他金融工具（但须符合中国证监会的相关规定）。本基金不投资于股票，也不投资于可转换债券（可分离交易可转债的纯债部分除外）、可交换债券。基金合同生效后，本基金将扣除本基金预留费用后的全部募集资金（不含募集期利息）用于购买资产支持证券份额；除基金合同另有约定外，存续期内，本基金投资于不动产资产支持证券的资产比例不低于基金资产的80%。 </w:t>
      </w:r>
    </w:p>
    <w:p w14:paraId="1A2F8138">
      <w:pPr>
        <w:spacing w:line="360" w:lineRule="auto"/>
        <w:ind w:firstLine="420" w:firstLineChars="200"/>
      </w:pPr>
      <w:r>
        <w:t>本基金初始投资的不动产项目公司：</w:t>
      </w:r>
    </w:p>
    <w:p w14:paraId="2F96B74D">
      <w:pPr>
        <w:spacing w:line="360" w:lineRule="auto"/>
        <w:ind w:firstLine="420" w:firstLineChars="200"/>
      </w:pPr>
      <w:r>
        <w:t>位于深圳市南山区南海大道的蛇口网谷产业园内的1）深圳市万海大厦管理有限公司（以下简称“万海大厦”）和2）深圳市万融大厦管理有限公司（以下简称“万融大厦”）。万海大厦和万融大厦是由招商局蛇口 于2020年8月26日在中华人民共和国深圳市注册成立的有限责任公司。本基金于2021年6月8日出资人民币2,078,800,000.00元设立招商蛇口博时产业园基础设施1 期资产支持专项计划资产支持证券（以下简称“招蛇ABS 1期”），招蛇ABS 1期的计划管理人为博时资本管理有限公司（以下简称“博时资本”）。博时资本（代表招蛇ABS 1 期）通过深圳博海产业园管理有限公司（以下简称“博海公司”）和深圳博融产业园管理有限公司（以下简称“博融公司”）间接持有万海大厦和万融大厦100%股权。招商蛇口为首发不动产项目公司万海大厦和万融大厦的原始权益人。</w:t>
      </w:r>
    </w:p>
    <w:p w14:paraId="49B56825">
      <w:pPr>
        <w:spacing w:line="360" w:lineRule="auto"/>
        <w:ind w:firstLine="420" w:firstLineChars="200"/>
      </w:pPr>
      <w:r>
        <w:t>不动产项目公司万海大厦和万融大厦经批准的经营范围为：</w:t>
      </w:r>
    </w:p>
    <w:p w14:paraId="7A661B54">
      <w:pPr>
        <w:spacing w:line="360" w:lineRule="auto"/>
        <w:ind w:firstLine="420" w:firstLineChars="200"/>
      </w:pPr>
      <w:r>
        <w:t>园区管理服务；创业空间服务；非居住房地产租赁；办公设备租赁服务；计算机及通讯设备租赁；物业管理；工业设计服务；计算机及办公设备维修（除依法须经批准的项目外，凭营业执照依法自主开展经营活动）。</w:t>
      </w:r>
    </w:p>
    <w:p w14:paraId="605D6AA6">
      <w:pPr>
        <w:spacing w:line="360" w:lineRule="auto"/>
        <w:ind w:firstLine="420" w:firstLineChars="200"/>
      </w:pPr>
      <w:r>
        <w:t>于2021年11月12日，万海大厦、万融大厦与博海公司、博融公司分别签署《吸收合并协议》，并于2022年8月17日完成吸收合并。吸收合并之后，博海公司和博融公司的主体资格消灭，万海大厦和万融大厦作为合并完成后的存续公司承继博海公司、博融公司全部资产、负债、业务、资质、人员、合同及其他一切权利与义务。招蛇ABS 1期直接持有万海大厦和万融大厦100%股权。</w:t>
      </w:r>
    </w:p>
    <w:p w14:paraId="5082B174">
      <w:pPr>
        <w:spacing w:line="360" w:lineRule="auto"/>
        <w:ind w:firstLine="420" w:firstLineChars="200"/>
      </w:pPr>
      <w:r>
        <w:t>本基金扩募初始投资的不动产项目公司为位于深圳市光明区凤凰街道的招商局光明科技园内的深圳市招光物业租赁有限公司（以下简称“招光租赁”）。招光租赁是由招商光明于2022年10月18日在中华人民共和国深圳市注册成立的有限责任公司。本基金于2023年6月5日出资人民币1,243,834,500元设立招商蛇口博时产业园基础设施2 期资产支持专项计划资产支持证券（以下简称“招蛇ABS 2期”），招蛇ABS 2期的计划管理人为博时资本。博时资本（代表招蛇ABS 2期）通过深圳市博光产业园管理有限责任公司（以下简称“博光公司”）间接持有招光租赁100%股权。招商光明为扩募不动产项目公司招光租赁的原始权益人。</w:t>
      </w:r>
    </w:p>
    <w:p w14:paraId="0092B3B9">
      <w:pPr>
        <w:spacing w:line="360" w:lineRule="auto"/>
        <w:ind w:firstLine="420" w:firstLineChars="200"/>
      </w:pPr>
      <w:r>
        <w:t>招光租赁批准的经营范围为：园区管理服务；非居住房地产租赁；办公设备租赁服务；计算机及通讯设备租赁；停车场服务；电动汽车充电基础设施运营；物业管理。</w:t>
      </w:r>
    </w:p>
    <w:p w14:paraId="641436C9">
      <w:pPr>
        <w:spacing w:line="360" w:lineRule="auto"/>
        <w:ind w:firstLine="420" w:firstLineChars="200"/>
      </w:pPr>
      <w:r>
        <w:t>于2023年6月20日，招光租赁与博光公司签署《吸收合并协议》，并于2023年9月25日完成吸收合并。吸收合并之后，博光公司的主体资格消灭，招光租赁作为合并完成后的存续公司承继博光公司全部资产、负债、业务、资质、人员、合同及其他一切权利与义务。招蛇ABS 2期直接持有招光租赁100%股权。</w:t>
      </w:r>
    </w:p>
    <w:p w14:paraId="1853F637">
      <w:pPr>
        <w:spacing w:line="360" w:lineRule="auto"/>
        <w:ind w:firstLine="420" w:firstLineChars="200"/>
      </w:pPr>
      <w:r>
        <w:t>本基金及其子公司合称“本集团”。</w:t>
      </w:r>
    </w:p>
    <w:p w14:paraId="68195287">
      <w:pPr>
        <w:spacing w:line="360" w:lineRule="auto"/>
        <w:outlineLvl w:val="2"/>
        <w:rPr>
          <w:b/>
          <w:kern w:val="0"/>
        </w:rPr>
      </w:pPr>
      <w:bookmarkStart w:id="360" w:name="_Toc98601358"/>
      <w:bookmarkStart w:id="361" w:name="_Toc98602707"/>
      <w:r>
        <w:rPr>
          <w:b/>
          <w:kern w:val="0"/>
        </w:rPr>
        <w:t>9.5.2 会计报表的编制基础</w:t>
      </w:r>
      <w:bookmarkEnd w:id="360"/>
      <w:bookmarkEnd w:id="361"/>
    </w:p>
    <w:p w14:paraId="07C3A3DB">
      <w:pPr>
        <w:spacing w:line="360" w:lineRule="auto"/>
        <w:ind w:firstLine="420" w:firstLineChars="200"/>
      </w:pPr>
      <w:r>
        <w:t>本基金的财务报表按照财政部于2006年2月15日及以后期间颁布的《企业会计准则－基本准则》、各项具体会计准则及相关规定（以下合称“企业会计准则”）、中国证监会颁布的《证券投资基金信息披露XBRL模板第3号&lt;年度报告和中期报告&gt;》、中国证券投资基金业协会（以下简称“中国基金业协会”）颁布的《证券投资基金会计核算业务指引》、《博时招商蛇口产业园封闭式基础设施证券投资基金基金合同》和在财务报表附注所列示的中国证监会、中国基金业协会发布的有关规定及允许的基金行业实务操作编制。</w:t>
      </w:r>
    </w:p>
    <w:p w14:paraId="2E7FE7E0">
      <w:pPr>
        <w:spacing w:line="360" w:lineRule="auto"/>
        <w:ind w:firstLine="420" w:firstLineChars="200"/>
      </w:pPr>
      <w:r>
        <w:t>本财务报表以持续经营为基础编制。</w:t>
      </w:r>
    </w:p>
    <w:p w14:paraId="7BEF4640">
      <w:pPr>
        <w:spacing w:line="360" w:lineRule="auto"/>
        <w:outlineLvl w:val="2"/>
        <w:rPr>
          <w:b/>
          <w:kern w:val="0"/>
        </w:rPr>
      </w:pPr>
      <w:bookmarkStart w:id="362" w:name="_Toc98601359"/>
      <w:bookmarkStart w:id="363" w:name="_Toc98602708"/>
      <w:r>
        <w:rPr>
          <w:b/>
          <w:kern w:val="0"/>
        </w:rPr>
        <w:t>9.5.3 遵循企业会计准则及其他有关规定的声明</w:t>
      </w:r>
      <w:bookmarkEnd w:id="362"/>
      <w:bookmarkEnd w:id="363"/>
    </w:p>
    <w:p w14:paraId="25670933">
      <w:pPr>
        <w:spacing w:line="360" w:lineRule="auto"/>
        <w:ind w:firstLine="420" w:firstLineChars="200"/>
      </w:pPr>
      <w:r>
        <w:t>本基金的财务报表符合企业会计准则的要求，真实、完整地反映了本基金2026年6月30日的合并及个别财务状况以及2026年1月1日至2026年6月30日止期间的合并及个别经营成果和现金流量等有关信息。</w:t>
      </w:r>
    </w:p>
    <w:p w14:paraId="14DD4F2C">
      <w:pPr>
        <w:spacing w:line="360" w:lineRule="auto"/>
        <w:outlineLvl w:val="2"/>
        <w:rPr>
          <w:b/>
          <w:kern w:val="0"/>
        </w:rPr>
      </w:pPr>
      <w:r>
        <w:rPr>
          <w:b/>
          <w:kern w:val="0"/>
        </w:rPr>
        <w:t>9.5.4 本报告期所采用的会计政策、会计估计与最近一期年度报告相一致的说明</w:t>
      </w:r>
    </w:p>
    <w:p w14:paraId="13984F05">
      <w:pPr>
        <w:spacing w:line="360" w:lineRule="auto"/>
        <w:ind w:firstLine="420" w:firstLineChars="200"/>
      </w:pPr>
      <w:r>
        <w:t>本报告期所采用的会计政策、会计估计与最近一期年度报告相一致。</w:t>
      </w:r>
    </w:p>
    <w:p w14:paraId="19848B1A">
      <w:pPr>
        <w:spacing w:line="360" w:lineRule="auto"/>
        <w:outlineLvl w:val="3"/>
        <w:rPr>
          <w:b/>
        </w:rPr>
      </w:pPr>
      <w:r>
        <w:rPr>
          <w:b/>
          <w:kern w:val="0"/>
        </w:rPr>
        <w:t>9.5.4.1 基金的收益分配政策</w:t>
      </w:r>
    </w:p>
    <w:p w14:paraId="0DC482F1">
      <w:pPr>
        <w:spacing w:line="360" w:lineRule="auto"/>
        <w:ind w:firstLine="420" w:firstLineChars="200"/>
      </w:pPr>
      <w:r>
        <w:t>本基金收益分配采取现金分红方式。在符合有关基金分红的条件下，本基金每年至少进行收益分配1次，每年收益分配的比例应不低于合并后基金年度可供分配金额的90%。</w:t>
      </w:r>
    </w:p>
    <w:p w14:paraId="6D7D4E6E">
      <w:pPr>
        <w:spacing w:line="360" w:lineRule="auto"/>
        <w:outlineLvl w:val="2"/>
        <w:rPr>
          <w:b/>
          <w:kern w:val="0"/>
        </w:rPr>
      </w:pPr>
      <w:r>
        <w:rPr>
          <w:b/>
          <w:kern w:val="0"/>
        </w:rPr>
        <w:t>9.5.5 税项</w:t>
      </w:r>
    </w:p>
    <w:p w14:paraId="78A803E0">
      <w:pPr>
        <w:spacing w:line="360" w:lineRule="auto"/>
        <w:ind w:firstLine="420" w:firstLineChars="200"/>
      </w:pPr>
      <w:r>
        <w:t>根据财政部、国家税务总局财税[1998]55号《关于证券投资基金税收问题的通知》、财税[2008]1号《关于企业所得税若干优惠政策的通知》、财税[2017]56号《关于资管产品增值税有关问题的通知》、财税[2017]90号《关于租入固定资产进项税额抵扣等增值税政策的通知》、国务院令第826号《中华人民共和国增值税法实施条例》、财政部、税务总局公告2026年第10号《财政部 税务总局关于增值税法施行后增值税优惠政策衔接事项的公告》及其他相关财税法规和实务操作，本基金及招蛇ABS的主要税项列示如下：</w:t>
      </w:r>
    </w:p>
    <w:p w14:paraId="07E73177">
      <w:pPr>
        <w:spacing w:line="360" w:lineRule="auto"/>
        <w:ind w:firstLine="420" w:firstLineChars="200"/>
      </w:pPr>
      <w:r>
        <w:t>（1）资管产品运营过程中发生的增值税应税行为，以资管产品管理人为增值税纳税人。2027年12月31日前，资管产品管理人运营契约制资管产品过程中发生的增值税应税行为，可以选择暂适用简易计税方法，按照3%的征收率缴纳增值税。</w:t>
      </w:r>
    </w:p>
    <w:p w14:paraId="240A14FD">
      <w:pPr>
        <w:spacing w:line="360" w:lineRule="auto"/>
        <w:ind w:firstLine="420" w:firstLineChars="200"/>
      </w:pPr>
      <w:r>
        <w:t>对金融同业往来利息收入免征增值税。资管产品管理人运营资管产品提供的贷款服务，以产生的利息及利息性质的收入为销售额。</w:t>
      </w:r>
    </w:p>
    <w:p w14:paraId="335260B2">
      <w:pPr>
        <w:spacing w:line="360" w:lineRule="auto"/>
        <w:ind w:firstLine="420" w:firstLineChars="200"/>
      </w:pPr>
      <w:r>
        <w:t>（2）对基金从证券市场中取得的收入，包括买卖股票、债券的差价收入，股票的股息、红利收入，债券的利息收入及其他收入，暂不征收企业所得税。</w:t>
      </w:r>
    </w:p>
    <w:p w14:paraId="35B38ACF">
      <w:pPr>
        <w:spacing w:line="360" w:lineRule="auto"/>
        <w:ind w:firstLine="420" w:firstLineChars="200"/>
      </w:pPr>
      <w:r>
        <w:t>（3）本基金的城市维护建设税、教育费附加和地方教育附加等税费按照实际缴纳增值税额的适用比例计算缴纳。</w:t>
      </w:r>
    </w:p>
    <w:p w14:paraId="64CACDF2">
      <w:pPr>
        <w:spacing w:line="360" w:lineRule="auto"/>
        <w:ind w:firstLine="420" w:firstLineChars="200"/>
      </w:pPr>
      <w:r>
        <w:t>本集团内万海大厦、万融大厦、招光租赁适用的主要税种及其税率列示如下：</w:t>
      </w:r>
    </w:p>
    <w:p w14:paraId="57B67259">
      <w:pPr>
        <w:spacing w:line="360" w:lineRule="auto"/>
        <w:ind w:firstLine="420" w:firstLineChars="200"/>
      </w:pPr>
      <w:r>
        <w:t>1）企业所得税，税率为 25%，税基为应纳税所得额。</w:t>
      </w:r>
    </w:p>
    <w:p w14:paraId="0C8BB702">
      <w:pPr>
        <w:spacing w:line="360" w:lineRule="auto"/>
        <w:ind w:firstLine="420" w:firstLineChars="200"/>
      </w:pPr>
      <w:r>
        <w:t>2）增值税，不同业务税率不同，不动产租赁服务为 9% ；物业管理服务为 6% ；贷款服务征收率为 3% 。税基为应纳税增值额（应纳税额按应纳税销售额乘以适用税率扣除当期允许抵扣的进项税后的余额计算）；适用简易计税方法时，计税依据为应税行为收入。</w:t>
      </w:r>
    </w:p>
    <w:p w14:paraId="326F4664">
      <w:pPr>
        <w:spacing w:line="360" w:lineRule="auto"/>
        <w:ind w:firstLine="420" w:firstLineChars="200"/>
      </w:pPr>
      <w:r>
        <w:t>3）房产税，税率 1.2%，税基为房屋原值的 70%。</w:t>
      </w:r>
    </w:p>
    <w:p w14:paraId="3AE40479">
      <w:pPr>
        <w:spacing w:line="360" w:lineRule="auto"/>
        <w:ind w:firstLine="420" w:firstLineChars="200"/>
      </w:pPr>
      <w:r>
        <w:t>4）土地使用税，税率有 6 元 / 平方米、3 元 / 平方米、2 元 / 平方米三个标准，税基为土地使用面积。</w:t>
      </w:r>
    </w:p>
    <w:p w14:paraId="713B58AF">
      <w:pPr>
        <w:spacing w:line="360" w:lineRule="auto"/>
        <w:ind w:firstLine="420" w:firstLineChars="200"/>
      </w:pPr>
      <w:r>
        <w:t>5）城市维护建设税，税率 7%，税基为应纳的增值税税额。</w:t>
      </w:r>
    </w:p>
    <w:p w14:paraId="0EAEA41F">
      <w:pPr>
        <w:spacing w:line="360" w:lineRule="auto"/>
        <w:ind w:firstLine="420" w:firstLineChars="200"/>
      </w:pPr>
      <w:r>
        <w:t>6）教育费附加，税率 3%，税基为应纳的增值税税额。</w:t>
      </w:r>
    </w:p>
    <w:p w14:paraId="09291EE2">
      <w:pPr>
        <w:spacing w:line="360" w:lineRule="auto"/>
        <w:ind w:firstLine="420" w:firstLineChars="200"/>
        <w:rPr>
          <w:b/>
          <w:kern w:val="0"/>
        </w:rPr>
      </w:pPr>
      <w:r>
        <w:t>7）地方教育费附加，税率 2%，税基为应纳的增值税税额。</w:t>
      </w:r>
    </w:p>
    <w:bookmarkEnd w:id="358"/>
    <w:bookmarkEnd w:id="359"/>
    <w:p w14:paraId="3F8BDB26">
      <w:pPr>
        <w:spacing w:line="360" w:lineRule="auto"/>
        <w:outlineLvl w:val="2"/>
        <w:rPr>
          <w:b/>
          <w:kern w:val="0"/>
        </w:rPr>
      </w:pPr>
      <w:bookmarkStart w:id="364" w:name="_Toc98602712"/>
      <w:bookmarkStart w:id="365" w:name="_Toc98601363"/>
      <w:bookmarkStart w:id="366" w:name="_Toc96424960"/>
      <w:r>
        <w:rPr>
          <w:b/>
          <w:kern w:val="0"/>
        </w:rPr>
        <w:t>9.5.6 合并财务报表重要项目的说明</w:t>
      </w:r>
      <w:bookmarkEnd w:id="364"/>
      <w:bookmarkEnd w:id="365"/>
      <w:bookmarkEnd w:id="366"/>
    </w:p>
    <w:p w14:paraId="736307AF">
      <w:pPr>
        <w:spacing w:line="360" w:lineRule="auto"/>
        <w:outlineLvl w:val="3"/>
        <w:rPr>
          <w:b/>
        </w:rPr>
      </w:pPr>
      <w:r>
        <w:rPr>
          <w:b/>
          <w:kern w:val="0"/>
        </w:rPr>
        <w:t>9.5.6.1</w:t>
      </w:r>
      <w:r>
        <w:rPr>
          <w:b/>
        </w:rPr>
        <w:t xml:space="preserve"> 货币资金</w:t>
      </w:r>
    </w:p>
    <w:p w14:paraId="392ABE55">
      <w:pPr>
        <w:spacing w:line="360" w:lineRule="auto"/>
        <w:outlineLvl w:val="3"/>
        <w:rPr>
          <w:b/>
        </w:rPr>
      </w:pPr>
      <w:r>
        <w:rPr>
          <w:b/>
          <w:kern w:val="0"/>
        </w:rPr>
        <w:t>9.5.6.1.1</w:t>
      </w:r>
      <w:r>
        <w:rPr>
          <w:b/>
        </w:rPr>
        <w:t xml:space="preserve"> 货币资金情况</w:t>
      </w:r>
    </w:p>
    <w:p w14:paraId="37D4A32A">
      <w:pPr>
        <w:autoSpaceDE w:val="0"/>
        <w:autoSpaceDN w:val="0"/>
        <w:adjustRightInd w:val="0"/>
        <w:spacing w:line="360" w:lineRule="auto"/>
        <w:ind w:left="15"/>
        <w:jc w:val="right"/>
        <w:rPr>
          <w:bCs/>
        </w:rPr>
      </w:pPr>
      <w:r>
        <w:rPr>
          <w:bCs/>
        </w:rPr>
        <w:t>单位：人民币元</w:t>
      </w:r>
    </w:p>
    <w:tbl>
      <w:tblPr>
        <w:tblStyle w:val="40"/>
        <w:tblW w:w="9076"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61"/>
        <w:gridCol w:w="6315"/>
      </w:tblGrid>
      <w:tr w14:paraId="46CE7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2761" w:type="dxa"/>
            <w:tcMar>
              <w:top w:w="15" w:type="dxa"/>
              <w:left w:w="15" w:type="dxa"/>
              <w:bottom w:w="0" w:type="dxa"/>
              <w:right w:w="15" w:type="dxa"/>
            </w:tcMar>
            <w:vAlign w:val="center"/>
          </w:tcPr>
          <w:p w14:paraId="73844564">
            <w:pPr>
              <w:spacing w:line="360" w:lineRule="auto"/>
              <w:jc w:val="center"/>
            </w:pPr>
            <w:r>
              <w:rPr>
                <w:kern w:val="0"/>
              </w:rPr>
              <w:t>项目</w:t>
            </w:r>
          </w:p>
        </w:tc>
        <w:tc>
          <w:tcPr>
            <w:tcW w:w="6315" w:type="dxa"/>
            <w:tcMar>
              <w:top w:w="15" w:type="dxa"/>
              <w:left w:w="15" w:type="dxa"/>
              <w:bottom w:w="0" w:type="dxa"/>
              <w:right w:w="15" w:type="dxa"/>
            </w:tcMar>
          </w:tcPr>
          <w:p w14:paraId="24D1D3D5">
            <w:pPr>
              <w:spacing w:line="360" w:lineRule="auto"/>
              <w:jc w:val="center"/>
              <w:rPr>
                <w:kern w:val="0"/>
              </w:rPr>
            </w:pPr>
            <w:r>
              <w:rPr>
                <w:kern w:val="0"/>
              </w:rPr>
              <w:t>本期末</w:t>
            </w:r>
          </w:p>
          <w:p w14:paraId="2DF90F58">
            <w:pPr>
              <w:spacing w:line="360" w:lineRule="auto"/>
              <w:jc w:val="center"/>
              <w:rPr>
                <w:kern w:val="0"/>
              </w:rPr>
            </w:pPr>
            <w:r>
              <w:t>2026年6月30日</w:t>
            </w:r>
          </w:p>
        </w:tc>
      </w:tr>
      <w:tr w14:paraId="2FF65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792F9309">
            <w:pPr>
              <w:spacing w:line="360" w:lineRule="auto"/>
              <w:rPr>
                <w:kern w:val="0"/>
              </w:rPr>
            </w:pPr>
            <w:r>
              <w:rPr>
                <w:kern w:val="0"/>
              </w:rPr>
              <w:t>库存现金</w:t>
            </w:r>
          </w:p>
        </w:tc>
        <w:tc>
          <w:tcPr>
            <w:tcW w:w="6315" w:type="dxa"/>
            <w:tcMar>
              <w:top w:w="15" w:type="dxa"/>
              <w:left w:w="15" w:type="dxa"/>
              <w:bottom w:w="0" w:type="dxa"/>
              <w:right w:w="15" w:type="dxa"/>
            </w:tcMar>
            <w:vAlign w:val="center"/>
          </w:tcPr>
          <w:p w14:paraId="00113A4D">
            <w:pPr>
              <w:spacing w:line="360" w:lineRule="auto"/>
              <w:jc w:val="right"/>
              <w:rPr>
                <w:kern w:val="0"/>
              </w:rPr>
            </w:pPr>
            <w:r>
              <w:rPr>
                <w:kern w:val="0"/>
              </w:rPr>
              <w:t>-</w:t>
            </w:r>
          </w:p>
        </w:tc>
      </w:tr>
      <w:tr w14:paraId="24DFF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17F0D957">
            <w:pPr>
              <w:spacing w:line="360" w:lineRule="auto"/>
              <w:rPr>
                <w:kern w:val="0"/>
              </w:rPr>
            </w:pPr>
            <w:r>
              <w:rPr>
                <w:kern w:val="0"/>
              </w:rPr>
              <w:t>银行存款</w:t>
            </w:r>
          </w:p>
        </w:tc>
        <w:tc>
          <w:tcPr>
            <w:tcW w:w="6315" w:type="dxa"/>
            <w:tcMar>
              <w:top w:w="15" w:type="dxa"/>
              <w:left w:w="15" w:type="dxa"/>
              <w:bottom w:w="0" w:type="dxa"/>
              <w:right w:w="15" w:type="dxa"/>
            </w:tcMar>
            <w:vAlign w:val="center"/>
          </w:tcPr>
          <w:p w14:paraId="4B480476">
            <w:pPr>
              <w:spacing w:line="360" w:lineRule="auto"/>
              <w:jc w:val="right"/>
              <w:rPr>
                <w:kern w:val="0"/>
              </w:rPr>
            </w:pPr>
            <w:r>
              <w:rPr>
                <w:kern w:val="0"/>
              </w:rPr>
              <w:t>46,611,366.15</w:t>
            </w:r>
          </w:p>
        </w:tc>
      </w:tr>
      <w:tr w14:paraId="33ACB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401F5B3A">
            <w:pPr>
              <w:spacing w:line="360" w:lineRule="auto"/>
              <w:rPr>
                <w:kern w:val="0"/>
              </w:rPr>
            </w:pPr>
            <w:r>
              <w:rPr>
                <w:kern w:val="0"/>
              </w:rPr>
              <w:t>其他货币资金</w:t>
            </w:r>
          </w:p>
        </w:tc>
        <w:tc>
          <w:tcPr>
            <w:tcW w:w="6315" w:type="dxa"/>
            <w:tcMar>
              <w:top w:w="15" w:type="dxa"/>
              <w:left w:w="15" w:type="dxa"/>
              <w:bottom w:w="0" w:type="dxa"/>
              <w:right w:w="15" w:type="dxa"/>
            </w:tcMar>
            <w:vAlign w:val="bottom"/>
          </w:tcPr>
          <w:p w14:paraId="093AE696">
            <w:pPr>
              <w:spacing w:line="360" w:lineRule="auto"/>
              <w:jc w:val="right"/>
              <w:rPr>
                <w:kern w:val="0"/>
              </w:rPr>
            </w:pPr>
            <w:r>
              <w:rPr>
                <w:kern w:val="0"/>
              </w:rPr>
              <w:t>-</w:t>
            </w:r>
          </w:p>
        </w:tc>
      </w:tr>
      <w:tr w14:paraId="1BB43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3FAAA502">
            <w:pPr>
              <w:spacing w:line="360" w:lineRule="auto"/>
              <w:jc w:val="center"/>
              <w:rPr>
                <w:kern w:val="0"/>
              </w:rPr>
            </w:pPr>
            <w:r>
              <w:rPr>
                <w:kern w:val="0"/>
              </w:rPr>
              <w:t>小计</w:t>
            </w:r>
          </w:p>
        </w:tc>
        <w:tc>
          <w:tcPr>
            <w:tcW w:w="6315" w:type="dxa"/>
            <w:tcMar>
              <w:top w:w="15" w:type="dxa"/>
              <w:left w:w="15" w:type="dxa"/>
              <w:bottom w:w="0" w:type="dxa"/>
              <w:right w:w="15" w:type="dxa"/>
            </w:tcMar>
            <w:vAlign w:val="center"/>
          </w:tcPr>
          <w:p w14:paraId="75AD7D7E">
            <w:pPr>
              <w:spacing w:line="360" w:lineRule="auto"/>
              <w:jc w:val="right"/>
              <w:rPr>
                <w:kern w:val="0"/>
              </w:rPr>
            </w:pPr>
            <w:r>
              <w:rPr>
                <w:kern w:val="0"/>
              </w:rPr>
              <w:t>46,611,366.15</w:t>
            </w:r>
          </w:p>
        </w:tc>
      </w:tr>
      <w:tr w14:paraId="6DD29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6AB39859">
            <w:pPr>
              <w:spacing w:line="360" w:lineRule="auto"/>
              <w:rPr>
                <w:kern w:val="0"/>
              </w:rPr>
            </w:pPr>
            <w:r>
              <w:rPr>
                <w:kern w:val="0"/>
              </w:rPr>
              <w:t>减：减值准备</w:t>
            </w:r>
          </w:p>
        </w:tc>
        <w:tc>
          <w:tcPr>
            <w:tcW w:w="6315" w:type="dxa"/>
            <w:tcMar>
              <w:top w:w="15" w:type="dxa"/>
              <w:left w:w="15" w:type="dxa"/>
              <w:bottom w:w="0" w:type="dxa"/>
              <w:right w:w="15" w:type="dxa"/>
            </w:tcMar>
            <w:vAlign w:val="center"/>
          </w:tcPr>
          <w:p w14:paraId="1E138499">
            <w:pPr>
              <w:spacing w:line="360" w:lineRule="auto"/>
              <w:jc w:val="right"/>
              <w:rPr>
                <w:kern w:val="0"/>
              </w:rPr>
            </w:pPr>
            <w:r>
              <w:rPr>
                <w:kern w:val="0"/>
              </w:rPr>
              <w:t>-</w:t>
            </w:r>
          </w:p>
        </w:tc>
      </w:tr>
      <w:tr w14:paraId="597B2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vAlign w:val="center"/>
          </w:tcPr>
          <w:p w14:paraId="437948F0">
            <w:pPr>
              <w:spacing w:line="360" w:lineRule="auto"/>
              <w:rPr>
                <w:kern w:val="0"/>
              </w:rPr>
            </w:pPr>
            <w:r>
              <w:rPr>
                <w:kern w:val="0"/>
              </w:rPr>
              <w:t>合计</w:t>
            </w:r>
          </w:p>
        </w:tc>
        <w:tc>
          <w:tcPr>
            <w:tcW w:w="6315" w:type="dxa"/>
            <w:tcMar>
              <w:top w:w="15" w:type="dxa"/>
              <w:left w:w="15" w:type="dxa"/>
              <w:bottom w:w="0" w:type="dxa"/>
              <w:right w:w="15" w:type="dxa"/>
            </w:tcMar>
            <w:vAlign w:val="center"/>
          </w:tcPr>
          <w:p w14:paraId="7947FB28">
            <w:pPr>
              <w:spacing w:line="360" w:lineRule="auto"/>
              <w:jc w:val="right"/>
              <w:rPr>
                <w:kern w:val="0"/>
              </w:rPr>
            </w:pPr>
            <w:r>
              <w:rPr>
                <w:kern w:val="0"/>
              </w:rPr>
              <w:t>46,611,366.15</w:t>
            </w:r>
          </w:p>
        </w:tc>
      </w:tr>
    </w:tbl>
    <w:p w14:paraId="0CAFC8EC">
      <w:pPr>
        <w:spacing w:line="360" w:lineRule="auto"/>
        <w:outlineLvl w:val="3"/>
        <w:rPr>
          <w:b/>
          <w:kern w:val="0"/>
        </w:rPr>
      </w:pPr>
      <w:r>
        <w:rPr>
          <w:b/>
          <w:kern w:val="0"/>
        </w:rPr>
        <w:t>9.5.6.1.2 银行存款</w:t>
      </w:r>
    </w:p>
    <w:p w14:paraId="4EBBAAF9">
      <w:pPr>
        <w:autoSpaceDE w:val="0"/>
        <w:autoSpaceDN w:val="0"/>
        <w:adjustRightInd w:val="0"/>
        <w:spacing w:line="360" w:lineRule="auto"/>
        <w:ind w:left="15"/>
        <w:jc w:val="right"/>
        <w:rPr>
          <w:b/>
          <w:kern w:val="0"/>
        </w:rPr>
      </w:pPr>
      <w:r>
        <w:rPr>
          <w:bCs/>
        </w:rPr>
        <w:t>单位：人民币元</w:t>
      </w:r>
    </w:p>
    <w:tbl>
      <w:tblPr>
        <w:tblStyle w:val="40"/>
        <w:tblW w:w="89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34"/>
        <w:gridCol w:w="6315"/>
      </w:tblGrid>
      <w:tr w14:paraId="4A4B6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2634" w:type="dxa"/>
            <w:tcMar>
              <w:top w:w="15" w:type="dxa"/>
              <w:left w:w="15" w:type="dxa"/>
              <w:bottom w:w="0" w:type="dxa"/>
              <w:right w:w="15" w:type="dxa"/>
            </w:tcMar>
            <w:vAlign w:val="center"/>
          </w:tcPr>
          <w:p w14:paraId="109AF6DD">
            <w:pPr>
              <w:spacing w:line="360" w:lineRule="auto"/>
              <w:jc w:val="center"/>
            </w:pPr>
            <w:r>
              <w:rPr>
                <w:kern w:val="0"/>
              </w:rPr>
              <w:t>项目</w:t>
            </w:r>
          </w:p>
        </w:tc>
        <w:tc>
          <w:tcPr>
            <w:tcW w:w="6315" w:type="dxa"/>
            <w:tcMar>
              <w:top w:w="15" w:type="dxa"/>
              <w:left w:w="15" w:type="dxa"/>
              <w:bottom w:w="0" w:type="dxa"/>
              <w:right w:w="15" w:type="dxa"/>
            </w:tcMar>
          </w:tcPr>
          <w:p w14:paraId="07AF68A7">
            <w:pPr>
              <w:spacing w:line="360" w:lineRule="auto"/>
              <w:jc w:val="center"/>
              <w:rPr>
                <w:kern w:val="0"/>
              </w:rPr>
            </w:pPr>
            <w:r>
              <w:rPr>
                <w:kern w:val="0"/>
              </w:rPr>
              <w:t>本期末</w:t>
            </w:r>
          </w:p>
          <w:p w14:paraId="79F86BC5">
            <w:pPr>
              <w:spacing w:line="360" w:lineRule="auto"/>
              <w:jc w:val="center"/>
              <w:rPr>
                <w:kern w:val="0"/>
              </w:rPr>
            </w:pPr>
            <w:r>
              <w:t>2026年6月30日</w:t>
            </w:r>
          </w:p>
        </w:tc>
      </w:tr>
      <w:tr w14:paraId="55B0C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vAlign w:val="center"/>
          </w:tcPr>
          <w:p w14:paraId="48DBB185">
            <w:pPr>
              <w:spacing w:line="360" w:lineRule="auto"/>
              <w:rPr>
                <w:kern w:val="0"/>
              </w:rPr>
            </w:pPr>
            <w:r>
              <w:rPr>
                <w:kern w:val="0"/>
              </w:rPr>
              <w:t>活期存款</w:t>
            </w:r>
          </w:p>
        </w:tc>
        <w:tc>
          <w:tcPr>
            <w:tcW w:w="6315" w:type="dxa"/>
            <w:tcMar>
              <w:top w:w="15" w:type="dxa"/>
              <w:left w:w="15" w:type="dxa"/>
              <w:bottom w:w="0" w:type="dxa"/>
              <w:right w:w="15" w:type="dxa"/>
            </w:tcMar>
            <w:vAlign w:val="center"/>
          </w:tcPr>
          <w:p w14:paraId="4AB67B9B">
            <w:pPr>
              <w:spacing w:line="360" w:lineRule="auto"/>
              <w:jc w:val="right"/>
              <w:rPr>
                <w:kern w:val="0"/>
              </w:rPr>
            </w:pPr>
            <w:r>
              <w:rPr>
                <w:kern w:val="0"/>
              </w:rPr>
              <w:t>46,608,643.15</w:t>
            </w:r>
          </w:p>
        </w:tc>
      </w:tr>
      <w:tr w14:paraId="61A2B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vAlign w:val="center"/>
          </w:tcPr>
          <w:p w14:paraId="7983373D">
            <w:pPr>
              <w:spacing w:line="360" w:lineRule="auto"/>
              <w:rPr>
                <w:kern w:val="0"/>
              </w:rPr>
            </w:pPr>
            <w:r>
              <w:rPr>
                <w:kern w:val="0"/>
              </w:rPr>
              <w:t>定期存款</w:t>
            </w:r>
          </w:p>
        </w:tc>
        <w:tc>
          <w:tcPr>
            <w:tcW w:w="6315" w:type="dxa"/>
            <w:tcMar>
              <w:top w:w="15" w:type="dxa"/>
              <w:left w:w="15" w:type="dxa"/>
              <w:bottom w:w="0" w:type="dxa"/>
              <w:right w:w="15" w:type="dxa"/>
            </w:tcMar>
            <w:vAlign w:val="center"/>
          </w:tcPr>
          <w:p w14:paraId="0DDC9091">
            <w:pPr>
              <w:spacing w:line="360" w:lineRule="auto"/>
              <w:jc w:val="right"/>
              <w:rPr>
                <w:kern w:val="0"/>
              </w:rPr>
            </w:pPr>
            <w:r>
              <w:rPr>
                <w:kern w:val="0"/>
              </w:rPr>
              <w:t>-</w:t>
            </w:r>
          </w:p>
        </w:tc>
      </w:tr>
      <w:tr w14:paraId="5AF28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tcPr>
          <w:p w14:paraId="39ADE3A1">
            <w:pPr>
              <w:spacing w:line="360" w:lineRule="auto"/>
              <w:rPr>
                <w:kern w:val="0"/>
              </w:rPr>
            </w:pPr>
            <w:r>
              <w:rPr>
                <w:kern w:val="0"/>
              </w:rPr>
              <w:t>其中：存款期限1－3个月</w:t>
            </w:r>
          </w:p>
        </w:tc>
        <w:tc>
          <w:tcPr>
            <w:tcW w:w="6315" w:type="dxa"/>
            <w:tcMar>
              <w:top w:w="15" w:type="dxa"/>
              <w:left w:w="15" w:type="dxa"/>
              <w:bottom w:w="0" w:type="dxa"/>
              <w:right w:w="15" w:type="dxa"/>
            </w:tcMar>
            <w:vAlign w:val="bottom"/>
          </w:tcPr>
          <w:p w14:paraId="78727B56">
            <w:pPr>
              <w:spacing w:line="360" w:lineRule="auto"/>
              <w:jc w:val="right"/>
              <w:rPr>
                <w:kern w:val="0"/>
              </w:rPr>
            </w:pPr>
            <w:r>
              <w:rPr>
                <w:kern w:val="0"/>
              </w:rPr>
              <w:t>-</w:t>
            </w:r>
          </w:p>
        </w:tc>
      </w:tr>
      <w:tr w14:paraId="5450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vAlign w:val="center"/>
          </w:tcPr>
          <w:p w14:paraId="124DCFB9">
            <w:pPr>
              <w:spacing w:line="360" w:lineRule="auto"/>
              <w:rPr>
                <w:kern w:val="0"/>
              </w:rPr>
            </w:pPr>
            <w:r>
              <w:rPr>
                <w:kern w:val="0"/>
              </w:rPr>
              <w:t>其他存款</w:t>
            </w:r>
          </w:p>
        </w:tc>
        <w:tc>
          <w:tcPr>
            <w:tcW w:w="6315" w:type="dxa"/>
            <w:tcMar>
              <w:top w:w="15" w:type="dxa"/>
              <w:left w:w="15" w:type="dxa"/>
              <w:bottom w:w="0" w:type="dxa"/>
              <w:right w:w="15" w:type="dxa"/>
            </w:tcMar>
            <w:vAlign w:val="center"/>
          </w:tcPr>
          <w:p w14:paraId="3B194AA0">
            <w:pPr>
              <w:spacing w:line="360" w:lineRule="auto"/>
              <w:jc w:val="right"/>
              <w:rPr>
                <w:kern w:val="0"/>
              </w:rPr>
            </w:pPr>
            <w:r>
              <w:rPr>
                <w:kern w:val="0"/>
              </w:rPr>
              <w:t>-</w:t>
            </w:r>
          </w:p>
        </w:tc>
      </w:tr>
      <w:tr w14:paraId="0F86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tcPr>
          <w:p w14:paraId="3744D7B2">
            <w:pPr>
              <w:spacing w:line="360" w:lineRule="auto"/>
              <w:rPr>
                <w:kern w:val="0"/>
              </w:rPr>
            </w:pPr>
            <w:r>
              <w:rPr>
                <w:kern w:val="0"/>
              </w:rPr>
              <w:t>应计利息</w:t>
            </w:r>
          </w:p>
        </w:tc>
        <w:tc>
          <w:tcPr>
            <w:tcW w:w="6315" w:type="dxa"/>
            <w:tcMar>
              <w:top w:w="15" w:type="dxa"/>
              <w:left w:w="15" w:type="dxa"/>
              <w:bottom w:w="0" w:type="dxa"/>
              <w:right w:w="15" w:type="dxa"/>
            </w:tcMar>
            <w:vAlign w:val="center"/>
          </w:tcPr>
          <w:p w14:paraId="77839F65">
            <w:pPr>
              <w:spacing w:line="360" w:lineRule="auto"/>
              <w:jc w:val="right"/>
              <w:rPr>
                <w:kern w:val="0"/>
              </w:rPr>
            </w:pPr>
            <w:r>
              <w:rPr>
                <w:kern w:val="0"/>
              </w:rPr>
              <w:t>2,723.00</w:t>
            </w:r>
          </w:p>
        </w:tc>
      </w:tr>
      <w:tr w14:paraId="49DFF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tcPr>
          <w:p w14:paraId="429931AF">
            <w:pPr>
              <w:spacing w:line="360" w:lineRule="auto"/>
              <w:jc w:val="center"/>
              <w:rPr>
                <w:kern w:val="0"/>
              </w:rPr>
            </w:pPr>
            <w:r>
              <w:rPr>
                <w:kern w:val="0"/>
              </w:rPr>
              <w:t>小计</w:t>
            </w:r>
          </w:p>
        </w:tc>
        <w:tc>
          <w:tcPr>
            <w:tcW w:w="6315" w:type="dxa"/>
            <w:tcMar>
              <w:top w:w="15" w:type="dxa"/>
              <w:left w:w="15" w:type="dxa"/>
              <w:bottom w:w="0" w:type="dxa"/>
              <w:right w:w="15" w:type="dxa"/>
            </w:tcMar>
            <w:vAlign w:val="center"/>
          </w:tcPr>
          <w:p w14:paraId="36DFFC54">
            <w:pPr>
              <w:spacing w:line="360" w:lineRule="auto"/>
              <w:jc w:val="right"/>
              <w:rPr>
                <w:kern w:val="0"/>
              </w:rPr>
            </w:pPr>
            <w:r>
              <w:rPr>
                <w:kern w:val="0"/>
              </w:rPr>
              <w:t>46,611,366.15</w:t>
            </w:r>
          </w:p>
        </w:tc>
      </w:tr>
      <w:tr w14:paraId="1310C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tcPr>
          <w:p w14:paraId="2F79B0E6">
            <w:pPr>
              <w:spacing w:line="360" w:lineRule="auto"/>
              <w:rPr>
                <w:kern w:val="0"/>
              </w:rPr>
            </w:pPr>
            <w:r>
              <w:rPr>
                <w:kern w:val="0"/>
              </w:rPr>
              <w:t>减：减值准备</w:t>
            </w:r>
          </w:p>
        </w:tc>
        <w:tc>
          <w:tcPr>
            <w:tcW w:w="6315" w:type="dxa"/>
            <w:tcMar>
              <w:top w:w="15" w:type="dxa"/>
              <w:left w:w="15" w:type="dxa"/>
              <w:bottom w:w="0" w:type="dxa"/>
              <w:right w:w="15" w:type="dxa"/>
            </w:tcMar>
            <w:vAlign w:val="center"/>
          </w:tcPr>
          <w:p w14:paraId="6B721808">
            <w:pPr>
              <w:spacing w:line="360" w:lineRule="auto"/>
              <w:jc w:val="right"/>
              <w:rPr>
                <w:kern w:val="0"/>
              </w:rPr>
            </w:pPr>
            <w:r>
              <w:rPr>
                <w:kern w:val="0"/>
              </w:rPr>
              <w:t>-</w:t>
            </w:r>
          </w:p>
        </w:tc>
      </w:tr>
      <w:tr w14:paraId="42B4A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634" w:type="dxa"/>
            <w:tcMar>
              <w:top w:w="15" w:type="dxa"/>
              <w:left w:w="15" w:type="dxa"/>
              <w:bottom w:w="0" w:type="dxa"/>
              <w:right w:w="15" w:type="dxa"/>
            </w:tcMar>
            <w:vAlign w:val="center"/>
          </w:tcPr>
          <w:p w14:paraId="05F6BE19">
            <w:pPr>
              <w:spacing w:line="360" w:lineRule="auto"/>
              <w:rPr>
                <w:kern w:val="0"/>
              </w:rPr>
            </w:pPr>
            <w:r>
              <w:rPr>
                <w:kern w:val="0"/>
              </w:rPr>
              <w:t>合计</w:t>
            </w:r>
          </w:p>
        </w:tc>
        <w:tc>
          <w:tcPr>
            <w:tcW w:w="6315" w:type="dxa"/>
            <w:tcMar>
              <w:top w:w="15" w:type="dxa"/>
              <w:left w:w="15" w:type="dxa"/>
              <w:bottom w:w="0" w:type="dxa"/>
              <w:right w:w="15" w:type="dxa"/>
            </w:tcMar>
            <w:vAlign w:val="center"/>
          </w:tcPr>
          <w:p w14:paraId="7E955A43">
            <w:pPr>
              <w:spacing w:line="360" w:lineRule="auto"/>
              <w:jc w:val="right"/>
              <w:rPr>
                <w:kern w:val="0"/>
              </w:rPr>
            </w:pPr>
            <w:r>
              <w:rPr>
                <w:kern w:val="0"/>
              </w:rPr>
              <w:t>46,611,366.15</w:t>
            </w:r>
          </w:p>
        </w:tc>
      </w:tr>
    </w:tbl>
    <w:p w14:paraId="6B136145">
      <w:pPr>
        <w:spacing w:line="360" w:lineRule="auto"/>
        <w:outlineLvl w:val="3"/>
        <w:rPr>
          <w:b/>
          <w:kern w:val="0"/>
        </w:rPr>
      </w:pPr>
      <w:r>
        <w:rPr>
          <w:b/>
          <w:kern w:val="0"/>
        </w:rPr>
        <w:t>9.5.6.2</w:t>
      </w:r>
      <w:r>
        <w:rPr>
          <w:b/>
        </w:rPr>
        <w:t xml:space="preserve"> </w:t>
      </w:r>
      <w:r>
        <w:rPr>
          <w:b/>
          <w:kern w:val="0"/>
        </w:rPr>
        <w:t xml:space="preserve"> 交易性金融资产</w:t>
      </w:r>
    </w:p>
    <w:p w14:paraId="56F7C844">
      <w:pPr>
        <w:spacing w:line="360" w:lineRule="auto"/>
        <w:ind w:right="565" w:rightChars="269"/>
        <w:jc w:val="right"/>
        <w:rPr>
          <w:b/>
        </w:rPr>
      </w:pPr>
      <w:r>
        <w:t>单位：人民币元</w:t>
      </w:r>
    </w:p>
    <w:tbl>
      <w:tblPr>
        <w:tblStyle w:val="40"/>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2551"/>
        <w:gridCol w:w="2268"/>
        <w:gridCol w:w="2552"/>
      </w:tblGrid>
      <w:tr w14:paraId="4CAC1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8931" w:type="dxa"/>
            <w:gridSpan w:val="4"/>
            <w:vAlign w:val="center"/>
          </w:tcPr>
          <w:p w14:paraId="7ACAAF18">
            <w:pPr>
              <w:spacing w:line="360" w:lineRule="auto"/>
              <w:rPr>
                <w:kern w:val="0"/>
              </w:rPr>
            </w:pPr>
            <w:r>
              <w:rPr>
                <w:b/>
                <w:bCs/>
              </w:rPr>
              <w:t>分类为以公允价值计量且其变动计入当期损益的金融资产小计</w:t>
            </w:r>
          </w:p>
        </w:tc>
      </w:tr>
      <w:tr w14:paraId="093B5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560" w:type="dxa"/>
            <w:vMerge w:val="restart"/>
            <w:vAlign w:val="center"/>
          </w:tcPr>
          <w:p w14:paraId="00D9540B">
            <w:pPr>
              <w:spacing w:line="360" w:lineRule="auto"/>
              <w:jc w:val="center"/>
              <w:rPr>
                <w:kern w:val="0"/>
              </w:rPr>
            </w:pPr>
            <w:r>
              <w:rPr>
                <w:kern w:val="0"/>
              </w:rPr>
              <w:t>项目</w:t>
            </w:r>
          </w:p>
        </w:tc>
        <w:tc>
          <w:tcPr>
            <w:tcW w:w="7371" w:type="dxa"/>
            <w:gridSpan w:val="3"/>
            <w:vAlign w:val="center"/>
          </w:tcPr>
          <w:p w14:paraId="2C79E6FD">
            <w:pPr>
              <w:spacing w:line="360" w:lineRule="auto"/>
              <w:jc w:val="center"/>
              <w:rPr>
                <w:kern w:val="0"/>
              </w:rPr>
            </w:pPr>
            <w:r>
              <w:rPr>
                <w:kern w:val="0"/>
              </w:rPr>
              <w:t>本期末</w:t>
            </w:r>
          </w:p>
          <w:p w14:paraId="5B9F4C34">
            <w:pPr>
              <w:spacing w:line="360" w:lineRule="auto"/>
              <w:jc w:val="center"/>
              <w:rPr>
                <w:kern w:val="0"/>
              </w:rPr>
            </w:pPr>
            <w:r>
              <w:rPr>
                <w:kern w:val="0"/>
              </w:rPr>
              <w:t>2026年6月30日</w:t>
            </w:r>
          </w:p>
        </w:tc>
      </w:tr>
      <w:tr w14:paraId="5B8F2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Merge w:val="continue"/>
            <w:vAlign w:val="center"/>
          </w:tcPr>
          <w:p w14:paraId="44E51CD3">
            <w:pPr>
              <w:widowControl/>
              <w:spacing w:line="360" w:lineRule="auto"/>
              <w:jc w:val="left"/>
              <w:rPr>
                <w:kern w:val="0"/>
              </w:rPr>
            </w:pPr>
          </w:p>
        </w:tc>
        <w:tc>
          <w:tcPr>
            <w:tcW w:w="2551" w:type="dxa"/>
            <w:vAlign w:val="center"/>
          </w:tcPr>
          <w:p w14:paraId="248FB3A1">
            <w:pPr>
              <w:spacing w:line="360" w:lineRule="auto"/>
              <w:jc w:val="center"/>
              <w:rPr>
                <w:kern w:val="0"/>
              </w:rPr>
            </w:pPr>
            <w:r>
              <w:rPr>
                <w:kern w:val="0"/>
              </w:rPr>
              <w:t>成本</w:t>
            </w:r>
          </w:p>
        </w:tc>
        <w:tc>
          <w:tcPr>
            <w:tcW w:w="2268" w:type="dxa"/>
            <w:vAlign w:val="center"/>
          </w:tcPr>
          <w:p w14:paraId="37EAED53">
            <w:pPr>
              <w:spacing w:line="360" w:lineRule="auto"/>
              <w:jc w:val="center"/>
              <w:rPr>
                <w:kern w:val="0"/>
              </w:rPr>
            </w:pPr>
            <w:r>
              <w:rPr>
                <w:kern w:val="0"/>
              </w:rPr>
              <w:t>公允价值</w:t>
            </w:r>
          </w:p>
        </w:tc>
        <w:tc>
          <w:tcPr>
            <w:tcW w:w="2552" w:type="dxa"/>
            <w:vAlign w:val="center"/>
          </w:tcPr>
          <w:p w14:paraId="4A9F47B8">
            <w:pPr>
              <w:spacing w:line="360" w:lineRule="auto"/>
              <w:jc w:val="center"/>
              <w:rPr>
                <w:kern w:val="0"/>
              </w:rPr>
            </w:pPr>
            <w:r>
              <w:rPr>
                <w:kern w:val="0"/>
              </w:rPr>
              <w:t>公允价值变动</w:t>
            </w:r>
          </w:p>
        </w:tc>
      </w:tr>
      <w:tr w14:paraId="4A46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1E723C1B">
            <w:pPr>
              <w:widowControl/>
              <w:spacing w:line="360" w:lineRule="auto"/>
              <w:rPr>
                <w:kern w:val="0"/>
              </w:rPr>
            </w:pPr>
            <w:r>
              <w:rPr>
                <w:kern w:val="0"/>
              </w:rPr>
              <w:t>债券</w:t>
            </w:r>
          </w:p>
        </w:tc>
        <w:tc>
          <w:tcPr>
            <w:tcW w:w="2551" w:type="dxa"/>
            <w:vAlign w:val="center"/>
          </w:tcPr>
          <w:p w14:paraId="1F7890C2">
            <w:pPr>
              <w:spacing w:line="360" w:lineRule="auto"/>
              <w:jc w:val="right"/>
            </w:pPr>
            <w:r>
              <w:t>-</w:t>
            </w:r>
          </w:p>
        </w:tc>
        <w:tc>
          <w:tcPr>
            <w:tcW w:w="2268" w:type="dxa"/>
            <w:vAlign w:val="center"/>
          </w:tcPr>
          <w:p w14:paraId="6F5617BF">
            <w:pPr>
              <w:spacing w:line="360" w:lineRule="auto"/>
              <w:jc w:val="right"/>
            </w:pPr>
            <w:r>
              <w:t>-</w:t>
            </w:r>
          </w:p>
        </w:tc>
        <w:tc>
          <w:tcPr>
            <w:tcW w:w="2552" w:type="dxa"/>
            <w:vAlign w:val="center"/>
          </w:tcPr>
          <w:p w14:paraId="54DA0035">
            <w:pPr>
              <w:spacing w:line="360" w:lineRule="auto"/>
              <w:jc w:val="right"/>
            </w:pPr>
            <w:r>
              <w:t>-</w:t>
            </w:r>
          </w:p>
        </w:tc>
      </w:tr>
      <w:tr w14:paraId="350B0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1B4B8DFA">
            <w:pPr>
              <w:spacing w:line="360" w:lineRule="auto"/>
              <w:jc w:val="left"/>
              <w:rPr>
                <w:kern w:val="0"/>
              </w:rPr>
            </w:pPr>
            <w:r>
              <w:rPr>
                <w:kern w:val="0"/>
              </w:rPr>
              <w:t>交易所市场</w:t>
            </w:r>
          </w:p>
        </w:tc>
        <w:tc>
          <w:tcPr>
            <w:tcW w:w="2551" w:type="dxa"/>
            <w:vAlign w:val="center"/>
          </w:tcPr>
          <w:p w14:paraId="3C926B8A">
            <w:pPr>
              <w:spacing w:line="360" w:lineRule="auto"/>
              <w:jc w:val="right"/>
              <w:rPr>
                <w:kern w:val="0"/>
              </w:rPr>
            </w:pPr>
            <w:r>
              <w:rPr>
                <w:kern w:val="0"/>
              </w:rPr>
              <w:t>-</w:t>
            </w:r>
          </w:p>
        </w:tc>
        <w:tc>
          <w:tcPr>
            <w:tcW w:w="2268" w:type="dxa"/>
            <w:vAlign w:val="center"/>
          </w:tcPr>
          <w:p w14:paraId="58345E0E">
            <w:pPr>
              <w:spacing w:line="360" w:lineRule="auto"/>
              <w:jc w:val="right"/>
              <w:rPr>
                <w:kern w:val="0"/>
              </w:rPr>
            </w:pPr>
            <w:r>
              <w:rPr>
                <w:kern w:val="0"/>
              </w:rPr>
              <w:t>-</w:t>
            </w:r>
          </w:p>
        </w:tc>
        <w:tc>
          <w:tcPr>
            <w:tcW w:w="2552" w:type="dxa"/>
            <w:vAlign w:val="center"/>
          </w:tcPr>
          <w:p w14:paraId="6C091F84">
            <w:pPr>
              <w:spacing w:line="360" w:lineRule="auto"/>
              <w:jc w:val="right"/>
              <w:rPr>
                <w:kern w:val="0"/>
              </w:rPr>
            </w:pPr>
            <w:r>
              <w:rPr>
                <w:kern w:val="0"/>
              </w:rPr>
              <w:t>-</w:t>
            </w:r>
          </w:p>
        </w:tc>
      </w:tr>
      <w:tr w14:paraId="4BEE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02677E7D">
            <w:pPr>
              <w:widowControl/>
              <w:spacing w:line="360" w:lineRule="auto"/>
              <w:jc w:val="left"/>
              <w:rPr>
                <w:kern w:val="0"/>
              </w:rPr>
            </w:pPr>
            <w:r>
              <w:rPr>
                <w:kern w:val="0"/>
              </w:rPr>
              <w:t>银行间市场</w:t>
            </w:r>
          </w:p>
        </w:tc>
        <w:tc>
          <w:tcPr>
            <w:tcW w:w="2551" w:type="dxa"/>
            <w:vAlign w:val="center"/>
          </w:tcPr>
          <w:p w14:paraId="576C31D0">
            <w:pPr>
              <w:spacing w:line="360" w:lineRule="auto"/>
              <w:jc w:val="right"/>
              <w:rPr>
                <w:kern w:val="0"/>
              </w:rPr>
            </w:pPr>
            <w:r>
              <w:rPr>
                <w:kern w:val="0"/>
              </w:rPr>
              <w:t>-</w:t>
            </w:r>
          </w:p>
        </w:tc>
        <w:tc>
          <w:tcPr>
            <w:tcW w:w="2268" w:type="dxa"/>
            <w:vAlign w:val="center"/>
          </w:tcPr>
          <w:p w14:paraId="6CBFDF70">
            <w:pPr>
              <w:spacing w:line="360" w:lineRule="auto"/>
              <w:jc w:val="right"/>
              <w:rPr>
                <w:kern w:val="0"/>
              </w:rPr>
            </w:pPr>
            <w:r>
              <w:rPr>
                <w:kern w:val="0"/>
              </w:rPr>
              <w:t>-</w:t>
            </w:r>
          </w:p>
        </w:tc>
        <w:tc>
          <w:tcPr>
            <w:tcW w:w="2552" w:type="dxa"/>
            <w:vAlign w:val="center"/>
          </w:tcPr>
          <w:p w14:paraId="17EBCB98">
            <w:pPr>
              <w:spacing w:line="360" w:lineRule="auto"/>
              <w:jc w:val="right"/>
              <w:rPr>
                <w:kern w:val="0"/>
              </w:rPr>
            </w:pPr>
            <w:r>
              <w:rPr>
                <w:kern w:val="0"/>
              </w:rPr>
              <w:t>-</w:t>
            </w:r>
          </w:p>
        </w:tc>
      </w:tr>
      <w:tr w14:paraId="1151B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110A73CE">
            <w:pPr>
              <w:widowControl/>
              <w:spacing w:line="360" w:lineRule="auto"/>
              <w:rPr>
                <w:kern w:val="0"/>
              </w:rPr>
            </w:pPr>
            <w:r>
              <w:rPr>
                <w:kern w:val="0"/>
              </w:rPr>
              <w:t>资产支持证券</w:t>
            </w:r>
          </w:p>
        </w:tc>
        <w:tc>
          <w:tcPr>
            <w:tcW w:w="2551" w:type="dxa"/>
            <w:vAlign w:val="center"/>
          </w:tcPr>
          <w:p w14:paraId="59094F92">
            <w:pPr>
              <w:spacing w:line="360" w:lineRule="auto"/>
              <w:jc w:val="right"/>
            </w:pPr>
            <w:r>
              <w:t>-</w:t>
            </w:r>
          </w:p>
        </w:tc>
        <w:tc>
          <w:tcPr>
            <w:tcW w:w="2268" w:type="dxa"/>
            <w:vAlign w:val="center"/>
          </w:tcPr>
          <w:p w14:paraId="553E748C">
            <w:pPr>
              <w:spacing w:line="360" w:lineRule="auto"/>
              <w:jc w:val="right"/>
            </w:pPr>
            <w:r>
              <w:t>-</w:t>
            </w:r>
          </w:p>
        </w:tc>
        <w:tc>
          <w:tcPr>
            <w:tcW w:w="2552" w:type="dxa"/>
            <w:vAlign w:val="center"/>
          </w:tcPr>
          <w:p w14:paraId="5809F6E6">
            <w:pPr>
              <w:spacing w:line="360" w:lineRule="auto"/>
              <w:jc w:val="right"/>
            </w:pPr>
            <w:r>
              <w:t>-</w:t>
            </w:r>
          </w:p>
        </w:tc>
      </w:tr>
      <w:tr w14:paraId="4B0F0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3FEC40D4">
            <w:pPr>
              <w:jc w:val="left"/>
            </w:pPr>
            <w:r>
              <w:rPr>
                <w:kern w:val="0"/>
              </w:rPr>
              <w:t>货币市场基金</w:t>
            </w:r>
          </w:p>
        </w:tc>
        <w:tc>
          <w:tcPr>
            <w:vAlign w:val="center"/>
          </w:tcPr>
          <w:p w14:paraId="68D11181">
            <w:pPr>
              <w:jc w:val="right"/>
            </w:pPr>
            <w:r>
              <w:rPr>
                <w:kern w:val="0"/>
              </w:rPr>
              <w:t>67,415,095.54</w:t>
            </w:r>
          </w:p>
        </w:tc>
        <w:tc>
          <w:tcPr>
            <w:vAlign w:val="center"/>
          </w:tcPr>
          <w:p w14:paraId="7AD5E69D">
            <w:pPr>
              <w:jc w:val="right"/>
            </w:pPr>
            <w:r>
              <w:rPr>
                <w:kern w:val="0"/>
              </w:rPr>
              <w:t>67,415,095.54</w:t>
            </w:r>
          </w:p>
        </w:tc>
        <w:tc>
          <w:tcPr>
            <w:vAlign w:val="center"/>
          </w:tcPr>
          <w:p w14:paraId="0032CF70">
            <w:pPr>
              <w:jc w:val="right"/>
            </w:pPr>
            <w:r>
              <w:rPr>
                <w:kern w:val="0"/>
              </w:rPr>
              <w:t>-</w:t>
            </w:r>
          </w:p>
        </w:tc>
      </w:tr>
      <w:tr w14:paraId="6243D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2DEABE05">
            <w:pPr>
              <w:widowControl/>
              <w:spacing w:line="360" w:lineRule="auto"/>
              <w:rPr>
                <w:kern w:val="0"/>
              </w:rPr>
            </w:pPr>
            <w:r>
              <w:rPr>
                <w:kern w:val="0"/>
              </w:rPr>
              <w:t>其他</w:t>
            </w:r>
          </w:p>
        </w:tc>
        <w:tc>
          <w:tcPr>
            <w:tcW w:w="2551" w:type="dxa"/>
            <w:vAlign w:val="center"/>
          </w:tcPr>
          <w:p w14:paraId="21889AF0">
            <w:pPr>
              <w:spacing w:line="360" w:lineRule="auto"/>
              <w:jc w:val="right"/>
            </w:pPr>
            <w:r>
              <w:t>-</w:t>
            </w:r>
          </w:p>
        </w:tc>
        <w:tc>
          <w:tcPr>
            <w:tcW w:w="2268" w:type="dxa"/>
            <w:vAlign w:val="center"/>
          </w:tcPr>
          <w:p w14:paraId="10ACA9DB">
            <w:pPr>
              <w:spacing w:line="360" w:lineRule="auto"/>
              <w:jc w:val="right"/>
            </w:pPr>
            <w:r>
              <w:t>-</w:t>
            </w:r>
          </w:p>
        </w:tc>
        <w:tc>
          <w:tcPr>
            <w:tcW w:w="2552" w:type="dxa"/>
            <w:vAlign w:val="center"/>
          </w:tcPr>
          <w:p w14:paraId="4AFCE0AB">
            <w:pPr>
              <w:spacing w:line="360" w:lineRule="auto"/>
              <w:jc w:val="right"/>
            </w:pPr>
            <w:r>
              <w:t>-</w:t>
            </w:r>
          </w:p>
        </w:tc>
      </w:tr>
      <w:tr w14:paraId="26385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60863E9B">
            <w:pPr>
              <w:widowControl/>
              <w:spacing w:line="360" w:lineRule="auto"/>
              <w:jc w:val="center"/>
              <w:rPr>
                <w:kern w:val="0"/>
              </w:rPr>
            </w:pPr>
            <w:r>
              <w:rPr>
                <w:kern w:val="0"/>
              </w:rPr>
              <w:t>小计</w:t>
            </w:r>
          </w:p>
        </w:tc>
        <w:tc>
          <w:tcPr>
            <w:tcW w:w="2551" w:type="dxa"/>
            <w:vAlign w:val="center"/>
          </w:tcPr>
          <w:p w14:paraId="191CAC6F">
            <w:pPr>
              <w:spacing w:line="360" w:lineRule="auto"/>
              <w:jc w:val="right"/>
            </w:pPr>
            <w:r>
              <w:t>67,415,095.54</w:t>
            </w:r>
          </w:p>
        </w:tc>
        <w:tc>
          <w:tcPr>
            <w:tcW w:w="2268" w:type="dxa"/>
            <w:vAlign w:val="center"/>
          </w:tcPr>
          <w:p w14:paraId="7C0FD5EB">
            <w:pPr>
              <w:spacing w:line="360" w:lineRule="auto"/>
              <w:jc w:val="right"/>
            </w:pPr>
            <w:r>
              <w:t>67,415,095.54</w:t>
            </w:r>
          </w:p>
        </w:tc>
        <w:tc>
          <w:tcPr>
            <w:tcW w:w="2552" w:type="dxa"/>
            <w:vAlign w:val="center"/>
          </w:tcPr>
          <w:p w14:paraId="068E9009">
            <w:pPr>
              <w:spacing w:line="360" w:lineRule="auto"/>
              <w:jc w:val="right"/>
            </w:pPr>
            <w:r>
              <w:t>-</w:t>
            </w:r>
          </w:p>
        </w:tc>
      </w:tr>
      <w:tr w14:paraId="799CC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8931" w:type="dxa"/>
            <w:gridSpan w:val="4"/>
            <w:vAlign w:val="center"/>
          </w:tcPr>
          <w:p w14:paraId="5BC397A0">
            <w:pPr>
              <w:spacing w:line="360" w:lineRule="auto"/>
              <w:rPr>
                <w:kern w:val="0"/>
              </w:rPr>
            </w:pPr>
            <w:r>
              <w:rPr>
                <w:b/>
                <w:bCs/>
              </w:rPr>
              <w:t>指定为以公允价值计量且其变动计入当期损益的金融资产小计</w:t>
            </w:r>
          </w:p>
        </w:tc>
      </w:tr>
      <w:tr w14:paraId="23DEA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560" w:type="dxa"/>
            <w:vMerge w:val="restart"/>
            <w:vAlign w:val="center"/>
          </w:tcPr>
          <w:p w14:paraId="0DAE6BDA">
            <w:pPr>
              <w:spacing w:line="360" w:lineRule="auto"/>
              <w:jc w:val="center"/>
              <w:rPr>
                <w:kern w:val="0"/>
              </w:rPr>
            </w:pPr>
            <w:r>
              <w:rPr>
                <w:kern w:val="0"/>
              </w:rPr>
              <w:t>项目</w:t>
            </w:r>
          </w:p>
        </w:tc>
        <w:tc>
          <w:tcPr>
            <w:tcW w:w="7371" w:type="dxa"/>
            <w:gridSpan w:val="3"/>
            <w:vAlign w:val="center"/>
          </w:tcPr>
          <w:p w14:paraId="776C3547">
            <w:pPr>
              <w:spacing w:line="360" w:lineRule="auto"/>
              <w:jc w:val="center"/>
              <w:rPr>
                <w:kern w:val="0"/>
              </w:rPr>
            </w:pPr>
            <w:r>
              <w:rPr>
                <w:kern w:val="0"/>
              </w:rPr>
              <w:t>本期末</w:t>
            </w:r>
          </w:p>
          <w:p w14:paraId="0D44CFA5">
            <w:pPr>
              <w:spacing w:line="360" w:lineRule="auto"/>
              <w:jc w:val="center"/>
              <w:rPr>
                <w:kern w:val="0"/>
              </w:rPr>
            </w:pPr>
            <w:r>
              <w:rPr>
                <w:kern w:val="0"/>
              </w:rPr>
              <w:t>2026年6月30日</w:t>
            </w:r>
          </w:p>
        </w:tc>
      </w:tr>
      <w:tr w14:paraId="28CA2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Merge w:val="continue"/>
            <w:vAlign w:val="center"/>
          </w:tcPr>
          <w:p w14:paraId="2EDF78FE">
            <w:pPr>
              <w:widowControl/>
              <w:spacing w:line="360" w:lineRule="auto"/>
              <w:jc w:val="left"/>
              <w:rPr>
                <w:kern w:val="0"/>
              </w:rPr>
            </w:pPr>
          </w:p>
        </w:tc>
        <w:tc>
          <w:tcPr>
            <w:tcW w:w="2551" w:type="dxa"/>
            <w:vAlign w:val="center"/>
          </w:tcPr>
          <w:p w14:paraId="4E317693">
            <w:pPr>
              <w:spacing w:line="360" w:lineRule="auto"/>
              <w:jc w:val="center"/>
              <w:rPr>
                <w:kern w:val="0"/>
              </w:rPr>
            </w:pPr>
            <w:r>
              <w:rPr>
                <w:kern w:val="0"/>
              </w:rPr>
              <w:t>成本</w:t>
            </w:r>
          </w:p>
        </w:tc>
        <w:tc>
          <w:tcPr>
            <w:tcW w:w="2268" w:type="dxa"/>
            <w:vAlign w:val="center"/>
          </w:tcPr>
          <w:p w14:paraId="5A9EB81F">
            <w:pPr>
              <w:spacing w:line="360" w:lineRule="auto"/>
              <w:jc w:val="center"/>
              <w:rPr>
                <w:kern w:val="0"/>
              </w:rPr>
            </w:pPr>
            <w:r>
              <w:rPr>
                <w:kern w:val="0"/>
              </w:rPr>
              <w:t>公允价值</w:t>
            </w:r>
          </w:p>
        </w:tc>
        <w:tc>
          <w:tcPr>
            <w:tcW w:w="2552" w:type="dxa"/>
            <w:vAlign w:val="center"/>
          </w:tcPr>
          <w:p w14:paraId="160A6B7C">
            <w:pPr>
              <w:spacing w:line="360" w:lineRule="auto"/>
              <w:jc w:val="center"/>
              <w:rPr>
                <w:kern w:val="0"/>
              </w:rPr>
            </w:pPr>
            <w:r>
              <w:rPr>
                <w:kern w:val="0"/>
              </w:rPr>
              <w:t>公允价值变动</w:t>
            </w:r>
          </w:p>
        </w:tc>
      </w:tr>
      <w:tr w14:paraId="7828D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6F77A48C">
            <w:pPr>
              <w:widowControl/>
              <w:spacing w:line="360" w:lineRule="auto"/>
              <w:rPr>
                <w:kern w:val="0"/>
              </w:rPr>
            </w:pPr>
            <w:r>
              <w:rPr>
                <w:kern w:val="0"/>
              </w:rPr>
              <w:t>债券</w:t>
            </w:r>
          </w:p>
        </w:tc>
        <w:tc>
          <w:tcPr>
            <w:tcW w:w="2551" w:type="dxa"/>
            <w:vAlign w:val="center"/>
          </w:tcPr>
          <w:p w14:paraId="5BF07642">
            <w:pPr>
              <w:spacing w:line="360" w:lineRule="auto"/>
              <w:jc w:val="right"/>
            </w:pPr>
            <w:r>
              <w:t>-</w:t>
            </w:r>
          </w:p>
        </w:tc>
        <w:tc>
          <w:tcPr>
            <w:tcW w:w="2268" w:type="dxa"/>
            <w:vAlign w:val="center"/>
          </w:tcPr>
          <w:p w14:paraId="32F5B54B">
            <w:pPr>
              <w:spacing w:line="360" w:lineRule="auto"/>
              <w:jc w:val="right"/>
            </w:pPr>
            <w:r>
              <w:t>-</w:t>
            </w:r>
          </w:p>
        </w:tc>
        <w:tc>
          <w:tcPr>
            <w:tcW w:w="2552" w:type="dxa"/>
            <w:vAlign w:val="center"/>
          </w:tcPr>
          <w:p w14:paraId="1738C6A1">
            <w:pPr>
              <w:spacing w:line="360" w:lineRule="auto"/>
              <w:jc w:val="right"/>
            </w:pPr>
            <w:r>
              <w:t>-</w:t>
            </w:r>
          </w:p>
        </w:tc>
      </w:tr>
      <w:tr w14:paraId="657D1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5152139F">
            <w:pPr>
              <w:spacing w:line="360" w:lineRule="auto"/>
              <w:jc w:val="left"/>
              <w:rPr>
                <w:kern w:val="0"/>
              </w:rPr>
            </w:pPr>
            <w:r>
              <w:rPr>
                <w:kern w:val="0"/>
              </w:rPr>
              <w:t>交易所市场</w:t>
            </w:r>
          </w:p>
        </w:tc>
        <w:tc>
          <w:tcPr>
            <w:tcW w:w="2551" w:type="dxa"/>
            <w:vAlign w:val="center"/>
          </w:tcPr>
          <w:p w14:paraId="54C7A4C9">
            <w:pPr>
              <w:spacing w:line="360" w:lineRule="auto"/>
              <w:jc w:val="right"/>
              <w:rPr>
                <w:kern w:val="0"/>
              </w:rPr>
            </w:pPr>
            <w:r>
              <w:rPr>
                <w:kern w:val="0"/>
              </w:rPr>
              <w:t>-</w:t>
            </w:r>
          </w:p>
        </w:tc>
        <w:tc>
          <w:tcPr>
            <w:tcW w:w="2268" w:type="dxa"/>
            <w:vAlign w:val="center"/>
          </w:tcPr>
          <w:p w14:paraId="0A098DB0">
            <w:pPr>
              <w:spacing w:line="360" w:lineRule="auto"/>
              <w:jc w:val="right"/>
              <w:rPr>
                <w:kern w:val="0"/>
              </w:rPr>
            </w:pPr>
            <w:r>
              <w:rPr>
                <w:kern w:val="0"/>
              </w:rPr>
              <w:t>-</w:t>
            </w:r>
          </w:p>
        </w:tc>
        <w:tc>
          <w:tcPr>
            <w:tcW w:w="2552" w:type="dxa"/>
            <w:vAlign w:val="center"/>
          </w:tcPr>
          <w:p w14:paraId="2B8D442C">
            <w:pPr>
              <w:spacing w:line="360" w:lineRule="auto"/>
              <w:jc w:val="right"/>
              <w:rPr>
                <w:kern w:val="0"/>
              </w:rPr>
            </w:pPr>
            <w:r>
              <w:rPr>
                <w:kern w:val="0"/>
              </w:rPr>
              <w:t>-</w:t>
            </w:r>
          </w:p>
        </w:tc>
      </w:tr>
      <w:tr w14:paraId="02DD0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0C044E22">
            <w:pPr>
              <w:widowControl/>
              <w:spacing w:line="360" w:lineRule="auto"/>
              <w:jc w:val="left"/>
              <w:rPr>
                <w:kern w:val="0"/>
              </w:rPr>
            </w:pPr>
            <w:r>
              <w:rPr>
                <w:kern w:val="0"/>
              </w:rPr>
              <w:t>银行间市场</w:t>
            </w:r>
          </w:p>
        </w:tc>
        <w:tc>
          <w:tcPr>
            <w:tcW w:w="2551" w:type="dxa"/>
            <w:vAlign w:val="center"/>
          </w:tcPr>
          <w:p w14:paraId="1C36135E">
            <w:pPr>
              <w:spacing w:line="360" w:lineRule="auto"/>
              <w:jc w:val="right"/>
              <w:rPr>
                <w:kern w:val="0"/>
              </w:rPr>
            </w:pPr>
            <w:r>
              <w:rPr>
                <w:kern w:val="0"/>
              </w:rPr>
              <w:t>-</w:t>
            </w:r>
          </w:p>
        </w:tc>
        <w:tc>
          <w:tcPr>
            <w:tcW w:w="2268" w:type="dxa"/>
            <w:vAlign w:val="center"/>
          </w:tcPr>
          <w:p w14:paraId="6191CCA5">
            <w:pPr>
              <w:spacing w:line="360" w:lineRule="auto"/>
              <w:jc w:val="right"/>
              <w:rPr>
                <w:kern w:val="0"/>
              </w:rPr>
            </w:pPr>
            <w:r>
              <w:rPr>
                <w:kern w:val="0"/>
              </w:rPr>
              <w:t>-</w:t>
            </w:r>
          </w:p>
        </w:tc>
        <w:tc>
          <w:tcPr>
            <w:tcW w:w="2552" w:type="dxa"/>
            <w:vAlign w:val="center"/>
          </w:tcPr>
          <w:p w14:paraId="3164CB6E">
            <w:pPr>
              <w:spacing w:line="360" w:lineRule="auto"/>
              <w:jc w:val="right"/>
              <w:rPr>
                <w:kern w:val="0"/>
              </w:rPr>
            </w:pPr>
            <w:r>
              <w:rPr>
                <w:kern w:val="0"/>
              </w:rPr>
              <w:t>-</w:t>
            </w:r>
          </w:p>
        </w:tc>
      </w:tr>
      <w:tr w14:paraId="6BD63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27BF8814">
            <w:pPr>
              <w:widowControl/>
              <w:spacing w:line="360" w:lineRule="auto"/>
              <w:rPr>
                <w:kern w:val="0"/>
              </w:rPr>
            </w:pPr>
            <w:r>
              <w:rPr>
                <w:kern w:val="0"/>
              </w:rPr>
              <w:t>资产支持证券</w:t>
            </w:r>
          </w:p>
        </w:tc>
        <w:tc>
          <w:tcPr>
            <w:tcW w:w="2551" w:type="dxa"/>
            <w:vAlign w:val="center"/>
          </w:tcPr>
          <w:p w14:paraId="79D42993">
            <w:pPr>
              <w:spacing w:line="360" w:lineRule="auto"/>
              <w:jc w:val="right"/>
            </w:pPr>
            <w:r>
              <w:t>-</w:t>
            </w:r>
          </w:p>
        </w:tc>
        <w:tc>
          <w:tcPr>
            <w:tcW w:w="2268" w:type="dxa"/>
            <w:vAlign w:val="center"/>
          </w:tcPr>
          <w:p w14:paraId="5B4BE316">
            <w:pPr>
              <w:spacing w:line="360" w:lineRule="auto"/>
              <w:jc w:val="right"/>
            </w:pPr>
            <w:r>
              <w:t>-</w:t>
            </w:r>
          </w:p>
        </w:tc>
        <w:tc>
          <w:tcPr>
            <w:tcW w:w="2552" w:type="dxa"/>
            <w:vAlign w:val="center"/>
          </w:tcPr>
          <w:p w14:paraId="0953B869">
            <w:pPr>
              <w:spacing w:line="360" w:lineRule="auto"/>
              <w:jc w:val="right"/>
            </w:pPr>
            <w:r>
              <w:t>-</w:t>
            </w:r>
          </w:p>
        </w:tc>
      </w:tr>
      <w:tr w14:paraId="14246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2C33F217">
            <w:pPr>
              <w:widowControl/>
              <w:spacing w:line="360" w:lineRule="auto"/>
              <w:rPr>
                <w:kern w:val="0"/>
              </w:rPr>
            </w:pPr>
            <w:r>
              <w:rPr>
                <w:kern w:val="0"/>
              </w:rPr>
              <w:t>其他</w:t>
            </w:r>
          </w:p>
        </w:tc>
        <w:tc>
          <w:tcPr>
            <w:tcW w:w="2551" w:type="dxa"/>
            <w:vAlign w:val="center"/>
          </w:tcPr>
          <w:p w14:paraId="5FDB30F3">
            <w:pPr>
              <w:spacing w:line="360" w:lineRule="auto"/>
              <w:jc w:val="right"/>
            </w:pPr>
            <w:r>
              <w:t>-</w:t>
            </w:r>
          </w:p>
        </w:tc>
        <w:tc>
          <w:tcPr>
            <w:tcW w:w="2268" w:type="dxa"/>
            <w:vAlign w:val="center"/>
          </w:tcPr>
          <w:p w14:paraId="76F1B6E3">
            <w:pPr>
              <w:spacing w:line="360" w:lineRule="auto"/>
              <w:jc w:val="right"/>
            </w:pPr>
            <w:r>
              <w:t>-</w:t>
            </w:r>
          </w:p>
        </w:tc>
        <w:tc>
          <w:tcPr>
            <w:tcW w:w="2552" w:type="dxa"/>
            <w:vAlign w:val="center"/>
          </w:tcPr>
          <w:p w14:paraId="32020FC9">
            <w:pPr>
              <w:spacing w:line="360" w:lineRule="auto"/>
              <w:jc w:val="right"/>
            </w:pPr>
            <w:r>
              <w:t>-</w:t>
            </w:r>
          </w:p>
        </w:tc>
      </w:tr>
      <w:tr w14:paraId="31037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5461A78F">
            <w:pPr>
              <w:widowControl/>
              <w:spacing w:line="360" w:lineRule="auto"/>
              <w:jc w:val="center"/>
              <w:rPr>
                <w:kern w:val="0"/>
              </w:rPr>
            </w:pPr>
            <w:r>
              <w:rPr>
                <w:kern w:val="0"/>
              </w:rPr>
              <w:t>小计</w:t>
            </w:r>
          </w:p>
        </w:tc>
        <w:tc>
          <w:tcPr>
            <w:tcW w:w="2551" w:type="dxa"/>
            <w:vAlign w:val="center"/>
          </w:tcPr>
          <w:p w14:paraId="4165F7BC">
            <w:pPr>
              <w:spacing w:line="360" w:lineRule="auto"/>
              <w:jc w:val="right"/>
            </w:pPr>
            <w:r>
              <w:t>-</w:t>
            </w:r>
          </w:p>
        </w:tc>
        <w:tc>
          <w:tcPr>
            <w:tcW w:w="2268" w:type="dxa"/>
            <w:vAlign w:val="center"/>
          </w:tcPr>
          <w:p w14:paraId="7FDDB884">
            <w:pPr>
              <w:spacing w:line="360" w:lineRule="auto"/>
              <w:jc w:val="right"/>
            </w:pPr>
            <w:r>
              <w:t>-</w:t>
            </w:r>
          </w:p>
        </w:tc>
        <w:tc>
          <w:tcPr>
            <w:tcW w:w="2552" w:type="dxa"/>
            <w:vAlign w:val="center"/>
          </w:tcPr>
          <w:p w14:paraId="77FC9C42">
            <w:pPr>
              <w:spacing w:line="360" w:lineRule="auto"/>
              <w:jc w:val="right"/>
            </w:pPr>
            <w:r>
              <w:t>-</w:t>
            </w:r>
          </w:p>
        </w:tc>
      </w:tr>
      <w:tr w14:paraId="65C41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60" w:type="dxa"/>
            <w:vAlign w:val="center"/>
          </w:tcPr>
          <w:p w14:paraId="6CF931E9">
            <w:pPr>
              <w:widowControl/>
              <w:spacing w:line="360" w:lineRule="auto"/>
              <w:rPr>
                <w:kern w:val="0"/>
              </w:rPr>
            </w:pPr>
            <w:r>
              <w:rPr>
                <w:kern w:val="0"/>
              </w:rPr>
              <w:t>合计</w:t>
            </w:r>
          </w:p>
        </w:tc>
        <w:tc>
          <w:tcPr>
            <w:tcW w:w="2551" w:type="dxa"/>
            <w:vAlign w:val="center"/>
          </w:tcPr>
          <w:p w14:paraId="2EFC9B9A">
            <w:pPr>
              <w:spacing w:line="360" w:lineRule="auto"/>
              <w:jc w:val="right"/>
            </w:pPr>
            <w:r>
              <w:t>67,415,095.54</w:t>
            </w:r>
          </w:p>
        </w:tc>
        <w:tc>
          <w:tcPr>
            <w:tcW w:w="2268" w:type="dxa"/>
            <w:vAlign w:val="center"/>
          </w:tcPr>
          <w:p w14:paraId="2BEA2269">
            <w:pPr>
              <w:spacing w:line="360" w:lineRule="auto"/>
              <w:jc w:val="right"/>
            </w:pPr>
            <w:r>
              <w:t>67,415,095.54</w:t>
            </w:r>
          </w:p>
        </w:tc>
        <w:tc>
          <w:tcPr>
            <w:tcW w:w="2552" w:type="dxa"/>
            <w:vAlign w:val="center"/>
          </w:tcPr>
          <w:p w14:paraId="5036EA37">
            <w:pPr>
              <w:spacing w:line="360" w:lineRule="auto"/>
              <w:jc w:val="right"/>
            </w:pPr>
            <w:r>
              <w:t>-</w:t>
            </w:r>
          </w:p>
        </w:tc>
      </w:tr>
    </w:tbl>
    <w:p w14:paraId="710ECB38">
      <w:pPr>
        <w:spacing w:line="360" w:lineRule="auto"/>
        <w:outlineLvl w:val="3"/>
        <w:rPr>
          <w:b/>
        </w:rPr>
      </w:pPr>
      <w:r>
        <w:rPr>
          <w:b/>
          <w:kern w:val="0"/>
        </w:rPr>
        <w:t>9.5.6.3</w:t>
      </w:r>
      <w:r>
        <w:rPr>
          <w:b/>
        </w:rPr>
        <w:t xml:space="preserve">  应收账款</w:t>
      </w:r>
    </w:p>
    <w:p w14:paraId="5F970772">
      <w:pPr>
        <w:spacing w:line="360" w:lineRule="auto"/>
        <w:outlineLvl w:val="3"/>
        <w:rPr>
          <w:b/>
        </w:rPr>
      </w:pPr>
      <w:r>
        <w:rPr>
          <w:b/>
          <w:kern w:val="0"/>
        </w:rPr>
        <w:t>9.5.6.3.1</w:t>
      </w:r>
      <w:r>
        <w:rPr>
          <w:b/>
        </w:rPr>
        <w:t xml:space="preserve"> 按账龄披露应收账款</w:t>
      </w:r>
    </w:p>
    <w:p w14:paraId="40059407">
      <w:pPr>
        <w:spacing w:line="360" w:lineRule="auto"/>
        <w:ind w:right="-50" w:rightChars="-24"/>
        <w:jc w:val="right"/>
        <w:rPr>
          <w:b/>
        </w:rPr>
      </w:pPr>
      <w:bookmarkStart w:id="367" w:name="OLE_LINK1"/>
      <w:bookmarkStart w:id="368" w:name="OLE_LINK2"/>
      <w:r>
        <w:t>单位：人民币元</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7"/>
        <w:gridCol w:w="6176"/>
      </w:tblGrid>
      <w:tr w14:paraId="1357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97" w:type="dxa"/>
            <w:vAlign w:val="center"/>
          </w:tcPr>
          <w:p w14:paraId="310CB4CC">
            <w:pPr>
              <w:spacing w:line="360" w:lineRule="auto"/>
              <w:jc w:val="center"/>
            </w:pPr>
            <w:r>
              <w:t>账龄</w:t>
            </w:r>
          </w:p>
        </w:tc>
        <w:tc>
          <w:tcPr>
            <w:tcW w:w="6176" w:type="dxa"/>
            <w:vAlign w:val="center"/>
          </w:tcPr>
          <w:p w14:paraId="62147B0A">
            <w:pPr>
              <w:spacing w:line="360" w:lineRule="auto"/>
              <w:jc w:val="center"/>
              <w:rPr>
                <w:kern w:val="0"/>
              </w:rPr>
            </w:pPr>
            <w:r>
              <w:rPr>
                <w:kern w:val="0"/>
              </w:rPr>
              <w:t>本期末</w:t>
            </w:r>
          </w:p>
          <w:p w14:paraId="0ACDC700">
            <w:pPr>
              <w:spacing w:line="360" w:lineRule="auto"/>
              <w:jc w:val="center"/>
            </w:pPr>
            <w:r>
              <w:t>2026年6月30日</w:t>
            </w:r>
          </w:p>
        </w:tc>
      </w:tr>
      <w:bookmarkEnd w:id="367"/>
      <w:bookmarkEnd w:id="368"/>
      <w:tr w14:paraId="3E69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97" w:type="dxa"/>
            <w:vAlign w:val="center"/>
          </w:tcPr>
          <w:p w14:paraId="31ADB848">
            <w:pPr>
              <w:spacing w:line="360" w:lineRule="auto"/>
              <w:jc w:val="left"/>
            </w:pPr>
            <w:r>
              <w:t>1年以内</w:t>
            </w:r>
          </w:p>
        </w:tc>
        <w:tc>
          <w:tcPr>
            <w:tcW w:w="6176" w:type="dxa"/>
          </w:tcPr>
          <w:p w14:paraId="7BEFED22">
            <w:pPr>
              <w:spacing w:line="360" w:lineRule="auto"/>
              <w:jc w:val="right"/>
            </w:pPr>
            <w:r>
              <w:t>14,355,361.19</w:t>
            </w:r>
          </w:p>
        </w:tc>
      </w:tr>
      <w:tr w14:paraId="024B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97" w:type="dxa"/>
            <w:vAlign w:val="center"/>
          </w:tcPr>
          <w:p w14:paraId="641AAC48">
            <w:pPr>
              <w:spacing w:line="360" w:lineRule="auto"/>
              <w:jc w:val="left"/>
            </w:pPr>
            <w:r>
              <w:t>1－2年</w:t>
            </w:r>
          </w:p>
        </w:tc>
        <w:tc>
          <w:tcPr>
            <w:tcW w:w="6176" w:type="dxa"/>
          </w:tcPr>
          <w:p w14:paraId="138C23F1">
            <w:pPr>
              <w:spacing w:line="360" w:lineRule="auto"/>
              <w:jc w:val="right"/>
            </w:pPr>
            <w:r>
              <w:t>150,569.66</w:t>
            </w:r>
          </w:p>
        </w:tc>
      </w:tr>
      <w:tr w14:paraId="65D3D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368F8DA">
            <w:pPr>
              <w:jc w:val="left"/>
            </w:pPr>
            <w:r>
              <w:t>2－3年</w:t>
            </w:r>
          </w:p>
        </w:tc>
        <w:tc>
          <w:tcPr>
            <w:vAlign w:val="center"/>
          </w:tcPr>
          <w:p w14:paraId="10E51F21">
            <w:pPr>
              <w:jc w:val="right"/>
            </w:pPr>
            <w:r>
              <w:t>14,577.01</w:t>
            </w:r>
          </w:p>
        </w:tc>
      </w:tr>
      <w:tr w14:paraId="3190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7E8C878">
            <w:pPr>
              <w:jc w:val="left"/>
            </w:pPr>
            <w:r>
              <w:t>3年以上</w:t>
            </w:r>
          </w:p>
        </w:tc>
        <w:tc>
          <w:tcPr>
            <w:vAlign w:val="center"/>
          </w:tcPr>
          <w:p w14:paraId="3824DCF3">
            <w:pPr>
              <w:jc w:val="right"/>
            </w:pPr>
            <w:r>
              <w:t>2,471,147.93</w:t>
            </w:r>
          </w:p>
        </w:tc>
      </w:tr>
      <w:tr w14:paraId="1E4E0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97" w:type="dxa"/>
            <w:vAlign w:val="center"/>
          </w:tcPr>
          <w:p w14:paraId="34373E6E">
            <w:pPr>
              <w:spacing w:line="360" w:lineRule="auto"/>
              <w:jc w:val="center"/>
            </w:pPr>
            <w:r>
              <w:t>小计</w:t>
            </w:r>
          </w:p>
        </w:tc>
        <w:tc>
          <w:tcPr>
            <w:tcW w:w="6176" w:type="dxa"/>
          </w:tcPr>
          <w:p w14:paraId="5AE1AA45">
            <w:pPr>
              <w:spacing w:line="360" w:lineRule="auto"/>
              <w:jc w:val="right"/>
            </w:pPr>
            <w:r>
              <w:t>16,991,655.79</w:t>
            </w:r>
          </w:p>
        </w:tc>
      </w:tr>
      <w:tr w14:paraId="35E4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97" w:type="dxa"/>
            <w:vAlign w:val="center"/>
          </w:tcPr>
          <w:p w14:paraId="3312B5EC">
            <w:pPr>
              <w:spacing w:line="360" w:lineRule="auto"/>
              <w:jc w:val="left"/>
            </w:pPr>
            <w:r>
              <w:t>减：坏账准备</w:t>
            </w:r>
          </w:p>
        </w:tc>
        <w:tc>
          <w:tcPr>
            <w:tcW w:w="6176" w:type="dxa"/>
          </w:tcPr>
          <w:p w14:paraId="18920C09">
            <w:pPr>
              <w:spacing w:line="360" w:lineRule="auto"/>
              <w:jc w:val="right"/>
            </w:pPr>
            <w:r>
              <w:t>2,637,413.99</w:t>
            </w:r>
          </w:p>
        </w:tc>
      </w:tr>
      <w:tr w14:paraId="413C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97" w:type="dxa"/>
            <w:vAlign w:val="center"/>
          </w:tcPr>
          <w:p w14:paraId="156E0641">
            <w:pPr>
              <w:spacing w:line="360" w:lineRule="auto"/>
              <w:jc w:val="center"/>
            </w:pPr>
            <w:r>
              <w:t>合计</w:t>
            </w:r>
          </w:p>
        </w:tc>
        <w:tc>
          <w:tcPr>
            <w:tcW w:w="6176" w:type="dxa"/>
          </w:tcPr>
          <w:p w14:paraId="4E7D8AA6">
            <w:pPr>
              <w:spacing w:line="360" w:lineRule="auto"/>
              <w:jc w:val="right"/>
            </w:pPr>
            <w:r>
              <w:t>14,354,241.80</w:t>
            </w:r>
          </w:p>
        </w:tc>
      </w:tr>
    </w:tbl>
    <w:p w14:paraId="1932E325">
      <w:pPr>
        <w:spacing w:line="360" w:lineRule="auto"/>
        <w:outlineLvl w:val="3"/>
        <w:rPr>
          <w:b/>
        </w:rPr>
      </w:pPr>
      <w:r>
        <w:rPr>
          <w:b/>
          <w:kern w:val="0"/>
        </w:rPr>
        <w:t>9.5.6.3.2</w:t>
      </w:r>
      <w:r>
        <w:rPr>
          <w:b/>
        </w:rPr>
        <w:t xml:space="preserve"> 按坏账准备计提方法分类披露</w:t>
      </w:r>
    </w:p>
    <w:p w14:paraId="5040CFEB">
      <w:pPr>
        <w:spacing w:line="360" w:lineRule="auto"/>
        <w:ind w:right="-50" w:rightChars="-24"/>
        <w:jc w:val="right"/>
        <w:rPr>
          <w:b/>
        </w:rPr>
      </w:pPr>
      <w:r>
        <w:t>金额单位：人民币元</w:t>
      </w:r>
    </w:p>
    <w:tbl>
      <w:tblPr>
        <w:tblStyle w:val="40"/>
        <w:tblW w:w="903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000000" w:fill="auto"/>
        <w:tblLayout w:type="fixed"/>
        <w:tblCellMar>
          <w:top w:w="0" w:type="dxa"/>
          <w:left w:w="108" w:type="dxa"/>
          <w:bottom w:w="0" w:type="dxa"/>
          <w:right w:w="108" w:type="dxa"/>
        </w:tblCellMar>
      </w:tblPr>
      <w:tblGrid>
        <w:gridCol w:w="2191"/>
        <w:gridCol w:w="1528"/>
        <w:gridCol w:w="832"/>
        <w:gridCol w:w="1528"/>
        <w:gridCol w:w="1001"/>
        <w:gridCol w:w="1959"/>
      </w:tblGrid>
      <w:tr w14:paraId="653E4D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blHeader/>
        </w:trPr>
        <w:tc>
          <w:tcPr>
            <w:tcW w:w="2191" w:type="dxa"/>
            <w:vMerge w:val="restart"/>
            <w:shd w:val="clear" w:color="000000" w:fill="auto"/>
            <w:vAlign w:val="center"/>
          </w:tcPr>
          <w:p w14:paraId="61753D2A">
            <w:pPr>
              <w:spacing w:line="360" w:lineRule="auto"/>
              <w:jc w:val="center"/>
            </w:pPr>
            <w:r>
              <w:t>类别</w:t>
            </w:r>
          </w:p>
        </w:tc>
        <w:tc>
          <w:tcPr>
            <w:tcW w:w="6848" w:type="dxa"/>
            <w:gridSpan w:val="5"/>
            <w:shd w:val="clear" w:color="000000" w:fill="auto"/>
            <w:vAlign w:val="center"/>
          </w:tcPr>
          <w:p w14:paraId="69B86972">
            <w:pPr>
              <w:spacing w:line="360" w:lineRule="auto"/>
              <w:jc w:val="center"/>
            </w:pPr>
            <w:r>
              <w:t>本期末</w:t>
            </w:r>
          </w:p>
          <w:p w14:paraId="62B2178C">
            <w:pPr>
              <w:spacing w:line="360" w:lineRule="auto"/>
              <w:jc w:val="center"/>
            </w:pPr>
            <w:r>
              <w:t>2026年6月30日</w:t>
            </w:r>
          </w:p>
        </w:tc>
      </w:tr>
      <w:tr w14:paraId="7901D9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000000" w:fill="auto"/>
          <w:tblCellMar>
            <w:top w:w="0" w:type="dxa"/>
            <w:left w:w="108" w:type="dxa"/>
            <w:bottom w:w="0" w:type="dxa"/>
            <w:right w:w="108" w:type="dxa"/>
          </w:tblCellMar>
        </w:tblPrEx>
        <w:trPr>
          <w:trHeight w:val="300" w:hRule="atLeast"/>
          <w:tblHeader/>
        </w:trPr>
        <w:tc>
          <w:tcPr>
            <w:tcW w:w="2191" w:type="dxa"/>
            <w:vMerge w:val="continue"/>
            <w:shd w:val="clear" w:color="000000" w:fill="auto"/>
            <w:vAlign w:val="center"/>
          </w:tcPr>
          <w:p w14:paraId="2233A41A">
            <w:pPr>
              <w:spacing w:line="360" w:lineRule="auto"/>
              <w:jc w:val="center"/>
            </w:pPr>
          </w:p>
        </w:tc>
        <w:tc>
          <w:tcPr>
            <w:tcW w:w="2360" w:type="dxa"/>
            <w:gridSpan w:val="2"/>
            <w:shd w:val="clear" w:color="000000" w:fill="auto"/>
            <w:vAlign w:val="center"/>
          </w:tcPr>
          <w:p w14:paraId="322B31CB">
            <w:pPr>
              <w:spacing w:line="360" w:lineRule="auto"/>
              <w:jc w:val="center"/>
            </w:pPr>
            <w:r>
              <w:t>账面余额</w:t>
            </w:r>
          </w:p>
        </w:tc>
        <w:tc>
          <w:tcPr>
            <w:tcW w:w="2529" w:type="dxa"/>
            <w:gridSpan w:val="2"/>
            <w:shd w:val="clear" w:color="000000" w:fill="auto"/>
            <w:vAlign w:val="center"/>
          </w:tcPr>
          <w:p w14:paraId="3E220300">
            <w:pPr>
              <w:spacing w:line="360" w:lineRule="auto"/>
              <w:jc w:val="center"/>
            </w:pPr>
            <w:r>
              <w:t>坏账准备</w:t>
            </w:r>
          </w:p>
        </w:tc>
        <w:tc>
          <w:tcPr>
            <w:tcW w:w="1959" w:type="dxa"/>
            <w:vMerge w:val="restart"/>
            <w:shd w:val="clear" w:color="000000" w:fill="auto"/>
            <w:vAlign w:val="center"/>
          </w:tcPr>
          <w:p w14:paraId="39D9F111">
            <w:pPr>
              <w:spacing w:line="360" w:lineRule="auto"/>
              <w:jc w:val="center"/>
            </w:pPr>
            <w:r>
              <w:t>账面价值</w:t>
            </w:r>
          </w:p>
        </w:tc>
      </w:tr>
      <w:tr w14:paraId="402655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000000" w:fill="auto"/>
          <w:tblCellMar>
            <w:top w:w="0" w:type="dxa"/>
            <w:left w:w="108" w:type="dxa"/>
            <w:bottom w:w="0" w:type="dxa"/>
            <w:right w:w="108" w:type="dxa"/>
          </w:tblCellMar>
        </w:tblPrEx>
        <w:trPr>
          <w:trHeight w:val="300" w:hRule="atLeast"/>
          <w:tblHeader/>
        </w:trPr>
        <w:tc>
          <w:tcPr>
            <w:tcW w:w="2191" w:type="dxa"/>
            <w:vMerge w:val="continue"/>
            <w:shd w:val="clear" w:color="000000" w:fill="auto"/>
            <w:vAlign w:val="center"/>
          </w:tcPr>
          <w:p w14:paraId="56FD9E5A">
            <w:pPr>
              <w:spacing w:line="360" w:lineRule="auto"/>
              <w:jc w:val="center"/>
            </w:pPr>
          </w:p>
        </w:tc>
        <w:tc>
          <w:tcPr>
            <w:tcW w:w="1528" w:type="dxa"/>
            <w:shd w:val="clear" w:color="000000" w:fill="auto"/>
            <w:vAlign w:val="center"/>
          </w:tcPr>
          <w:p w14:paraId="5AB0D868">
            <w:pPr>
              <w:spacing w:line="360" w:lineRule="auto"/>
              <w:jc w:val="center"/>
            </w:pPr>
            <w:r>
              <w:t>金额</w:t>
            </w:r>
          </w:p>
        </w:tc>
        <w:tc>
          <w:tcPr>
            <w:tcW w:w="832" w:type="dxa"/>
            <w:shd w:val="clear" w:color="000000" w:fill="auto"/>
            <w:vAlign w:val="center"/>
          </w:tcPr>
          <w:p w14:paraId="4D6AF555">
            <w:pPr>
              <w:spacing w:line="360" w:lineRule="auto"/>
              <w:ind w:left="-63" w:leftChars="-30" w:right="-63" w:rightChars="-30"/>
              <w:jc w:val="center"/>
            </w:pPr>
            <w:r>
              <w:t>比例（%）</w:t>
            </w:r>
          </w:p>
        </w:tc>
        <w:tc>
          <w:tcPr>
            <w:tcW w:w="1528" w:type="dxa"/>
            <w:shd w:val="clear" w:color="000000" w:fill="auto"/>
            <w:vAlign w:val="center"/>
          </w:tcPr>
          <w:p w14:paraId="1B5298C5">
            <w:pPr>
              <w:spacing w:line="360" w:lineRule="auto"/>
              <w:jc w:val="center"/>
            </w:pPr>
            <w:r>
              <w:t>金额</w:t>
            </w:r>
          </w:p>
        </w:tc>
        <w:tc>
          <w:tcPr>
            <w:tcW w:w="1001" w:type="dxa"/>
            <w:shd w:val="clear" w:color="000000" w:fill="auto"/>
            <w:vAlign w:val="center"/>
          </w:tcPr>
          <w:p w14:paraId="4ABB7DB4">
            <w:pPr>
              <w:spacing w:line="360" w:lineRule="auto"/>
              <w:ind w:left="-63" w:leftChars="-30" w:right="-63" w:rightChars="-30"/>
              <w:jc w:val="center"/>
            </w:pPr>
            <w:r>
              <w:t>计提比例（%）</w:t>
            </w:r>
          </w:p>
        </w:tc>
        <w:tc>
          <w:tcPr>
            <w:tcW w:w="1959" w:type="dxa"/>
            <w:vMerge w:val="continue"/>
            <w:shd w:val="clear" w:color="000000" w:fill="auto"/>
            <w:vAlign w:val="center"/>
          </w:tcPr>
          <w:p w14:paraId="15D24ED1">
            <w:pPr>
              <w:spacing w:line="360" w:lineRule="auto"/>
              <w:ind w:left="-63" w:leftChars="-30" w:right="-63" w:rightChars="-30"/>
              <w:jc w:val="center"/>
            </w:pPr>
          </w:p>
        </w:tc>
      </w:tr>
      <w:tr w14:paraId="39960B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000000" w:fill="auto"/>
          <w:tblCellMar>
            <w:top w:w="0" w:type="dxa"/>
            <w:left w:w="108" w:type="dxa"/>
            <w:bottom w:w="0" w:type="dxa"/>
            <w:right w:w="108" w:type="dxa"/>
          </w:tblCellMar>
        </w:tblPrEx>
        <w:trPr>
          <w:trHeight w:val="300" w:hRule="atLeast"/>
        </w:trPr>
        <w:tc>
          <w:tcPr>
            <w:tcW w:w="2191" w:type="dxa"/>
            <w:shd w:val="clear" w:color="000000" w:fill="auto"/>
            <w:vAlign w:val="center"/>
          </w:tcPr>
          <w:p w14:paraId="1998FB16">
            <w:pPr>
              <w:spacing w:line="360" w:lineRule="auto"/>
              <w:jc w:val="left"/>
            </w:pPr>
            <w:r>
              <w:t>单项计提预期信用损失的应收账款</w:t>
            </w:r>
          </w:p>
        </w:tc>
        <w:tc>
          <w:tcPr>
            <w:tcW w:w="1528" w:type="dxa"/>
            <w:shd w:val="clear" w:color="000000" w:fill="auto"/>
          </w:tcPr>
          <w:p w14:paraId="1CE5330B">
            <w:pPr>
              <w:spacing w:line="360" w:lineRule="auto"/>
            </w:pPr>
            <w:r>
              <w:t>2,459,451.33</w:t>
            </w:r>
          </w:p>
        </w:tc>
        <w:tc>
          <w:tcPr>
            <w:tcW w:w="832" w:type="dxa"/>
            <w:shd w:val="clear" w:color="000000" w:fill="auto"/>
          </w:tcPr>
          <w:p w14:paraId="1FE3DB61">
            <w:pPr>
              <w:spacing w:line="360" w:lineRule="auto"/>
            </w:pPr>
            <w:r>
              <w:t>14.47</w:t>
            </w:r>
          </w:p>
        </w:tc>
        <w:tc>
          <w:tcPr>
            <w:tcW w:w="1528" w:type="dxa"/>
            <w:shd w:val="clear" w:color="000000" w:fill="auto"/>
          </w:tcPr>
          <w:p w14:paraId="0363DC6D">
            <w:pPr>
              <w:spacing w:line="360" w:lineRule="auto"/>
            </w:pPr>
            <w:r>
              <w:t>2,459,451.33</w:t>
            </w:r>
          </w:p>
        </w:tc>
        <w:tc>
          <w:tcPr>
            <w:tcW w:w="1001" w:type="dxa"/>
            <w:shd w:val="clear" w:color="000000" w:fill="auto"/>
          </w:tcPr>
          <w:p w14:paraId="290C0050">
            <w:pPr>
              <w:spacing w:line="360" w:lineRule="auto"/>
            </w:pPr>
            <w:r>
              <w:t>100.00</w:t>
            </w:r>
          </w:p>
        </w:tc>
        <w:tc>
          <w:tcPr>
            <w:tcW w:w="1959" w:type="dxa"/>
            <w:shd w:val="clear" w:color="000000" w:fill="auto"/>
          </w:tcPr>
          <w:p w14:paraId="4C74D82D">
            <w:pPr>
              <w:spacing w:line="360" w:lineRule="auto"/>
            </w:pPr>
            <w:r>
              <w:t>0.00</w:t>
            </w:r>
          </w:p>
        </w:tc>
      </w:tr>
      <w:tr w14:paraId="549C60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000000" w:fill="auto"/>
          <w:tblCellMar>
            <w:top w:w="0" w:type="dxa"/>
            <w:left w:w="108" w:type="dxa"/>
            <w:bottom w:w="0" w:type="dxa"/>
            <w:right w:w="108" w:type="dxa"/>
          </w:tblCellMar>
        </w:tblPrEx>
        <w:trPr>
          <w:trHeight w:val="300" w:hRule="atLeast"/>
        </w:trPr>
        <w:tc>
          <w:tcPr>
            <w:tcW w:w="2191" w:type="dxa"/>
            <w:shd w:val="clear" w:color="000000" w:fill="auto"/>
            <w:vAlign w:val="center"/>
          </w:tcPr>
          <w:p w14:paraId="4C3FDB63">
            <w:pPr>
              <w:spacing w:line="360" w:lineRule="auto"/>
              <w:jc w:val="left"/>
            </w:pPr>
            <w:r>
              <w:t>按组合计提预期信用损失的应收账款</w:t>
            </w:r>
          </w:p>
        </w:tc>
        <w:tc>
          <w:tcPr>
            <w:tcW w:w="1528" w:type="dxa"/>
            <w:shd w:val="clear" w:color="000000" w:fill="auto"/>
          </w:tcPr>
          <w:p w14:paraId="48D0398F">
            <w:pPr>
              <w:spacing w:line="360" w:lineRule="auto"/>
            </w:pPr>
            <w:r>
              <w:t>14,532,204.46</w:t>
            </w:r>
          </w:p>
        </w:tc>
        <w:tc>
          <w:tcPr>
            <w:tcW w:w="832" w:type="dxa"/>
            <w:shd w:val="clear" w:color="000000" w:fill="auto"/>
          </w:tcPr>
          <w:p w14:paraId="773CFF8F">
            <w:pPr>
              <w:spacing w:line="360" w:lineRule="auto"/>
            </w:pPr>
            <w:r>
              <w:t>85.53</w:t>
            </w:r>
          </w:p>
        </w:tc>
        <w:tc>
          <w:tcPr>
            <w:tcW w:w="1528" w:type="dxa"/>
            <w:shd w:val="clear" w:color="000000" w:fill="auto"/>
          </w:tcPr>
          <w:p w14:paraId="7A24FE44">
            <w:pPr>
              <w:spacing w:line="360" w:lineRule="auto"/>
            </w:pPr>
            <w:r>
              <w:t>177,962.66</w:t>
            </w:r>
          </w:p>
        </w:tc>
        <w:tc>
          <w:tcPr>
            <w:tcW w:w="1001" w:type="dxa"/>
            <w:shd w:val="clear" w:color="000000" w:fill="auto"/>
          </w:tcPr>
          <w:p w14:paraId="783B7780">
            <w:pPr>
              <w:spacing w:line="360" w:lineRule="auto"/>
            </w:pPr>
            <w:r>
              <w:t>1.22</w:t>
            </w:r>
          </w:p>
        </w:tc>
        <w:tc>
          <w:tcPr>
            <w:tcW w:w="1959" w:type="dxa"/>
            <w:shd w:val="clear" w:color="000000" w:fill="auto"/>
          </w:tcPr>
          <w:p w14:paraId="1C6472FF">
            <w:pPr>
              <w:spacing w:line="360" w:lineRule="auto"/>
            </w:pPr>
            <w:r>
              <w:t>14,354,241.80</w:t>
            </w:r>
          </w:p>
        </w:tc>
      </w:tr>
      <w:tr w14:paraId="23B425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000000" w:fill="auto"/>
          <w:tblCellMar>
            <w:top w:w="0" w:type="dxa"/>
            <w:left w:w="108" w:type="dxa"/>
            <w:bottom w:w="0" w:type="dxa"/>
            <w:right w:w="108" w:type="dxa"/>
          </w:tblCellMar>
        </w:tblPrEx>
        <w:trPr>
          <w:trHeight w:val="300" w:hRule="atLeast"/>
        </w:trPr>
        <w:tc>
          <w:tcPr>
            <w:tcW w:w="2191" w:type="dxa"/>
            <w:shd w:val="clear" w:color="000000" w:fill="auto"/>
            <w:vAlign w:val="center"/>
          </w:tcPr>
          <w:p w14:paraId="487AF0E2">
            <w:pPr>
              <w:spacing w:line="360" w:lineRule="auto"/>
              <w:jc w:val="center"/>
            </w:pPr>
            <w:r>
              <w:t>合计</w:t>
            </w:r>
          </w:p>
        </w:tc>
        <w:tc>
          <w:tcPr>
            <w:tcW w:w="1528" w:type="dxa"/>
            <w:shd w:val="clear" w:color="000000" w:fill="auto"/>
          </w:tcPr>
          <w:p w14:paraId="2F77E7CB">
            <w:pPr>
              <w:spacing w:line="360" w:lineRule="auto"/>
            </w:pPr>
            <w:r>
              <w:t>16,991,655.79</w:t>
            </w:r>
          </w:p>
        </w:tc>
        <w:tc>
          <w:tcPr>
            <w:tcW w:w="832" w:type="dxa"/>
            <w:shd w:val="clear" w:color="000000" w:fill="auto"/>
          </w:tcPr>
          <w:p w14:paraId="26041A7C">
            <w:pPr>
              <w:spacing w:line="360" w:lineRule="auto"/>
            </w:pPr>
            <w:r>
              <w:t>100.00</w:t>
            </w:r>
          </w:p>
        </w:tc>
        <w:tc>
          <w:tcPr>
            <w:tcW w:w="1528" w:type="dxa"/>
            <w:shd w:val="clear" w:color="000000" w:fill="auto"/>
          </w:tcPr>
          <w:p w14:paraId="0678C252">
            <w:pPr>
              <w:spacing w:line="360" w:lineRule="auto"/>
            </w:pPr>
            <w:r>
              <w:t>2,637,413.99</w:t>
            </w:r>
          </w:p>
        </w:tc>
        <w:tc>
          <w:tcPr>
            <w:tcW w:w="1001" w:type="dxa"/>
            <w:shd w:val="clear" w:color="000000" w:fill="auto"/>
          </w:tcPr>
          <w:p w14:paraId="61C36AE6">
            <w:pPr>
              <w:spacing w:line="360" w:lineRule="auto"/>
            </w:pPr>
            <w:r>
              <w:t>15.52</w:t>
            </w:r>
          </w:p>
        </w:tc>
        <w:tc>
          <w:tcPr>
            <w:tcW w:w="1959" w:type="dxa"/>
            <w:shd w:val="clear" w:color="000000" w:fill="auto"/>
          </w:tcPr>
          <w:p w14:paraId="20E8F2B7">
            <w:pPr>
              <w:spacing w:line="360" w:lineRule="auto"/>
            </w:pPr>
            <w:r>
              <w:t>14,354,241.80</w:t>
            </w:r>
          </w:p>
        </w:tc>
      </w:tr>
    </w:tbl>
    <w:p w14:paraId="30EA9767">
      <w:pPr>
        <w:spacing w:line="360" w:lineRule="auto"/>
        <w:outlineLvl w:val="3"/>
        <w:rPr>
          <w:b/>
        </w:rPr>
      </w:pPr>
      <w:r>
        <w:rPr>
          <w:b/>
          <w:kern w:val="0"/>
        </w:rPr>
        <w:t>9.5.6.3.3</w:t>
      </w:r>
      <w:r>
        <w:rPr>
          <w:b/>
        </w:rPr>
        <w:t xml:space="preserve"> 单项计提坏账准备的应收账款</w:t>
      </w:r>
    </w:p>
    <w:p w14:paraId="32BF1280">
      <w:pPr>
        <w:spacing w:line="360" w:lineRule="auto"/>
        <w:ind w:right="-50" w:rightChars="-24"/>
        <w:jc w:val="right"/>
        <w:rPr>
          <w:b/>
        </w:rPr>
      </w:pPr>
      <w:r>
        <w:t>金额单位：人民币元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1735"/>
        <w:gridCol w:w="1467"/>
        <w:gridCol w:w="1736"/>
        <w:gridCol w:w="1971"/>
      </w:tblGrid>
      <w:tr w14:paraId="2C50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130" w:type="dxa"/>
            <w:vMerge w:val="restart"/>
            <w:vAlign w:val="center"/>
          </w:tcPr>
          <w:p w14:paraId="6735884C">
            <w:pPr>
              <w:spacing w:line="360" w:lineRule="auto"/>
              <w:jc w:val="center"/>
            </w:pPr>
            <w:r>
              <w:t>债务人名称</w:t>
            </w:r>
          </w:p>
        </w:tc>
        <w:tc>
          <w:tcPr>
            <w:tcW w:w="6909" w:type="dxa"/>
            <w:gridSpan w:val="4"/>
            <w:vAlign w:val="center"/>
          </w:tcPr>
          <w:p w14:paraId="0BBAB69C">
            <w:pPr>
              <w:spacing w:line="360" w:lineRule="auto"/>
              <w:jc w:val="center"/>
            </w:pPr>
            <w:r>
              <w:t>本期末</w:t>
            </w:r>
          </w:p>
          <w:p w14:paraId="14FC40D6">
            <w:pPr>
              <w:spacing w:line="360" w:lineRule="auto"/>
              <w:jc w:val="center"/>
            </w:pPr>
            <w:r>
              <w:t>2026年6月30日</w:t>
            </w:r>
          </w:p>
        </w:tc>
      </w:tr>
      <w:tr w14:paraId="071A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130" w:type="dxa"/>
            <w:vMerge w:val="continue"/>
            <w:vAlign w:val="center"/>
          </w:tcPr>
          <w:p w14:paraId="17210D48">
            <w:pPr>
              <w:spacing w:line="360" w:lineRule="auto"/>
              <w:jc w:val="center"/>
            </w:pPr>
          </w:p>
        </w:tc>
        <w:tc>
          <w:tcPr>
            <w:tcW w:w="1735" w:type="dxa"/>
            <w:vAlign w:val="center"/>
          </w:tcPr>
          <w:p w14:paraId="6A074E15">
            <w:pPr>
              <w:spacing w:line="360" w:lineRule="auto"/>
              <w:jc w:val="center"/>
            </w:pPr>
            <w:r>
              <w:t>账面余额</w:t>
            </w:r>
          </w:p>
        </w:tc>
        <w:tc>
          <w:tcPr>
            <w:tcW w:w="1467" w:type="dxa"/>
            <w:vAlign w:val="center"/>
          </w:tcPr>
          <w:p w14:paraId="354B6E0C">
            <w:pPr>
              <w:spacing w:line="360" w:lineRule="auto"/>
              <w:jc w:val="center"/>
            </w:pPr>
            <w:r>
              <w:t>坏账准备</w:t>
            </w:r>
          </w:p>
        </w:tc>
        <w:tc>
          <w:tcPr>
            <w:tcW w:w="1736" w:type="dxa"/>
            <w:vAlign w:val="center"/>
          </w:tcPr>
          <w:p w14:paraId="29C983D9">
            <w:pPr>
              <w:spacing w:line="360" w:lineRule="auto"/>
              <w:jc w:val="center"/>
            </w:pPr>
            <w:r>
              <w:t>计提比例（%）</w:t>
            </w:r>
          </w:p>
        </w:tc>
        <w:tc>
          <w:tcPr>
            <w:tcW w:w="1971" w:type="dxa"/>
            <w:vAlign w:val="center"/>
          </w:tcPr>
          <w:p w14:paraId="32D3EC3B">
            <w:pPr>
              <w:spacing w:line="360" w:lineRule="auto"/>
              <w:jc w:val="center"/>
            </w:pPr>
            <w:r>
              <w:t>计提理由</w:t>
            </w:r>
          </w:p>
        </w:tc>
      </w:tr>
      <w:tr w14:paraId="1CDDF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B001F1E">
            <w:pPr>
              <w:jc w:val="left"/>
            </w:pPr>
            <w:r>
              <w:t>租户</w:t>
            </w:r>
          </w:p>
        </w:tc>
        <w:tc>
          <w:tcPr>
            <w:vAlign w:val="center"/>
          </w:tcPr>
          <w:p w14:paraId="0BE20F9A">
            <w:pPr>
              <w:jc w:val="right"/>
            </w:pPr>
            <w:r>
              <w:t>2,459,451.33</w:t>
            </w:r>
          </w:p>
        </w:tc>
        <w:tc>
          <w:tcPr>
            <w:vAlign w:val="center"/>
          </w:tcPr>
          <w:p w14:paraId="2D307484">
            <w:pPr>
              <w:jc w:val="right"/>
            </w:pPr>
            <w:r>
              <w:t>2,459,451.33</w:t>
            </w:r>
          </w:p>
        </w:tc>
        <w:tc>
          <w:tcPr>
            <w:vAlign w:val="center"/>
          </w:tcPr>
          <w:p w14:paraId="658F8FF6">
            <w:pPr>
              <w:jc w:val="right"/>
            </w:pPr>
            <w:r>
              <w:t>100.00</w:t>
            </w:r>
          </w:p>
        </w:tc>
        <w:tc>
          <w:tcPr>
            <w:vAlign w:val="center"/>
          </w:tcPr>
          <w:p w14:paraId="012F5486">
            <w:pPr>
              <w:jc w:val="right"/>
            </w:pPr>
            <w:r>
              <w:t>涉及诉讼、列入失信人名单</w:t>
            </w:r>
          </w:p>
        </w:tc>
      </w:tr>
      <w:tr w14:paraId="7F27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30" w:type="dxa"/>
            <w:vAlign w:val="center"/>
          </w:tcPr>
          <w:p w14:paraId="78473294">
            <w:pPr>
              <w:spacing w:line="360" w:lineRule="auto"/>
              <w:jc w:val="center"/>
            </w:pPr>
            <w:r>
              <w:t>合计</w:t>
            </w:r>
          </w:p>
        </w:tc>
        <w:tc>
          <w:tcPr>
            <w:tcW w:w="1735" w:type="dxa"/>
            <w:vAlign w:val="center"/>
          </w:tcPr>
          <w:p w14:paraId="5E6C4C34">
            <w:pPr>
              <w:tabs>
                <w:tab w:val="left" w:pos="196"/>
                <w:tab w:val="left" w:pos="426"/>
              </w:tabs>
              <w:snapToGrid w:val="0"/>
              <w:spacing w:line="360" w:lineRule="auto"/>
              <w:jc w:val="right"/>
            </w:pPr>
            <w:r>
              <w:t>2,459,451.33</w:t>
            </w:r>
          </w:p>
        </w:tc>
        <w:tc>
          <w:tcPr>
            <w:tcW w:w="1467" w:type="dxa"/>
            <w:vAlign w:val="center"/>
          </w:tcPr>
          <w:p w14:paraId="7BB44B37">
            <w:pPr>
              <w:spacing w:line="360" w:lineRule="auto"/>
              <w:jc w:val="right"/>
            </w:pPr>
            <w:r>
              <w:t>2,459,451.33</w:t>
            </w:r>
          </w:p>
        </w:tc>
        <w:tc>
          <w:tcPr>
            <w:tcW w:w="1736" w:type="dxa"/>
            <w:vAlign w:val="center"/>
          </w:tcPr>
          <w:p w14:paraId="4EB68580">
            <w:pPr>
              <w:spacing w:line="360" w:lineRule="auto"/>
              <w:jc w:val="right"/>
            </w:pPr>
            <w:r>
              <w:t>100.00</w:t>
            </w:r>
          </w:p>
        </w:tc>
        <w:tc>
          <w:tcPr>
            <w:tcW w:w="1971" w:type="dxa"/>
            <w:vAlign w:val="center"/>
          </w:tcPr>
          <w:p w14:paraId="4B2C578A">
            <w:pPr>
              <w:tabs>
                <w:tab w:val="left" w:pos="196"/>
                <w:tab w:val="left" w:pos="426"/>
              </w:tabs>
              <w:snapToGrid w:val="0"/>
              <w:spacing w:line="360" w:lineRule="auto"/>
              <w:jc w:val="center"/>
            </w:pPr>
            <w:r>
              <w:t>－</w:t>
            </w:r>
          </w:p>
        </w:tc>
      </w:tr>
    </w:tbl>
    <w:p w14:paraId="36C9EEBE">
      <w:pPr>
        <w:spacing w:line="360" w:lineRule="auto"/>
        <w:outlineLvl w:val="3"/>
        <w:rPr>
          <w:b/>
        </w:rPr>
      </w:pPr>
      <w:r>
        <w:rPr>
          <w:b/>
          <w:kern w:val="0"/>
        </w:rPr>
        <w:t>9.5.6.3.4</w:t>
      </w:r>
      <w:r>
        <w:rPr>
          <w:b/>
        </w:rPr>
        <w:t xml:space="preserve"> 按组合计提坏账准备的应收账款</w:t>
      </w:r>
    </w:p>
    <w:p w14:paraId="7BD8B2AE">
      <w:pPr>
        <w:spacing w:line="360" w:lineRule="auto"/>
        <w:ind w:right="-50" w:rightChars="-24"/>
        <w:jc w:val="right"/>
        <w:rPr>
          <w:b/>
        </w:rPr>
      </w:pPr>
      <w:r>
        <w:t>金额单位：人民币元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auto"/>
        <w:tblLayout w:type="fixed"/>
        <w:tblCellMar>
          <w:top w:w="0" w:type="dxa"/>
          <w:left w:w="108" w:type="dxa"/>
          <w:bottom w:w="0" w:type="dxa"/>
          <w:right w:w="108" w:type="dxa"/>
        </w:tblCellMar>
      </w:tblPr>
      <w:tblGrid>
        <w:gridCol w:w="2556"/>
        <w:gridCol w:w="1990"/>
        <w:gridCol w:w="1990"/>
        <w:gridCol w:w="2503"/>
      </w:tblGrid>
      <w:tr w14:paraId="69D5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556" w:type="dxa"/>
            <w:vMerge w:val="restart"/>
            <w:shd w:val="clear" w:color="000000" w:fill="auto"/>
            <w:vAlign w:val="center"/>
          </w:tcPr>
          <w:p w14:paraId="434BBE3D">
            <w:pPr>
              <w:spacing w:line="360" w:lineRule="auto"/>
              <w:jc w:val="center"/>
            </w:pPr>
            <w:r>
              <w:t>债务人名称</w:t>
            </w:r>
          </w:p>
        </w:tc>
        <w:tc>
          <w:tcPr>
            <w:tcW w:w="6483" w:type="dxa"/>
            <w:gridSpan w:val="3"/>
            <w:shd w:val="clear" w:color="000000" w:fill="auto"/>
            <w:vAlign w:val="center"/>
          </w:tcPr>
          <w:p w14:paraId="4BCDFBE8">
            <w:pPr>
              <w:spacing w:line="360" w:lineRule="auto"/>
              <w:jc w:val="center"/>
            </w:pPr>
            <w:r>
              <w:t>本期末</w:t>
            </w:r>
          </w:p>
          <w:p w14:paraId="3845D3A4">
            <w:pPr>
              <w:spacing w:line="360" w:lineRule="auto"/>
              <w:jc w:val="center"/>
            </w:pPr>
            <w:r>
              <w:t>2026年6月30日</w:t>
            </w:r>
          </w:p>
        </w:tc>
      </w:tr>
      <w:tr w14:paraId="7A75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auto"/>
          <w:tblCellMar>
            <w:top w:w="0" w:type="dxa"/>
            <w:left w:w="108" w:type="dxa"/>
            <w:bottom w:w="0" w:type="dxa"/>
            <w:right w:w="108" w:type="dxa"/>
          </w:tblCellMar>
        </w:tblPrEx>
        <w:trPr>
          <w:trHeight w:val="300" w:hRule="atLeast"/>
          <w:tblHeader/>
        </w:trPr>
        <w:tc>
          <w:tcPr>
            <w:tcW w:w="2556" w:type="dxa"/>
            <w:vMerge w:val="continue"/>
            <w:shd w:val="clear" w:color="000000" w:fill="auto"/>
            <w:vAlign w:val="center"/>
          </w:tcPr>
          <w:p w14:paraId="2C2179B4">
            <w:pPr>
              <w:spacing w:line="360" w:lineRule="auto"/>
              <w:jc w:val="center"/>
            </w:pPr>
          </w:p>
        </w:tc>
        <w:tc>
          <w:tcPr>
            <w:tcW w:w="1990" w:type="dxa"/>
            <w:shd w:val="clear" w:color="000000" w:fill="auto"/>
            <w:vAlign w:val="center"/>
          </w:tcPr>
          <w:p w14:paraId="1B46B6D9">
            <w:pPr>
              <w:spacing w:line="360" w:lineRule="auto"/>
              <w:jc w:val="center"/>
            </w:pPr>
            <w:r>
              <w:t>账面余额</w:t>
            </w:r>
          </w:p>
        </w:tc>
        <w:tc>
          <w:tcPr>
            <w:tcW w:w="1990" w:type="dxa"/>
            <w:shd w:val="clear" w:color="000000" w:fill="auto"/>
            <w:vAlign w:val="center"/>
          </w:tcPr>
          <w:p w14:paraId="02E16F1D">
            <w:pPr>
              <w:spacing w:line="360" w:lineRule="auto"/>
              <w:ind w:left="-63" w:leftChars="-30" w:right="-63" w:rightChars="-30"/>
              <w:jc w:val="center"/>
            </w:pPr>
            <w:r>
              <w:t>坏账准备</w:t>
            </w:r>
          </w:p>
        </w:tc>
        <w:tc>
          <w:tcPr>
            <w:tcW w:w="2503" w:type="dxa"/>
            <w:shd w:val="clear" w:color="000000" w:fill="auto"/>
            <w:vAlign w:val="center"/>
          </w:tcPr>
          <w:p w14:paraId="1D705B91">
            <w:pPr>
              <w:spacing w:line="360" w:lineRule="auto"/>
              <w:jc w:val="center"/>
            </w:pPr>
            <w:r>
              <w:t>计提比例（%）</w:t>
            </w:r>
          </w:p>
        </w:tc>
      </w:tr>
      <w:tr w14:paraId="387A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shd w:val="clear" w:color="000000" w:fill="auto"/>
            <w:vAlign w:val="center"/>
          </w:tcPr>
          <w:p w14:paraId="722674B2">
            <w:pPr>
              <w:jc w:val="left"/>
            </w:pPr>
            <w:r>
              <w:t>按组合计提预期信用损失的应收账款</w:t>
            </w:r>
          </w:p>
        </w:tc>
        <w:tc>
          <w:tcPr>
            <w:shd w:val="clear" w:color="000000" w:fill="auto"/>
            <w:vAlign w:val="center"/>
          </w:tcPr>
          <w:p w14:paraId="77A782BD">
            <w:pPr>
              <w:jc w:val="right"/>
            </w:pPr>
            <w:r>
              <w:t>14,532,204.46</w:t>
            </w:r>
          </w:p>
        </w:tc>
        <w:tc>
          <w:tcPr>
            <w:shd w:val="clear" w:color="000000" w:fill="auto"/>
            <w:vAlign w:val="center"/>
          </w:tcPr>
          <w:p w14:paraId="1F982724">
            <w:pPr>
              <w:jc w:val="right"/>
            </w:pPr>
            <w:r>
              <w:t>177,962.66</w:t>
            </w:r>
          </w:p>
        </w:tc>
        <w:tc>
          <w:tcPr>
            <w:shd w:val="clear" w:color="000000" w:fill="auto"/>
            <w:vAlign w:val="center"/>
          </w:tcPr>
          <w:p w14:paraId="160AB937">
            <w:pPr>
              <w:jc w:val="right"/>
            </w:pPr>
            <w:r>
              <w:t>1.22%</w:t>
            </w:r>
          </w:p>
        </w:tc>
      </w:tr>
      <w:tr w14:paraId="59457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56" w:type="dxa"/>
            <w:shd w:val="clear" w:color="000000" w:fill="auto"/>
            <w:vAlign w:val="center"/>
          </w:tcPr>
          <w:p w14:paraId="754E1F1E">
            <w:pPr>
              <w:spacing w:line="360" w:lineRule="auto"/>
              <w:jc w:val="center"/>
            </w:pPr>
            <w:r>
              <w:t>合计</w:t>
            </w:r>
          </w:p>
        </w:tc>
        <w:tc>
          <w:tcPr>
            <w:tcW w:w="1990" w:type="dxa"/>
            <w:shd w:val="clear" w:color="000000" w:fill="auto"/>
            <w:vAlign w:val="center"/>
          </w:tcPr>
          <w:p w14:paraId="510CBE34">
            <w:pPr>
              <w:tabs>
                <w:tab w:val="left" w:pos="196"/>
                <w:tab w:val="left" w:pos="426"/>
              </w:tabs>
              <w:snapToGrid w:val="0"/>
              <w:spacing w:line="360" w:lineRule="auto"/>
              <w:jc w:val="right"/>
            </w:pPr>
            <w:r>
              <w:t>14,532,204.46</w:t>
            </w:r>
          </w:p>
        </w:tc>
        <w:tc>
          <w:tcPr>
            <w:tcW w:w="1990" w:type="dxa"/>
            <w:shd w:val="clear" w:color="000000" w:fill="auto"/>
          </w:tcPr>
          <w:p w14:paraId="70E9B7EA">
            <w:pPr>
              <w:spacing w:line="360" w:lineRule="auto"/>
              <w:jc w:val="right"/>
            </w:pPr>
            <w:r>
              <w:t>177,962.66</w:t>
            </w:r>
          </w:p>
        </w:tc>
        <w:tc>
          <w:tcPr>
            <w:tcW w:w="2503" w:type="dxa"/>
            <w:shd w:val="clear" w:color="000000" w:fill="auto"/>
            <w:vAlign w:val="center"/>
          </w:tcPr>
          <w:p w14:paraId="514182D8">
            <w:pPr>
              <w:tabs>
                <w:tab w:val="left" w:pos="196"/>
                <w:tab w:val="left" w:pos="426"/>
              </w:tabs>
              <w:snapToGrid w:val="0"/>
              <w:spacing w:line="360" w:lineRule="auto"/>
              <w:jc w:val="right"/>
            </w:pPr>
            <w:r>
              <w:t>1.22%</w:t>
            </w:r>
          </w:p>
        </w:tc>
      </w:tr>
    </w:tbl>
    <w:p w14:paraId="7ACAD316">
      <w:pPr>
        <w:spacing w:line="360" w:lineRule="auto"/>
        <w:outlineLvl w:val="3"/>
        <w:rPr>
          <w:b/>
        </w:rPr>
      </w:pPr>
      <w:r>
        <w:rPr>
          <w:b/>
          <w:kern w:val="0"/>
        </w:rPr>
        <w:t>9.5.6.3.5</w:t>
      </w:r>
      <w:r>
        <w:rPr>
          <w:b/>
        </w:rPr>
        <w:t xml:space="preserve"> 本期坏账准备的变动情况 </w:t>
      </w:r>
    </w:p>
    <w:p w14:paraId="212C9CB8">
      <w:pPr>
        <w:spacing w:line="360" w:lineRule="auto"/>
        <w:ind w:right="-50" w:rightChars="-24"/>
        <w:jc w:val="right"/>
        <w:rPr>
          <w:b/>
        </w:rPr>
      </w:pPr>
      <w:r>
        <w:t>单位：人民币元</w:t>
      </w:r>
    </w:p>
    <w:tbl>
      <w:tblPr>
        <w:tblStyle w:val="4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1375"/>
        <w:gridCol w:w="1635"/>
        <w:gridCol w:w="1395"/>
        <w:gridCol w:w="958"/>
        <w:gridCol w:w="1417"/>
        <w:gridCol w:w="1843"/>
      </w:tblGrid>
      <w:tr w14:paraId="48CB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266" w:type="dxa"/>
            <w:vMerge w:val="restart"/>
            <w:vAlign w:val="center"/>
          </w:tcPr>
          <w:p w14:paraId="478515E9">
            <w:pPr>
              <w:spacing w:line="360" w:lineRule="auto"/>
              <w:jc w:val="center"/>
            </w:pPr>
            <w:r>
              <w:t>类别</w:t>
            </w:r>
          </w:p>
        </w:tc>
        <w:tc>
          <w:tcPr>
            <w:tcW w:w="1375" w:type="dxa"/>
            <w:vMerge w:val="restart"/>
          </w:tcPr>
          <w:p w14:paraId="57A66808">
            <w:pPr>
              <w:spacing w:line="360" w:lineRule="auto"/>
              <w:jc w:val="center"/>
            </w:pPr>
            <w:r>
              <w:t>上年度末</w:t>
            </w:r>
          </w:p>
          <w:p w14:paraId="25F1D353">
            <w:pPr>
              <w:spacing w:line="360" w:lineRule="auto"/>
              <w:jc w:val="center"/>
            </w:pPr>
            <w:r>
              <w:t>2025年12月31日</w:t>
            </w:r>
          </w:p>
        </w:tc>
        <w:tc>
          <w:tcPr>
            <w:tcW w:w="5405" w:type="dxa"/>
            <w:gridSpan w:val="4"/>
            <w:vAlign w:val="center"/>
          </w:tcPr>
          <w:p w14:paraId="4944D784">
            <w:pPr>
              <w:spacing w:line="360" w:lineRule="auto"/>
              <w:jc w:val="center"/>
            </w:pPr>
            <w:r>
              <w:t>本期变动金额</w:t>
            </w:r>
          </w:p>
        </w:tc>
        <w:tc>
          <w:tcPr>
            <w:tcW w:w="1843" w:type="dxa"/>
            <w:vMerge w:val="restart"/>
            <w:vAlign w:val="center"/>
          </w:tcPr>
          <w:p w14:paraId="710CBDEA">
            <w:pPr>
              <w:spacing w:line="360" w:lineRule="auto"/>
              <w:jc w:val="center"/>
            </w:pPr>
            <w:r>
              <w:t>本期末</w:t>
            </w:r>
          </w:p>
          <w:p w14:paraId="10DEA77B">
            <w:pPr>
              <w:spacing w:line="360" w:lineRule="auto"/>
              <w:jc w:val="center"/>
            </w:pPr>
            <w:r>
              <w:t>2026年6月30日</w:t>
            </w:r>
          </w:p>
        </w:tc>
      </w:tr>
      <w:tr w14:paraId="6F44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266" w:type="dxa"/>
            <w:vMerge w:val="continue"/>
            <w:vAlign w:val="center"/>
          </w:tcPr>
          <w:p w14:paraId="4FB8167A">
            <w:pPr>
              <w:spacing w:line="360" w:lineRule="auto"/>
              <w:jc w:val="center"/>
            </w:pPr>
          </w:p>
        </w:tc>
        <w:tc>
          <w:tcPr>
            <w:tcW w:w="1375" w:type="dxa"/>
            <w:vMerge w:val="continue"/>
          </w:tcPr>
          <w:p w14:paraId="644325DA">
            <w:pPr>
              <w:spacing w:line="360" w:lineRule="auto"/>
              <w:jc w:val="center"/>
            </w:pPr>
          </w:p>
        </w:tc>
        <w:tc>
          <w:tcPr>
            <w:tcW w:w="1635" w:type="dxa"/>
            <w:vAlign w:val="center"/>
          </w:tcPr>
          <w:p w14:paraId="7F100CBC">
            <w:pPr>
              <w:spacing w:line="360" w:lineRule="auto"/>
              <w:jc w:val="center"/>
            </w:pPr>
            <w:r>
              <w:t>计提</w:t>
            </w:r>
          </w:p>
        </w:tc>
        <w:tc>
          <w:tcPr>
            <w:tcW w:w="1395" w:type="dxa"/>
            <w:vAlign w:val="center"/>
          </w:tcPr>
          <w:p w14:paraId="25C581C2">
            <w:pPr>
              <w:spacing w:line="360" w:lineRule="auto"/>
              <w:jc w:val="center"/>
            </w:pPr>
            <w:r>
              <w:t>转回或收回</w:t>
            </w:r>
          </w:p>
        </w:tc>
        <w:tc>
          <w:tcPr>
            <w:tcW w:w="958" w:type="dxa"/>
            <w:vAlign w:val="center"/>
          </w:tcPr>
          <w:p w14:paraId="250FB3E3">
            <w:pPr>
              <w:spacing w:line="360" w:lineRule="auto"/>
              <w:jc w:val="center"/>
            </w:pPr>
            <w:r>
              <w:t>核销</w:t>
            </w:r>
          </w:p>
        </w:tc>
        <w:tc>
          <w:tcPr>
            <w:tcW w:w="1417" w:type="dxa"/>
            <w:vAlign w:val="center"/>
          </w:tcPr>
          <w:p w14:paraId="6674DF15">
            <w:pPr>
              <w:spacing w:line="360" w:lineRule="auto"/>
              <w:jc w:val="center"/>
            </w:pPr>
            <w:r>
              <w:t>其他变动</w:t>
            </w:r>
          </w:p>
        </w:tc>
        <w:tc>
          <w:tcPr>
            <w:tcW w:w="1843" w:type="dxa"/>
            <w:vMerge w:val="continue"/>
            <w:vAlign w:val="center"/>
          </w:tcPr>
          <w:p w14:paraId="2C9F1DBE">
            <w:pPr>
              <w:spacing w:line="360" w:lineRule="auto"/>
              <w:jc w:val="center"/>
            </w:pPr>
          </w:p>
        </w:tc>
      </w:tr>
      <w:tr w14:paraId="628A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6" w:type="dxa"/>
            <w:vAlign w:val="center"/>
          </w:tcPr>
          <w:p w14:paraId="3F26A54B">
            <w:pPr>
              <w:spacing w:line="360" w:lineRule="auto"/>
              <w:ind w:right="-98"/>
              <w:jc w:val="left"/>
            </w:pPr>
            <w:r>
              <w:t>单项计提预期信用损失的应收账款</w:t>
            </w:r>
          </w:p>
        </w:tc>
        <w:tc>
          <w:tcPr>
            <w:tcW w:w="1375" w:type="dxa"/>
            <w:vAlign w:val="center"/>
          </w:tcPr>
          <w:p w14:paraId="48A011D3">
            <w:pPr>
              <w:spacing w:line="360" w:lineRule="auto"/>
              <w:jc w:val="right"/>
            </w:pPr>
            <w:r>
              <w:t>1,549,255.33</w:t>
            </w:r>
          </w:p>
        </w:tc>
        <w:tc>
          <w:tcPr>
            <w:tcW w:w="1635" w:type="dxa"/>
            <w:vAlign w:val="center"/>
          </w:tcPr>
          <w:p w14:paraId="3FD8B4DA">
            <w:pPr>
              <w:spacing w:line="360" w:lineRule="auto"/>
              <w:jc w:val="right"/>
            </w:pPr>
            <w:r>
              <w:t>910,196.00</w:t>
            </w:r>
          </w:p>
        </w:tc>
        <w:tc>
          <w:tcPr>
            <w:tcW w:w="1395" w:type="dxa"/>
            <w:vAlign w:val="center"/>
          </w:tcPr>
          <w:p w14:paraId="779EE9EE">
            <w:pPr>
              <w:spacing w:line="360" w:lineRule="auto"/>
              <w:jc w:val="right"/>
            </w:pPr>
            <w:r>
              <w:t>-</w:t>
            </w:r>
          </w:p>
        </w:tc>
        <w:tc>
          <w:tcPr>
            <w:tcW w:w="958" w:type="dxa"/>
            <w:vAlign w:val="center"/>
          </w:tcPr>
          <w:p w14:paraId="26814E64">
            <w:pPr>
              <w:spacing w:line="360" w:lineRule="auto"/>
              <w:jc w:val="right"/>
            </w:pPr>
            <w:r>
              <w:t>-</w:t>
            </w:r>
          </w:p>
        </w:tc>
        <w:tc>
          <w:tcPr>
            <w:tcW w:w="1417" w:type="dxa"/>
            <w:vAlign w:val="center"/>
          </w:tcPr>
          <w:p w14:paraId="49A920C7">
            <w:pPr>
              <w:spacing w:line="360" w:lineRule="auto"/>
              <w:jc w:val="right"/>
            </w:pPr>
            <w:r>
              <w:t>-</w:t>
            </w:r>
          </w:p>
        </w:tc>
        <w:tc>
          <w:tcPr>
            <w:tcW w:w="1843" w:type="dxa"/>
            <w:vAlign w:val="center"/>
          </w:tcPr>
          <w:p w14:paraId="785B52F3">
            <w:pPr>
              <w:spacing w:line="360" w:lineRule="auto"/>
              <w:jc w:val="right"/>
            </w:pPr>
            <w:r>
              <w:t>2,459,451.33</w:t>
            </w:r>
          </w:p>
        </w:tc>
      </w:tr>
      <w:tr w14:paraId="11547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6" w:type="dxa"/>
            <w:vAlign w:val="center"/>
          </w:tcPr>
          <w:p w14:paraId="671E11B1">
            <w:pPr>
              <w:spacing w:line="360" w:lineRule="auto"/>
              <w:ind w:right="-98"/>
              <w:jc w:val="left"/>
            </w:pPr>
            <w:r>
              <w:t>按组合计提预期信用损失的应收账款</w:t>
            </w:r>
          </w:p>
        </w:tc>
        <w:tc>
          <w:tcPr>
            <w:tcW w:w="1375" w:type="dxa"/>
            <w:vAlign w:val="center"/>
          </w:tcPr>
          <w:p w14:paraId="0799AA97">
            <w:pPr>
              <w:spacing w:line="360" w:lineRule="auto"/>
              <w:jc w:val="right"/>
            </w:pPr>
            <w:r>
              <w:t>522,059.43</w:t>
            </w:r>
          </w:p>
        </w:tc>
        <w:tc>
          <w:tcPr>
            <w:tcW w:w="1635" w:type="dxa"/>
            <w:vAlign w:val="center"/>
          </w:tcPr>
          <w:p w14:paraId="2D321CED">
            <w:pPr>
              <w:spacing w:line="360" w:lineRule="auto"/>
              <w:jc w:val="right"/>
            </w:pPr>
            <w:r>
              <w:t>111,001.23</w:t>
            </w:r>
          </w:p>
        </w:tc>
        <w:tc>
          <w:tcPr>
            <w:tcW w:w="1395" w:type="dxa"/>
            <w:vAlign w:val="center"/>
          </w:tcPr>
          <w:p w14:paraId="768C812B">
            <w:pPr>
              <w:spacing w:line="360" w:lineRule="auto"/>
              <w:jc w:val="right"/>
            </w:pPr>
            <w:r>
              <w:t>455,098.00</w:t>
            </w:r>
          </w:p>
        </w:tc>
        <w:tc>
          <w:tcPr>
            <w:tcW w:w="958" w:type="dxa"/>
            <w:vAlign w:val="center"/>
          </w:tcPr>
          <w:p w14:paraId="07443CFF">
            <w:pPr>
              <w:spacing w:line="360" w:lineRule="auto"/>
              <w:jc w:val="right"/>
            </w:pPr>
            <w:r>
              <w:t>-</w:t>
            </w:r>
          </w:p>
        </w:tc>
        <w:tc>
          <w:tcPr>
            <w:tcW w:w="1417" w:type="dxa"/>
            <w:vAlign w:val="center"/>
          </w:tcPr>
          <w:p w14:paraId="5FE4A52D">
            <w:pPr>
              <w:spacing w:line="360" w:lineRule="auto"/>
              <w:jc w:val="right"/>
            </w:pPr>
            <w:r>
              <w:t>-</w:t>
            </w:r>
          </w:p>
        </w:tc>
        <w:tc>
          <w:tcPr>
            <w:tcW w:w="1843" w:type="dxa"/>
            <w:vAlign w:val="center"/>
          </w:tcPr>
          <w:p w14:paraId="61A1A56F">
            <w:pPr>
              <w:spacing w:line="360" w:lineRule="auto"/>
              <w:jc w:val="right"/>
            </w:pPr>
            <w:r>
              <w:t>177,962.66</w:t>
            </w:r>
          </w:p>
        </w:tc>
      </w:tr>
      <w:tr w14:paraId="0E53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6" w:type="dxa"/>
            <w:vAlign w:val="center"/>
          </w:tcPr>
          <w:p w14:paraId="29D5D20E">
            <w:pPr>
              <w:spacing w:line="360" w:lineRule="auto"/>
              <w:jc w:val="center"/>
            </w:pPr>
            <w:r>
              <w:t>合计</w:t>
            </w:r>
          </w:p>
        </w:tc>
        <w:tc>
          <w:tcPr>
            <w:tcW w:w="1375" w:type="dxa"/>
            <w:vAlign w:val="center"/>
          </w:tcPr>
          <w:p w14:paraId="0AE836A2">
            <w:pPr>
              <w:spacing w:line="360" w:lineRule="auto"/>
              <w:jc w:val="right"/>
            </w:pPr>
            <w:r>
              <w:t>2,071,314.76</w:t>
            </w:r>
          </w:p>
        </w:tc>
        <w:tc>
          <w:tcPr>
            <w:tcW w:w="1635" w:type="dxa"/>
            <w:vAlign w:val="center"/>
          </w:tcPr>
          <w:p w14:paraId="0984ACA3">
            <w:pPr>
              <w:spacing w:line="360" w:lineRule="auto"/>
              <w:jc w:val="right"/>
            </w:pPr>
            <w:r>
              <w:t>1,021,197.23</w:t>
            </w:r>
          </w:p>
        </w:tc>
        <w:tc>
          <w:tcPr>
            <w:tcW w:w="1395" w:type="dxa"/>
            <w:vAlign w:val="center"/>
          </w:tcPr>
          <w:p w14:paraId="41DF9D24">
            <w:pPr>
              <w:spacing w:line="360" w:lineRule="auto"/>
              <w:jc w:val="right"/>
            </w:pPr>
            <w:r>
              <w:t>455,098.00</w:t>
            </w:r>
          </w:p>
        </w:tc>
        <w:tc>
          <w:tcPr>
            <w:tcW w:w="958" w:type="dxa"/>
            <w:vAlign w:val="center"/>
          </w:tcPr>
          <w:p w14:paraId="3A9C4333">
            <w:pPr>
              <w:spacing w:line="360" w:lineRule="auto"/>
              <w:jc w:val="right"/>
            </w:pPr>
            <w:r>
              <w:t>-</w:t>
            </w:r>
          </w:p>
        </w:tc>
        <w:tc>
          <w:tcPr>
            <w:tcW w:w="1417" w:type="dxa"/>
            <w:vAlign w:val="center"/>
          </w:tcPr>
          <w:p w14:paraId="17CABC31">
            <w:pPr>
              <w:spacing w:line="360" w:lineRule="auto"/>
              <w:jc w:val="right"/>
            </w:pPr>
            <w:r>
              <w:t>-</w:t>
            </w:r>
          </w:p>
        </w:tc>
        <w:tc>
          <w:tcPr>
            <w:tcW w:w="1843" w:type="dxa"/>
            <w:vAlign w:val="center"/>
          </w:tcPr>
          <w:p w14:paraId="57A27446">
            <w:pPr>
              <w:spacing w:line="360" w:lineRule="auto"/>
              <w:jc w:val="right"/>
            </w:pPr>
            <w:r>
              <w:t>2,637,413.99</w:t>
            </w:r>
          </w:p>
        </w:tc>
      </w:tr>
    </w:tbl>
    <w:p w14:paraId="74881C35">
      <w:pPr>
        <w:spacing w:line="360" w:lineRule="auto"/>
        <w:outlineLvl w:val="3"/>
        <w:rPr>
          <w:b/>
        </w:rPr>
      </w:pPr>
      <w:r>
        <w:rPr>
          <w:b/>
          <w:kern w:val="0"/>
        </w:rPr>
        <w:t>9.5.6.3.6</w:t>
      </w:r>
      <w:r>
        <w:rPr>
          <w:b/>
        </w:rPr>
        <w:t xml:space="preserve"> 按债务人归集的报告期末余额前五名的应收账款 </w:t>
      </w:r>
    </w:p>
    <w:p w14:paraId="24AF1777">
      <w:pPr>
        <w:spacing w:line="360" w:lineRule="auto"/>
        <w:ind w:right="-50" w:rightChars="-24"/>
        <w:jc w:val="right"/>
        <w:rPr>
          <w:b/>
        </w:rPr>
      </w:pPr>
      <w:r>
        <w:t>金额单位：人民币元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1852"/>
        <w:gridCol w:w="1940"/>
        <w:gridCol w:w="1849"/>
        <w:gridCol w:w="1770"/>
      </w:tblGrid>
      <w:tr w14:paraId="6B27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1629" w:type="dxa"/>
            <w:vAlign w:val="center"/>
          </w:tcPr>
          <w:p w14:paraId="6C23ED98">
            <w:pPr>
              <w:spacing w:line="360" w:lineRule="auto"/>
              <w:jc w:val="center"/>
            </w:pPr>
            <w:r>
              <w:t>债务人名称</w:t>
            </w:r>
          </w:p>
        </w:tc>
        <w:tc>
          <w:tcPr>
            <w:tcW w:w="1852" w:type="dxa"/>
            <w:vAlign w:val="center"/>
          </w:tcPr>
          <w:p w14:paraId="395ED75B">
            <w:pPr>
              <w:spacing w:line="360" w:lineRule="auto"/>
              <w:jc w:val="center"/>
              <w:rPr>
                <w:lang w:val="en-GB"/>
              </w:rPr>
            </w:pPr>
            <w:r>
              <w:t>账面余额</w:t>
            </w:r>
          </w:p>
        </w:tc>
        <w:tc>
          <w:tcPr>
            <w:tcW w:w="1940" w:type="dxa"/>
            <w:vAlign w:val="center"/>
          </w:tcPr>
          <w:p w14:paraId="067890B5">
            <w:pPr>
              <w:spacing w:line="360" w:lineRule="auto"/>
              <w:jc w:val="center"/>
            </w:pPr>
            <w:r>
              <w:t>占应收账款期末余额的比例（%）</w:t>
            </w:r>
          </w:p>
        </w:tc>
        <w:tc>
          <w:tcPr>
            <w:tcW w:w="1849" w:type="dxa"/>
            <w:vAlign w:val="center"/>
          </w:tcPr>
          <w:p w14:paraId="5A5430A4">
            <w:pPr>
              <w:spacing w:line="360" w:lineRule="auto"/>
              <w:jc w:val="center"/>
            </w:pPr>
            <w:r>
              <w:t>已计提坏账准备</w:t>
            </w:r>
          </w:p>
        </w:tc>
        <w:tc>
          <w:tcPr>
            <w:tcW w:w="1770" w:type="dxa"/>
            <w:vAlign w:val="center"/>
          </w:tcPr>
          <w:p w14:paraId="6ADAE8F4">
            <w:pPr>
              <w:spacing w:line="360" w:lineRule="auto"/>
              <w:jc w:val="center"/>
            </w:pPr>
            <w:r>
              <w:t>账面价值</w:t>
            </w:r>
          </w:p>
        </w:tc>
      </w:tr>
      <w:tr w14:paraId="3CEC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1AC5DFD">
            <w:pPr>
              <w:jc w:val="center"/>
            </w:pPr>
            <w:r>
              <w:t>租户1</w:t>
            </w:r>
          </w:p>
        </w:tc>
        <w:tc>
          <w:tcPr>
            <w:tcW w:w="1852" w:type="dxa"/>
            <w:vAlign w:val="center"/>
          </w:tcPr>
          <w:p w14:paraId="29076E01">
            <w:pPr>
              <w:jc w:val="right"/>
            </w:pPr>
            <w:r>
              <w:t>910,196.00</w:t>
            </w:r>
          </w:p>
        </w:tc>
        <w:tc>
          <w:tcPr>
            <w:tcW w:w="1940" w:type="dxa"/>
            <w:vAlign w:val="center"/>
          </w:tcPr>
          <w:p w14:paraId="1B3CE62A">
            <w:pPr>
              <w:jc w:val="right"/>
            </w:pPr>
            <w:r>
              <w:t>5.36%</w:t>
            </w:r>
          </w:p>
        </w:tc>
        <w:tc>
          <w:tcPr>
            <w:vAlign w:val="center"/>
          </w:tcPr>
          <w:p w14:paraId="605E99D8">
            <w:pPr>
              <w:jc w:val="right"/>
            </w:pPr>
            <w:r>
              <w:t>910,196.00</w:t>
            </w:r>
          </w:p>
        </w:tc>
        <w:tc>
          <w:tcPr>
            <w:vAlign w:val="center"/>
          </w:tcPr>
          <w:p w14:paraId="7FE64935">
            <w:pPr>
              <w:jc w:val="right"/>
            </w:pPr>
            <w:r>
              <w:t>0.00</w:t>
            </w:r>
          </w:p>
        </w:tc>
      </w:tr>
      <w:tr w14:paraId="3720F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C5FAE0B">
            <w:pPr>
              <w:jc w:val="center"/>
            </w:pPr>
            <w:r>
              <w:t>租户2</w:t>
            </w:r>
          </w:p>
        </w:tc>
        <w:tc>
          <w:tcPr>
            <w:tcW w:w="1852" w:type="dxa"/>
            <w:vAlign w:val="center"/>
          </w:tcPr>
          <w:p w14:paraId="3D722DE2">
            <w:pPr>
              <w:jc w:val="right"/>
            </w:pPr>
            <w:r>
              <w:t>645,393.25</w:t>
            </w:r>
          </w:p>
        </w:tc>
        <w:tc>
          <w:tcPr>
            <w:tcW w:w="1940" w:type="dxa"/>
            <w:vAlign w:val="center"/>
          </w:tcPr>
          <w:p w14:paraId="4349ECA7">
            <w:pPr>
              <w:jc w:val="right"/>
            </w:pPr>
            <w:r>
              <w:t>3.80%</w:t>
            </w:r>
          </w:p>
        </w:tc>
        <w:tc>
          <w:tcPr>
            <w:vAlign w:val="center"/>
          </w:tcPr>
          <w:p w14:paraId="659D8D47">
            <w:pPr>
              <w:jc w:val="right"/>
            </w:pPr>
            <w:r>
              <w:t>645,393.25</w:t>
            </w:r>
          </w:p>
        </w:tc>
        <w:tc>
          <w:tcPr>
            <w:vAlign w:val="center"/>
          </w:tcPr>
          <w:p w14:paraId="5CC445FD">
            <w:pPr>
              <w:jc w:val="right"/>
            </w:pPr>
            <w:r>
              <w:t>0.00</w:t>
            </w:r>
          </w:p>
        </w:tc>
      </w:tr>
      <w:tr w14:paraId="768A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DE5CBD9">
            <w:pPr>
              <w:jc w:val="center"/>
            </w:pPr>
            <w:r>
              <w:t>租户3</w:t>
            </w:r>
          </w:p>
        </w:tc>
        <w:tc>
          <w:tcPr>
            <w:tcW w:w="1852" w:type="dxa"/>
            <w:vAlign w:val="center"/>
          </w:tcPr>
          <w:p w14:paraId="40CE0615">
            <w:pPr>
              <w:jc w:val="right"/>
            </w:pPr>
            <w:r>
              <w:t>436,768.64</w:t>
            </w:r>
          </w:p>
        </w:tc>
        <w:tc>
          <w:tcPr>
            <w:tcW w:w="1940" w:type="dxa"/>
            <w:vAlign w:val="center"/>
          </w:tcPr>
          <w:p w14:paraId="05D9E4D0">
            <w:pPr>
              <w:jc w:val="right"/>
            </w:pPr>
            <w:r>
              <w:t>2.57%</w:t>
            </w:r>
          </w:p>
        </w:tc>
        <w:tc>
          <w:tcPr>
            <w:vAlign w:val="center"/>
          </w:tcPr>
          <w:p w14:paraId="6353E6DD">
            <w:pPr>
              <w:jc w:val="right"/>
            </w:pPr>
            <w:r>
              <w:t>8,735.37</w:t>
            </w:r>
          </w:p>
        </w:tc>
        <w:tc>
          <w:tcPr>
            <w:vAlign w:val="center"/>
          </w:tcPr>
          <w:p w14:paraId="4A11EC26">
            <w:pPr>
              <w:jc w:val="right"/>
            </w:pPr>
            <w:r>
              <w:t>428,033.27</w:t>
            </w:r>
          </w:p>
        </w:tc>
      </w:tr>
      <w:tr w14:paraId="1A50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F2725F9">
            <w:pPr>
              <w:jc w:val="center"/>
            </w:pPr>
            <w:r>
              <w:t>租户4</w:t>
            </w:r>
          </w:p>
        </w:tc>
        <w:tc>
          <w:tcPr>
            <w:tcW w:w="1852" w:type="dxa"/>
            <w:vAlign w:val="center"/>
          </w:tcPr>
          <w:p w14:paraId="60068605">
            <w:pPr>
              <w:jc w:val="right"/>
            </w:pPr>
            <w:r>
              <w:t>413,101.79</w:t>
            </w:r>
          </w:p>
        </w:tc>
        <w:tc>
          <w:tcPr>
            <w:tcW w:w="1940" w:type="dxa"/>
            <w:vAlign w:val="center"/>
          </w:tcPr>
          <w:p w14:paraId="4C6142C9">
            <w:pPr>
              <w:jc w:val="right"/>
            </w:pPr>
            <w:r>
              <w:t>2.43%</w:t>
            </w:r>
          </w:p>
        </w:tc>
        <w:tc>
          <w:tcPr>
            <w:vAlign w:val="center"/>
          </w:tcPr>
          <w:p w14:paraId="62930C56">
            <w:pPr>
              <w:jc w:val="right"/>
            </w:pPr>
            <w:r>
              <w:t>411,807.00</w:t>
            </w:r>
          </w:p>
        </w:tc>
        <w:tc>
          <w:tcPr>
            <w:vAlign w:val="center"/>
          </w:tcPr>
          <w:p w14:paraId="6D2BF516">
            <w:pPr>
              <w:jc w:val="right"/>
            </w:pPr>
            <w:r>
              <w:t>1,294.79</w:t>
            </w:r>
          </w:p>
        </w:tc>
      </w:tr>
      <w:tr w14:paraId="76F6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C321624">
            <w:pPr>
              <w:jc w:val="center"/>
            </w:pPr>
            <w:r>
              <w:t>租户5</w:t>
            </w:r>
          </w:p>
        </w:tc>
        <w:tc>
          <w:tcPr>
            <w:tcW w:w="1852" w:type="dxa"/>
            <w:vAlign w:val="center"/>
          </w:tcPr>
          <w:p w14:paraId="26DF5D66">
            <w:pPr>
              <w:jc w:val="right"/>
            </w:pPr>
            <w:r>
              <w:t>411,807.00</w:t>
            </w:r>
          </w:p>
        </w:tc>
        <w:tc>
          <w:tcPr>
            <w:tcW w:w="1940" w:type="dxa"/>
            <w:vAlign w:val="center"/>
          </w:tcPr>
          <w:p w14:paraId="349D5702">
            <w:pPr>
              <w:jc w:val="right"/>
            </w:pPr>
            <w:r>
              <w:t>2.42%</w:t>
            </w:r>
          </w:p>
        </w:tc>
        <w:tc>
          <w:tcPr>
            <w:vAlign w:val="center"/>
          </w:tcPr>
          <w:p w14:paraId="7A50A582">
            <w:pPr>
              <w:jc w:val="right"/>
            </w:pPr>
            <w:r>
              <w:t>272.34</w:t>
            </w:r>
          </w:p>
        </w:tc>
        <w:tc>
          <w:tcPr>
            <w:vAlign w:val="center"/>
          </w:tcPr>
          <w:p w14:paraId="0365CE90">
            <w:pPr>
              <w:jc w:val="right"/>
            </w:pPr>
            <w:r>
              <w:t>411,534.66</w:t>
            </w:r>
          </w:p>
        </w:tc>
      </w:tr>
      <w:tr w14:paraId="58D1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9" w:type="dxa"/>
            <w:vAlign w:val="center"/>
          </w:tcPr>
          <w:p w14:paraId="37BEE993">
            <w:pPr>
              <w:spacing w:line="360" w:lineRule="auto"/>
              <w:jc w:val="center"/>
            </w:pPr>
            <w:r>
              <w:t>合计</w:t>
            </w:r>
          </w:p>
        </w:tc>
        <w:tc>
          <w:tcPr>
            <w:tcW w:w="1852" w:type="dxa"/>
            <w:vAlign w:val="center"/>
          </w:tcPr>
          <w:p w14:paraId="321389EA">
            <w:pPr>
              <w:jc w:val="right"/>
              <w:rPr>
                <w:rFonts w:ascii="Times New Roman" w:hAnsi="Times New Roman" w:eastAsia="宋体" w:cs="Times New Roman"/>
              </w:rPr>
            </w:pPr>
            <w:r>
              <w:rPr>
                <w:rFonts w:ascii="Times New Roman" w:hAnsi="Times New Roman" w:eastAsia="宋体" w:cs="Times New Roman"/>
              </w:rPr>
              <w:t>2,817,266.68</w:t>
            </w:r>
          </w:p>
        </w:tc>
        <w:tc>
          <w:tcPr>
            <w:tcW w:w="1940" w:type="dxa"/>
            <w:vAlign w:val="center"/>
          </w:tcPr>
          <w:p w14:paraId="329EA3DC">
            <w:pPr>
              <w:jc w:val="right"/>
              <w:rPr>
                <w:rFonts w:ascii="Times New Roman" w:hAnsi="Times New Roman" w:eastAsia="宋体" w:cs="Times New Roman"/>
              </w:rPr>
            </w:pPr>
            <w:r>
              <w:rPr>
                <w:rFonts w:ascii="Times New Roman" w:hAnsi="Times New Roman" w:eastAsia="宋体" w:cs="Times New Roman"/>
              </w:rPr>
              <w:t>16.58%</w:t>
            </w:r>
          </w:p>
        </w:tc>
        <w:tc>
          <w:tcPr>
            <w:tcW w:w="1849" w:type="dxa"/>
            <w:vAlign w:val="center"/>
          </w:tcPr>
          <w:p w14:paraId="0B00FE33">
            <w:pPr>
              <w:jc w:val="right"/>
              <w:rPr>
                <w:rFonts w:ascii="Times New Roman" w:hAnsi="Times New Roman" w:eastAsia="宋体" w:cs="Times New Roman"/>
              </w:rPr>
            </w:pPr>
            <w:r>
              <w:rPr>
                <w:rFonts w:ascii="Times New Roman" w:hAnsi="Times New Roman" w:eastAsia="宋体" w:cs="Times New Roman"/>
              </w:rPr>
              <w:t>1,976,403.96</w:t>
            </w:r>
          </w:p>
        </w:tc>
        <w:tc>
          <w:tcPr>
            <w:tcW w:w="1770" w:type="dxa"/>
            <w:vAlign w:val="center"/>
          </w:tcPr>
          <w:p w14:paraId="4024A4BF">
            <w:pPr>
              <w:jc w:val="right"/>
              <w:rPr>
                <w:rFonts w:ascii="Times New Roman" w:hAnsi="Times New Roman" w:eastAsia="宋体" w:cs="Times New Roman"/>
              </w:rPr>
            </w:pPr>
            <w:r>
              <w:rPr>
                <w:rFonts w:ascii="Times New Roman" w:hAnsi="Times New Roman" w:eastAsia="宋体" w:cs="Times New Roman"/>
              </w:rPr>
              <w:t>840,862.72</w:t>
            </w:r>
          </w:p>
        </w:tc>
      </w:tr>
    </w:tbl>
    <w:p w14:paraId="0B3E28B4">
      <w:pPr>
        <w:spacing w:line="360" w:lineRule="auto"/>
        <w:outlineLvl w:val="3"/>
        <w:rPr>
          <w:b/>
        </w:rPr>
      </w:pPr>
      <w:r>
        <w:rPr>
          <w:b/>
          <w:kern w:val="0"/>
        </w:rPr>
        <w:t>9.5.6.4</w:t>
      </w:r>
      <w:r>
        <w:rPr>
          <w:b/>
        </w:rPr>
        <w:t xml:space="preserve">  投资性房地产 </w:t>
      </w:r>
    </w:p>
    <w:p w14:paraId="6AAC4B0B">
      <w:pPr>
        <w:spacing w:line="360" w:lineRule="auto"/>
        <w:outlineLvl w:val="3"/>
        <w:rPr>
          <w:b/>
        </w:rPr>
      </w:pPr>
      <w:r>
        <w:rPr>
          <w:b/>
          <w:kern w:val="0"/>
        </w:rPr>
        <w:t>9.5.6.4.1</w:t>
      </w:r>
      <w:r>
        <w:rPr>
          <w:b/>
        </w:rPr>
        <w:t xml:space="preserve"> 采用成本计量模式的投资性房地产 </w:t>
      </w:r>
    </w:p>
    <w:p w14:paraId="6EC7D40A">
      <w:pPr>
        <w:spacing w:line="360" w:lineRule="auto"/>
        <w:ind w:right="-50" w:rightChars="-24"/>
        <w:jc w:val="right"/>
        <w:rPr>
          <w:b/>
        </w:rPr>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1"/>
        <w:gridCol w:w="1829"/>
        <w:gridCol w:w="1441"/>
        <w:gridCol w:w="1685"/>
        <w:gridCol w:w="1823"/>
      </w:tblGrid>
      <w:tr w14:paraId="4A92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261" w:type="dxa"/>
            <w:vAlign w:val="center"/>
          </w:tcPr>
          <w:p w14:paraId="031E64D2">
            <w:pPr>
              <w:spacing w:line="360" w:lineRule="auto"/>
              <w:jc w:val="center"/>
            </w:pPr>
            <w:r>
              <w:t>项目</w:t>
            </w:r>
          </w:p>
        </w:tc>
        <w:tc>
          <w:tcPr>
            <w:tcW w:w="1829" w:type="dxa"/>
            <w:vAlign w:val="center"/>
          </w:tcPr>
          <w:p w14:paraId="400E7008">
            <w:pPr>
              <w:spacing w:line="360" w:lineRule="auto"/>
              <w:jc w:val="center"/>
            </w:pPr>
            <w:r>
              <w:t>房屋建筑物及相关土地使用权</w:t>
            </w:r>
          </w:p>
        </w:tc>
        <w:tc>
          <w:tcPr>
            <w:tcW w:w="1441" w:type="dxa"/>
            <w:vAlign w:val="center"/>
          </w:tcPr>
          <w:p w14:paraId="04ECAF0A">
            <w:pPr>
              <w:spacing w:line="360" w:lineRule="auto"/>
              <w:jc w:val="center"/>
            </w:pPr>
            <w:r>
              <w:t>土地使用权</w:t>
            </w:r>
          </w:p>
        </w:tc>
        <w:tc>
          <w:tcPr>
            <w:tcW w:w="1685" w:type="dxa"/>
            <w:vAlign w:val="center"/>
          </w:tcPr>
          <w:p w14:paraId="0703CBBB">
            <w:pPr>
              <w:spacing w:line="360" w:lineRule="auto"/>
              <w:jc w:val="center"/>
            </w:pPr>
            <w:r>
              <w:t>在建投资性房地产</w:t>
            </w:r>
          </w:p>
        </w:tc>
        <w:tc>
          <w:tcPr>
            <w:tcW w:w="1823" w:type="dxa"/>
            <w:vAlign w:val="center"/>
          </w:tcPr>
          <w:p w14:paraId="37AB8825">
            <w:pPr>
              <w:spacing w:line="360" w:lineRule="auto"/>
              <w:jc w:val="center"/>
            </w:pPr>
            <w:r>
              <w:t>合计</w:t>
            </w:r>
          </w:p>
        </w:tc>
      </w:tr>
      <w:tr w14:paraId="741DE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7C75795A">
            <w:pPr>
              <w:snapToGrid w:val="0"/>
              <w:spacing w:line="360" w:lineRule="auto"/>
              <w:jc w:val="left"/>
            </w:pPr>
            <w:r>
              <w:t>一、账面原值</w:t>
            </w:r>
          </w:p>
        </w:tc>
        <w:tc>
          <w:tcPr>
            <w:tcW w:w="1829" w:type="dxa"/>
            <w:vAlign w:val="center"/>
          </w:tcPr>
          <w:p w14:paraId="41BD683B">
            <w:pPr>
              <w:tabs>
                <w:tab w:val="left" w:pos="196"/>
                <w:tab w:val="left" w:pos="426"/>
              </w:tabs>
              <w:snapToGrid w:val="0"/>
              <w:spacing w:line="360" w:lineRule="auto"/>
              <w:jc w:val="right"/>
            </w:pPr>
          </w:p>
        </w:tc>
        <w:tc>
          <w:tcPr>
            <w:tcW w:w="1441" w:type="dxa"/>
          </w:tcPr>
          <w:p w14:paraId="1A548710">
            <w:pPr>
              <w:tabs>
                <w:tab w:val="left" w:pos="196"/>
                <w:tab w:val="left" w:pos="426"/>
              </w:tabs>
              <w:snapToGrid w:val="0"/>
              <w:spacing w:line="360" w:lineRule="auto"/>
              <w:jc w:val="right"/>
            </w:pPr>
          </w:p>
        </w:tc>
        <w:tc>
          <w:tcPr>
            <w:tcW w:w="1685" w:type="dxa"/>
          </w:tcPr>
          <w:p w14:paraId="37CE2C4E">
            <w:pPr>
              <w:tabs>
                <w:tab w:val="left" w:pos="196"/>
                <w:tab w:val="left" w:pos="426"/>
              </w:tabs>
              <w:snapToGrid w:val="0"/>
              <w:spacing w:line="360" w:lineRule="auto"/>
              <w:jc w:val="right"/>
            </w:pPr>
          </w:p>
        </w:tc>
        <w:tc>
          <w:tcPr>
            <w:tcW w:w="1823" w:type="dxa"/>
          </w:tcPr>
          <w:p w14:paraId="7B868EB7">
            <w:pPr>
              <w:tabs>
                <w:tab w:val="left" w:pos="196"/>
                <w:tab w:val="left" w:pos="426"/>
              </w:tabs>
              <w:snapToGrid w:val="0"/>
              <w:spacing w:line="360" w:lineRule="auto"/>
              <w:jc w:val="right"/>
            </w:pPr>
          </w:p>
        </w:tc>
      </w:tr>
      <w:tr w14:paraId="3E7CE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B7146BE">
            <w:pPr>
              <w:snapToGrid w:val="0"/>
              <w:spacing w:line="360" w:lineRule="auto"/>
              <w:ind w:firstLine="105" w:firstLineChars="50"/>
              <w:jc w:val="left"/>
            </w:pPr>
            <w:r>
              <w:t>1.期初余额</w:t>
            </w:r>
          </w:p>
        </w:tc>
        <w:tc>
          <w:tcPr>
            <w:tcW w:w="1829" w:type="dxa"/>
          </w:tcPr>
          <w:p w14:paraId="03B3B9AC">
            <w:pPr>
              <w:tabs>
                <w:tab w:val="left" w:pos="196"/>
                <w:tab w:val="left" w:pos="426"/>
              </w:tabs>
              <w:snapToGrid w:val="0"/>
              <w:spacing w:line="360" w:lineRule="auto"/>
              <w:jc w:val="right"/>
            </w:pPr>
            <w:r>
              <w:t>3,700,000,000.00</w:t>
            </w:r>
          </w:p>
        </w:tc>
        <w:tc>
          <w:tcPr>
            <w:tcW w:w="1441" w:type="dxa"/>
          </w:tcPr>
          <w:p w14:paraId="20E6BC60">
            <w:pPr>
              <w:tabs>
                <w:tab w:val="left" w:pos="196"/>
                <w:tab w:val="left" w:pos="426"/>
              </w:tabs>
              <w:snapToGrid w:val="0"/>
              <w:spacing w:line="360" w:lineRule="auto"/>
              <w:jc w:val="right"/>
            </w:pPr>
            <w:r>
              <w:t>-</w:t>
            </w:r>
          </w:p>
        </w:tc>
        <w:tc>
          <w:tcPr>
            <w:tcW w:w="1685" w:type="dxa"/>
          </w:tcPr>
          <w:p w14:paraId="4ED56DE4">
            <w:pPr>
              <w:tabs>
                <w:tab w:val="left" w:pos="196"/>
                <w:tab w:val="left" w:pos="426"/>
              </w:tabs>
              <w:snapToGrid w:val="0"/>
              <w:spacing w:line="360" w:lineRule="auto"/>
              <w:jc w:val="right"/>
            </w:pPr>
            <w:r>
              <w:t>-</w:t>
            </w:r>
          </w:p>
        </w:tc>
        <w:tc>
          <w:tcPr>
            <w:tcW w:w="1823" w:type="dxa"/>
          </w:tcPr>
          <w:p w14:paraId="6CE59473">
            <w:pPr>
              <w:tabs>
                <w:tab w:val="left" w:pos="196"/>
                <w:tab w:val="left" w:pos="426"/>
              </w:tabs>
              <w:snapToGrid w:val="0"/>
              <w:spacing w:line="360" w:lineRule="auto"/>
              <w:jc w:val="right"/>
            </w:pPr>
            <w:r>
              <w:t>3,700,000,000.00</w:t>
            </w:r>
          </w:p>
        </w:tc>
      </w:tr>
      <w:tr w14:paraId="14CC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5944B6A8">
            <w:pPr>
              <w:snapToGrid w:val="0"/>
              <w:spacing w:line="360" w:lineRule="auto"/>
              <w:ind w:firstLine="105" w:firstLineChars="50"/>
              <w:jc w:val="left"/>
            </w:pPr>
            <w:r>
              <w:t>2.本期增加金额</w:t>
            </w:r>
          </w:p>
        </w:tc>
        <w:tc>
          <w:tcPr>
            <w:tcW w:w="1829" w:type="dxa"/>
          </w:tcPr>
          <w:p w14:paraId="3C203EDF">
            <w:pPr>
              <w:tabs>
                <w:tab w:val="left" w:pos="196"/>
                <w:tab w:val="left" w:pos="426"/>
              </w:tabs>
              <w:snapToGrid w:val="0"/>
              <w:spacing w:line="360" w:lineRule="auto"/>
              <w:jc w:val="right"/>
            </w:pPr>
            <w:r>
              <w:t>-</w:t>
            </w:r>
          </w:p>
        </w:tc>
        <w:tc>
          <w:tcPr>
            <w:tcW w:w="1441" w:type="dxa"/>
          </w:tcPr>
          <w:p w14:paraId="3C18C3CF">
            <w:pPr>
              <w:tabs>
                <w:tab w:val="left" w:pos="196"/>
                <w:tab w:val="left" w:pos="426"/>
              </w:tabs>
              <w:snapToGrid w:val="0"/>
              <w:spacing w:line="360" w:lineRule="auto"/>
              <w:jc w:val="right"/>
            </w:pPr>
            <w:r>
              <w:t>-</w:t>
            </w:r>
          </w:p>
        </w:tc>
        <w:tc>
          <w:tcPr>
            <w:tcW w:w="1685" w:type="dxa"/>
          </w:tcPr>
          <w:p w14:paraId="1D1CAB07">
            <w:pPr>
              <w:tabs>
                <w:tab w:val="left" w:pos="196"/>
                <w:tab w:val="left" w:pos="426"/>
              </w:tabs>
              <w:snapToGrid w:val="0"/>
              <w:spacing w:line="360" w:lineRule="auto"/>
              <w:jc w:val="right"/>
            </w:pPr>
            <w:r>
              <w:t>-</w:t>
            </w:r>
          </w:p>
        </w:tc>
        <w:tc>
          <w:tcPr>
            <w:tcW w:w="1823" w:type="dxa"/>
          </w:tcPr>
          <w:p w14:paraId="6FD9E250">
            <w:pPr>
              <w:tabs>
                <w:tab w:val="left" w:pos="196"/>
                <w:tab w:val="left" w:pos="426"/>
              </w:tabs>
              <w:snapToGrid w:val="0"/>
              <w:spacing w:line="360" w:lineRule="auto"/>
              <w:jc w:val="right"/>
            </w:pPr>
            <w:r>
              <w:t>-</w:t>
            </w:r>
          </w:p>
        </w:tc>
      </w:tr>
      <w:tr w14:paraId="103E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73608C23">
            <w:pPr>
              <w:tabs>
                <w:tab w:val="left" w:pos="196"/>
                <w:tab w:val="left" w:pos="426"/>
              </w:tabs>
              <w:snapToGrid w:val="0"/>
              <w:spacing w:line="360" w:lineRule="auto"/>
              <w:ind w:left="210" w:leftChars="100" w:firstLine="105" w:firstLineChars="50"/>
            </w:pPr>
            <w:r>
              <w:t>外购</w:t>
            </w:r>
          </w:p>
        </w:tc>
        <w:tc>
          <w:tcPr>
            <w:tcW w:w="1829" w:type="dxa"/>
          </w:tcPr>
          <w:p w14:paraId="59ED075C">
            <w:pPr>
              <w:tabs>
                <w:tab w:val="left" w:pos="196"/>
                <w:tab w:val="left" w:pos="426"/>
              </w:tabs>
              <w:snapToGrid w:val="0"/>
              <w:spacing w:line="360" w:lineRule="auto"/>
              <w:jc w:val="right"/>
            </w:pPr>
            <w:r>
              <w:t>-</w:t>
            </w:r>
          </w:p>
        </w:tc>
        <w:tc>
          <w:tcPr>
            <w:tcW w:w="1441" w:type="dxa"/>
          </w:tcPr>
          <w:p w14:paraId="75403CF2">
            <w:pPr>
              <w:tabs>
                <w:tab w:val="left" w:pos="196"/>
                <w:tab w:val="left" w:pos="426"/>
              </w:tabs>
              <w:snapToGrid w:val="0"/>
              <w:spacing w:line="360" w:lineRule="auto"/>
              <w:jc w:val="right"/>
            </w:pPr>
            <w:r>
              <w:t>-</w:t>
            </w:r>
          </w:p>
        </w:tc>
        <w:tc>
          <w:tcPr>
            <w:tcW w:w="1685" w:type="dxa"/>
          </w:tcPr>
          <w:p w14:paraId="3C6EF8AA">
            <w:pPr>
              <w:tabs>
                <w:tab w:val="left" w:pos="196"/>
                <w:tab w:val="left" w:pos="426"/>
              </w:tabs>
              <w:snapToGrid w:val="0"/>
              <w:spacing w:line="360" w:lineRule="auto"/>
              <w:jc w:val="right"/>
            </w:pPr>
            <w:r>
              <w:t>-</w:t>
            </w:r>
          </w:p>
        </w:tc>
        <w:tc>
          <w:tcPr>
            <w:tcW w:w="1823" w:type="dxa"/>
          </w:tcPr>
          <w:p w14:paraId="08466934">
            <w:pPr>
              <w:tabs>
                <w:tab w:val="left" w:pos="196"/>
                <w:tab w:val="left" w:pos="426"/>
              </w:tabs>
              <w:snapToGrid w:val="0"/>
              <w:spacing w:line="360" w:lineRule="auto"/>
              <w:jc w:val="right"/>
            </w:pPr>
            <w:r>
              <w:t>-</w:t>
            </w:r>
          </w:p>
        </w:tc>
      </w:tr>
      <w:tr w14:paraId="1CBE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4DE8C080">
            <w:pPr>
              <w:tabs>
                <w:tab w:val="left" w:pos="0"/>
                <w:tab w:val="left" w:pos="426"/>
              </w:tabs>
              <w:snapToGrid w:val="0"/>
              <w:spacing w:line="360" w:lineRule="auto"/>
              <w:ind w:left="210" w:leftChars="100" w:firstLine="105" w:firstLineChars="50"/>
            </w:pPr>
            <w:r>
              <w:t>存货\固定资产\在建工程转入</w:t>
            </w:r>
          </w:p>
        </w:tc>
        <w:tc>
          <w:tcPr>
            <w:tcW w:w="1829" w:type="dxa"/>
          </w:tcPr>
          <w:p w14:paraId="752DD719">
            <w:pPr>
              <w:tabs>
                <w:tab w:val="left" w:pos="196"/>
                <w:tab w:val="left" w:pos="426"/>
              </w:tabs>
              <w:snapToGrid w:val="0"/>
              <w:spacing w:line="360" w:lineRule="auto"/>
              <w:jc w:val="right"/>
            </w:pPr>
            <w:r>
              <w:t>-</w:t>
            </w:r>
          </w:p>
        </w:tc>
        <w:tc>
          <w:tcPr>
            <w:tcW w:w="1441" w:type="dxa"/>
          </w:tcPr>
          <w:p w14:paraId="7AA1C9CC">
            <w:pPr>
              <w:tabs>
                <w:tab w:val="left" w:pos="196"/>
                <w:tab w:val="left" w:pos="426"/>
              </w:tabs>
              <w:snapToGrid w:val="0"/>
              <w:spacing w:line="360" w:lineRule="auto"/>
              <w:jc w:val="right"/>
            </w:pPr>
            <w:r>
              <w:t>-</w:t>
            </w:r>
          </w:p>
        </w:tc>
        <w:tc>
          <w:tcPr>
            <w:tcW w:w="1685" w:type="dxa"/>
          </w:tcPr>
          <w:p w14:paraId="2BC790B8">
            <w:pPr>
              <w:tabs>
                <w:tab w:val="left" w:pos="196"/>
                <w:tab w:val="left" w:pos="426"/>
              </w:tabs>
              <w:snapToGrid w:val="0"/>
              <w:spacing w:line="360" w:lineRule="auto"/>
              <w:jc w:val="right"/>
            </w:pPr>
            <w:r>
              <w:t>-</w:t>
            </w:r>
          </w:p>
        </w:tc>
        <w:tc>
          <w:tcPr>
            <w:tcW w:w="1823" w:type="dxa"/>
          </w:tcPr>
          <w:p w14:paraId="2207B531">
            <w:pPr>
              <w:tabs>
                <w:tab w:val="left" w:pos="196"/>
                <w:tab w:val="left" w:pos="426"/>
              </w:tabs>
              <w:snapToGrid w:val="0"/>
              <w:spacing w:line="360" w:lineRule="auto"/>
              <w:jc w:val="right"/>
            </w:pPr>
            <w:r>
              <w:t>-</w:t>
            </w:r>
          </w:p>
        </w:tc>
      </w:tr>
      <w:tr w14:paraId="32B9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2EB575C3">
            <w:pPr>
              <w:tabs>
                <w:tab w:val="left" w:pos="196"/>
                <w:tab w:val="left" w:pos="426"/>
              </w:tabs>
              <w:snapToGrid w:val="0"/>
              <w:spacing w:line="360" w:lineRule="auto"/>
              <w:ind w:left="210" w:leftChars="100" w:firstLine="105" w:firstLineChars="50"/>
            </w:pPr>
            <w:r>
              <w:t>其他原因增加</w:t>
            </w:r>
          </w:p>
        </w:tc>
        <w:tc>
          <w:tcPr>
            <w:tcW w:w="1829" w:type="dxa"/>
          </w:tcPr>
          <w:p w14:paraId="0273867F">
            <w:pPr>
              <w:tabs>
                <w:tab w:val="left" w:pos="196"/>
                <w:tab w:val="left" w:pos="426"/>
              </w:tabs>
              <w:snapToGrid w:val="0"/>
              <w:spacing w:line="360" w:lineRule="auto"/>
              <w:jc w:val="right"/>
            </w:pPr>
            <w:r>
              <w:t>-</w:t>
            </w:r>
          </w:p>
        </w:tc>
        <w:tc>
          <w:tcPr>
            <w:tcW w:w="1441" w:type="dxa"/>
          </w:tcPr>
          <w:p w14:paraId="24FB62A5">
            <w:pPr>
              <w:tabs>
                <w:tab w:val="left" w:pos="196"/>
                <w:tab w:val="left" w:pos="426"/>
              </w:tabs>
              <w:snapToGrid w:val="0"/>
              <w:spacing w:line="360" w:lineRule="auto"/>
              <w:jc w:val="right"/>
            </w:pPr>
            <w:r>
              <w:t>-</w:t>
            </w:r>
          </w:p>
        </w:tc>
        <w:tc>
          <w:tcPr>
            <w:tcW w:w="1685" w:type="dxa"/>
          </w:tcPr>
          <w:p w14:paraId="5B0429BC">
            <w:pPr>
              <w:tabs>
                <w:tab w:val="left" w:pos="196"/>
                <w:tab w:val="left" w:pos="426"/>
              </w:tabs>
              <w:snapToGrid w:val="0"/>
              <w:spacing w:line="360" w:lineRule="auto"/>
              <w:jc w:val="right"/>
            </w:pPr>
            <w:r>
              <w:t>-</w:t>
            </w:r>
          </w:p>
        </w:tc>
        <w:tc>
          <w:tcPr>
            <w:tcW w:w="1823" w:type="dxa"/>
          </w:tcPr>
          <w:p w14:paraId="49C20150">
            <w:pPr>
              <w:tabs>
                <w:tab w:val="left" w:pos="196"/>
                <w:tab w:val="left" w:pos="426"/>
              </w:tabs>
              <w:snapToGrid w:val="0"/>
              <w:spacing w:line="360" w:lineRule="auto"/>
              <w:jc w:val="right"/>
            </w:pPr>
            <w:r>
              <w:t>-</w:t>
            </w:r>
          </w:p>
        </w:tc>
      </w:tr>
      <w:tr w14:paraId="3508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093671FF">
            <w:pPr>
              <w:snapToGrid w:val="0"/>
              <w:spacing w:line="360" w:lineRule="auto"/>
              <w:ind w:firstLine="105" w:firstLineChars="50"/>
              <w:jc w:val="left"/>
            </w:pPr>
            <w:r>
              <w:t>3.本期减少金额</w:t>
            </w:r>
          </w:p>
        </w:tc>
        <w:tc>
          <w:tcPr>
            <w:tcW w:w="1829" w:type="dxa"/>
          </w:tcPr>
          <w:p w14:paraId="08BFE74E">
            <w:pPr>
              <w:tabs>
                <w:tab w:val="left" w:pos="196"/>
                <w:tab w:val="left" w:pos="426"/>
              </w:tabs>
              <w:snapToGrid w:val="0"/>
              <w:spacing w:line="360" w:lineRule="auto"/>
              <w:jc w:val="right"/>
            </w:pPr>
            <w:r>
              <w:t>-</w:t>
            </w:r>
          </w:p>
        </w:tc>
        <w:tc>
          <w:tcPr>
            <w:tcW w:w="1441" w:type="dxa"/>
          </w:tcPr>
          <w:p w14:paraId="4519607F">
            <w:pPr>
              <w:tabs>
                <w:tab w:val="left" w:pos="196"/>
                <w:tab w:val="left" w:pos="426"/>
              </w:tabs>
              <w:snapToGrid w:val="0"/>
              <w:spacing w:line="360" w:lineRule="auto"/>
              <w:jc w:val="right"/>
            </w:pPr>
            <w:r>
              <w:t>-</w:t>
            </w:r>
          </w:p>
        </w:tc>
        <w:tc>
          <w:tcPr>
            <w:tcW w:w="1685" w:type="dxa"/>
          </w:tcPr>
          <w:p w14:paraId="7997B4B6">
            <w:pPr>
              <w:tabs>
                <w:tab w:val="left" w:pos="196"/>
                <w:tab w:val="left" w:pos="426"/>
              </w:tabs>
              <w:snapToGrid w:val="0"/>
              <w:spacing w:line="360" w:lineRule="auto"/>
              <w:jc w:val="right"/>
            </w:pPr>
            <w:r>
              <w:t>-</w:t>
            </w:r>
          </w:p>
        </w:tc>
        <w:tc>
          <w:tcPr>
            <w:tcW w:w="1823" w:type="dxa"/>
          </w:tcPr>
          <w:p w14:paraId="4BFC9C62">
            <w:pPr>
              <w:tabs>
                <w:tab w:val="left" w:pos="196"/>
                <w:tab w:val="left" w:pos="426"/>
              </w:tabs>
              <w:snapToGrid w:val="0"/>
              <w:spacing w:line="360" w:lineRule="auto"/>
              <w:jc w:val="right"/>
            </w:pPr>
            <w:r>
              <w:t>-</w:t>
            </w:r>
          </w:p>
        </w:tc>
      </w:tr>
      <w:tr w14:paraId="2777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6FCC178">
            <w:pPr>
              <w:tabs>
                <w:tab w:val="left" w:pos="196"/>
                <w:tab w:val="left" w:pos="426"/>
              </w:tabs>
              <w:snapToGrid w:val="0"/>
              <w:spacing w:line="360" w:lineRule="auto"/>
              <w:ind w:left="210" w:leftChars="100" w:firstLine="105" w:firstLineChars="50"/>
            </w:pPr>
            <w:r>
              <w:t>处置</w:t>
            </w:r>
          </w:p>
        </w:tc>
        <w:tc>
          <w:tcPr>
            <w:tcW w:w="1829" w:type="dxa"/>
          </w:tcPr>
          <w:p w14:paraId="7996C360">
            <w:pPr>
              <w:tabs>
                <w:tab w:val="left" w:pos="196"/>
                <w:tab w:val="left" w:pos="426"/>
              </w:tabs>
              <w:snapToGrid w:val="0"/>
              <w:spacing w:line="360" w:lineRule="auto"/>
              <w:jc w:val="right"/>
            </w:pPr>
            <w:r>
              <w:t>-</w:t>
            </w:r>
          </w:p>
        </w:tc>
        <w:tc>
          <w:tcPr>
            <w:tcW w:w="1441" w:type="dxa"/>
          </w:tcPr>
          <w:p w14:paraId="27D22F37">
            <w:pPr>
              <w:tabs>
                <w:tab w:val="left" w:pos="196"/>
                <w:tab w:val="left" w:pos="426"/>
              </w:tabs>
              <w:snapToGrid w:val="0"/>
              <w:spacing w:line="360" w:lineRule="auto"/>
              <w:jc w:val="right"/>
            </w:pPr>
            <w:r>
              <w:t>-</w:t>
            </w:r>
          </w:p>
        </w:tc>
        <w:tc>
          <w:tcPr>
            <w:tcW w:w="1685" w:type="dxa"/>
          </w:tcPr>
          <w:p w14:paraId="456A15D7">
            <w:pPr>
              <w:tabs>
                <w:tab w:val="left" w:pos="196"/>
                <w:tab w:val="left" w:pos="426"/>
              </w:tabs>
              <w:snapToGrid w:val="0"/>
              <w:spacing w:line="360" w:lineRule="auto"/>
              <w:jc w:val="right"/>
            </w:pPr>
            <w:r>
              <w:t>-</w:t>
            </w:r>
          </w:p>
        </w:tc>
        <w:tc>
          <w:tcPr>
            <w:tcW w:w="1823" w:type="dxa"/>
          </w:tcPr>
          <w:p w14:paraId="11D4B02D">
            <w:pPr>
              <w:tabs>
                <w:tab w:val="left" w:pos="196"/>
                <w:tab w:val="left" w:pos="426"/>
              </w:tabs>
              <w:snapToGrid w:val="0"/>
              <w:spacing w:line="360" w:lineRule="auto"/>
              <w:jc w:val="right"/>
            </w:pPr>
            <w:r>
              <w:t>-</w:t>
            </w:r>
          </w:p>
        </w:tc>
      </w:tr>
      <w:tr w14:paraId="7D8F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40B75C2A">
            <w:pPr>
              <w:tabs>
                <w:tab w:val="left" w:pos="196"/>
                <w:tab w:val="left" w:pos="426"/>
              </w:tabs>
              <w:snapToGrid w:val="0"/>
              <w:spacing w:line="360" w:lineRule="auto"/>
              <w:ind w:left="210" w:leftChars="100" w:firstLine="105" w:firstLineChars="50"/>
            </w:pPr>
            <w:r>
              <w:t>其他原因减少</w:t>
            </w:r>
          </w:p>
        </w:tc>
        <w:tc>
          <w:tcPr>
            <w:tcW w:w="1829" w:type="dxa"/>
          </w:tcPr>
          <w:p w14:paraId="55578B1A">
            <w:pPr>
              <w:tabs>
                <w:tab w:val="left" w:pos="196"/>
                <w:tab w:val="left" w:pos="426"/>
              </w:tabs>
              <w:snapToGrid w:val="0"/>
              <w:spacing w:line="360" w:lineRule="auto"/>
              <w:jc w:val="right"/>
            </w:pPr>
            <w:r>
              <w:t>-</w:t>
            </w:r>
          </w:p>
        </w:tc>
        <w:tc>
          <w:tcPr>
            <w:tcW w:w="1441" w:type="dxa"/>
          </w:tcPr>
          <w:p w14:paraId="1A80481A">
            <w:pPr>
              <w:tabs>
                <w:tab w:val="left" w:pos="196"/>
                <w:tab w:val="left" w:pos="426"/>
              </w:tabs>
              <w:snapToGrid w:val="0"/>
              <w:spacing w:line="360" w:lineRule="auto"/>
              <w:jc w:val="right"/>
            </w:pPr>
            <w:r>
              <w:t>-</w:t>
            </w:r>
          </w:p>
        </w:tc>
        <w:tc>
          <w:tcPr>
            <w:tcW w:w="1685" w:type="dxa"/>
          </w:tcPr>
          <w:p w14:paraId="465AD740">
            <w:pPr>
              <w:tabs>
                <w:tab w:val="left" w:pos="196"/>
                <w:tab w:val="left" w:pos="426"/>
              </w:tabs>
              <w:snapToGrid w:val="0"/>
              <w:spacing w:line="360" w:lineRule="auto"/>
              <w:jc w:val="right"/>
            </w:pPr>
            <w:r>
              <w:t>-</w:t>
            </w:r>
          </w:p>
        </w:tc>
        <w:tc>
          <w:tcPr>
            <w:tcW w:w="1823" w:type="dxa"/>
          </w:tcPr>
          <w:p w14:paraId="260088DE">
            <w:pPr>
              <w:tabs>
                <w:tab w:val="left" w:pos="196"/>
                <w:tab w:val="left" w:pos="426"/>
              </w:tabs>
              <w:snapToGrid w:val="0"/>
              <w:spacing w:line="360" w:lineRule="auto"/>
              <w:jc w:val="right"/>
            </w:pPr>
            <w:r>
              <w:t>-</w:t>
            </w:r>
          </w:p>
        </w:tc>
      </w:tr>
      <w:tr w14:paraId="2BE61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0604BCA3">
            <w:pPr>
              <w:snapToGrid w:val="0"/>
              <w:spacing w:line="360" w:lineRule="auto"/>
              <w:ind w:firstLine="105" w:firstLineChars="50"/>
              <w:jc w:val="left"/>
            </w:pPr>
            <w:r>
              <w:t>4.期末余额</w:t>
            </w:r>
          </w:p>
        </w:tc>
        <w:tc>
          <w:tcPr>
            <w:tcW w:w="1829" w:type="dxa"/>
          </w:tcPr>
          <w:p w14:paraId="7EC5777A">
            <w:pPr>
              <w:tabs>
                <w:tab w:val="left" w:pos="196"/>
                <w:tab w:val="left" w:pos="426"/>
              </w:tabs>
              <w:snapToGrid w:val="0"/>
              <w:spacing w:line="360" w:lineRule="auto"/>
              <w:jc w:val="right"/>
            </w:pPr>
            <w:r>
              <w:t>3,700,000,000.00</w:t>
            </w:r>
          </w:p>
        </w:tc>
        <w:tc>
          <w:tcPr>
            <w:tcW w:w="1441" w:type="dxa"/>
          </w:tcPr>
          <w:p w14:paraId="78858159">
            <w:pPr>
              <w:tabs>
                <w:tab w:val="left" w:pos="196"/>
                <w:tab w:val="left" w:pos="426"/>
              </w:tabs>
              <w:snapToGrid w:val="0"/>
              <w:spacing w:line="360" w:lineRule="auto"/>
              <w:jc w:val="right"/>
            </w:pPr>
            <w:r>
              <w:t>-</w:t>
            </w:r>
          </w:p>
        </w:tc>
        <w:tc>
          <w:tcPr>
            <w:tcW w:w="1685" w:type="dxa"/>
          </w:tcPr>
          <w:p w14:paraId="34C02141">
            <w:pPr>
              <w:tabs>
                <w:tab w:val="left" w:pos="196"/>
                <w:tab w:val="left" w:pos="426"/>
              </w:tabs>
              <w:snapToGrid w:val="0"/>
              <w:spacing w:line="360" w:lineRule="auto"/>
              <w:jc w:val="right"/>
            </w:pPr>
            <w:r>
              <w:t>-</w:t>
            </w:r>
          </w:p>
        </w:tc>
        <w:tc>
          <w:tcPr>
            <w:tcW w:w="1823" w:type="dxa"/>
          </w:tcPr>
          <w:p w14:paraId="49C88012">
            <w:pPr>
              <w:tabs>
                <w:tab w:val="left" w:pos="196"/>
                <w:tab w:val="left" w:pos="426"/>
              </w:tabs>
              <w:snapToGrid w:val="0"/>
              <w:spacing w:line="360" w:lineRule="auto"/>
              <w:jc w:val="right"/>
            </w:pPr>
            <w:r>
              <w:t>3,700,000,000.00</w:t>
            </w:r>
          </w:p>
        </w:tc>
      </w:tr>
      <w:tr w14:paraId="5A8C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5A63DB1">
            <w:pPr>
              <w:snapToGrid w:val="0"/>
              <w:spacing w:line="360" w:lineRule="auto"/>
              <w:jc w:val="left"/>
            </w:pPr>
            <w:r>
              <w:t>二、累计折旧（摊销）</w:t>
            </w:r>
          </w:p>
        </w:tc>
        <w:tc>
          <w:tcPr>
            <w:tcW w:w="1829" w:type="dxa"/>
          </w:tcPr>
          <w:p w14:paraId="45998AB7">
            <w:pPr>
              <w:tabs>
                <w:tab w:val="left" w:pos="196"/>
                <w:tab w:val="left" w:pos="426"/>
              </w:tabs>
              <w:snapToGrid w:val="0"/>
              <w:spacing w:line="360" w:lineRule="auto"/>
              <w:jc w:val="right"/>
            </w:pPr>
          </w:p>
        </w:tc>
        <w:tc>
          <w:tcPr>
            <w:tcW w:w="1441" w:type="dxa"/>
          </w:tcPr>
          <w:p w14:paraId="2E6B5909">
            <w:pPr>
              <w:tabs>
                <w:tab w:val="left" w:pos="196"/>
                <w:tab w:val="left" w:pos="426"/>
              </w:tabs>
              <w:snapToGrid w:val="0"/>
              <w:spacing w:line="360" w:lineRule="auto"/>
              <w:jc w:val="right"/>
            </w:pPr>
          </w:p>
        </w:tc>
        <w:tc>
          <w:tcPr>
            <w:tcW w:w="1685" w:type="dxa"/>
          </w:tcPr>
          <w:p w14:paraId="67437DD7">
            <w:pPr>
              <w:tabs>
                <w:tab w:val="left" w:pos="196"/>
                <w:tab w:val="left" w:pos="426"/>
              </w:tabs>
              <w:snapToGrid w:val="0"/>
              <w:spacing w:line="360" w:lineRule="auto"/>
              <w:jc w:val="right"/>
            </w:pPr>
          </w:p>
        </w:tc>
        <w:tc>
          <w:tcPr>
            <w:tcW w:w="1823" w:type="dxa"/>
          </w:tcPr>
          <w:p w14:paraId="233F9D90">
            <w:pPr>
              <w:tabs>
                <w:tab w:val="left" w:pos="196"/>
                <w:tab w:val="left" w:pos="426"/>
              </w:tabs>
              <w:snapToGrid w:val="0"/>
              <w:spacing w:line="360" w:lineRule="auto"/>
              <w:jc w:val="right"/>
            </w:pPr>
          </w:p>
        </w:tc>
      </w:tr>
      <w:tr w14:paraId="0660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5811D85E">
            <w:pPr>
              <w:snapToGrid w:val="0"/>
              <w:spacing w:line="360" w:lineRule="auto"/>
              <w:ind w:firstLine="105" w:firstLineChars="50"/>
              <w:jc w:val="left"/>
            </w:pPr>
            <w:r>
              <w:t>1.期初余额</w:t>
            </w:r>
          </w:p>
        </w:tc>
        <w:tc>
          <w:tcPr>
            <w:tcW w:w="1829" w:type="dxa"/>
          </w:tcPr>
          <w:p w14:paraId="3FA67001">
            <w:pPr>
              <w:tabs>
                <w:tab w:val="left" w:pos="196"/>
                <w:tab w:val="left" w:pos="426"/>
              </w:tabs>
              <w:snapToGrid w:val="0"/>
              <w:spacing w:line="360" w:lineRule="auto"/>
              <w:jc w:val="right"/>
            </w:pPr>
            <w:r>
              <w:t>350,295,450.56</w:t>
            </w:r>
          </w:p>
        </w:tc>
        <w:tc>
          <w:tcPr>
            <w:tcW w:w="1441" w:type="dxa"/>
          </w:tcPr>
          <w:p w14:paraId="6F23B8BE">
            <w:pPr>
              <w:tabs>
                <w:tab w:val="left" w:pos="196"/>
                <w:tab w:val="left" w:pos="426"/>
              </w:tabs>
              <w:snapToGrid w:val="0"/>
              <w:spacing w:line="360" w:lineRule="auto"/>
              <w:jc w:val="right"/>
            </w:pPr>
            <w:r>
              <w:t>-</w:t>
            </w:r>
          </w:p>
        </w:tc>
        <w:tc>
          <w:tcPr>
            <w:tcW w:w="1685" w:type="dxa"/>
          </w:tcPr>
          <w:p w14:paraId="48733DD2">
            <w:pPr>
              <w:tabs>
                <w:tab w:val="left" w:pos="196"/>
                <w:tab w:val="left" w:pos="426"/>
              </w:tabs>
              <w:snapToGrid w:val="0"/>
              <w:spacing w:line="360" w:lineRule="auto"/>
              <w:jc w:val="right"/>
            </w:pPr>
            <w:r>
              <w:t>-</w:t>
            </w:r>
          </w:p>
        </w:tc>
        <w:tc>
          <w:tcPr>
            <w:tcW w:w="1823" w:type="dxa"/>
          </w:tcPr>
          <w:p w14:paraId="0817713E">
            <w:pPr>
              <w:tabs>
                <w:tab w:val="left" w:pos="196"/>
                <w:tab w:val="left" w:pos="426"/>
              </w:tabs>
              <w:snapToGrid w:val="0"/>
              <w:spacing w:line="360" w:lineRule="auto"/>
              <w:jc w:val="right"/>
            </w:pPr>
            <w:r>
              <w:t>350,295,450.56</w:t>
            </w:r>
          </w:p>
        </w:tc>
      </w:tr>
      <w:tr w14:paraId="6847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2C7BFD38">
            <w:pPr>
              <w:snapToGrid w:val="0"/>
              <w:spacing w:line="360" w:lineRule="auto"/>
              <w:ind w:firstLine="105" w:firstLineChars="50"/>
              <w:jc w:val="left"/>
            </w:pPr>
            <w:r>
              <w:t>2.本期增加金额</w:t>
            </w:r>
          </w:p>
        </w:tc>
        <w:tc>
          <w:tcPr>
            <w:tcW w:w="1829" w:type="dxa"/>
          </w:tcPr>
          <w:p w14:paraId="2BAE107B">
            <w:pPr>
              <w:tabs>
                <w:tab w:val="left" w:pos="196"/>
                <w:tab w:val="left" w:pos="426"/>
              </w:tabs>
              <w:snapToGrid w:val="0"/>
              <w:spacing w:line="360" w:lineRule="auto"/>
              <w:jc w:val="right"/>
            </w:pPr>
            <w:r>
              <w:t>45,532,182.12</w:t>
            </w:r>
          </w:p>
        </w:tc>
        <w:tc>
          <w:tcPr>
            <w:tcW w:w="1441" w:type="dxa"/>
          </w:tcPr>
          <w:p w14:paraId="4FBB0EEE">
            <w:pPr>
              <w:tabs>
                <w:tab w:val="left" w:pos="196"/>
                <w:tab w:val="left" w:pos="426"/>
              </w:tabs>
              <w:snapToGrid w:val="0"/>
              <w:spacing w:line="360" w:lineRule="auto"/>
              <w:jc w:val="right"/>
            </w:pPr>
            <w:r>
              <w:t>-</w:t>
            </w:r>
          </w:p>
        </w:tc>
        <w:tc>
          <w:tcPr>
            <w:tcW w:w="1685" w:type="dxa"/>
          </w:tcPr>
          <w:p w14:paraId="5638AEE7">
            <w:pPr>
              <w:tabs>
                <w:tab w:val="left" w:pos="196"/>
                <w:tab w:val="left" w:pos="426"/>
              </w:tabs>
              <w:snapToGrid w:val="0"/>
              <w:spacing w:line="360" w:lineRule="auto"/>
              <w:jc w:val="right"/>
            </w:pPr>
            <w:r>
              <w:t>-</w:t>
            </w:r>
          </w:p>
        </w:tc>
        <w:tc>
          <w:tcPr>
            <w:tcW w:w="1823" w:type="dxa"/>
          </w:tcPr>
          <w:p w14:paraId="579ACA14">
            <w:pPr>
              <w:tabs>
                <w:tab w:val="left" w:pos="196"/>
                <w:tab w:val="left" w:pos="426"/>
              </w:tabs>
              <w:snapToGrid w:val="0"/>
              <w:spacing w:line="360" w:lineRule="auto"/>
              <w:jc w:val="right"/>
            </w:pPr>
            <w:r>
              <w:t>45,532,182.12</w:t>
            </w:r>
          </w:p>
        </w:tc>
      </w:tr>
      <w:tr w14:paraId="0D64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2458EDE">
            <w:pPr>
              <w:tabs>
                <w:tab w:val="left" w:pos="196"/>
                <w:tab w:val="left" w:pos="426"/>
              </w:tabs>
              <w:snapToGrid w:val="0"/>
              <w:spacing w:line="360" w:lineRule="auto"/>
              <w:ind w:left="210" w:leftChars="100" w:firstLine="105" w:firstLineChars="50"/>
            </w:pPr>
            <w:r>
              <w:t>本期计提</w:t>
            </w:r>
          </w:p>
        </w:tc>
        <w:tc>
          <w:tcPr>
            <w:tcW w:w="1829" w:type="dxa"/>
          </w:tcPr>
          <w:p w14:paraId="11869D0A">
            <w:pPr>
              <w:tabs>
                <w:tab w:val="left" w:pos="196"/>
                <w:tab w:val="left" w:pos="426"/>
              </w:tabs>
              <w:snapToGrid w:val="0"/>
              <w:spacing w:line="360" w:lineRule="auto"/>
              <w:jc w:val="right"/>
            </w:pPr>
            <w:r>
              <w:t>45,532,182.12</w:t>
            </w:r>
          </w:p>
        </w:tc>
        <w:tc>
          <w:tcPr>
            <w:tcW w:w="1441" w:type="dxa"/>
          </w:tcPr>
          <w:p w14:paraId="7443398F">
            <w:pPr>
              <w:tabs>
                <w:tab w:val="left" w:pos="196"/>
                <w:tab w:val="left" w:pos="426"/>
              </w:tabs>
              <w:snapToGrid w:val="0"/>
              <w:spacing w:line="360" w:lineRule="auto"/>
              <w:jc w:val="right"/>
            </w:pPr>
            <w:r>
              <w:t>-</w:t>
            </w:r>
          </w:p>
        </w:tc>
        <w:tc>
          <w:tcPr>
            <w:tcW w:w="1685" w:type="dxa"/>
          </w:tcPr>
          <w:p w14:paraId="5204143D">
            <w:pPr>
              <w:tabs>
                <w:tab w:val="left" w:pos="196"/>
                <w:tab w:val="left" w:pos="426"/>
              </w:tabs>
              <w:snapToGrid w:val="0"/>
              <w:spacing w:line="360" w:lineRule="auto"/>
              <w:jc w:val="right"/>
            </w:pPr>
            <w:r>
              <w:t>-</w:t>
            </w:r>
          </w:p>
        </w:tc>
        <w:tc>
          <w:tcPr>
            <w:tcW w:w="1823" w:type="dxa"/>
          </w:tcPr>
          <w:p w14:paraId="01895A94">
            <w:pPr>
              <w:tabs>
                <w:tab w:val="left" w:pos="196"/>
                <w:tab w:val="left" w:pos="426"/>
              </w:tabs>
              <w:snapToGrid w:val="0"/>
              <w:spacing w:line="360" w:lineRule="auto"/>
              <w:jc w:val="right"/>
            </w:pPr>
            <w:r>
              <w:t>45,532,182.12</w:t>
            </w:r>
          </w:p>
        </w:tc>
      </w:tr>
      <w:tr w14:paraId="3971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688B0B03">
            <w:pPr>
              <w:tabs>
                <w:tab w:val="left" w:pos="0"/>
                <w:tab w:val="left" w:pos="426"/>
              </w:tabs>
              <w:snapToGrid w:val="0"/>
              <w:spacing w:line="360" w:lineRule="auto"/>
              <w:ind w:left="210" w:leftChars="100" w:firstLine="105" w:firstLineChars="50"/>
            </w:pPr>
            <w:r>
              <w:t>存货\固定资产\在建工程转入</w:t>
            </w:r>
          </w:p>
        </w:tc>
        <w:tc>
          <w:tcPr>
            <w:tcW w:w="1829" w:type="dxa"/>
          </w:tcPr>
          <w:p w14:paraId="3932539C">
            <w:pPr>
              <w:tabs>
                <w:tab w:val="left" w:pos="196"/>
                <w:tab w:val="left" w:pos="426"/>
              </w:tabs>
              <w:snapToGrid w:val="0"/>
              <w:spacing w:line="360" w:lineRule="auto"/>
              <w:jc w:val="right"/>
            </w:pPr>
            <w:r>
              <w:t>-</w:t>
            </w:r>
          </w:p>
        </w:tc>
        <w:tc>
          <w:tcPr>
            <w:tcW w:w="1441" w:type="dxa"/>
          </w:tcPr>
          <w:p w14:paraId="5ABE5DD7">
            <w:pPr>
              <w:tabs>
                <w:tab w:val="left" w:pos="196"/>
                <w:tab w:val="left" w:pos="426"/>
              </w:tabs>
              <w:snapToGrid w:val="0"/>
              <w:spacing w:line="360" w:lineRule="auto"/>
              <w:jc w:val="right"/>
            </w:pPr>
            <w:r>
              <w:t>-</w:t>
            </w:r>
          </w:p>
        </w:tc>
        <w:tc>
          <w:tcPr>
            <w:tcW w:w="1685" w:type="dxa"/>
          </w:tcPr>
          <w:p w14:paraId="5422D699">
            <w:pPr>
              <w:tabs>
                <w:tab w:val="left" w:pos="196"/>
                <w:tab w:val="left" w:pos="426"/>
              </w:tabs>
              <w:snapToGrid w:val="0"/>
              <w:spacing w:line="360" w:lineRule="auto"/>
              <w:jc w:val="right"/>
            </w:pPr>
            <w:r>
              <w:t>-</w:t>
            </w:r>
          </w:p>
        </w:tc>
        <w:tc>
          <w:tcPr>
            <w:tcW w:w="1823" w:type="dxa"/>
          </w:tcPr>
          <w:p w14:paraId="578F8F16">
            <w:pPr>
              <w:tabs>
                <w:tab w:val="left" w:pos="196"/>
                <w:tab w:val="left" w:pos="426"/>
              </w:tabs>
              <w:snapToGrid w:val="0"/>
              <w:spacing w:line="360" w:lineRule="auto"/>
              <w:jc w:val="right"/>
            </w:pPr>
            <w:r>
              <w:t>-</w:t>
            </w:r>
          </w:p>
        </w:tc>
      </w:tr>
      <w:tr w14:paraId="6E87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BCFA3B8">
            <w:pPr>
              <w:tabs>
                <w:tab w:val="left" w:pos="196"/>
                <w:tab w:val="left" w:pos="426"/>
              </w:tabs>
              <w:snapToGrid w:val="0"/>
              <w:spacing w:line="360" w:lineRule="auto"/>
              <w:ind w:left="210" w:leftChars="100" w:firstLine="105" w:firstLineChars="50"/>
            </w:pPr>
            <w:r>
              <w:t>其他原因增加</w:t>
            </w:r>
          </w:p>
        </w:tc>
        <w:tc>
          <w:tcPr>
            <w:tcW w:w="1829" w:type="dxa"/>
          </w:tcPr>
          <w:p w14:paraId="27C89659">
            <w:pPr>
              <w:tabs>
                <w:tab w:val="left" w:pos="196"/>
                <w:tab w:val="left" w:pos="426"/>
              </w:tabs>
              <w:snapToGrid w:val="0"/>
              <w:spacing w:line="360" w:lineRule="auto"/>
              <w:jc w:val="right"/>
            </w:pPr>
            <w:r>
              <w:t>-</w:t>
            </w:r>
          </w:p>
        </w:tc>
        <w:tc>
          <w:tcPr>
            <w:tcW w:w="1441" w:type="dxa"/>
          </w:tcPr>
          <w:p w14:paraId="553C9944">
            <w:pPr>
              <w:tabs>
                <w:tab w:val="left" w:pos="196"/>
                <w:tab w:val="left" w:pos="426"/>
              </w:tabs>
              <w:snapToGrid w:val="0"/>
              <w:spacing w:line="360" w:lineRule="auto"/>
              <w:jc w:val="right"/>
            </w:pPr>
            <w:r>
              <w:t>-</w:t>
            </w:r>
          </w:p>
        </w:tc>
        <w:tc>
          <w:tcPr>
            <w:tcW w:w="1685" w:type="dxa"/>
          </w:tcPr>
          <w:p w14:paraId="10D0A3BE">
            <w:pPr>
              <w:tabs>
                <w:tab w:val="left" w:pos="196"/>
                <w:tab w:val="left" w:pos="426"/>
              </w:tabs>
              <w:snapToGrid w:val="0"/>
              <w:spacing w:line="360" w:lineRule="auto"/>
              <w:jc w:val="right"/>
            </w:pPr>
            <w:r>
              <w:t>-</w:t>
            </w:r>
          </w:p>
        </w:tc>
        <w:tc>
          <w:tcPr>
            <w:tcW w:w="1823" w:type="dxa"/>
          </w:tcPr>
          <w:p w14:paraId="2F2661ED">
            <w:pPr>
              <w:tabs>
                <w:tab w:val="left" w:pos="196"/>
                <w:tab w:val="left" w:pos="426"/>
              </w:tabs>
              <w:snapToGrid w:val="0"/>
              <w:spacing w:line="360" w:lineRule="auto"/>
              <w:jc w:val="right"/>
            </w:pPr>
            <w:r>
              <w:t>-</w:t>
            </w:r>
          </w:p>
        </w:tc>
      </w:tr>
      <w:tr w14:paraId="050E7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63277CAB">
            <w:pPr>
              <w:snapToGrid w:val="0"/>
              <w:spacing w:line="360" w:lineRule="auto"/>
              <w:ind w:firstLine="105" w:firstLineChars="50"/>
              <w:jc w:val="left"/>
            </w:pPr>
            <w:r>
              <w:t>3.本期减少金额</w:t>
            </w:r>
          </w:p>
        </w:tc>
        <w:tc>
          <w:tcPr>
            <w:tcW w:w="1829" w:type="dxa"/>
          </w:tcPr>
          <w:p w14:paraId="7CE698D7">
            <w:pPr>
              <w:tabs>
                <w:tab w:val="left" w:pos="196"/>
                <w:tab w:val="left" w:pos="426"/>
              </w:tabs>
              <w:snapToGrid w:val="0"/>
              <w:spacing w:line="360" w:lineRule="auto"/>
              <w:jc w:val="right"/>
            </w:pPr>
            <w:r>
              <w:t>-</w:t>
            </w:r>
          </w:p>
        </w:tc>
        <w:tc>
          <w:tcPr>
            <w:tcW w:w="1441" w:type="dxa"/>
          </w:tcPr>
          <w:p w14:paraId="35825F73">
            <w:pPr>
              <w:tabs>
                <w:tab w:val="left" w:pos="196"/>
                <w:tab w:val="left" w:pos="426"/>
              </w:tabs>
              <w:snapToGrid w:val="0"/>
              <w:spacing w:line="360" w:lineRule="auto"/>
              <w:jc w:val="right"/>
            </w:pPr>
            <w:r>
              <w:t>-</w:t>
            </w:r>
          </w:p>
        </w:tc>
        <w:tc>
          <w:tcPr>
            <w:tcW w:w="1685" w:type="dxa"/>
          </w:tcPr>
          <w:p w14:paraId="6594959E">
            <w:pPr>
              <w:tabs>
                <w:tab w:val="left" w:pos="196"/>
                <w:tab w:val="left" w:pos="426"/>
              </w:tabs>
              <w:snapToGrid w:val="0"/>
              <w:spacing w:line="360" w:lineRule="auto"/>
              <w:jc w:val="right"/>
            </w:pPr>
            <w:r>
              <w:t>-</w:t>
            </w:r>
          </w:p>
        </w:tc>
        <w:tc>
          <w:tcPr>
            <w:tcW w:w="1823" w:type="dxa"/>
          </w:tcPr>
          <w:p w14:paraId="103CBC3F">
            <w:pPr>
              <w:tabs>
                <w:tab w:val="left" w:pos="196"/>
                <w:tab w:val="left" w:pos="426"/>
              </w:tabs>
              <w:snapToGrid w:val="0"/>
              <w:spacing w:line="360" w:lineRule="auto"/>
              <w:jc w:val="right"/>
            </w:pPr>
            <w:r>
              <w:t>-</w:t>
            </w:r>
          </w:p>
        </w:tc>
      </w:tr>
      <w:tr w14:paraId="1720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79D1E94">
            <w:pPr>
              <w:tabs>
                <w:tab w:val="left" w:pos="196"/>
                <w:tab w:val="left" w:pos="426"/>
              </w:tabs>
              <w:snapToGrid w:val="0"/>
              <w:spacing w:line="360" w:lineRule="auto"/>
              <w:ind w:left="210" w:leftChars="100" w:firstLine="105" w:firstLineChars="50"/>
            </w:pPr>
            <w:r>
              <w:t>处置</w:t>
            </w:r>
          </w:p>
        </w:tc>
        <w:tc>
          <w:tcPr>
            <w:tcW w:w="1829" w:type="dxa"/>
          </w:tcPr>
          <w:p w14:paraId="01AAD2EF">
            <w:pPr>
              <w:tabs>
                <w:tab w:val="left" w:pos="196"/>
                <w:tab w:val="left" w:pos="426"/>
              </w:tabs>
              <w:snapToGrid w:val="0"/>
              <w:spacing w:line="360" w:lineRule="auto"/>
              <w:jc w:val="right"/>
            </w:pPr>
            <w:r>
              <w:t>-</w:t>
            </w:r>
          </w:p>
        </w:tc>
        <w:tc>
          <w:tcPr>
            <w:tcW w:w="1441" w:type="dxa"/>
          </w:tcPr>
          <w:p w14:paraId="116AD306">
            <w:pPr>
              <w:tabs>
                <w:tab w:val="left" w:pos="196"/>
                <w:tab w:val="left" w:pos="426"/>
              </w:tabs>
              <w:snapToGrid w:val="0"/>
              <w:spacing w:line="360" w:lineRule="auto"/>
              <w:jc w:val="right"/>
            </w:pPr>
            <w:r>
              <w:t>-</w:t>
            </w:r>
          </w:p>
        </w:tc>
        <w:tc>
          <w:tcPr>
            <w:tcW w:w="1685" w:type="dxa"/>
          </w:tcPr>
          <w:p w14:paraId="4A2E4980">
            <w:pPr>
              <w:tabs>
                <w:tab w:val="left" w:pos="196"/>
                <w:tab w:val="left" w:pos="426"/>
              </w:tabs>
              <w:snapToGrid w:val="0"/>
              <w:spacing w:line="360" w:lineRule="auto"/>
              <w:jc w:val="right"/>
            </w:pPr>
            <w:r>
              <w:t>-</w:t>
            </w:r>
          </w:p>
        </w:tc>
        <w:tc>
          <w:tcPr>
            <w:tcW w:w="1823" w:type="dxa"/>
          </w:tcPr>
          <w:p w14:paraId="6CC68671">
            <w:pPr>
              <w:tabs>
                <w:tab w:val="left" w:pos="196"/>
                <w:tab w:val="left" w:pos="426"/>
              </w:tabs>
              <w:snapToGrid w:val="0"/>
              <w:spacing w:line="360" w:lineRule="auto"/>
              <w:jc w:val="right"/>
            </w:pPr>
            <w:r>
              <w:t>-</w:t>
            </w:r>
          </w:p>
        </w:tc>
      </w:tr>
      <w:tr w14:paraId="5F7F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2100624">
            <w:pPr>
              <w:tabs>
                <w:tab w:val="left" w:pos="196"/>
                <w:tab w:val="left" w:pos="426"/>
              </w:tabs>
              <w:snapToGrid w:val="0"/>
              <w:spacing w:line="360" w:lineRule="auto"/>
              <w:ind w:left="210" w:leftChars="100" w:firstLine="105" w:firstLineChars="50"/>
            </w:pPr>
            <w:r>
              <w:t>其他原因减少</w:t>
            </w:r>
          </w:p>
        </w:tc>
        <w:tc>
          <w:tcPr>
            <w:tcW w:w="1829" w:type="dxa"/>
          </w:tcPr>
          <w:p w14:paraId="2BC86952">
            <w:pPr>
              <w:tabs>
                <w:tab w:val="left" w:pos="196"/>
                <w:tab w:val="left" w:pos="426"/>
              </w:tabs>
              <w:snapToGrid w:val="0"/>
              <w:spacing w:line="360" w:lineRule="auto"/>
              <w:jc w:val="right"/>
            </w:pPr>
            <w:r>
              <w:t>-</w:t>
            </w:r>
          </w:p>
        </w:tc>
        <w:tc>
          <w:tcPr>
            <w:tcW w:w="1441" w:type="dxa"/>
          </w:tcPr>
          <w:p w14:paraId="427D4B40">
            <w:pPr>
              <w:tabs>
                <w:tab w:val="left" w:pos="196"/>
                <w:tab w:val="left" w:pos="426"/>
              </w:tabs>
              <w:snapToGrid w:val="0"/>
              <w:spacing w:line="360" w:lineRule="auto"/>
              <w:jc w:val="right"/>
            </w:pPr>
            <w:r>
              <w:t>-</w:t>
            </w:r>
          </w:p>
        </w:tc>
        <w:tc>
          <w:tcPr>
            <w:tcW w:w="1685" w:type="dxa"/>
          </w:tcPr>
          <w:p w14:paraId="5BBCB5A2">
            <w:pPr>
              <w:tabs>
                <w:tab w:val="left" w:pos="196"/>
                <w:tab w:val="left" w:pos="426"/>
              </w:tabs>
              <w:snapToGrid w:val="0"/>
              <w:spacing w:line="360" w:lineRule="auto"/>
              <w:jc w:val="right"/>
            </w:pPr>
            <w:r>
              <w:t>-</w:t>
            </w:r>
          </w:p>
        </w:tc>
        <w:tc>
          <w:tcPr>
            <w:tcW w:w="1823" w:type="dxa"/>
          </w:tcPr>
          <w:p w14:paraId="7190EA74">
            <w:pPr>
              <w:tabs>
                <w:tab w:val="left" w:pos="196"/>
                <w:tab w:val="left" w:pos="426"/>
              </w:tabs>
              <w:snapToGrid w:val="0"/>
              <w:spacing w:line="360" w:lineRule="auto"/>
              <w:jc w:val="right"/>
            </w:pPr>
            <w:r>
              <w:t>-</w:t>
            </w:r>
          </w:p>
        </w:tc>
      </w:tr>
      <w:tr w14:paraId="2888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572D321">
            <w:pPr>
              <w:snapToGrid w:val="0"/>
              <w:spacing w:line="360" w:lineRule="auto"/>
              <w:ind w:firstLine="105" w:firstLineChars="50"/>
              <w:jc w:val="left"/>
            </w:pPr>
            <w:r>
              <w:t>4.期末余额</w:t>
            </w:r>
          </w:p>
        </w:tc>
        <w:tc>
          <w:tcPr>
            <w:tcW w:w="1829" w:type="dxa"/>
          </w:tcPr>
          <w:p w14:paraId="111A73A8">
            <w:pPr>
              <w:tabs>
                <w:tab w:val="left" w:pos="196"/>
                <w:tab w:val="left" w:pos="426"/>
              </w:tabs>
              <w:snapToGrid w:val="0"/>
              <w:spacing w:line="360" w:lineRule="auto"/>
              <w:jc w:val="right"/>
            </w:pPr>
            <w:r>
              <w:t>395,827,632.68</w:t>
            </w:r>
          </w:p>
        </w:tc>
        <w:tc>
          <w:tcPr>
            <w:tcW w:w="1441" w:type="dxa"/>
          </w:tcPr>
          <w:p w14:paraId="3ED39F44">
            <w:pPr>
              <w:tabs>
                <w:tab w:val="left" w:pos="196"/>
                <w:tab w:val="left" w:pos="426"/>
              </w:tabs>
              <w:snapToGrid w:val="0"/>
              <w:spacing w:line="360" w:lineRule="auto"/>
              <w:jc w:val="right"/>
            </w:pPr>
            <w:r>
              <w:t>-</w:t>
            </w:r>
          </w:p>
        </w:tc>
        <w:tc>
          <w:tcPr>
            <w:tcW w:w="1685" w:type="dxa"/>
          </w:tcPr>
          <w:p w14:paraId="5791C620">
            <w:pPr>
              <w:tabs>
                <w:tab w:val="left" w:pos="196"/>
                <w:tab w:val="left" w:pos="426"/>
              </w:tabs>
              <w:snapToGrid w:val="0"/>
              <w:spacing w:line="360" w:lineRule="auto"/>
              <w:jc w:val="right"/>
            </w:pPr>
            <w:r>
              <w:t>-</w:t>
            </w:r>
          </w:p>
        </w:tc>
        <w:tc>
          <w:tcPr>
            <w:tcW w:w="1823" w:type="dxa"/>
          </w:tcPr>
          <w:p w14:paraId="0E6A8BF9">
            <w:pPr>
              <w:tabs>
                <w:tab w:val="left" w:pos="196"/>
                <w:tab w:val="left" w:pos="426"/>
              </w:tabs>
              <w:snapToGrid w:val="0"/>
              <w:spacing w:line="360" w:lineRule="auto"/>
              <w:jc w:val="right"/>
            </w:pPr>
            <w:r>
              <w:t>395,827,632.68</w:t>
            </w:r>
          </w:p>
        </w:tc>
      </w:tr>
      <w:tr w14:paraId="6490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BA8D33E">
            <w:pPr>
              <w:snapToGrid w:val="0"/>
              <w:spacing w:line="360" w:lineRule="auto"/>
              <w:jc w:val="left"/>
            </w:pPr>
            <w:r>
              <w:t>三、减值准备</w:t>
            </w:r>
          </w:p>
        </w:tc>
        <w:tc>
          <w:tcPr>
            <w:tcW w:w="1829" w:type="dxa"/>
            <w:vAlign w:val="center"/>
          </w:tcPr>
          <w:p w14:paraId="36BCC0A6">
            <w:pPr>
              <w:tabs>
                <w:tab w:val="left" w:pos="196"/>
                <w:tab w:val="left" w:pos="426"/>
              </w:tabs>
              <w:snapToGrid w:val="0"/>
              <w:spacing w:line="360" w:lineRule="auto"/>
              <w:jc w:val="right"/>
            </w:pPr>
          </w:p>
        </w:tc>
        <w:tc>
          <w:tcPr>
            <w:tcW w:w="1441" w:type="dxa"/>
            <w:vAlign w:val="center"/>
          </w:tcPr>
          <w:p w14:paraId="023772F4">
            <w:pPr>
              <w:tabs>
                <w:tab w:val="left" w:pos="196"/>
                <w:tab w:val="left" w:pos="426"/>
              </w:tabs>
              <w:snapToGrid w:val="0"/>
              <w:spacing w:line="360" w:lineRule="auto"/>
              <w:jc w:val="right"/>
            </w:pPr>
          </w:p>
        </w:tc>
        <w:tc>
          <w:tcPr>
            <w:tcW w:w="1685" w:type="dxa"/>
            <w:vAlign w:val="center"/>
          </w:tcPr>
          <w:p w14:paraId="2441BB88">
            <w:pPr>
              <w:tabs>
                <w:tab w:val="left" w:pos="196"/>
                <w:tab w:val="left" w:pos="426"/>
              </w:tabs>
              <w:snapToGrid w:val="0"/>
              <w:spacing w:line="360" w:lineRule="auto"/>
              <w:jc w:val="right"/>
            </w:pPr>
          </w:p>
        </w:tc>
        <w:tc>
          <w:tcPr>
            <w:tcW w:w="1823" w:type="dxa"/>
            <w:vAlign w:val="center"/>
          </w:tcPr>
          <w:p w14:paraId="08C40F6D">
            <w:pPr>
              <w:tabs>
                <w:tab w:val="left" w:pos="196"/>
                <w:tab w:val="left" w:pos="426"/>
              </w:tabs>
              <w:snapToGrid w:val="0"/>
              <w:spacing w:line="360" w:lineRule="auto"/>
              <w:jc w:val="right"/>
            </w:pPr>
          </w:p>
        </w:tc>
      </w:tr>
      <w:tr w14:paraId="7387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8059EC8">
            <w:pPr>
              <w:snapToGrid w:val="0"/>
              <w:spacing w:line="360" w:lineRule="auto"/>
              <w:ind w:firstLine="105" w:firstLineChars="50"/>
              <w:jc w:val="left"/>
            </w:pPr>
            <w:r>
              <w:t>1.期初余额</w:t>
            </w:r>
          </w:p>
        </w:tc>
        <w:tc>
          <w:tcPr>
            <w:tcW w:w="1829" w:type="dxa"/>
          </w:tcPr>
          <w:p w14:paraId="2AA91AAD">
            <w:pPr>
              <w:tabs>
                <w:tab w:val="left" w:pos="196"/>
                <w:tab w:val="left" w:pos="426"/>
              </w:tabs>
              <w:snapToGrid w:val="0"/>
              <w:spacing w:line="360" w:lineRule="auto"/>
              <w:jc w:val="right"/>
            </w:pPr>
            <w:r>
              <w:t>35,819,875.74</w:t>
            </w:r>
          </w:p>
        </w:tc>
        <w:tc>
          <w:tcPr>
            <w:tcW w:w="1441" w:type="dxa"/>
          </w:tcPr>
          <w:p w14:paraId="34712548">
            <w:pPr>
              <w:tabs>
                <w:tab w:val="left" w:pos="196"/>
                <w:tab w:val="left" w:pos="426"/>
              </w:tabs>
              <w:snapToGrid w:val="0"/>
              <w:spacing w:line="360" w:lineRule="auto"/>
              <w:jc w:val="right"/>
            </w:pPr>
            <w:r>
              <w:t>-</w:t>
            </w:r>
          </w:p>
        </w:tc>
        <w:tc>
          <w:tcPr>
            <w:tcW w:w="1685" w:type="dxa"/>
          </w:tcPr>
          <w:p w14:paraId="73B00B1A">
            <w:pPr>
              <w:tabs>
                <w:tab w:val="left" w:pos="196"/>
                <w:tab w:val="left" w:pos="426"/>
              </w:tabs>
              <w:snapToGrid w:val="0"/>
              <w:spacing w:line="360" w:lineRule="auto"/>
              <w:jc w:val="right"/>
            </w:pPr>
            <w:r>
              <w:t>-</w:t>
            </w:r>
          </w:p>
        </w:tc>
        <w:tc>
          <w:tcPr>
            <w:tcW w:w="1823" w:type="dxa"/>
          </w:tcPr>
          <w:p w14:paraId="43A6DD61">
            <w:pPr>
              <w:tabs>
                <w:tab w:val="left" w:pos="196"/>
                <w:tab w:val="left" w:pos="426"/>
              </w:tabs>
              <w:snapToGrid w:val="0"/>
              <w:spacing w:line="360" w:lineRule="auto"/>
              <w:jc w:val="right"/>
            </w:pPr>
            <w:r>
              <w:t>35,819,875.74</w:t>
            </w:r>
          </w:p>
        </w:tc>
      </w:tr>
      <w:tr w14:paraId="62ADB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7DE418F">
            <w:pPr>
              <w:snapToGrid w:val="0"/>
              <w:spacing w:line="360" w:lineRule="auto"/>
              <w:ind w:firstLine="105" w:firstLineChars="50"/>
              <w:jc w:val="left"/>
            </w:pPr>
            <w:r>
              <w:t>2.本期增加金额</w:t>
            </w:r>
          </w:p>
        </w:tc>
        <w:tc>
          <w:tcPr>
            <w:tcW w:w="1829" w:type="dxa"/>
          </w:tcPr>
          <w:p w14:paraId="6485D31A">
            <w:pPr>
              <w:tabs>
                <w:tab w:val="left" w:pos="196"/>
                <w:tab w:val="left" w:pos="426"/>
              </w:tabs>
              <w:snapToGrid w:val="0"/>
              <w:spacing w:line="360" w:lineRule="auto"/>
              <w:jc w:val="right"/>
            </w:pPr>
            <w:r>
              <w:t>-</w:t>
            </w:r>
          </w:p>
        </w:tc>
        <w:tc>
          <w:tcPr>
            <w:tcW w:w="1441" w:type="dxa"/>
          </w:tcPr>
          <w:p w14:paraId="7D008992">
            <w:pPr>
              <w:tabs>
                <w:tab w:val="left" w:pos="196"/>
                <w:tab w:val="left" w:pos="426"/>
              </w:tabs>
              <w:snapToGrid w:val="0"/>
              <w:spacing w:line="360" w:lineRule="auto"/>
              <w:jc w:val="right"/>
            </w:pPr>
            <w:r>
              <w:t>-</w:t>
            </w:r>
          </w:p>
        </w:tc>
        <w:tc>
          <w:tcPr>
            <w:tcW w:w="1685" w:type="dxa"/>
          </w:tcPr>
          <w:p w14:paraId="18AAB348">
            <w:pPr>
              <w:tabs>
                <w:tab w:val="left" w:pos="196"/>
                <w:tab w:val="left" w:pos="426"/>
              </w:tabs>
              <w:snapToGrid w:val="0"/>
              <w:spacing w:line="360" w:lineRule="auto"/>
              <w:jc w:val="right"/>
            </w:pPr>
            <w:r>
              <w:t>-</w:t>
            </w:r>
          </w:p>
        </w:tc>
        <w:tc>
          <w:tcPr>
            <w:tcW w:w="1823" w:type="dxa"/>
          </w:tcPr>
          <w:p w14:paraId="67AC93C4">
            <w:pPr>
              <w:tabs>
                <w:tab w:val="left" w:pos="196"/>
                <w:tab w:val="left" w:pos="426"/>
              </w:tabs>
              <w:snapToGrid w:val="0"/>
              <w:spacing w:line="360" w:lineRule="auto"/>
              <w:jc w:val="right"/>
            </w:pPr>
            <w:r>
              <w:t>-</w:t>
            </w:r>
          </w:p>
        </w:tc>
      </w:tr>
      <w:tr w14:paraId="1563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CA1D7FC">
            <w:pPr>
              <w:tabs>
                <w:tab w:val="left" w:pos="196"/>
                <w:tab w:val="left" w:pos="426"/>
              </w:tabs>
              <w:snapToGrid w:val="0"/>
              <w:spacing w:line="360" w:lineRule="auto"/>
              <w:ind w:left="210" w:leftChars="100" w:firstLine="105" w:firstLineChars="50"/>
            </w:pPr>
            <w:r>
              <w:t>本期计提</w:t>
            </w:r>
          </w:p>
        </w:tc>
        <w:tc>
          <w:tcPr>
            <w:tcW w:w="1829" w:type="dxa"/>
          </w:tcPr>
          <w:p w14:paraId="27E7ABBA">
            <w:pPr>
              <w:tabs>
                <w:tab w:val="left" w:pos="196"/>
                <w:tab w:val="left" w:pos="426"/>
              </w:tabs>
              <w:snapToGrid w:val="0"/>
              <w:spacing w:line="360" w:lineRule="auto"/>
              <w:jc w:val="right"/>
            </w:pPr>
            <w:r>
              <w:t>-</w:t>
            </w:r>
          </w:p>
        </w:tc>
        <w:tc>
          <w:tcPr>
            <w:tcW w:w="1441" w:type="dxa"/>
          </w:tcPr>
          <w:p w14:paraId="7DB3B57D">
            <w:pPr>
              <w:tabs>
                <w:tab w:val="left" w:pos="196"/>
                <w:tab w:val="left" w:pos="426"/>
              </w:tabs>
              <w:snapToGrid w:val="0"/>
              <w:spacing w:line="360" w:lineRule="auto"/>
              <w:jc w:val="right"/>
            </w:pPr>
            <w:r>
              <w:t>-</w:t>
            </w:r>
          </w:p>
        </w:tc>
        <w:tc>
          <w:tcPr>
            <w:tcW w:w="1685" w:type="dxa"/>
          </w:tcPr>
          <w:p w14:paraId="72468214">
            <w:pPr>
              <w:tabs>
                <w:tab w:val="left" w:pos="196"/>
                <w:tab w:val="left" w:pos="426"/>
              </w:tabs>
              <w:snapToGrid w:val="0"/>
              <w:spacing w:line="360" w:lineRule="auto"/>
              <w:jc w:val="right"/>
            </w:pPr>
            <w:r>
              <w:t>-</w:t>
            </w:r>
          </w:p>
        </w:tc>
        <w:tc>
          <w:tcPr>
            <w:tcW w:w="1823" w:type="dxa"/>
          </w:tcPr>
          <w:p w14:paraId="15F93B45">
            <w:pPr>
              <w:tabs>
                <w:tab w:val="left" w:pos="196"/>
                <w:tab w:val="left" w:pos="426"/>
              </w:tabs>
              <w:snapToGrid w:val="0"/>
              <w:spacing w:line="360" w:lineRule="auto"/>
              <w:jc w:val="right"/>
            </w:pPr>
            <w:r>
              <w:t>-</w:t>
            </w:r>
          </w:p>
        </w:tc>
      </w:tr>
      <w:tr w14:paraId="08AA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25151157">
            <w:pPr>
              <w:tabs>
                <w:tab w:val="left" w:pos="196"/>
                <w:tab w:val="left" w:pos="426"/>
              </w:tabs>
              <w:snapToGrid w:val="0"/>
              <w:spacing w:line="360" w:lineRule="auto"/>
              <w:ind w:left="210" w:leftChars="100" w:firstLine="105" w:firstLineChars="50"/>
            </w:pPr>
            <w:r>
              <w:t>存货\固定资产\在建工程转入</w:t>
            </w:r>
          </w:p>
        </w:tc>
        <w:tc>
          <w:tcPr>
            <w:tcW w:w="1829" w:type="dxa"/>
          </w:tcPr>
          <w:p w14:paraId="344709B4">
            <w:pPr>
              <w:tabs>
                <w:tab w:val="left" w:pos="196"/>
                <w:tab w:val="left" w:pos="426"/>
              </w:tabs>
              <w:snapToGrid w:val="0"/>
              <w:spacing w:line="360" w:lineRule="auto"/>
              <w:jc w:val="right"/>
            </w:pPr>
            <w:r>
              <w:t>-</w:t>
            </w:r>
          </w:p>
        </w:tc>
        <w:tc>
          <w:tcPr>
            <w:tcW w:w="1441" w:type="dxa"/>
          </w:tcPr>
          <w:p w14:paraId="244C02BA">
            <w:pPr>
              <w:tabs>
                <w:tab w:val="left" w:pos="196"/>
                <w:tab w:val="left" w:pos="426"/>
              </w:tabs>
              <w:snapToGrid w:val="0"/>
              <w:spacing w:line="360" w:lineRule="auto"/>
              <w:jc w:val="right"/>
            </w:pPr>
            <w:r>
              <w:t>-</w:t>
            </w:r>
          </w:p>
        </w:tc>
        <w:tc>
          <w:tcPr>
            <w:tcW w:w="1685" w:type="dxa"/>
          </w:tcPr>
          <w:p w14:paraId="1311663A">
            <w:pPr>
              <w:tabs>
                <w:tab w:val="left" w:pos="196"/>
                <w:tab w:val="left" w:pos="426"/>
              </w:tabs>
              <w:snapToGrid w:val="0"/>
              <w:spacing w:line="360" w:lineRule="auto"/>
              <w:jc w:val="right"/>
            </w:pPr>
            <w:r>
              <w:t>-</w:t>
            </w:r>
          </w:p>
        </w:tc>
        <w:tc>
          <w:tcPr>
            <w:tcW w:w="1823" w:type="dxa"/>
          </w:tcPr>
          <w:p w14:paraId="1D8B6B95">
            <w:pPr>
              <w:tabs>
                <w:tab w:val="left" w:pos="196"/>
                <w:tab w:val="left" w:pos="426"/>
              </w:tabs>
              <w:snapToGrid w:val="0"/>
              <w:spacing w:line="360" w:lineRule="auto"/>
              <w:jc w:val="right"/>
            </w:pPr>
            <w:r>
              <w:t>-</w:t>
            </w:r>
          </w:p>
        </w:tc>
      </w:tr>
      <w:tr w14:paraId="17D4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7B5298E">
            <w:pPr>
              <w:tabs>
                <w:tab w:val="left" w:pos="196"/>
                <w:tab w:val="left" w:pos="426"/>
              </w:tabs>
              <w:snapToGrid w:val="0"/>
              <w:spacing w:line="360" w:lineRule="auto"/>
              <w:ind w:left="210" w:leftChars="100" w:firstLine="105" w:firstLineChars="50"/>
            </w:pPr>
            <w:r>
              <w:t>其他原因增加</w:t>
            </w:r>
          </w:p>
        </w:tc>
        <w:tc>
          <w:tcPr>
            <w:tcW w:w="1829" w:type="dxa"/>
          </w:tcPr>
          <w:p w14:paraId="3C07F50B">
            <w:pPr>
              <w:tabs>
                <w:tab w:val="left" w:pos="196"/>
                <w:tab w:val="left" w:pos="426"/>
              </w:tabs>
              <w:snapToGrid w:val="0"/>
              <w:spacing w:line="360" w:lineRule="auto"/>
              <w:jc w:val="right"/>
            </w:pPr>
            <w:r>
              <w:t>-</w:t>
            </w:r>
          </w:p>
        </w:tc>
        <w:tc>
          <w:tcPr>
            <w:tcW w:w="1441" w:type="dxa"/>
          </w:tcPr>
          <w:p w14:paraId="18507347">
            <w:pPr>
              <w:tabs>
                <w:tab w:val="left" w:pos="196"/>
                <w:tab w:val="left" w:pos="426"/>
              </w:tabs>
              <w:snapToGrid w:val="0"/>
              <w:spacing w:line="360" w:lineRule="auto"/>
              <w:jc w:val="right"/>
            </w:pPr>
            <w:r>
              <w:t>-</w:t>
            </w:r>
          </w:p>
        </w:tc>
        <w:tc>
          <w:tcPr>
            <w:tcW w:w="1685" w:type="dxa"/>
          </w:tcPr>
          <w:p w14:paraId="61631AD2">
            <w:pPr>
              <w:tabs>
                <w:tab w:val="left" w:pos="196"/>
                <w:tab w:val="left" w:pos="426"/>
              </w:tabs>
              <w:snapToGrid w:val="0"/>
              <w:spacing w:line="360" w:lineRule="auto"/>
              <w:jc w:val="right"/>
            </w:pPr>
            <w:r>
              <w:t>-</w:t>
            </w:r>
          </w:p>
        </w:tc>
        <w:tc>
          <w:tcPr>
            <w:tcW w:w="1823" w:type="dxa"/>
          </w:tcPr>
          <w:p w14:paraId="3208D4B0">
            <w:pPr>
              <w:tabs>
                <w:tab w:val="left" w:pos="196"/>
                <w:tab w:val="left" w:pos="426"/>
              </w:tabs>
              <w:snapToGrid w:val="0"/>
              <w:spacing w:line="360" w:lineRule="auto"/>
              <w:jc w:val="right"/>
            </w:pPr>
            <w:r>
              <w:t>-</w:t>
            </w:r>
          </w:p>
        </w:tc>
      </w:tr>
      <w:tr w14:paraId="4F36B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43EB519F">
            <w:pPr>
              <w:snapToGrid w:val="0"/>
              <w:spacing w:line="360" w:lineRule="auto"/>
              <w:ind w:firstLine="105" w:firstLineChars="50"/>
              <w:jc w:val="left"/>
            </w:pPr>
            <w:r>
              <w:t>3.本期减少金额</w:t>
            </w:r>
          </w:p>
        </w:tc>
        <w:tc>
          <w:tcPr>
            <w:tcW w:w="1829" w:type="dxa"/>
          </w:tcPr>
          <w:p w14:paraId="35A7150F">
            <w:pPr>
              <w:tabs>
                <w:tab w:val="left" w:pos="196"/>
                <w:tab w:val="left" w:pos="426"/>
              </w:tabs>
              <w:snapToGrid w:val="0"/>
              <w:spacing w:line="360" w:lineRule="auto"/>
              <w:jc w:val="right"/>
            </w:pPr>
            <w:r>
              <w:t>-</w:t>
            </w:r>
          </w:p>
        </w:tc>
        <w:tc>
          <w:tcPr>
            <w:tcW w:w="1441" w:type="dxa"/>
          </w:tcPr>
          <w:p w14:paraId="65DFA12F">
            <w:pPr>
              <w:tabs>
                <w:tab w:val="left" w:pos="196"/>
                <w:tab w:val="left" w:pos="426"/>
              </w:tabs>
              <w:snapToGrid w:val="0"/>
              <w:spacing w:line="360" w:lineRule="auto"/>
              <w:jc w:val="right"/>
            </w:pPr>
            <w:r>
              <w:t>-</w:t>
            </w:r>
          </w:p>
        </w:tc>
        <w:tc>
          <w:tcPr>
            <w:tcW w:w="1685" w:type="dxa"/>
          </w:tcPr>
          <w:p w14:paraId="4F3785E1">
            <w:pPr>
              <w:tabs>
                <w:tab w:val="left" w:pos="196"/>
                <w:tab w:val="left" w:pos="426"/>
              </w:tabs>
              <w:snapToGrid w:val="0"/>
              <w:spacing w:line="360" w:lineRule="auto"/>
              <w:jc w:val="right"/>
            </w:pPr>
            <w:r>
              <w:t>-</w:t>
            </w:r>
          </w:p>
        </w:tc>
        <w:tc>
          <w:tcPr>
            <w:tcW w:w="1823" w:type="dxa"/>
          </w:tcPr>
          <w:p w14:paraId="2017E19B">
            <w:pPr>
              <w:tabs>
                <w:tab w:val="left" w:pos="196"/>
                <w:tab w:val="left" w:pos="426"/>
              </w:tabs>
              <w:snapToGrid w:val="0"/>
              <w:spacing w:line="360" w:lineRule="auto"/>
              <w:jc w:val="right"/>
            </w:pPr>
            <w:r>
              <w:t>-</w:t>
            </w:r>
          </w:p>
        </w:tc>
      </w:tr>
      <w:tr w14:paraId="4776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01B55681">
            <w:pPr>
              <w:tabs>
                <w:tab w:val="left" w:pos="196"/>
                <w:tab w:val="left" w:pos="426"/>
              </w:tabs>
              <w:snapToGrid w:val="0"/>
              <w:spacing w:line="360" w:lineRule="auto"/>
              <w:ind w:left="210" w:leftChars="100" w:firstLine="105" w:firstLineChars="50"/>
            </w:pPr>
            <w:r>
              <w:t>处置</w:t>
            </w:r>
          </w:p>
        </w:tc>
        <w:tc>
          <w:tcPr>
            <w:tcW w:w="1829" w:type="dxa"/>
          </w:tcPr>
          <w:p w14:paraId="24C435DB">
            <w:pPr>
              <w:tabs>
                <w:tab w:val="left" w:pos="196"/>
                <w:tab w:val="left" w:pos="426"/>
              </w:tabs>
              <w:snapToGrid w:val="0"/>
              <w:spacing w:line="360" w:lineRule="auto"/>
              <w:jc w:val="right"/>
            </w:pPr>
            <w:r>
              <w:t>-</w:t>
            </w:r>
          </w:p>
        </w:tc>
        <w:tc>
          <w:tcPr>
            <w:tcW w:w="1441" w:type="dxa"/>
          </w:tcPr>
          <w:p w14:paraId="1652E5BC">
            <w:pPr>
              <w:tabs>
                <w:tab w:val="left" w:pos="196"/>
                <w:tab w:val="left" w:pos="426"/>
              </w:tabs>
              <w:snapToGrid w:val="0"/>
              <w:spacing w:line="360" w:lineRule="auto"/>
              <w:jc w:val="right"/>
            </w:pPr>
            <w:r>
              <w:t>-</w:t>
            </w:r>
          </w:p>
        </w:tc>
        <w:tc>
          <w:tcPr>
            <w:tcW w:w="1685" w:type="dxa"/>
          </w:tcPr>
          <w:p w14:paraId="0544193E">
            <w:pPr>
              <w:tabs>
                <w:tab w:val="left" w:pos="196"/>
                <w:tab w:val="left" w:pos="426"/>
              </w:tabs>
              <w:snapToGrid w:val="0"/>
              <w:spacing w:line="360" w:lineRule="auto"/>
              <w:jc w:val="right"/>
            </w:pPr>
            <w:r>
              <w:t>-</w:t>
            </w:r>
          </w:p>
        </w:tc>
        <w:tc>
          <w:tcPr>
            <w:tcW w:w="1823" w:type="dxa"/>
          </w:tcPr>
          <w:p w14:paraId="20891EFD">
            <w:pPr>
              <w:tabs>
                <w:tab w:val="left" w:pos="196"/>
                <w:tab w:val="left" w:pos="426"/>
              </w:tabs>
              <w:snapToGrid w:val="0"/>
              <w:spacing w:line="360" w:lineRule="auto"/>
              <w:jc w:val="right"/>
            </w:pPr>
            <w:r>
              <w:t>-</w:t>
            </w:r>
          </w:p>
        </w:tc>
      </w:tr>
      <w:tr w14:paraId="0EFE6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049DFBF6">
            <w:pPr>
              <w:tabs>
                <w:tab w:val="left" w:pos="196"/>
                <w:tab w:val="left" w:pos="426"/>
              </w:tabs>
              <w:snapToGrid w:val="0"/>
              <w:spacing w:line="360" w:lineRule="auto"/>
              <w:ind w:left="210" w:leftChars="100" w:firstLine="105" w:firstLineChars="50"/>
            </w:pPr>
            <w:r>
              <w:t>其他原因减少</w:t>
            </w:r>
          </w:p>
        </w:tc>
        <w:tc>
          <w:tcPr>
            <w:tcW w:w="1829" w:type="dxa"/>
          </w:tcPr>
          <w:p w14:paraId="3BD7D01A">
            <w:pPr>
              <w:tabs>
                <w:tab w:val="left" w:pos="196"/>
                <w:tab w:val="left" w:pos="426"/>
              </w:tabs>
              <w:snapToGrid w:val="0"/>
              <w:spacing w:line="360" w:lineRule="auto"/>
              <w:jc w:val="right"/>
            </w:pPr>
            <w:r>
              <w:t>-</w:t>
            </w:r>
          </w:p>
        </w:tc>
        <w:tc>
          <w:tcPr>
            <w:tcW w:w="1441" w:type="dxa"/>
          </w:tcPr>
          <w:p w14:paraId="61575713">
            <w:pPr>
              <w:tabs>
                <w:tab w:val="left" w:pos="196"/>
                <w:tab w:val="left" w:pos="426"/>
              </w:tabs>
              <w:snapToGrid w:val="0"/>
              <w:spacing w:line="360" w:lineRule="auto"/>
              <w:jc w:val="right"/>
            </w:pPr>
            <w:r>
              <w:t>-</w:t>
            </w:r>
          </w:p>
        </w:tc>
        <w:tc>
          <w:tcPr>
            <w:tcW w:w="1685" w:type="dxa"/>
          </w:tcPr>
          <w:p w14:paraId="6EB467BD">
            <w:pPr>
              <w:tabs>
                <w:tab w:val="left" w:pos="196"/>
                <w:tab w:val="left" w:pos="426"/>
              </w:tabs>
              <w:snapToGrid w:val="0"/>
              <w:spacing w:line="360" w:lineRule="auto"/>
              <w:jc w:val="right"/>
            </w:pPr>
            <w:r>
              <w:t>-</w:t>
            </w:r>
          </w:p>
        </w:tc>
        <w:tc>
          <w:tcPr>
            <w:tcW w:w="1823" w:type="dxa"/>
          </w:tcPr>
          <w:p w14:paraId="19FCB6D2">
            <w:pPr>
              <w:tabs>
                <w:tab w:val="left" w:pos="196"/>
                <w:tab w:val="left" w:pos="426"/>
              </w:tabs>
              <w:snapToGrid w:val="0"/>
              <w:spacing w:line="360" w:lineRule="auto"/>
              <w:jc w:val="right"/>
            </w:pPr>
            <w:r>
              <w:t>-</w:t>
            </w:r>
          </w:p>
        </w:tc>
      </w:tr>
      <w:tr w14:paraId="3919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507CC68B">
            <w:pPr>
              <w:snapToGrid w:val="0"/>
              <w:spacing w:line="360" w:lineRule="auto"/>
              <w:ind w:firstLine="105" w:firstLineChars="50"/>
              <w:jc w:val="left"/>
            </w:pPr>
            <w:r>
              <w:t>4.期末余额</w:t>
            </w:r>
          </w:p>
        </w:tc>
        <w:tc>
          <w:tcPr>
            <w:tcW w:w="1829" w:type="dxa"/>
          </w:tcPr>
          <w:p w14:paraId="5DD98FBF">
            <w:pPr>
              <w:tabs>
                <w:tab w:val="left" w:pos="196"/>
                <w:tab w:val="left" w:pos="426"/>
              </w:tabs>
              <w:snapToGrid w:val="0"/>
              <w:spacing w:line="360" w:lineRule="auto"/>
              <w:jc w:val="right"/>
            </w:pPr>
            <w:r>
              <w:t>35,819,875.74</w:t>
            </w:r>
          </w:p>
        </w:tc>
        <w:tc>
          <w:tcPr>
            <w:tcW w:w="1441" w:type="dxa"/>
          </w:tcPr>
          <w:p w14:paraId="7E6C76A3">
            <w:pPr>
              <w:tabs>
                <w:tab w:val="left" w:pos="196"/>
                <w:tab w:val="left" w:pos="426"/>
              </w:tabs>
              <w:snapToGrid w:val="0"/>
              <w:spacing w:line="360" w:lineRule="auto"/>
              <w:jc w:val="right"/>
            </w:pPr>
            <w:r>
              <w:t>-</w:t>
            </w:r>
          </w:p>
        </w:tc>
        <w:tc>
          <w:tcPr>
            <w:tcW w:w="1685" w:type="dxa"/>
          </w:tcPr>
          <w:p w14:paraId="22104CC5">
            <w:pPr>
              <w:tabs>
                <w:tab w:val="left" w:pos="196"/>
                <w:tab w:val="left" w:pos="426"/>
              </w:tabs>
              <w:snapToGrid w:val="0"/>
              <w:spacing w:line="360" w:lineRule="auto"/>
              <w:jc w:val="right"/>
            </w:pPr>
            <w:r>
              <w:t>-</w:t>
            </w:r>
          </w:p>
        </w:tc>
        <w:tc>
          <w:tcPr>
            <w:tcW w:w="1823" w:type="dxa"/>
          </w:tcPr>
          <w:p w14:paraId="665DD74A">
            <w:pPr>
              <w:tabs>
                <w:tab w:val="left" w:pos="196"/>
                <w:tab w:val="left" w:pos="426"/>
              </w:tabs>
              <w:snapToGrid w:val="0"/>
              <w:spacing w:line="360" w:lineRule="auto"/>
              <w:jc w:val="right"/>
            </w:pPr>
            <w:r>
              <w:t>35,819,875.74</w:t>
            </w:r>
          </w:p>
        </w:tc>
      </w:tr>
      <w:tr w14:paraId="48B7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23F5A3C">
            <w:pPr>
              <w:snapToGrid w:val="0"/>
              <w:spacing w:line="360" w:lineRule="auto"/>
              <w:jc w:val="left"/>
            </w:pPr>
            <w:r>
              <w:t>四、账面价值</w:t>
            </w:r>
          </w:p>
        </w:tc>
        <w:tc>
          <w:tcPr>
            <w:tcW w:w="1829" w:type="dxa"/>
            <w:vAlign w:val="center"/>
          </w:tcPr>
          <w:p w14:paraId="237562E6">
            <w:pPr>
              <w:tabs>
                <w:tab w:val="left" w:pos="196"/>
                <w:tab w:val="left" w:pos="426"/>
              </w:tabs>
              <w:snapToGrid w:val="0"/>
              <w:spacing w:line="360" w:lineRule="auto"/>
              <w:jc w:val="right"/>
            </w:pPr>
          </w:p>
        </w:tc>
        <w:tc>
          <w:tcPr>
            <w:tcW w:w="1441" w:type="dxa"/>
            <w:vAlign w:val="center"/>
          </w:tcPr>
          <w:p w14:paraId="695FE6BF">
            <w:pPr>
              <w:tabs>
                <w:tab w:val="left" w:pos="196"/>
                <w:tab w:val="left" w:pos="426"/>
              </w:tabs>
              <w:snapToGrid w:val="0"/>
              <w:spacing w:line="360" w:lineRule="auto"/>
              <w:jc w:val="right"/>
            </w:pPr>
          </w:p>
        </w:tc>
        <w:tc>
          <w:tcPr>
            <w:tcW w:w="1685" w:type="dxa"/>
            <w:vAlign w:val="center"/>
          </w:tcPr>
          <w:p w14:paraId="1F241B62">
            <w:pPr>
              <w:tabs>
                <w:tab w:val="left" w:pos="196"/>
                <w:tab w:val="left" w:pos="426"/>
              </w:tabs>
              <w:snapToGrid w:val="0"/>
              <w:spacing w:line="360" w:lineRule="auto"/>
              <w:jc w:val="right"/>
            </w:pPr>
          </w:p>
        </w:tc>
        <w:tc>
          <w:tcPr>
            <w:tcW w:w="1823" w:type="dxa"/>
            <w:vAlign w:val="center"/>
          </w:tcPr>
          <w:p w14:paraId="473B4AF4">
            <w:pPr>
              <w:tabs>
                <w:tab w:val="left" w:pos="196"/>
                <w:tab w:val="left" w:pos="426"/>
              </w:tabs>
              <w:snapToGrid w:val="0"/>
              <w:spacing w:line="360" w:lineRule="auto"/>
              <w:jc w:val="right"/>
            </w:pPr>
          </w:p>
        </w:tc>
      </w:tr>
      <w:tr w14:paraId="7ADA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3B84F647">
            <w:pPr>
              <w:snapToGrid w:val="0"/>
              <w:spacing w:line="360" w:lineRule="auto"/>
              <w:ind w:firstLine="105" w:firstLineChars="50"/>
              <w:jc w:val="left"/>
            </w:pPr>
            <w:r>
              <w:t>1.期末账面价值</w:t>
            </w:r>
          </w:p>
        </w:tc>
        <w:tc>
          <w:tcPr>
            <w:tcW w:w="1829" w:type="dxa"/>
          </w:tcPr>
          <w:p w14:paraId="76E8D94E">
            <w:pPr>
              <w:tabs>
                <w:tab w:val="left" w:pos="196"/>
                <w:tab w:val="left" w:pos="426"/>
              </w:tabs>
              <w:snapToGrid w:val="0"/>
              <w:spacing w:line="360" w:lineRule="auto"/>
              <w:jc w:val="right"/>
            </w:pPr>
            <w:r>
              <w:t>3,268,352,491.58</w:t>
            </w:r>
          </w:p>
        </w:tc>
        <w:tc>
          <w:tcPr>
            <w:tcW w:w="1441" w:type="dxa"/>
          </w:tcPr>
          <w:p w14:paraId="5DE58B88">
            <w:pPr>
              <w:tabs>
                <w:tab w:val="left" w:pos="196"/>
                <w:tab w:val="left" w:pos="426"/>
              </w:tabs>
              <w:snapToGrid w:val="0"/>
              <w:spacing w:line="360" w:lineRule="auto"/>
              <w:jc w:val="right"/>
            </w:pPr>
            <w:r>
              <w:t>-</w:t>
            </w:r>
          </w:p>
        </w:tc>
        <w:tc>
          <w:tcPr>
            <w:tcW w:w="1685" w:type="dxa"/>
          </w:tcPr>
          <w:p w14:paraId="4A26C689">
            <w:pPr>
              <w:tabs>
                <w:tab w:val="left" w:pos="196"/>
                <w:tab w:val="left" w:pos="426"/>
              </w:tabs>
              <w:snapToGrid w:val="0"/>
              <w:spacing w:line="360" w:lineRule="auto"/>
              <w:jc w:val="right"/>
            </w:pPr>
            <w:r>
              <w:t>-</w:t>
            </w:r>
          </w:p>
        </w:tc>
        <w:tc>
          <w:tcPr>
            <w:tcW w:w="1823" w:type="dxa"/>
          </w:tcPr>
          <w:p w14:paraId="4C9B3F59">
            <w:pPr>
              <w:tabs>
                <w:tab w:val="left" w:pos="196"/>
                <w:tab w:val="left" w:pos="426"/>
              </w:tabs>
              <w:snapToGrid w:val="0"/>
              <w:spacing w:line="360" w:lineRule="auto"/>
              <w:jc w:val="right"/>
            </w:pPr>
            <w:r>
              <w:t>3,268,352,491.58</w:t>
            </w:r>
          </w:p>
        </w:tc>
      </w:tr>
      <w:tr w14:paraId="39F8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61" w:type="dxa"/>
            <w:vAlign w:val="center"/>
          </w:tcPr>
          <w:p w14:paraId="1D407816">
            <w:pPr>
              <w:snapToGrid w:val="0"/>
              <w:spacing w:line="360" w:lineRule="auto"/>
              <w:ind w:firstLine="105" w:firstLineChars="50"/>
              <w:jc w:val="left"/>
            </w:pPr>
            <w:r>
              <w:t>2.期初账面价值</w:t>
            </w:r>
          </w:p>
        </w:tc>
        <w:tc>
          <w:tcPr>
            <w:tcW w:w="1829" w:type="dxa"/>
          </w:tcPr>
          <w:p w14:paraId="4D4BADA5">
            <w:pPr>
              <w:tabs>
                <w:tab w:val="left" w:pos="196"/>
                <w:tab w:val="left" w:pos="426"/>
              </w:tabs>
              <w:snapToGrid w:val="0"/>
              <w:spacing w:line="360" w:lineRule="auto"/>
              <w:jc w:val="right"/>
            </w:pPr>
            <w:r>
              <w:t>3,313,884,673.70</w:t>
            </w:r>
          </w:p>
        </w:tc>
        <w:tc>
          <w:tcPr>
            <w:tcW w:w="1441" w:type="dxa"/>
          </w:tcPr>
          <w:p w14:paraId="6B5181FC">
            <w:pPr>
              <w:tabs>
                <w:tab w:val="left" w:pos="196"/>
                <w:tab w:val="left" w:pos="426"/>
              </w:tabs>
              <w:snapToGrid w:val="0"/>
              <w:spacing w:line="360" w:lineRule="auto"/>
              <w:jc w:val="right"/>
            </w:pPr>
            <w:r>
              <w:t>-</w:t>
            </w:r>
          </w:p>
        </w:tc>
        <w:tc>
          <w:tcPr>
            <w:tcW w:w="1685" w:type="dxa"/>
          </w:tcPr>
          <w:p w14:paraId="30F481BB">
            <w:pPr>
              <w:tabs>
                <w:tab w:val="left" w:pos="196"/>
                <w:tab w:val="left" w:pos="426"/>
              </w:tabs>
              <w:snapToGrid w:val="0"/>
              <w:spacing w:line="360" w:lineRule="auto"/>
              <w:jc w:val="right"/>
            </w:pPr>
            <w:r>
              <w:t>-</w:t>
            </w:r>
          </w:p>
        </w:tc>
        <w:tc>
          <w:tcPr>
            <w:tcW w:w="1823" w:type="dxa"/>
          </w:tcPr>
          <w:p w14:paraId="2F21AD0A">
            <w:pPr>
              <w:tabs>
                <w:tab w:val="left" w:pos="196"/>
                <w:tab w:val="left" w:pos="426"/>
              </w:tabs>
              <w:snapToGrid w:val="0"/>
              <w:spacing w:line="360" w:lineRule="auto"/>
              <w:jc w:val="right"/>
            </w:pPr>
            <w:r>
              <w:t>3,313,884,673.70</w:t>
            </w:r>
          </w:p>
        </w:tc>
      </w:tr>
    </w:tbl>
    <w:p w14:paraId="47E8D0E3">
      <w:pPr>
        <w:spacing w:line="360" w:lineRule="auto"/>
        <w:rPr>
          <w:rFonts w:hint="eastAsia" w:eastAsia="宋体"/>
          <w:lang w:eastAsia="zh-CN"/>
        </w:rPr>
      </w:pPr>
      <w:r>
        <w:t>注：本基金之子公司万海大厦作为抵押人，以万海大厦已办理产权证书的房产及土地使用权作为抵押物，向借款银行提供财产抵押担保。同时万海大厦作为出质人，以万海大厦产生的租金收入质押给借款银行，并授权借款银行办理应收账款质押登记。万海大厦已于2026年1月15日完成借款的提款并置换原并购贷款</w:t>
      </w:r>
      <w:r>
        <w:rPr>
          <w:kern w:val="0"/>
        </w:rPr>
        <w:t>。</w:t>
      </w:r>
    </w:p>
    <w:p w14:paraId="6FE6D2CF">
      <w:pPr>
        <w:spacing w:line="360" w:lineRule="auto"/>
        <w:outlineLvl w:val="3"/>
        <w:rPr>
          <w:b/>
        </w:rPr>
      </w:pPr>
      <w:r>
        <w:rPr>
          <w:b/>
          <w:kern w:val="0"/>
        </w:rPr>
        <w:t>9.5.6.5</w:t>
      </w:r>
      <w:r>
        <w:rPr>
          <w:b/>
        </w:rPr>
        <w:t xml:space="preserve">  商誉 </w:t>
      </w:r>
    </w:p>
    <w:p w14:paraId="05324E35">
      <w:pPr>
        <w:spacing w:line="360" w:lineRule="auto"/>
        <w:outlineLvl w:val="3"/>
        <w:rPr>
          <w:b/>
        </w:rPr>
      </w:pPr>
      <w:r>
        <w:rPr>
          <w:b/>
          <w:kern w:val="0"/>
        </w:rPr>
        <w:t>9.5.6.5.1</w:t>
      </w:r>
      <w:r>
        <w:rPr>
          <w:b/>
        </w:rPr>
        <w:t xml:space="preserve"> 商誉账面原值 </w:t>
      </w:r>
    </w:p>
    <w:p w14:paraId="75EEF63B">
      <w:pPr>
        <w:spacing w:line="360" w:lineRule="auto"/>
        <w:ind w:right="-50" w:rightChars="-24"/>
        <w:jc w:val="right"/>
        <w:rPr>
          <w:b/>
        </w:rPr>
      </w:pPr>
      <w:r>
        <w:t>单位：人民币元</w:t>
      </w:r>
    </w:p>
    <w:tbl>
      <w:tblPr>
        <w:tblStyle w:val="40"/>
        <w:tblW w:w="523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1699"/>
        <w:gridCol w:w="1635"/>
        <w:gridCol w:w="1703"/>
        <w:gridCol w:w="2160"/>
      </w:tblGrid>
      <w:tr w14:paraId="5ABF2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970" w:type="pct"/>
            <w:vMerge w:val="restart"/>
            <w:vAlign w:val="center"/>
          </w:tcPr>
          <w:p w14:paraId="6B69315D">
            <w:pPr>
              <w:tabs>
                <w:tab w:val="left" w:pos="196"/>
                <w:tab w:val="left" w:pos="426"/>
              </w:tabs>
              <w:snapToGrid w:val="0"/>
              <w:spacing w:line="360" w:lineRule="auto"/>
              <w:jc w:val="center"/>
            </w:pPr>
            <w:r>
              <w:t>被投资单位名称或形成商誉的事项</w:t>
            </w:r>
          </w:p>
        </w:tc>
        <w:tc>
          <w:tcPr>
            <w:tcW w:w="951" w:type="pct"/>
            <w:vMerge w:val="restart"/>
            <w:vAlign w:val="center"/>
          </w:tcPr>
          <w:p w14:paraId="3D97A769">
            <w:pPr>
              <w:tabs>
                <w:tab w:val="left" w:pos="196"/>
                <w:tab w:val="left" w:pos="426"/>
              </w:tabs>
              <w:snapToGrid w:val="0"/>
              <w:spacing w:line="360" w:lineRule="auto"/>
              <w:jc w:val="center"/>
            </w:pPr>
            <w:r>
              <w:t>期初余额</w:t>
            </w:r>
          </w:p>
        </w:tc>
        <w:tc>
          <w:tcPr>
            <w:tcW w:w="915" w:type="pct"/>
            <w:vAlign w:val="center"/>
          </w:tcPr>
          <w:p w14:paraId="7DFE2CE6">
            <w:pPr>
              <w:tabs>
                <w:tab w:val="left" w:pos="196"/>
                <w:tab w:val="left" w:pos="426"/>
              </w:tabs>
              <w:snapToGrid w:val="0"/>
              <w:spacing w:line="360" w:lineRule="auto"/>
              <w:jc w:val="center"/>
            </w:pPr>
            <w:r>
              <w:t>本期增加金额</w:t>
            </w:r>
          </w:p>
        </w:tc>
        <w:tc>
          <w:tcPr>
            <w:tcW w:w="953" w:type="pct"/>
            <w:vAlign w:val="center"/>
          </w:tcPr>
          <w:p w14:paraId="1B0D77E1">
            <w:pPr>
              <w:tabs>
                <w:tab w:val="left" w:pos="196"/>
                <w:tab w:val="left" w:pos="426"/>
              </w:tabs>
              <w:snapToGrid w:val="0"/>
              <w:spacing w:line="360" w:lineRule="auto"/>
              <w:jc w:val="center"/>
            </w:pPr>
            <w:r>
              <w:t>本期减少金额</w:t>
            </w:r>
          </w:p>
        </w:tc>
        <w:tc>
          <w:tcPr>
            <w:tcW w:w="1209" w:type="pct"/>
            <w:vMerge w:val="restart"/>
            <w:vAlign w:val="center"/>
          </w:tcPr>
          <w:p w14:paraId="6EBCC42F">
            <w:pPr>
              <w:tabs>
                <w:tab w:val="left" w:pos="196"/>
                <w:tab w:val="left" w:pos="426"/>
              </w:tabs>
              <w:snapToGrid w:val="0"/>
              <w:spacing w:line="360" w:lineRule="auto"/>
              <w:jc w:val="center"/>
            </w:pPr>
            <w:r>
              <w:t>期末余额</w:t>
            </w:r>
          </w:p>
        </w:tc>
      </w:tr>
      <w:tr w14:paraId="7118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970" w:type="pct"/>
            <w:vMerge w:val="continue"/>
            <w:vAlign w:val="center"/>
          </w:tcPr>
          <w:p w14:paraId="72B81D78">
            <w:pPr>
              <w:tabs>
                <w:tab w:val="left" w:pos="196"/>
                <w:tab w:val="left" w:pos="426"/>
              </w:tabs>
              <w:snapToGrid w:val="0"/>
              <w:spacing w:line="360" w:lineRule="auto"/>
            </w:pPr>
          </w:p>
        </w:tc>
        <w:tc>
          <w:tcPr>
            <w:tcW w:w="951" w:type="pct"/>
            <w:vMerge w:val="continue"/>
            <w:vAlign w:val="center"/>
          </w:tcPr>
          <w:p w14:paraId="1C4F8386">
            <w:pPr>
              <w:tabs>
                <w:tab w:val="left" w:pos="196"/>
                <w:tab w:val="left" w:pos="426"/>
              </w:tabs>
              <w:snapToGrid w:val="0"/>
              <w:spacing w:line="360" w:lineRule="auto"/>
              <w:jc w:val="right"/>
            </w:pPr>
          </w:p>
        </w:tc>
        <w:tc>
          <w:tcPr>
            <w:tcW w:w="915" w:type="pct"/>
            <w:vAlign w:val="center"/>
          </w:tcPr>
          <w:p w14:paraId="31757A21">
            <w:pPr>
              <w:tabs>
                <w:tab w:val="left" w:pos="196"/>
                <w:tab w:val="left" w:pos="426"/>
              </w:tabs>
              <w:snapToGrid w:val="0"/>
              <w:spacing w:line="360" w:lineRule="auto"/>
              <w:jc w:val="center"/>
            </w:pPr>
            <w:r>
              <w:t>企业合并形成</w:t>
            </w:r>
          </w:p>
        </w:tc>
        <w:tc>
          <w:tcPr>
            <w:tcW w:w="953" w:type="pct"/>
            <w:vAlign w:val="center"/>
          </w:tcPr>
          <w:p w14:paraId="02DB24A6">
            <w:pPr>
              <w:tabs>
                <w:tab w:val="left" w:pos="196"/>
                <w:tab w:val="left" w:pos="426"/>
              </w:tabs>
              <w:snapToGrid w:val="0"/>
              <w:spacing w:line="360" w:lineRule="auto"/>
              <w:jc w:val="center"/>
            </w:pPr>
            <w:r>
              <w:t>处置</w:t>
            </w:r>
          </w:p>
        </w:tc>
        <w:tc>
          <w:tcPr>
            <w:tcW w:w="1209" w:type="pct"/>
            <w:vMerge w:val="continue"/>
            <w:vAlign w:val="center"/>
          </w:tcPr>
          <w:p w14:paraId="2C19B3EC">
            <w:pPr>
              <w:tabs>
                <w:tab w:val="left" w:pos="196"/>
                <w:tab w:val="left" w:pos="426"/>
              </w:tabs>
              <w:snapToGrid w:val="0"/>
              <w:spacing w:line="360" w:lineRule="auto"/>
              <w:jc w:val="right"/>
            </w:pPr>
          </w:p>
        </w:tc>
      </w:tr>
      <w:tr w14:paraId="53E2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3003CC7">
            <w:pPr>
              <w:jc w:val="center"/>
            </w:pPr>
            <w:r>
              <w:t>万融大厦、万海大厦</w:t>
            </w:r>
          </w:p>
        </w:tc>
        <w:tc>
          <w:tcPr>
            <w:tcW w:w="951" w:type="pct"/>
            <w:vAlign w:val="center"/>
          </w:tcPr>
          <w:p w14:paraId="643D64E4">
            <w:pPr>
              <w:jc w:val="right"/>
            </w:pPr>
            <w:r>
              <w:t>15,788,435.52</w:t>
            </w:r>
          </w:p>
        </w:tc>
        <w:tc>
          <w:tcPr>
            <w:tcW w:w="915" w:type="pct"/>
            <w:vAlign w:val="center"/>
          </w:tcPr>
          <w:p w14:paraId="38FE4E52">
            <w:pPr>
              <w:jc w:val="right"/>
            </w:pPr>
            <w:r>
              <w:t>-</w:t>
            </w:r>
          </w:p>
        </w:tc>
        <w:tc>
          <w:tcPr>
            <w:tcW w:w="953" w:type="pct"/>
            <w:vAlign w:val="center"/>
          </w:tcPr>
          <w:p w14:paraId="33E5F754">
            <w:pPr>
              <w:jc w:val="right"/>
            </w:pPr>
            <w:r>
              <w:t>-</w:t>
            </w:r>
          </w:p>
        </w:tc>
        <w:tc>
          <w:tcPr>
            <w:vAlign w:val="center"/>
          </w:tcPr>
          <w:p w14:paraId="0FAD9051">
            <w:pPr>
              <w:jc w:val="right"/>
            </w:pPr>
            <w:r>
              <w:t>15,788,435.52</w:t>
            </w:r>
          </w:p>
        </w:tc>
      </w:tr>
      <w:tr w14:paraId="1062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F3E076F">
            <w:pPr>
              <w:jc w:val="center"/>
            </w:pPr>
            <w:r>
              <w:t>招光租赁</w:t>
            </w:r>
          </w:p>
        </w:tc>
        <w:tc>
          <w:tcPr>
            <w:tcW w:w="951" w:type="pct"/>
            <w:vAlign w:val="center"/>
          </w:tcPr>
          <w:p w14:paraId="20E33BA5">
            <w:pPr>
              <w:jc w:val="right"/>
            </w:pPr>
            <w:r>
              <w:t>94,306,239.66</w:t>
            </w:r>
          </w:p>
        </w:tc>
        <w:tc>
          <w:tcPr>
            <w:tcW w:w="915" w:type="pct"/>
            <w:vAlign w:val="center"/>
          </w:tcPr>
          <w:p w14:paraId="3A12BA75">
            <w:pPr>
              <w:jc w:val="right"/>
            </w:pPr>
            <w:r>
              <w:t>-</w:t>
            </w:r>
          </w:p>
        </w:tc>
        <w:tc>
          <w:tcPr>
            <w:tcW w:w="953" w:type="pct"/>
            <w:vAlign w:val="center"/>
          </w:tcPr>
          <w:p w14:paraId="389297D1">
            <w:pPr>
              <w:jc w:val="right"/>
            </w:pPr>
            <w:r>
              <w:t>-</w:t>
            </w:r>
          </w:p>
        </w:tc>
        <w:tc>
          <w:tcPr>
            <w:vAlign w:val="center"/>
          </w:tcPr>
          <w:p w14:paraId="252DE913">
            <w:pPr>
              <w:jc w:val="right"/>
            </w:pPr>
            <w:r>
              <w:t>94,306,239.66</w:t>
            </w:r>
          </w:p>
        </w:tc>
      </w:tr>
      <w:tr w14:paraId="7B1D7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70" w:type="pct"/>
            <w:vAlign w:val="center"/>
          </w:tcPr>
          <w:p w14:paraId="3A2B75FC">
            <w:pPr>
              <w:tabs>
                <w:tab w:val="left" w:pos="196"/>
                <w:tab w:val="left" w:pos="426"/>
              </w:tabs>
              <w:snapToGrid w:val="0"/>
              <w:spacing w:line="360" w:lineRule="auto"/>
              <w:jc w:val="center"/>
            </w:pPr>
            <w:r>
              <w:t>合计</w:t>
            </w:r>
          </w:p>
        </w:tc>
        <w:tc>
          <w:tcPr>
            <w:tcW w:w="951" w:type="pct"/>
            <w:vAlign w:val="center"/>
          </w:tcPr>
          <w:p w14:paraId="305A26A1">
            <w:pPr>
              <w:tabs>
                <w:tab w:val="left" w:pos="196"/>
                <w:tab w:val="left" w:pos="426"/>
              </w:tabs>
              <w:snapToGrid w:val="0"/>
              <w:spacing w:line="360" w:lineRule="auto"/>
              <w:jc w:val="right"/>
            </w:pPr>
            <w:r>
              <w:t>110,094,675.18</w:t>
            </w:r>
          </w:p>
        </w:tc>
        <w:tc>
          <w:tcPr>
            <w:tcW w:w="915" w:type="pct"/>
            <w:vAlign w:val="center"/>
          </w:tcPr>
          <w:p w14:paraId="0D88BF6A">
            <w:pPr>
              <w:tabs>
                <w:tab w:val="left" w:pos="196"/>
                <w:tab w:val="left" w:pos="426"/>
              </w:tabs>
              <w:snapToGrid w:val="0"/>
              <w:spacing w:line="360" w:lineRule="auto"/>
              <w:jc w:val="right"/>
            </w:pPr>
            <w:r>
              <w:t>-</w:t>
            </w:r>
          </w:p>
        </w:tc>
        <w:tc>
          <w:tcPr>
            <w:tcW w:w="953" w:type="pct"/>
            <w:vAlign w:val="center"/>
          </w:tcPr>
          <w:p w14:paraId="5223FF94">
            <w:pPr>
              <w:tabs>
                <w:tab w:val="left" w:pos="196"/>
                <w:tab w:val="left" w:pos="426"/>
              </w:tabs>
              <w:snapToGrid w:val="0"/>
              <w:spacing w:line="360" w:lineRule="auto"/>
              <w:jc w:val="right"/>
            </w:pPr>
            <w:r>
              <w:t>-</w:t>
            </w:r>
          </w:p>
        </w:tc>
        <w:tc>
          <w:tcPr>
            <w:tcW w:w="1209" w:type="pct"/>
            <w:vAlign w:val="center"/>
          </w:tcPr>
          <w:p w14:paraId="4A10A1D6">
            <w:pPr>
              <w:tabs>
                <w:tab w:val="left" w:pos="196"/>
                <w:tab w:val="left" w:pos="426"/>
              </w:tabs>
              <w:snapToGrid w:val="0"/>
              <w:spacing w:line="360" w:lineRule="auto"/>
              <w:jc w:val="right"/>
            </w:pPr>
            <w:r>
              <w:t>110,094,675.18</w:t>
            </w:r>
          </w:p>
        </w:tc>
      </w:tr>
    </w:tbl>
    <w:p w14:paraId="2DAA00E8">
      <w:pPr>
        <w:spacing w:line="360" w:lineRule="auto"/>
        <w:outlineLvl w:val="3"/>
        <w:rPr>
          <w:b/>
        </w:rPr>
      </w:pPr>
      <w:r>
        <w:rPr>
          <w:b/>
          <w:kern w:val="0"/>
        </w:rPr>
        <w:t>9.5.6.5.2</w:t>
      </w:r>
      <w:r>
        <w:rPr>
          <w:b/>
        </w:rPr>
        <w:t xml:space="preserve"> 商誉减值准备 </w:t>
      </w:r>
    </w:p>
    <w:p w14:paraId="6DF18611">
      <w:pPr>
        <w:spacing w:line="360" w:lineRule="auto"/>
        <w:ind w:right="-50" w:rightChars="-24"/>
        <w:jc w:val="right"/>
        <w:rPr>
          <w:b/>
        </w:rPr>
      </w:pPr>
      <w:r>
        <w:t>单位：人民币元</w:t>
      </w:r>
    </w:p>
    <w:tbl>
      <w:tblPr>
        <w:tblStyle w:val="40"/>
        <w:tblW w:w="523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8"/>
        <w:gridCol w:w="1620"/>
        <w:gridCol w:w="1390"/>
        <w:gridCol w:w="1963"/>
        <w:gridCol w:w="2160"/>
      </w:tblGrid>
      <w:tr w14:paraId="449B8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1006" w:type="pct"/>
            <w:vMerge w:val="restart"/>
            <w:vAlign w:val="center"/>
          </w:tcPr>
          <w:p w14:paraId="65B12672">
            <w:pPr>
              <w:tabs>
                <w:tab w:val="left" w:pos="196"/>
                <w:tab w:val="left" w:pos="426"/>
              </w:tabs>
              <w:snapToGrid w:val="0"/>
              <w:spacing w:line="360" w:lineRule="auto"/>
              <w:jc w:val="center"/>
            </w:pPr>
            <w:r>
              <w:t>被投资单位名称或形成商誉的事项</w:t>
            </w:r>
          </w:p>
        </w:tc>
        <w:tc>
          <w:tcPr>
            <w:tcW w:w="906" w:type="pct"/>
            <w:vMerge w:val="restart"/>
            <w:vAlign w:val="center"/>
          </w:tcPr>
          <w:p w14:paraId="581CCF62">
            <w:pPr>
              <w:tabs>
                <w:tab w:val="left" w:pos="196"/>
                <w:tab w:val="left" w:pos="426"/>
              </w:tabs>
              <w:snapToGrid w:val="0"/>
              <w:spacing w:line="360" w:lineRule="auto"/>
              <w:jc w:val="center"/>
            </w:pPr>
            <w:r>
              <w:t>期初余额</w:t>
            </w:r>
          </w:p>
        </w:tc>
        <w:tc>
          <w:tcPr>
            <w:tcW w:w="778" w:type="pct"/>
            <w:vAlign w:val="center"/>
          </w:tcPr>
          <w:p w14:paraId="644CD8FD">
            <w:pPr>
              <w:tabs>
                <w:tab w:val="left" w:pos="196"/>
                <w:tab w:val="left" w:pos="426"/>
              </w:tabs>
              <w:snapToGrid w:val="0"/>
              <w:spacing w:line="360" w:lineRule="auto"/>
              <w:jc w:val="center"/>
            </w:pPr>
            <w:r>
              <w:t>本期增加金额</w:t>
            </w:r>
          </w:p>
        </w:tc>
        <w:tc>
          <w:tcPr>
            <w:tcW w:w="1098" w:type="pct"/>
            <w:vAlign w:val="center"/>
          </w:tcPr>
          <w:p w14:paraId="732D3B72">
            <w:pPr>
              <w:tabs>
                <w:tab w:val="left" w:pos="196"/>
                <w:tab w:val="left" w:pos="426"/>
              </w:tabs>
              <w:snapToGrid w:val="0"/>
              <w:spacing w:line="360" w:lineRule="auto"/>
              <w:jc w:val="center"/>
            </w:pPr>
            <w:r>
              <w:t>本期减少金额</w:t>
            </w:r>
          </w:p>
        </w:tc>
        <w:tc>
          <w:tcPr>
            <w:tcW w:w="1209" w:type="pct"/>
            <w:vMerge w:val="restart"/>
            <w:vAlign w:val="center"/>
          </w:tcPr>
          <w:p w14:paraId="294E86F1">
            <w:pPr>
              <w:tabs>
                <w:tab w:val="left" w:pos="196"/>
                <w:tab w:val="left" w:pos="426"/>
              </w:tabs>
              <w:snapToGrid w:val="0"/>
              <w:spacing w:line="360" w:lineRule="auto"/>
              <w:jc w:val="center"/>
            </w:pPr>
            <w:r>
              <w:t>期末余额</w:t>
            </w:r>
          </w:p>
        </w:tc>
      </w:tr>
      <w:tr w14:paraId="22602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1006" w:type="pct"/>
            <w:vMerge w:val="continue"/>
            <w:vAlign w:val="center"/>
          </w:tcPr>
          <w:p w14:paraId="1ED1E548">
            <w:pPr>
              <w:tabs>
                <w:tab w:val="left" w:pos="196"/>
                <w:tab w:val="left" w:pos="426"/>
              </w:tabs>
              <w:snapToGrid w:val="0"/>
              <w:spacing w:line="360" w:lineRule="auto"/>
            </w:pPr>
          </w:p>
        </w:tc>
        <w:tc>
          <w:tcPr>
            <w:tcW w:w="906" w:type="pct"/>
            <w:vMerge w:val="continue"/>
            <w:vAlign w:val="center"/>
          </w:tcPr>
          <w:p w14:paraId="7555CCC0">
            <w:pPr>
              <w:tabs>
                <w:tab w:val="left" w:pos="196"/>
                <w:tab w:val="left" w:pos="426"/>
              </w:tabs>
              <w:snapToGrid w:val="0"/>
              <w:spacing w:line="360" w:lineRule="auto"/>
              <w:jc w:val="right"/>
            </w:pPr>
          </w:p>
        </w:tc>
        <w:tc>
          <w:tcPr>
            <w:tcW w:w="778" w:type="pct"/>
            <w:vAlign w:val="center"/>
          </w:tcPr>
          <w:p w14:paraId="779CDA88">
            <w:pPr>
              <w:tabs>
                <w:tab w:val="left" w:pos="196"/>
                <w:tab w:val="left" w:pos="426"/>
              </w:tabs>
              <w:snapToGrid w:val="0"/>
              <w:spacing w:line="360" w:lineRule="auto"/>
              <w:jc w:val="center"/>
            </w:pPr>
            <w:r>
              <w:t>计提</w:t>
            </w:r>
          </w:p>
        </w:tc>
        <w:tc>
          <w:tcPr>
            <w:tcW w:w="1098" w:type="pct"/>
            <w:vAlign w:val="center"/>
          </w:tcPr>
          <w:p w14:paraId="57788C1D">
            <w:pPr>
              <w:tabs>
                <w:tab w:val="left" w:pos="196"/>
                <w:tab w:val="left" w:pos="426"/>
              </w:tabs>
              <w:snapToGrid w:val="0"/>
              <w:spacing w:line="360" w:lineRule="auto"/>
              <w:jc w:val="center"/>
            </w:pPr>
            <w:r>
              <w:t>处置</w:t>
            </w:r>
          </w:p>
        </w:tc>
        <w:tc>
          <w:tcPr>
            <w:tcW w:w="1209" w:type="pct"/>
            <w:vMerge w:val="continue"/>
            <w:vAlign w:val="center"/>
          </w:tcPr>
          <w:p w14:paraId="46A4265A">
            <w:pPr>
              <w:tabs>
                <w:tab w:val="left" w:pos="196"/>
                <w:tab w:val="left" w:pos="426"/>
              </w:tabs>
              <w:snapToGrid w:val="0"/>
              <w:spacing w:line="360" w:lineRule="auto"/>
              <w:jc w:val="right"/>
            </w:pPr>
          </w:p>
        </w:tc>
      </w:tr>
      <w:tr w14:paraId="5928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A808963">
            <w:pPr>
              <w:jc w:val="center"/>
            </w:pPr>
            <w:r>
              <w:t>招光租赁</w:t>
            </w:r>
          </w:p>
        </w:tc>
        <w:tc>
          <w:tcPr>
            <w:tcW w:w="906" w:type="pct"/>
            <w:vAlign w:val="center"/>
          </w:tcPr>
          <w:p w14:paraId="09639796">
            <w:pPr>
              <w:jc w:val="right"/>
            </w:pPr>
            <w:r>
              <w:t>56,034,028.88</w:t>
            </w:r>
          </w:p>
        </w:tc>
        <w:tc>
          <w:tcPr>
            <w:tcW w:w="778" w:type="pct"/>
            <w:vAlign w:val="center"/>
          </w:tcPr>
          <w:p w14:paraId="0BF85292">
            <w:pPr>
              <w:jc w:val="right"/>
            </w:pPr>
            <w:r>
              <w:t>-</w:t>
            </w:r>
          </w:p>
        </w:tc>
        <w:tc>
          <w:tcPr>
            <w:vAlign w:val="center"/>
          </w:tcPr>
          <w:p w14:paraId="7AF33509">
            <w:pPr>
              <w:jc w:val="right"/>
            </w:pPr>
            <w:r>
              <w:t>-</w:t>
            </w:r>
          </w:p>
        </w:tc>
        <w:tc>
          <w:tcPr>
            <w:vAlign w:val="center"/>
          </w:tcPr>
          <w:p w14:paraId="5B8C4B42">
            <w:pPr>
              <w:jc w:val="right"/>
            </w:pPr>
            <w:r>
              <w:t>56,034,028.88</w:t>
            </w:r>
          </w:p>
        </w:tc>
      </w:tr>
      <w:tr w14:paraId="7511A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06" w:type="pct"/>
            <w:vAlign w:val="center"/>
          </w:tcPr>
          <w:p w14:paraId="2F56A10C">
            <w:pPr>
              <w:tabs>
                <w:tab w:val="left" w:pos="196"/>
                <w:tab w:val="left" w:pos="426"/>
              </w:tabs>
              <w:snapToGrid w:val="0"/>
              <w:spacing w:line="360" w:lineRule="auto"/>
              <w:jc w:val="center"/>
            </w:pPr>
            <w:r>
              <w:t>合计</w:t>
            </w:r>
          </w:p>
        </w:tc>
        <w:tc>
          <w:tcPr>
            <w:tcW w:w="906" w:type="pct"/>
            <w:vAlign w:val="center"/>
          </w:tcPr>
          <w:p w14:paraId="296D22AD">
            <w:pPr>
              <w:tabs>
                <w:tab w:val="left" w:pos="196"/>
                <w:tab w:val="left" w:pos="426"/>
              </w:tabs>
              <w:snapToGrid w:val="0"/>
              <w:spacing w:line="360" w:lineRule="auto"/>
              <w:jc w:val="right"/>
            </w:pPr>
            <w:r>
              <w:t>56,034,028.88</w:t>
            </w:r>
          </w:p>
        </w:tc>
        <w:tc>
          <w:tcPr>
            <w:tcW w:w="778" w:type="pct"/>
            <w:vAlign w:val="center"/>
          </w:tcPr>
          <w:p w14:paraId="5AD80E1A">
            <w:pPr>
              <w:tabs>
                <w:tab w:val="left" w:pos="196"/>
                <w:tab w:val="left" w:pos="426"/>
              </w:tabs>
              <w:snapToGrid w:val="0"/>
              <w:spacing w:line="360" w:lineRule="auto"/>
              <w:jc w:val="right"/>
            </w:pPr>
            <w:r>
              <w:t>-</w:t>
            </w:r>
          </w:p>
        </w:tc>
        <w:tc>
          <w:tcPr>
            <w:tcW w:w="1098" w:type="pct"/>
            <w:vAlign w:val="center"/>
          </w:tcPr>
          <w:p w14:paraId="2DA1F1AF">
            <w:pPr>
              <w:tabs>
                <w:tab w:val="left" w:pos="196"/>
                <w:tab w:val="left" w:pos="426"/>
              </w:tabs>
              <w:snapToGrid w:val="0"/>
              <w:spacing w:line="360" w:lineRule="auto"/>
              <w:jc w:val="right"/>
            </w:pPr>
            <w:r>
              <w:t>-</w:t>
            </w:r>
          </w:p>
        </w:tc>
        <w:tc>
          <w:tcPr>
            <w:tcW w:w="1209" w:type="pct"/>
            <w:vAlign w:val="center"/>
          </w:tcPr>
          <w:p w14:paraId="38C1922D">
            <w:pPr>
              <w:tabs>
                <w:tab w:val="left" w:pos="196"/>
                <w:tab w:val="left" w:pos="426"/>
              </w:tabs>
              <w:snapToGrid w:val="0"/>
              <w:spacing w:line="360" w:lineRule="auto"/>
              <w:jc w:val="right"/>
            </w:pPr>
            <w:r>
              <w:t>56,034,028.88</w:t>
            </w:r>
          </w:p>
        </w:tc>
      </w:tr>
    </w:tbl>
    <w:p w14:paraId="24D5F300">
      <w:pPr>
        <w:spacing w:line="360" w:lineRule="auto"/>
        <w:outlineLvl w:val="3"/>
        <w:rPr>
          <w:b/>
        </w:rPr>
      </w:pPr>
      <w:r>
        <w:rPr>
          <w:b/>
          <w:kern w:val="0"/>
        </w:rPr>
        <w:t>9.5.6.5.3</w:t>
      </w:r>
      <w:r>
        <w:rPr>
          <w:b/>
        </w:rPr>
        <w:t xml:space="preserve"> 商誉减值测试过程、关键参数及商誉减值损失的确认方法 </w:t>
      </w:r>
    </w:p>
    <w:p w14:paraId="020F45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rPr>
      </w:pPr>
      <w:r>
        <w:t>本集团在进行减值测试时，经比较项目公司的公允价值减去处置费用后的净额和预计未来现金流量的现值，采用公允价值减去处置费用后的净额确认可回收金额，累计计提减值准备56,034,028.88元，本期未计提减值。确认可回收金额的关键参数为市场同类资产交易价格。</w:t>
      </w:r>
    </w:p>
    <w:p w14:paraId="680DAF4D">
      <w:pPr>
        <w:spacing w:line="360" w:lineRule="auto"/>
        <w:outlineLvl w:val="3"/>
        <w:rPr>
          <w:b/>
        </w:rPr>
      </w:pPr>
      <w:r>
        <w:rPr>
          <w:b/>
          <w:kern w:val="0"/>
        </w:rPr>
        <w:t>9.5.6.6</w:t>
      </w:r>
      <w:r>
        <w:rPr>
          <w:b/>
        </w:rPr>
        <w:t xml:space="preserve">  递延所得税资产和递延所得税负债 </w:t>
      </w:r>
    </w:p>
    <w:p w14:paraId="700AFC81">
      <w:pPr>
        <w:spacing w:line="360" w:lineRule="auto"/>
        <w:outlineLvl w:val="3"/>
        <w:rPr>
          <w:b/>
        </w:rPr>
      </w:pPr>
      <w:r>
        <w:rPr>
          <w:b/>
          <w:kern w:val="0"/>
        </w:rPr>
        <w:t>9.5.6.6.1</w:t>
      </w:r>
      <w:r>
        <w:rPr>
          <w:b/>
        </w:rPr>
        <w:t xml:space="preserve"> 未经抵销的递延所得税资产 </w:t>
      </w:r>
    </w:p>
    <w:p w14:paraId="7085D167">
      <w:pPr>
        <w:spacing w:line="360" w:lineRule="auto"/>
        <w:ind w:right="-50" w:rightChars="-24"/>
        <w:jc w:val="right"/>
        <w:rPr>
          <w:b/>
        </w:rPr>
      </w:pPr>
      <w:r>
        <w:t>单位：人民币元</w:t>
      </w:r>
    </w:p>
    <w:tbl>
      <w:tblPr>
        <w:tblStyle w:val="40"/>
        <w:tblW w:w="53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03"/>
        <w:gridCol w:w="3455"/>
        <w:gridCol w:w="3401"/>
      </w:tblGrid>
      <w:tr w14:paraId="0515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blHeader/>
        </w:trPr>
        <w:tc>
          <w:tcPr>
            <w:tcW w:w="1174" w:type="pct"/>
            <w:vMerge w:val="restart"/>
            <w:vAlign w:val="center"/>
          </w:tcPr>
          <w:p w14:paraId="58BF5607">
            <w:pPr>
              <w:pStyle w:val="121"/>
              <w:widowControl w:val="0"/>
              <w:tabs>
                <w:tab w:val="left" w:pos="196"/>
                <w:tab w:val="left" w:pos="426"/>
              </w:tabs>
              <w:spacing w:line="360" w:lineRule="auto"/>
              <w:ind w:left="0" w:leftChars="0"/>
              <w:jc w:val="center"/>
              <w:rPr>
                <w:rFonts w:ascii="Times New Roman" w:hAnsi="Times New Roman"/>
                <w:kern w:val="0"/>
              </w:rPr>
            </w:pPr>
            <w:r>
              <w:rPr>
                <w:rFonts w:ascii="Times New Roman" w:hAnsi="Times New Roman"/>
                <w:kern w:val="0"/>
              </w:rPr>
              <w:t>项目</w:t>
            </w:r>
          </w:p>
        </w:tc>
        <w:tc>
          <w:tcPr>
            <w:tcW w:w="3826" w:type="pct"/>
            <w:gridSpan w:val="2"/>
            <w:vAlign w:val="center"/>
          </w:tcPr>
          <w:p w14:paraId="5D8F267C">
            <w:pPr>
              <w:spacing w:line="360" w:lineRule="auto"/>
              <w:jc w:val="center"/>
            </w:pPr>
            <w:r>
              <w:t>本期末</w:t>
            </w:r>
          </w:p>
          <w:p w14:paraId="1A352D3D">
            <w:pPr>
              <w:tabs>
                <w:tab w:val="left" w:pos="196"/>
                <w:tab w:val="left" w:pos="426"/>
              </w:tabs>
              <w:snapToGrid w:val="0"/>
              <w:spacing w:line="360" w:lineRule="auto"/>
              <w:jc w:val="center"/>
              <w:rPr>
                <w:kern w:val="0"/>
              </w:rPr>
            </w:pPr>
            <w:r>
              <w:t>2026年6月30日</w:t>
            </w:r>
          </w:p>
        </w:tc>
      </w:tr>
      <w:tr w14:paraId="28B7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blHeader/>
        </w:trPr>
        <w:tc>
          <w:tcPr>
            <w:tcW w:w="1174" w:type="pct"/>
            <w:vMerge w:val="continue"/>
            <w:vAlign w:val="center"/>
          </w:tcPr>
          <w:p w14:paraId="1DA37917">
            <w:pPr>
              <w:pStyle w:val="121"/>
              <w:widowControl w:val="0"/>
              <w:tabs>
                <w:tab w:val="left" w:pos="196"/>
                <w:tab w:val="left" w:pos="426"/>
              </w:tabs>
              <w:spacing w:line="360" w:lineRule="auto"/>
              <w:ind w:left="0" w:leftChars="0"/>
              <w:jc w:val="center"/>
              <w:rPr>
                <w:rFonts w:ascii="Times New Roman" w:hAnsi="Times New Roman"/>
                <w:kern w:val="0"/>
              </w:rPr>
            </w:pPr>
          </w:p>
        </w:tc>
        <w:tc>
          <w:tcPr>
            <w:tcW w:w="1928" w:type="pct"/>
            <w:vAlign w:val="center"/>
          </w:tcPr>
          <w:p w14:paraId="2369265F">
            <w:pPr>
              <w:tabs>
                <w:tab w:val="left" w:pos="196"/>
                <w:tab w:val="left" w:pos="426"/>
              </w:tabs>
              <w:snapToGrid w:val="0"/>
              <w:spacing w:line="360" w:lineRule="auto"/>
              <w:ind w:left="-105" w:leftChars="-50" w:right="-105" w:rightChars="-50" w:firstLine="105"/>
              <w:jc w:val="center"/>
              <w:rPr>
                <w:kern w:val="0"/>
              </w:rPr>
            </w:pPr>
            <w:r>
              <w:rPr>
                <w:kern w:val="0"/>
              </w:rPr>
              <w:t>可抵扣暂时性</w:t>
            </w:r>
          </w:p>
          <w:p w14:paraId="13F1DB23">
            <w:pPr>
              <w:tabs>
                <w:tab w:val="left" w:pos="196"/>
                <w:tab w:val="left" w:pos="426"/>
              </w:tabs>
              <w:snapToGrid w:val="0"/>
              <w:spacing w:line="360" w:lineRule="auto"/>
              <w:ind w:left="-105" w:leftChars="-50" w:right="-105" w:rightChars="-50" w:firstLine="105"/>
              <w:jc w:val="center"/>
              <w:rPr>
                <w:kern w:val="0"/>
              </w:rPr>
            </w:pPr>
            <w:r>
              <w:rPr>
                <w:kern w:val="0"/>
              </w:rPr>
              <w:t>差异</w:t>
            </w:r>
          </w:p>
        </w:tc>
        <w:tc>
          <w:tcPr>
            <w:tcW w:w="1899" w:type="pct"/>
            <w:vAlign w:val="center"/>
          </w:tcPr>
          <w:p w14:paraId="4B2D580E">
            <w:pPr>
              <w:tabs>
                <w:tab w:val="left" w:pos="196"/>
                <w:tab w:val="left" w:pos="426"/>
              </w:tabs>
              <w:snapToGrid w:val="0"/>
              <w:spacing w:line="360" w:lineRule="auto"/>
              <w:ind w:left="-105" w:leftChars="-50" w:right="-105" w:rightChars="-50" w:firstLine="105"/>
              <w:jc w:val="center"/>
              <w:rPr>
                <w:kern w:val="0"/>
              </w:rPr>
            </w:pPr>
            <w:r>
              <w:rPr>
                <w:kern w:val="0"/>
              </w:rPr>
              <w:t>递延所得税</w:t>
            </w:r>
          </w:p>
          <w:p w14:paraId="5FC52209">
            <w:pPr>
              <w:tabs>
                <w:tab w:val="left" w:pos="196"/>
                <w:tab w:val="left" w:pos="426"/>
              </w:tabs>
              <w:snapToGrid w:val="0"/>
              <w:spacing w:line="360" w:lineRule="auto"/>
              <w:ind w:left="-105" w:leftChars="-50" w:right="-105" w:rightChars="-50" w:firstLine="105"/>
              <w:jc w:val="center"/>
              <w:rPr>
                <w:kern w:val="0"/>
              </w:rPr>
            </w:pPr>
            <w:r>
              <w:rPr>
                <w:kern w:val="0"/>
              </w:rPr>
              <w:t>资产</w:t>
            </w:r>
          </w:p>
        </w:tc>
      </w:tr>
      <w:tr w14:paraId="27A0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174" w:type="pct"/>
            <w:vAlign w:val="center"/>
          </w:tcPr>
          <w:p w14:paraId="267EE7E5">
            <w:pPr>
              <w:snapToGrid w:val="0"/>
              <w:spacing w:line="360" w:lineRule="auto"/>
            </w:pPr>
            <w:r>
              <w:t>资产减值准备</w:t>
            </w:r>
          </w:p>
        </w:tc>
        <w:tc>
          <w:tcPr>
            <w:tcW w:w="1928" w:type="pct"/>
            <w:vAlign w:val="center"/>
          </w:tcPr>
          <w:p w14:paraId="6D930625">
            <w:pPr>
              <w:tabs>
                <w:tab w:val="left" w:pos="196"/>
                <w:tab w:val="left" w:pos="426"/>
              </w:tabs>
              <w:snapToGrid w:val="0"/>
              <w:spacing w:line="360" w:lineRule="auto"/>
              <w:ind w:right="210" w:rightChars="100"/>
              <w:jc w:val="right"/>
              <w:rPr>
                <w:kern w:val="0"/>
              </w:rPr>
            </w:pPr>
            <w:r>
              <w:t>-</w:t>
            </w:r>
          </w:p>
        </w:tc>
        <w:tc>
          <w:tcPr>
            <w:tcW w:w="1899" w:type="pct"/>
            <w:vAlign w:val="center"/>
          </w:tcPr>
          <w:p w14:paraId="30AE3E83">
            <w:pPr>
              <w:tabs>
                <w:tab w:val="left" w:pos="196"/>
                <w:tab w:val="left" w:pos="426"/>
              </w:tabs>
              <w:snapToGrid w:val="0"/>
              <w:spacing w:line="360" w:lineRule="auto"/>
              <w:ind w:right="210" w:rightChars="100"/>
              <w:jc w:val="right"/>
              <w:rPr>
                <w:kern w:val="0"/>
              </w:rPr>
            </w:pPr>
            <w:r>
              <w:t>-</w:t>
            </w:r>
          </w:p>
        </w:tc>
      </w:tr>
      <w:tr w14:paraId="72D7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174" w:type="pct"/>
            <w:vAlign w:val="center"/>
          </w:tcPr>
          <w:p w14:paraId="660E72A6">
            <w:pPr>
              <w:snapToGrid w:val="0"/>
              <w:spacing w:line="360" w:lineRule="auto"/>
            </w:pPr>
            <w:r>
              <w:t>内部交易未实现利润</w:t>
            </w:r>
          </w:p>
        </w:tc>
        <w:tc>
          <w:tcPr>
            <w:tcW w:w="1928" w:type="pct"/>
            <w:vAlign w:val="center"/>
          </w:tcPr>
          <w:p w14:paraId="53513D05">
            <w:pPr>
              <w:tabs>
                <w:tab w:val="left" w:pos="196"/>
                <w:tab w:val="left" w:pos="426"/>
              </w:tabs>
              <w:snapToGrid w:val="0"/>
              <w:spacing w:line="360" w:lineRule="auto"/>
              <w:ind w:right="210" w:rightChars="100"/>
              <w:jc w:val="right"/>
              <w:rPr>
                <w:kern w:val="0"/>
              </w:rPr>
            </w:pPr>
            <w:r>
              <w:t>-</w:t>
            </w:r>
          </w:p>
        </w:tc>
        <w:tc>
          <w:tcPr>
            <w:tcW w:w="1899" w:type="pct"/>
            <w:vAlign w:val="center"/>
          </w:tcPr>
          <w:p w14:paraId="2876DBB8">
            <w:pPr>
              <w:tabs>
                <w:tab w:val="left" w:pos="196"/>
                <w:tab w:val="left" w:pos="426"/>
              </w:tabs>
              <w:snapToGrid w:val="0"/>
              <w:spacing w:line="360" w:lineRule="auto"/>
              <w:ind w:right="210" w:rightChars="100"/>
              <w:jc w:val="right"/>
              <w:rPr>
                <w:kern w:val="0"/>
              </w:rPr>
            </w:pPr>
            <w:r>
              <w:t>-</w:t>
            </w:r>
          </w:p>
        </w:tc>
      </w:tr>
      <w:tr w14:paraId="52B17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vAlign w:val="center"/>
          </w:tcPr>
          <w:p w14:paraId="38FD8909">
            <w:pPr>
              <w:jc w:val="center"/>
            </w:pPr>
            <w:r>
              <w:t>信用减值准备</w:t>
            </w:r>
          </w:p>
        </w:tc>
        <w:tc>
          <w:tcPr>
            <w:vAlign w:val="center"/>
          </w:tcPr>
          <w:p w14:paraId="19A42C82">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2,166,096.35</w:t>
            </w:r>
          </w:p>
        </w:tc>
        <w:tc>
          <w:tcPr>
            <w:vAlign w:val="center"/>
          </w:tcPr>
          <w:p w14:paraId="6863F1D7">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541,524.08</w:t>
            </w:r>
          </w:p>
        </w:tc>
      </w:tr>
      <w:tr w14:paraId="6A49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vAlign w:val="center"/>
          </w:tcPr>
          <w:p w14:paraId="6480B34B">
            <w:pPr>
              <w:jc w:val="center"/>
            </w:pPr>
            <w:r>
              <w:t>可抵扣亏损</w:t>
            </w:r>
          </w:p>
        </w:tc>
        <w:tc>
          <w:tcPr>
            <w:vAlign w:val="center"/>
          </w:tcPr>
          <w:p w14:paraId="5D5FBA32">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17,866,309.13</w:t>
            </w:r>
          </w:p>
        </w:tc>
        <w:tc>
          <w:tcPr>
            <w:vAlign w:val="center"/>
          </w:tcPr>
          <w:p w14:paraId="48E6912B">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4,466,577.28</w:t>
            </w:r>
          </w:p>
        </w:tc>
      </w:tr>
      <w:tr w14:paraId="36B2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174" w:type="pct"/>
            <w:vAlign w:val="center"/>
          </w:tcPr>
          <w:p w14:paraId="6FF830EF">
            <w:pPr>
              <w:tabs>
                <w:tab w:val="left" w:pos="196"/>
                <w:tab w:val="left" w:pos="426"/>
              </w:tabs>
              <w:snapToGrid w:val="0"/>
              <w:spacing w:line="360" w:lineRule="auto"/>
              <w:jc w:val="center"/>
              <w:rPr>
                <w:kern w:val="0"/>
              </w:rPr>
            </w:pPr>
            <w:r>
              <w:rPr>
                <w:kern w:val="0"/>
              </w:rPr>
              <w:t>合计</w:t>
            </w:r>
          </w:p>
        </w:tc>
        <w:tc>
          <w:tcPr>
            <w:tcW w:w="1928" w:type="pct"/>
            <w:vAlign w:val="center"/>
          </w:tcPr>
          <w:p w14:paraId="1F7A2F59">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20,032,405.48</w:t>
            </w:r>
          </w:p>
        </w:tc>
        <w:tc>
          <w:tcPr>
            <w:tcW w:w="1899" w:type="pct"/>
            <w:vAlign w:val="center"/>
          </w:tcPr>
          <w:p w14:paraId="470F72C6">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5,008,101.36</w:t>
            </w:r>
          </w:p>
        </w:tc>
      </w:tr>
    </w:tbl>
    <w:p w14:paraId="142A0249">
      <w:pPr>
        <w:spacing w:line="360" w:lineRule="auto"/>
        <w:outlineLvl w:val="3"/>
        <w:rPr>
          <w:b/>
        </w:rPr>
      </w:pPr>
      <w:r>
        <w:rPr>
          <w:b/>
          <w:kern w:val="0"/>
        </w:rPr>
        <w:t>9.5.6.6.2</w:t>
      </w:r>
      <w:r>
        <w:rPr>
          <w:b/>
        </w:rPr>
        <w:t xml:space="preserve"> 未经抵销的递延所得税负债 </w:t>
      </w:r>
    </w:p>
    <w:p w14:paraId="2AA66677">
      <w:pPr>
        <w:spacing w:line="360" w:lineRule="auto"/>
        <w:ind w:right="-50" w:rightChars="-24"/>
        <w:jc w:val="right"/>
        <w:rPr>
          <w:b/>
        </w:rPr>
      </w:pPr>
      <w:r>
        <w:t>单位：人民币元</w:t>
      </w:r>
    </w:p>
    <w:tbl>
      <w:tblPr>
        <w:tblStyle w:val="40"/>
        <w:tblW w:w="53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352"/>
        <w:gridCol w:w="3206"/>
        <w:gridCol w:w="3401"/>
      </w:tblGrid>
      <w:tr w14:paraId="4E5B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blHeader/>
        </w:trPr>
        <w:tc>
          <w:tcPr>
            <w:tcW w:w="1313" w:type="pct"/>
            <w:vMerge w:val="restart"/>
            <w:vAlign w:val="center"/>
          </w:tcPr>
          <w:p w14:paraId="4CB5A2B2">
            <w:pPr>
              <w:pStyle w:val="121"/>
              <w:widowControl w:val="0"/>
              <w:tabs>
                <w:tab w:val="left" w:pos="196"/>
                <w:tab w:val="left" w:pos="426"/>
              </w:tabs>
              <w:spacing w:line="360" w:lineRule="auto"/>
              <w:jc w:val="center"/>
              <w:rPr>
                <w:rFonts w:ascii="Times New Roman" w:hAnsi="Times New Roman"/>
                <w:kern w:val="0"/>
              </w:rPr>
            </w:pPr>
            <w:r>
              <w:rPr>
                <w:rFonts w:ascii="Times New Roman" w:hAnsi="Times New Roman"/>
                <w:kern w:val="0"/>
              </w:rPr>
              <w:t>项目</w:t>
            </w:r>
          </w:p>
        </w:tc>
        <w:tc>
          <w:tcPr>
            <w:tcW w:w="3687" w:type="pct"/>
            <w:gridSpan w:val="2"/>
            <w:vAlign w:val="center"/>
          </w:tcPr>
          <w:p w14:paraId="2790E544">
            <w:pPr>
              <w:spacing w:line="360" w:lineRule="auto"/>
              <w:jc w:val="center"/>
            </w:pPr>
            <w:r>
              <w:t>本期末</w:t>
            </w:r>
          </w:p>
          <w:p w14:paraId="1DE0A661">
            <w:pPr>
              <w:tabs>
                <w:tab w:val="left" w:pos="196"/>
                <w:tab w:val="left" w:pos="426"/>
              </w:tabs>
              <w:snapToGrid w:val="0"/>
              <w:spacing w:line="360" w:lineRule="auto"/>
              <w:jc w:val="center"/>
              <w:rPr>
                <w:kern w:val="0"/>
              </w:rPr>
            </w:pPr>
            <w:r>
              <w:t>2026年6月30日</w:t>
            </w:r>
          </w:p>
        </w:tc>
      </w:tr>
      <w:tr w14:paraId="1F7C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blHeader/>
        </w:trPr>
        <w:tc>
          <w:tcPr>
            <w:tcW w:w="1313" w:type="pct"/>
            <w:vMerge w:val="continue"/>
            <w:vAlign w:val="center"/>
          </w:tcPr>
          <w:p w14:paraId="2C4F38D7">
            <w:pPr>
              <w:pStyle w:val="121"/>
              <w:widowControl w:val="0"/>
              <w:tabs>
                <w:tab w:val="left" w:pos="196"/>
                <w:tab w:val="left" w:pos="426"/>
              </w:tabs>
              <w:spacing w:line="360" w:lineRule="auto"/>
              <w:ind w:left="0" w:leftChars="0"/>
              <w:jc w:val="center"/>
              <w:rPr>
                <w:rFonts w:ascii="Times New Roman" w:hAnsi="Times New Roman"/>
                <w:kern w:val="0"/>
              </w:rPr>
            </w:pPr>
          </w:p>
        </w:tc>
        <w:tc>
          <w:tcPr>
            <w:tcW w:w="1789" w:type="pct"/>
            <w:vAlign w:val="center"/>
          </w:tcPr>
          <w:p w14:paraId="76445051">
            <w:pPr>
              <w:tabs>
                <w:tab w:val="left" w:pos="196"/>
                <w:tab w:val="left" w:pos="426"/>
              </w:tabs>
              <w:snapToGrid w:val="0"/>
              <w:spacing w:line="360" w:lineRule="auto"/>
              <w:ind w:left="-105" w:leftChars="-50" w:right="-105" w:rightChars="-50"/>
              <w:jc w:val="center"/>
              <w:rPr>
                <w:kern w:val="0"/>
              </w:rPr>
            </w:pPr>
            <w:r>
              <w:rPr>
                <w:kern w:val="0"/>
              </w:rPr>
              <w:t>应纳税暂时性</w:t>
            </w:r>
          </w:p>
          <w:p w14:paraId="35CA26D1">
            <w:pPr>
              <w:tabs>
                <w:tab w:val="left" w:pos="196"/>
                <w:tab w:val="left" w:pos="426"/>
              </w:tabs>
              <w:snapToGrid w:val="0"/>
              <w:spacing w:line="360" w:lineRule="auto"/>
              <w:ind w:left="-105" w:leftChars="-50" w:right="-105" w:rightChars="-50"/>
              <w:jc w:val="center"/>
              <w:rPr>
                <w:kern w:val="0"/>
              </w:rPr>
            </w:pPr>
            <w:r>
              <w:rPr>
                <w:kern w:val="0"/>
              </w:rPr>
              <w:t>差异</w:t>
            </w:r>
          </w:p>
        </w:tc>
        <w:tc>
          <w:tcPr>
            <w:tcW w:w="1899" w:type="pct"/>
            <w:vAlign w:val="center"/>
          </w:tcPr>
          <w:p w14:paraId="2C9E140B">
            <w:pPr>
              <w:tabs>
                <w:tab w:val="left" w:pos="196"/>
                <w:tab w:val="left" w:pos="426"/>
              </w:tabs>
              <w:snapToGrid w:val="0"/>
              <w:spacing w:line="360" w:lineRule="auto"/>
              <w:ind w:left="-105" w:leftChars="-50" w:right="-105" w:rightChars="-50"/>
              <w:jc w:val="center"/>
              <w:rPr>
                <w:kern w:val="0"/>
              </w:rPr>
            </w:pPr>
            <w:r>
              <w:rPr>
                <w:kern w:val="0"/>
              </w:rPr>
              <w:t>递延所得税</w:t>
            </w:r>
          </w:p>
          <w:p w14:paraId="1E4D888F">
            <w:pPr>
              <w:tabs>
                <w:tab w:val="left" w:pos="196"/>
                <w:tab w:val="left" w:pos="426"/>
              </w:tabs>
              <w:snapToGrid w:val="0"/>
              <w:spacing w:line="360" w:lineRule="auto"/>
              <w:ind w:left="-105" w:leftChars="-50" w:right="-105" w:rightChars="-50"/>
              <w:jc w:val="center"/>
              <w:rPr>
                <w:kern w:val="0"/>
              </w:rPr>
            </w:pPr>
            <w:r>
              <w:rPr>
                <w:kern w:val="0"/>
              </w:rPr>
              <w:t>负债</w:t>
            </w:r>
          </w:p>
        </w:tc>
      </w:tr>
      <w:tr w14:paraId="44B6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313" w:type="pct"/>
            <w:vAlign w:val="center"/>
          </w:tcPr>
          <w:p w14:paraId="09B09541">
            <w:pPr>
              <w:tabs>
                <w:tab w:val="left" w:pos="196"/>
                <w:tab w:val="left" w:pos="426"/>
              </w:tabs>
              <w:snapToGrid w:val="0"/>
              <w:spacing w:line="360" w:lineRule="auto"/>
              <w:rPr>
                <w:kern w:val="0"/>
              </w:rPr>
            </w:pPr>
            <w:r>
              <w:rPr>
                <w:kern w:val="0"/>
              </w:rPr>
              <w:t>非同一控制企业合并资产评估增值</w:t>
            </w:r>
          </w:p>
        </w:tc>
        <w:tc>
          <w:tcPr>
            <w:tcW w:w="1789" w:type="pct"/>
            <w:vAlign w:val="center"/>
          </w:tcPr>
          <w:p w14:paraId="565A8CFE">
            <w:pPr>
              <w:tabs>
                <w:tab w:val="left" w:pos="196"/>
                <w:tab w:val="left" w:pos="426"/>
              </w:tabs>
              <w:snapToGrid w:val="0"/>
              <w:spacing w:line="360" w:lineRule="auto"/>
              <w:ind w:right="210" w:rightChars="100"/>
              <w:jc w:val="right"/>
              <w:rPr>
                <w:kern w:val="0"/>
              </w:rPr>
            </w:pPr>
            <w:r>
              <w:t>-</w:t>
            </w:r>
          </w:p>
        </w:tc>
        <w:tc>
          <w:tcPr>
            <w:tcW w:w="1899" w:type="pct"/>
            <w:vAlign w:val="center"/>
          </w:tcPr>
          <w:p w14:paraId="64C3C056">
            <w:pPr>
              <w:tabs>
                <w:tab w:val="left" w:pos="196"/>
                <w:tab w:val="left" w:pos="426"/>
              </w:tabs>
              <w:snapToGrid w:val="0"/>
              <w:spacing w:line="360" w:lineRule="auto"/>
              <w:ind w:right="210" w:rightChars="100"/>
              <w:jc w:val="right"/>
              <w:rPr>
                <w:kern w:val="0"/>
              </w:rPr>
            </w:pPr>
            <w:r>
              <w:t>-</w:t>
            </w:r>
          </w:p>
        </w:tc>
      </w:tr>
      <w:tr w14:paraId="5089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313" w:type="pct"/>
            <w:vAlign w:val="center"/>
          </w:tcPr>
          <w:p w14:paraId="283CBC8D">
            <w:pPr>
              <w:tabs>
                <w:tab w:val="left" w:pos="196"/>
                <w:tab w:val="left" w:pos="426"/>
              </w:tabs>
              <w:snapToGrid w:val="0"/>
              <w:spacing w:line="360" w:lineRule="auto"/>
              <w:rPr>
                <w:kern w:val="0"/>
              </w:rPr>
            </w:pPr>
            <w:r>
              <w:rPr>
                <w:kern w:val="0"/>
              </w:rPr>
              <w:t>公允价值变动</w:t>
            </w:r>
          </w:p>
        </w:tc>
        <w:tc>
          <w:tcPr>
            <w:tcW w:w="1789" w:type="pct"/>
            <w:vAlign w:val="center"/>
          </w:tcPr>
          <w:p w14:paraId="3D1A4231">
            <w:pPr>
              <w:tabs>
                <w:tab w:val="left" w:pos="196"/>
                <w:tab w:val="left" w:pos="426"/>
              </w:tabs>
              <w:snapToGrid w:val="0"/>
              <w:spacing w:line="360" w:lineRule="auto"/>
              <w:ind w:right="210" w:rightChars="100"/>
              <w:jc w:val="right"/>
              <w:rPr>
                <w:kern w:val="0"/>
              </w:rPr>
            </w:pPr>
            <w:r>
              <w:t>-</w:t>
            </w:r>
          </w:p>
        </w:tc>
        <w:tc>
          <w:tcPr>
            <w:tcW w:w="1899" w:type="pct"/>
            <w:vAlign w:val="center"/>
          </w:tcPr>
          <w:p w14:paraId="0B04C1BD">
            <w:pPr>
              <w:tabs>
                <w:tab w:val="left" w:pos="196"/>
                <w:tab w:val="left" w:pos="426"/>
              </w:tabs>
              <w:snapToGrid w:val="0"/>
              <w:spacing w:line="360" w:lineRule="auto"/>
              <w:ind w:right="210" w:rightChars="100"/>
              <w:jc w:val="right"/>
              <w:rPr>
                <w:kern w:val="0"/>
              </w:rPr>
            </w:pPr>
            <w:r>
              <w:t>-</w:t>
            </w:r>
          </w:p>
        </w:tc>
      </w:tr>
      <w:tr w14:paraId="5FD9B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vAlign w:val="center"/>
          </w:tcPr>
          <w:p w14:paraId="3BDDD918">
            <w:pPr>
              <w:jc w:val="center"/>
            </w:pPr>
            <w:r>
              <w:t>收入按照直线法核算</w:t>
            </w:r>
          </w:p>
        </w:tc>
        <w:tc>
          <w:tcPr>
            <w:vAlign w:val="center"/>
          </w:tcPr>
          <w:p w14:paraId="7B522DDE">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7,117,875.17</w:t>
            </w:r>
          </w:p>
        </w:tc>
        <w:tc>
          <w:tcPr>
            <w:vAlign w:val="center"/>
          </w:tcPr>
          <w:p w14:paraId="07ABEECE">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1,779,468.79</w:t>
            </w:r>
          </w:p>
        </w:tc>
      </w:tr>
      <w:tr w14:paraId="1E91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vAlign w:val="center"/>
          </w:tcPr>
          <w:p w14:paraId="25832CAD">
            <w:pPr>
              <w:jc w:val="center"/>
            </w:pPr>
            <w:r>
              <w:t>投资性房地产账面价值与计税基础的差异</w:t>
            </w:r>
          </w:p>
        </w:tc>
        <w:tc>
          <w:tcPr>
            <w:vAlign w:val="center"/>
          </w:tcPr>
          <w:p w14:paraId="506E6742">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498,585,883.95</w:t>
            </w:r>
          </w:p>
        </w:tc>
        <w:tc>
          <w:tcPr>
            <w:vAlign w:val="center"/>
          </w:tcPr>
          <w:p w14:paraId="39150848">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124,646,470.95</w:t>
            </w:r>
          </w:p>
        </w:tc>
      </w:tr>
      <w:tr w14:paraId="05153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313" w:type="pct"/>
            <w:vAlign w:val="center"/>
          </w:tcPr>
          <w:p w14:paraId="6D059C96">
            <w:pPr>
              <w:tabs>
                <w:tab w:val="left" w:pos="196"/>
                <w:tab w:val="left" w:pos="426"/>
              </w:tabs>
              <w:snapToGrid w:val="0"/>
              <w:spacing w:line="360" w:lineRule="auto"/>
              <w:jc w:val="center"/>
              <w:rPr>
                <w:kern w:val="0"/>
              </w:rPr>
            </w:pPr>
            <w:r>
              <w:rPr>
                <w:kern w:val="0"/>
              </w:rPr>
              <w:t>合计</w:t>
            </w:r>
          </w:p>
        </w:tc>
        <w:tc>
          <w:tcPr>
            <w:tcW w:w="1789" w:type="pct"/>
            <w:vAlign w:val="center"/>
          </w:tcPr>
          <w:p w14:paraId="0B551E02">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505,703,759.12</w:t>
            </w:r>
          </w:p>
        </w:tc>
        <w:tc>
          <w:tcPr>
            <w:tcW w:w="1899" w:type="pct"/>
            <w:vAlign w:val="center"/>
          </w:tcPr>
          <w:p w14:paraId="417A1F72">
            <w:pPr>
              <w:tabs>
                <w:tab w:val="left" w:pos="196"/>
                <w:tab w:val="left" w:pos="426"/>
              </w:tabs>
              <w:snapToGrid w:val="0"/>
              <w:spacing w:line="360" w:lineRule="auto"/>
              <w:ind w:right="210" w:rightChars="100"/>
              <w:jc w:val="right"/>
              <w:rPr>
                <w:rFonts w:ascii="Times New Roman" w:hAnsi="Times New Roman" w:eastAsia="宋体" w:cs="Times New Roman"/>
              </w:rPr>
            </w:pPr>
            <w:r>
              <w:rPr>
                <w:rFonts w:ascii="Times New Roman" w:hAnsi="Times New Roman" w:eastAsia="宋体" w:cs="Times New Roman"/>
              </w:rPr>
              <w:t>126,425,939.74</w:t>
            </w:r>
          </w:p>
        </w:tc>
      </w:tr>
    </w:tbl>
    <w:p w14:paraId="6523FD48">
      <w:pPr>
        <w:spacing w:line="360" w:lineRule="auto"/>
        <w:outlineLvl w:val="3"/>
        <w:rPr>
          <w:b/>
        </w:rPr>
      </w:pPr>
      <w:r>
        <w:rPr>
          <w:b/>
          <w:kern w:val="0"/>
        </w:rPr>
        <w:t>9.5.6.6.3</w:t>
      </w:r>
      <w:r>
        <w:rPr>
          <w:b/>
        </w:rPr>
        <w:t xml:space="preserve"> 以抵销后净额列示的递延所得税资产或负债 </w:t>
      </w:r>
    </w:p>
    <w:p w14:paraId="30B8AE1D">
      <w:pPr>
        <w:spacing w:line="360" w:lineRule="auto"/>
        <w:ind w:right="-50" w:rightChars="-24"/>
        <w:jc w:val="right"/>
        <w:rPr>
          <w:b/>
        </w:rPr>
      </w:pPr>
      <w:r>
        <w:t>单位：人民币元</w:t>
      </w:r>
    </w:p>
    <w:tbl>
      <w:tblPr>
        <w:tblStyle w:val="40"/>
        <w:tblW w:w="53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91"/>
        <w:gridCol w:w="1792"/>
        <w:gridCol w:w="1792"/>
        <w:gridCol w:w="1792"/>
        <w:gridCol w:w="1792"/>
      </w:tblGrid>
      <w:tr w14:paraId="56B6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blHeader/>
        </w:trPr>
        <w:tc>
          <w:tcPr>
            <w:tcW w:w="1000" w:type="pct"/>
            <w:vAlign w:val="center"/>
          </w:tcPr>
          <w:p w14:paraId="37FC6B26">
            <w:pPr>
              <w:tabs>
                <w:tab w:val="left" w:pos="196"/>
                <w:tab w:val="left" w:pos="426"/>
              </w:tabs>
              <w:snapToGrid w:val="0"/>
              <w:spacing w:line="360" w:lineRule="auto"/>
              <w:jc w:val="center"/>
              <w:rPr>
                <w:kern w:val="0"/>
              </w:rPr>
            </w:pPr>
            <w:r>
              <w:rPr>
                <w:kern w:val="0"/>
              </w:rPr>
              <w:t>项目</w:t>
            </w:r>
          </w:p>
        </w:tc>
        <w:tc>
          <w:tcPr>
            <w:tcW w:w="1000" w:type="pct"/>
            <w:vAlign w:val="center"/>
          </w:tcPr>
          <w:p w14:paraId="69A757C2">
            <w:pPr>
              <w:tabs>
                <w:tab w:val="left" w:pos="196"/>
                <w:tab w:val="left" w:pos="426"/>
              </w:tabs>
              <w:snapToGrid w:val="0"/>
              <w:spacing w:line="360" w:lineRule="auto"/>
              <w:jc w:val="center"/>
            </w:pPr>
            <w:r>
              <w:t>递延所得税资产和负债期末互抵金额</w:t>
            </w:r>
          </w:p>
        </w:tc>
        <w:tc>
          <w:tcPr>
            <w:tcW w:w="1000" w:type="pct"/>
            <w:vAlign w:val="center"/>
          </w:tcPr>
          <w:p w14:paraId="53DEAE34">
            <w:pPr>
              <w:tabs>
                <w:tab w:val="left" w:pos="196"/>
                <w:tab w:val="left" w:pos="426"/>
              </w:tabs>
              <w:snapToGrid w:val="0"/>
              <w:spacing w:line="360" w:lineRule="auto"/>
              <w:ind w:left="-53" w:leftChars="-25" w:right="-53" w:rightChars="-25"/>
              <w:jc w:val="center"/>
            </w:pPr>
            <w:r>
              <w:t>抵销后递延所得税资产或负债期末余额</w:t>
            </w:r>
          </w:p>
        </w:tc>
        <w:tc>
          <w:tcPr>
            <w:tcW w:w="1000" w:type="pct"/>
            <w:vAlign w:val="center"/>
          </w:tcPr>
          <w:p w14:paraId="20CDDCFB">
            <w:pPr>
              <w:tabs>
                <w:tab w:val="left" w:pos="196"/>
                <w:tab w:val="left" w:pos="426"/>
              </w:tabs>
              <w:snapToGrid w:val="0"/>
              <w:spacing w:line="360" w:lineRule="auto"/>
              <w:jc w:val="center"/>
            </w:pPr>
            <w:r>
              <w:t>递延所得税资产和负债期初互抵金额</w:t>
            </w:r>
          </w:p>
        </w:tc>
        <w:tc>
          <w:tcPr>
            <w:tcW w:w="1000" w:type="pct"/>
            <w:vAlign w:val="center"/>
          </w:tcPr>
          <w:p w14:paraId="14A345BB">
            <w:pPr>
              <w:tabs>
                <w:tab w:val="left" w:pos="196"/>
                <w:tab w:val="left" w:pos="426"/>
              </w:tabs>
              <w:snapToGrid w:val="0"/>
              <w:spacing w:line="360" w:lineRule="auto"/>
              <w:ind w:left="-53" w:leftChars="-25" w:right="-53" w:rightChars="-25"/>
              <w:jc w:val="center"/>
            </w:pPr>
            <w:r>
              <w:t>抵销后递延所得税资产或负债期初余额</w:t>
            </w:r>
          </w:p>
        </w:tc>
      </w:tr>
      <w:tr w14:paraId="4AF5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000" w:type="pct"/>
            <w:vAlign w:val="center"/>
          </w:tcPr>
          <w:p w14:paraId="3C26FF56">
            <w:pPr>
              <w:tabs>
                <w:tab w:val="left" w:pos="196"/>
                <w:tab w:val="left" w:pos="426"/>
              </w:tabs>
              <w:snapToGrid w:val="0"/>
              <w:spacing w:line="360" w:lineRule="auto"/>
              <w:rPr>
                <w:bCs/>
                <w:kern w:val="0"/>
              </w:rPr>
            </w:pPr>
            <w:r>
              <w:rPr>
                <w:bCs/>
                <w:kern w:val="0"/>
              </w:rPr>
              <w:t>递延所得税资产</w:t>
            </w:r>
          </w:p>
        </w:tc>
        <w:tc>
          <w:tcPr>
            <w:tcW w:w="1000" w:type="pct"/>
          </w:tcPr>
          <w:p w14:paraId="3F1E5B70">
            <w:pPr>
              <w:tabs>
                <w:tab w:val="left" w:pos="196"/>
                <w:tab w:val="left" w:pos="426"/>
              </w:tabs>
              <w:snapToGrid w:val="0"/>
              <w:spacing w:line="360" w:lineRule="auto"/>
              <w:jc w:val="right"/>
              <w:rPr>
                <w:b/>
                <w:bCs/>
                <w:kern w:val="0"/>
              </w:rPr>
            </w:pPr>
            <w:r>
              <w:t>5,008,101.36</w:t>
            </w:r>
          </w:p>
        </w:tc>
        <w:tc>
          <w:tcPr>
            <w:tcW w:w="1000" w:type="pct"/>
          </w:tcPr>
          <w:p w14:paraId="0AA69F53">
            <w:pPr>
              <w:tabs>
                <w:tab w:val="left" w:pos="196"/>
                <w:tab w:val="left" w:pos="426"/>
              </w:tabs>
              <w:snapToGrid w:val="0"/>
              <w:spacing w:line="360" w:lineRule="auto"/>
              <w:jc w:val="right"/>
              <w:rPr>
                <w:b/>
                <w:bCs/>
                <w:kern w:val="0"/>
              </w:rPr>
            </w:pPr>
            <w:r>
              <w:t>-</w:t>
            </w:r>
          </w:p>
        </w:tc>
        <w:tc>
          <w:tcPr>
            <w:tcW w:w="1000" w:type="pct"/>
          </w:tcPr>
          <w:p w14:paraId="353AD924">
            <w:pPr>
              <w:tabs>
                <w:tab w:val="left" w:pos="196"/>
                <w:tab w:val="left" w:pos="426"/>
              </w:tabs>
              <w:snapToGrid w:val="0"/>
              <w:spacing w:line="360" w:lineRule="auto"/>
              <w:jc w:val="right"/>
              <w:rPr>
                <w:b/>
                <w:bCs/>
                <w:kern w:val="0"/>
              </w:rPr>
            </w:pPr>
            <w:r>
              <w:t>5,008,101.36</w:t>
            </w:r>
          </w:p>
        </w:tc>
        <w:tc>
          <w:tcPr>
            <w:tcW w:w="1000" w:type="pct"/>
          </w:tcPr>
          <w:p w14:paraId="2DA91771">
            <w:pPr>
              <w:tabs>
                <w:tab w:val="left" w:pos="196"/>
                <w:tab w:val="left" w:pos="426"/>
              </w:tabs>
              <w:snapToGrid w:val="0"/>
              <w:spacing w:line="360" w:lineRule="auto"/>
              <w:jc w:val="right"/>
              <w:rPr>
                <w:b/>
                <w:bCs/>
                <w:kern w:val="0"/>
              </w:rPr>
            </w:pPr>
            <w:r>
              <w:t>-</w:t>
            </w:r>
          </w:p>
        </w:tc>
      </w:tr>
      <w:tr w14:paraId="2655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0" w:hRule="atLeast"/>
        </w:trPr>
        <w:tc>
          <w:tcPr>
            <w:tcW w:w="1000" w:type="pct"/>
            <w:vAlign w:val="center"/>
          </w:tcPr>
          <w:p w14:paraId="358C203F">
            <w:pPr>
              <w:tabs>
                <w:tab w:val="left" w:pos="196"/>
                <w:tab w:val="left" w:pos="426"/>
              </w:tabs>
              <w:snapToGrid w:val="0"/>
              <w:spacing w:line="360" w:lineRule="auto"/>
              <w:rPr>
                <w:kern w:val="0"/>
              </w:rPr>
            </w:pPr>
            <w:r>
              <w:rPr>
                <w:bCs/>
                <w:kern w:val="0"/>
              </w:rPr>
              <w:t>递延所得税负债</w:t>
            </w:r>
          </w:p>
        </w:tc>
        <w:tc>
          <w:tcPr>
            <w:tcW w:w="1000" w:type="pct"/>
          </w:tcPr>
          <w:p w14:paraId="5BBDF0B8">
            <w:pPr>
              <w:tabs>
                <w:tab w:val="left" w:pos="196"/>
                <w:tab w:val="left" w:pos="426"/>
              </w:tabs>
              <w:snapToGrid w:val="0"/>
              <w:spacing w:line="360" w:lineRule="auto"/>
              <w:jc w:val="right"/>
              <w:rPr>
                <w:kern w:val="0"/>
              </w:rPr>
            </w:pPr>
            <w:r>
              <w:t>-5,008,101.36</w:t>
            </w:r>
          </w:p>
        </w:tc>
        <w:tc>
          <w:tcPr>
            <w:tcW w:w="1000" w:type="pct"/>
          </w:tcPr>
          <w:p w14:paraId="20C8A8E6">
            <w:pPr>
              <w:tabs>
                <w:tab w:val="left" w:pos="196"/>
                <w:tab w:val="left" w:pos="426"/>
              </w:tabs>
              <w:snapToGrid w:val="0"/>
              <w:spacing w:line="360" w:lineRule="auto"/>
              <w:jc w:val="right"/>
              <w:rPr>
                <w:kern w:val="0"/>
              </w:rPr>
            </w:pPr>
            <w:r>
              <w:t>121,417,838.38</w:t>
            </w:r>
          </w:p>
        </w:tc>
        <w:tc>
          <w:tcPr>
            <w:tcW w:w="1000" w:type="pct"/>
          </w:tcPr>
          <w:p w14:paraId="4D04422A">
            <w:pPr>
              <w:tabs>
                <w:tab w:val="left" w:pos="196"/>
                <w:tab w:val="left" w:pos="426"/>
              </w:tabs>
              <w:snapToGrid w:val="0"/>
              <w:spacing w:line="360" w:lineRule="auto"/>
              <w:jc w:val="right"/>
              <w:rPr>
                <w:kern w:val="0"/>
              </w:rPr>
            </w:pPr>
            <w:r>
              <w:t>-5,008,101.36</w:t>
            </w:r>
          </w:p>
        </w:tc>
        <w:tc>
          <w:tcPr>
            <w:tcW w:w="1000" w:type="pct"/>
          </w:tcPr>
          <w:p w14:paraId="376B3175">
            <w:pPr>
              <w:tabs>
                <w:tab w:val="left" w:pos="196"/>
                <w:tab w:val="left" w:pos="426"/>
              </w:tabs>
              <w:snapToGrid w:val="0"/>
              <w:spacing w:line="360" w:lineRule="auto"/>
              <w:jc w:val="right"/>
              <w:rPr>
                <w:kern w:val="0"/>
              </w:rPr>
            </w:pPr>
            <w:r>
              <w:t>132,800,883.92</w:t>
            </w:r>
          </w:p>
        </w:tc>
      </w:tr>
    </w:tbl>
    <w:p w14:paraId="7F05CE6C">
      <w:pPr>
        <w:spacing w:line="360" w:lineRule="auto"/>
        <w:outlineLvl w:val="3"/>
        <w:rPr>
          <w:b/>
        </w:rPr>
      </w:pPr>
      <w:r>
        <w:rPr>
          <w:b/>
          <w:kern w:val="0"/>
        </w:rPr>
        <w:t>9.5.6.7</w:t>
      </w:r>
      <w:r>
        <w:rPr>
          <w:b/>
        </w:rPr>
        <w:t xml:space="preserve">  其他资产 </w:t>
      </w:r>
    </w:p>
    <w:p w14:paraId="1CCD0118">
      <w:pPr>
        <w:spacing w:line="360" w:lineRule="auto"/>
        <w:outlineLvl w:val="3"/>
        <w:rPr>
          <w:b/>
        </w:rPr>
      </w:pPr>
      <w:r>
        <w:rPr>
          <w:b/>
          <w:kern w:val="0"/>
        </w:rPr>
        <w:t>9.5.6.7.1</w:t>
      </w:r>
      <w:r>
        <w:rPr>
          <w:b/>
        </w:rPr>
        <w:t xml:space="preserve"> 其他资产情况 </w:t>
      </w:r>
    </w:p>
    <w:p w14:paraId="7FAFB2EE">
      <w:pPr>
        <w:widowControl/>
        <w:tabs>
          <w:tab w:val="left" w:pos="1680"/>
        </w:tabs>
        <w:autoSpaceDE w:val="0"/>
        <w:autoSpaceDN w:val="0"/>
        <w:spacing w:line="360" w:lineRule="auto"/>
        <w:ind w:right="-52"/>
        <w:jc w:val="right"/>
        <w:textAlignment w:val="bottom"/>
        <w:rPr>
          <w:kern w:val="0"/>
        </w:rPr>
      </w:pPr>
      <w:r>
        <w:t>单位：人民币元</w:t>
      </w:r>
    </w:p>
    <w:tbl>
      <w:tblPr>
        <w:tblStyle w:val="40"/>
        <w:tblW w:w="9073"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24"/>
        <w:gridCol w:w="6049"/>
      </w:tblGrid>
      <w:tr w14:paraId="79839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trPr>
        <w:tc>
          <w:tcPr>
            <w:tcW w:w="3024" w:type="dxa"/>
            <w:vAlign w:val="center"/>
          </w:tcPr>
          <w:p w14:paraId="12706407">
            <w:pPr>
              <w:spacing w:line="360" w:lineRule="auto"/>
              <w:jc w:val="center"/>
            </w:pPr>
            <w:r>
              <w:t>项目</w:t>
            </w:r>
          </w:p>
        </w:tc>
        <w:tc>
          <w:tcPr>
            <w:tcW w:w="6049" w:type="dxa"/>
            <w:vAlign w:val="bottom"/>
          </w:tcPr>
          <w:p w14:paraId="4208D756">
            <w:pPr>
              <w:spacing w:line="360" w:lineRule="auto"/>
              <w:jc w:val="center"/>
            </w:pPr>
            <w:r>
              <w:t>本期末</w:t>
            </w:r>
          </w:p>
          <w:p w14:paraId="092C09E0">
            <w:pPr>
              <w:spacing w:line="360" w:lineRule="auto"/>
              <w:jc w:val="center"/>
            </w:pPr>
            <w:r>
              <w:t>2026年6月30日</w:t>
            </w:r>
          </w:p>
        </w:tc>
      </w:tr>
      <w:tr w14:paraId="6F1B0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vAlign w:val="center"/>
          </w:tcPr>
          <w:p w14:paraId="2F3C44C3">
            <w:pPr>
              <w:jc w:val="center"/>
            </w:pPr>
            <w:r>
              <w:t>待抵扣进项税</w:t>
            </w:r>
          </w:p>
        </w:tc>
        <w:tc>
          <w:tcPr>
            <w:vAlign w:val="center"/>
          </w:tcPr>
          <w:p w14:paraId="7AACE098">
            <w:pPr>
              <w:jc w:val="right"/>
            </w:pPr>
            <w:r>
              <w:t>25,816,875.70</w:t>
            </w:r>
          </w:p>
        </w:tc>
      </w:tr>
      <w:tr w14:paraId="41AB9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vAlign w:val="center"/>
          </w:tcPr>
          <w:p w14:paraId="546E20E2">
            <w:pPr>
              <w:jc w:val="center"/>
            </w:pPr>
            <w:r>
              <w:t>预付账款</w:t>
            </w:r>
          </w:p>
        </w:tc>
        <w:tc>
          <w:tcPr>
            <w:vAlign w:val="center"/>
          </w:tcPr>
          <w:p w14:paraId="4C1F39D8">
            <w:pPr>
              <w:jc w:val="right"/>
            </w:pPr>
            <w:r>
              <w:t>166,801.47</w:t>
            </w:r>
          </w:p>
        </w:tc>
      </w:tr>
      <w:tr w14:paraId="13A7D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trPr>
        <w:tc>
          <w:tcPr>
            <w:tcW w:w="3024" w:type="dxa"/>
            <w:vAlign w:val="bottom"/>
          </w:tcPr>
          <w:p w14:paraId="524102AB">
            <w:pPr>
              <w:spacing w:line="360" w:lineRule="auto"/>
              <w:jc w:val="center"/>
            </w:pPr>
            <w:r>
              <w:t>合计</w:t>
            </w:r>
          </w:p>
        </w:tc>
        <w:tc>
          <w:tcPr>
            <w:tcW w:w="6049" w:type="dxa"/>
            <w:vAlign w:val="center"/>
          </w:tcPr>
          <w:p w14:paraId="40302FD5">
            <w:pPr>
              <w:spacing w:line="360" w:lineRule="auto"/>
              <w:jc w:val="right"/>
            </w:pPr>
            <w:r>
              <w:t>25,983,677.17</w:t>
            </w:r>
          </w:p>
        </w:tc>
      </w:tr>
    </w:tbl>
    <w:p w14:paraId="4E92D7C1">
      <w:pPr>
        <w:spacing w:line="360" w:lineRule="auto"/>
        <w:outlineLvl w:val="3"/>
        <w:rPr>
          <w:b/>
        </w:rPr>
      </w:pPr>
      <w:r>
        <w:rPr>
          <w:b/>
          <w:kern w:val="0"/>
        </w:rPr>
        <w:t>9.5.6.8</w:t>
      </w:r>
      <w:r>
        <w:rPr>
          <w:b/>
        </w:rPr>
        <w:t xml:space="preserve">  应付账款</w:t>
      </w:r>
    </w:p>
    <w:p w14:paraId="726BED17">
      <w:pPr>
        <w:spacing w:line="360" w:lineRule="auto"/>
        <w:outlineLvl w:val="3"/>
        <w:rPr>
          <w:b/>
        </w:rPr>
      </w:pPr>
      <w:r>
        <w:rPr>
          <w:b/>
          <w:kern w:val="0"/>
        </w:rPr>
        <w:t>9.5.6.8.1</w:t>
      </w:r>
      <w:r>
        <w:rPr>
          <w:b/>
        </w:rPr>
        <w:t xml:space="preserve"> 应付账款情况</w:t>
      </w:r>
    </w:p>
    <w:p w14:paraId="31736D5D">
      <w:pPr>
        <w:spacing w:line="360" w:lineRule="auto"/>
        <w:ind w:right="-50" w:rightChars="-24"/>
        <w:jc w:val="right"/>
        <w:rPr>
          <w:kern w:val="0"/>
        </w:rPr>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6198"/>
      </w:tblGrid>
      <w:tr w14:paraId="15205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72" w:type="pct"/>
            <w:vAlign w:val="center"/>
          </w:tcPr>
          <w:p w14:paraId="343752BE">
            <w:pPr>
              <w:spacing w:line="360" w:lineRule="auto"/>
              <w:jc w:val="center"/>
            </w:pPr>
            <w:r>
              <w:rPr>
                <w:kern w:val="0"/>
              </w:rPr>
              <w:t>项目</w:t>
            </w:r>
          </w:p>
        </w:tc>
        <w:tc>
          <w:tcPr>
            <w:tcW w:w="3428" w:type="pct"/>
          </w:tcPr>
          <w:p w14:paraId="771B6A00">
            <w:pPr>
              <w:spacing w:line="360" w:lineRule="auto"/>
              <w:jc w:val="center"/>
              <w:rPr>
                <w:kern w:val="0"/>
              </w:rPr>
            </w:pPr>
            <w:r>
              <w:rPr>
                <w:kern w:val="0"/>
              </w:rPr>
              <w:t>本期末</w:t>
            </w:r>
          </w:p>
          <w:p w14:paraId="3107D919">
            <w:pPr>
              <w:spacing w:line="360" w:lineRule="auto"/>
              <w:jc w:val="center"/>
              <w:rPr>
                <w:kern w:val="0"/>
              </w:rPr>
            </w:pPr>
            <w:r>
              <w:t>2026年6月30日</w:t>
            </w:r>
          </w:p>
        </w:tc>
      </w:tr>
      <w:tr w14:paraId="1610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A03631E">
            <w:pPr>
              <w:jc w:val="left"/>
            </w:pPr>
            <w:r>
              <w:rPr>
                <w:kern w:val="0"/>
              </w:rPr>
              <w:t>应付工程款</w:t>
            </w:r>
          </w:p>
        </w:tc>
        <w:tc>
          <w:tcPr>
            <w:vAlign w:val="center"/>
          </w:tcPr>
          <w:p w14:paraId="33FCDA91">
            <w:pPr>
              <w:jc w:val="right"/>
            </w:pPr>
            <w:r>
              <w:rPr>
                <w:kern w:val="0"/>
              </w:rPr>
              <w:t>3,119,206.31</w:t>
            </w:r>
          </w:p>
        </w:tc>
      </w:tr>
      <w:tr w14:paraId="4754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1572" w:type="pct"/>
            <w:vAlign w:val="center"/>
          </w:tcPr>
          <w:p w14:paraId="5272F4B3">
            <w:pPr>
              <w:tabs>
                <w:tab w:val="left" w:pos="196"/>
                <w:tab w:val="left" w:pos="426"/>
              </w:tabs>
              <w:snapToGrid w:val="0"/>
              <w:spacing w:line="360" w:lineRule="auto"/>
              <w:jc w:val="center"/>
            </w:pPr>
            <w:r>
              <w:t>合计</w:t>
            </w:r>
          </w:p>
        </w:tc>
        <w:tc>
          <w:tcPr>
            <w:tcW w:w="3428" w:type="pct"/>
            <w:vAlign w:val="center"/>
          </w:tcPr>
          <w:p w14:paraId="0162D363">
            <w:pPr>
              <w:jc w:val="right"/>
              <w:rPr>
                <w:kern w:val="0"/>
              </w:rPr>
            </w:pPr>
            <w:r>
              <w:rPr>
                <w:kern w:val="0"/>
              </w:rPr>
              <w:t>3,119,206.31</w:t>
            </w:r>
          </w:p>
        </w:tc>
      </w:tr>
    </w:tbl>
    <w:p w14:paraId="172CB923">
      <w:pPr>
        <w:spacing w:line="360" w:lineRule="auto"/>
        <w:outlineLvl w:val="3"/>
        <w:rPr>
          <w:b/>
        </w:rPr>
      </w:pPr>
      <w:r>
        <w:rPr>
          <w:b/>
          <w:kern w:val="0"/>
        </w:rPr>
        <w:t>9.5.6.8.2</w:t>
      </w:r>
      <w:r>
        <w:rPr>
          <w:b/>
        </w:rPr>
        <w:t xml:space="preserve"> 账龄超过一年的重要应付账款</w:t>
      </w:r>
    </w:p>
    <w:p w14:paraId="29C74132">
      <w:pPr>
        <w:spacing w:line="360" w:lineRule="auto"/>
        <w:ind w:right="-50" w:rightChars="-24"/>
        <w:jc w:val="right"/>
        <w:rPr>
          <w:kern w:val="0"/>
        </w:rPr>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3"/>
        <w:gridCol w:w="3013"/>
        <w:gridCol w:w="3013"/>
      </w:tblGrid>
      <w:tr w14:paraId="63D8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013" w:type="dxa"/>
            <w:vAlign w:val="center"/>
          </w:tcPr>
          <w:p w14:paraId="5C1CDE99">
            <w:pPr>
              <w:tabs>
                <w:tab w:val="left" w:pos="196"/>
                <w:tab w:val="left" w:pos="426"/>
              </w:tabs>
              <w:snapToGrid w:val="0"/>
              <w:spacing w:line="360" w:lineRule="auto"/>
              <w:jc w:val="center"/>
            </w:pPr>
            <w:r>
              <w:t>单位名称</w:t>
            </w:r>
          </w:p>
        </w:tc>
        <w:tc>
          <w:tcPr>
            <w:tcW w:w="3013" w:type="dxa"/>
            <w:vAlign w:val="center"/>
          </w:tcPr>
          <w:p w14:paraId="5A947FB4">
            <w:pPr>
              <w:tabs>
                <w:tab w:val="left" w:pos="196"/>
                <w:tab w:val="left" w:pos="426"/>
              </w:tabs>
              <w:snapToGrid w:val="0"/>
              <w:spacing w:line="360" w:lineRule="auto"/>
              <w:jc w:val="center"/>
            </w:pPr>
            <w:r>
              <w:t>期末余额</w:t>
            </w:r>
          </w:p>
        </w:tc>
        <w:tc>
          <w:tcPr>
            <w:tcW w:w="3013" w:type="dxa"/>
            <w:vAlign w:val="center"/>
          </w:tcPr>
          <w:p w14:paraId="0DF3FA5B">
            <w:pPr>
              <w:tabs>
                <w:tab w:val="left" w:pos="196"/>
                <w:tab w:val="left" w:pos="426"/>
              </w:tabs>
              <w:snapToGrid w:val="0"/>
              <w:spacing w:line="360" w:lineRule="auto"/>
              <w:jc w:val="center"/>
            </w:pPr>
            <w:r>
              <w:t>未偿还或结转原因</w:t>
            </w:r>
          </w:p>
        </w:tc>
      </w:tr>
      <w:tr w14:paraId="791DD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B860F58">
            <w:pPr>
              <w:jc w:val="left"/>
            </w:pPr>
            <w:r>
              <w:rPr>
                <w:kern w:val="0"/>
              </w:rPr>
              <w:t>深圳市赛为智能股份有限公司</w:t>
            </w:r>
          </w:p>
        </w:tc>
        <w:tc>
          <w:tcPr>
            <w:vAlign w:val="center"/>
          </w:tcPr>
          <w:p w14:paraId="695030F3">
            <w:pPr>
              <w:jc w:val="right"/>
            </w:pPr>
            <w:r>
              <w:rPr>
                <w:kern w:val="0"/>
              </w:rPr>
              <w:t>632,769.82</w:t>
            </w:r>
          </w:p>
        </w:tc>
        <w:tc>
          <w:tcPr>
            <w:vAlign w:val="center"/>
          </w:tcPr>
          <w:p w14:paraId="1E392414">
            <w:pPr>
              <w:jc w:val="right"/>
            </w:pPr>
            <w:r>
              <w:rPr>
                <w:kern w:val="0"/>
              </w:rPr>
              <w:t>尚未到支付期限</w:t>
            </w:r>
          </w:p>
        </w:tc>
      </w:tr>
      <w:tr w14:paraId="562A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B6CD2A7">
            <w:pPr>
              <w:jc w:val="left"/>
            </w:pPr>
            <w:r>
              <w:rPr>
                <w:kern w:val="0"/>
              </w:rPr>
              <w:t>深圳市万晟建设管理有限公司</w:t>
            </w:r>
          </w:p>
        </w:tc>
        <w:tc>
          <w:tcPr>
            <w:vAlign w:val="center"/>
          </w:tcPr>
          <w:p w14:paraId="169427A6">
            <w:pPr>
              <w:jc w:val="right"/>
            </w:pPr>
            <w:r>
              <w:rPr>
                <w:kern w:val="0"/>
              </w:rPr>
              <w:t>316,200.00</w:t>
            </w:r>
          </w:p>
        </w:tc>
        <w:tc>
          <w:tcPr>
            <w:vAlign w:val="center"/>
          </w:tcPr>
          <w:p w14:paraId="406A9AD6">
            <w:pPr>
              <w:jc w:val="right"/>
            </w:pPr>
            <w:r>
              <w:rPr>
                <w:kern w:val="0"/>
              </w:rPr>
              <w:t>尚未到支付期限</w:t>
            </w:r>
          </w:p>
        </w:tc>
      </w:tr>
      <w:tr w14:paraId="38D8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013" w:type="dxa"/>
            <w:vAlign w:val="center"/>
          </w:tcPr>
          <w:p w14:paraId="1118B665">
            <w:pPr>
              <w:tabs>
                <w:tab w:val="left" w:pos="196"/>
                <w:tab w:val="left" w:pos="426"/>
              </w:tabs>
              <w:snapToGrid w:val="0"/>
              <w:spacing w:line="360" w:lineRule="auto"/>
              <w:jc w:val="center"/>
            </w:pPr>
            <w:r>
              <w:t>合计</w:t>
            </w:r>
          </w:p>
        </w:tc>
        <w:tc>
          <w:tcPr>
            <w:tcW w:w="3013" w:type="dxa"/>
            <w:vAlign w:val="center"/>
          </w:tcPr>
          <w:p w14:paraId="7C1A0C37">
            <w:pPr>
              <w:tabs>
                <w:tab w:val="left" w:pos="196"/>
                <w:tab w:val="left" w:pos="426"/>
              </w:tabs>
              <w:snapToGrid w:val="0"/>
              <w:spacing w:line="360" w:lineRule="auto"/>
              <w:jc w:val="right"/>
            </w:pPr>
            <w:r>
              <w:rPr>
                <w:kern w:val="0"/>
              </w:rPr>
              <w:t>948,969.82</w:t>
            </w:r>
          </w:p>
        </w:tc>
        <w:tc>
          <w:tcPr>
            <w:tcW w:w="3013" w:type="dxa"/>
            <w:vAlign w:val="center"/>
          </w:tcPr>
          <w:p w14:paraId="0E539DC8">
            <w:pPr>
              <w:tabs>
                <w:tab w:val="left" w:pos="196"/>
                <w:tab w:val="left" w:pos="426"/>
              </w:tabs>
              <w:snapToGrid w:val="0"/>
              <w:spacing w:line="360" w:lineRule="auto"/>
              <w:jc w:val="center"/>
            </w:pPr>
            <w:r>
              <w:t>—</w:t>
            </w:r>
          </w:p>
        </w:tc>
      </w:tr>
    </w:tbl>
    <w:p w14:paraId="7750BF65">
      <w:pPr>
        <w:spacing w:line="360" w:lineRule="auto"/>
        <w:outlineLvl w:val="3"/>
        <w:rPr>
          <w:b/>
        </w:rPr>
      </w:pPr>
      <w:r>
        <w:rPr>
          <w:b/>
          <w:kern w:val="0"/>
        </w:rPr>
        <w:t>9.5.6.9</w:t>
      </w:r>
      <w:r>
        <w:rPr>
          <w:b/>
        </w:rPr>
        <w:t xml:space="preserve">  应交税费</w:t>
      </w:r>
    </w:p>
    <w:p w14:paraId="6FCB8059">
      <w:pPr>
        <w:spacing w:line="360" w:lineRule="auto"/>
        <w:ind w:right="-50" w:rightChars="-24"/>
        <w:jc w:val="right"/>
        <w:rPr>
          <w:kern w:val="0"/>
        </w:rPr>
      </w:pPr>
      <w:r>
        <w:t>单位：人民币元</w:t>
      </w:r>
    </w:p>
    <w:tbl>
      <w:tblPr>
        <w:tblStyle w:val="40"/>
        <w:tblW w:w="5300" w:type="pct"/>
        <w:tblInd w:w="0" w:type="dxa"/>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Layout w:type="fixed"/>
        <w:tblCellMar>
          <w:top w:w="0" w:type="dxa"/>
          <w:left w:w="108" w:type="dxa"/>
          <w:bottom w:w="0" w:type="dxa"/>
          <w:right w:w="108" w:type="dxa"/>
        </w:tblCellMar>
      </w:tblPr>
      <w:tblGrid>
        <w:gridCol w:w="2842"/>
        <w:gridCol w:w="6198"/>
      </w:tblGrid>
      <w:tr w14:paraId="3DCA0ABC">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blHeader/>
        </w:trPr>
        <w:tc>
          <w:tcPr>
            <w:tcW w:w="1572" w:type="pct"/>
            <w:tcBorders>
              <w:top w:val="single" w:color="auto" w:sz="4" w:space="0"/>
              <w:left w:val="single" w:color="auto" w:sz="4" w:space="0"/>
              <w:bottom w:val="single" w:color="auto" w:sz="4" w:space="0"/>
              <w:right w:val="single" w:color="auto" w:sz="4" w:space="0"/>
            </w:tcBorders>
            <w:vAlign w:val="center"/>
          </w:tcPr>
          <w:p w14:paraId="6D07BD82">
            <w:pPr>
              <w:tabs>
                <w:tab w:val="left" w:pos="196"/>
                <w:tab w:val="left" w:pos="426"/>
              </w:tabs>
              <w:snapToGrid w:val="0"/>
              <w:spacing w:line="360" w:lineRule="auto"/>
              <w:jc w:val="center"/>
            </w:pPr>
            <w:r>
              <w:t>税费项目</w:t>
            </w:r>
          </w:p>
        </w:tc>
        <w:tc>
          <w:tcPr>
            <w:tcW w:w="3428" w:type="pct"/>
            <w:tcBorders>
              <w:top w:val="single" w:color="auto" w:sz="4" w:space="0"/>
              <w:left w:val="single" w:color="auto" w:sz="4" w:space="0"/>
              <w:bottom w:val="single" w:color="auto" w:sz="4" w:space="0"/>
              <w:right w:val="single" w:color="auto" w:sz="4" w:space="0"/>
            </w:tcBorders>
          </w:tcPr>
          <w:p w14:paraId="293F62D5">
            <w:pPr>
              <w:spacing w:line="360" w:lineRule="auto"/>
              <w:jc w:val="center"/>
              <w:rPr>
                <w:kern w:val="0"/>
              </w:rPr>
            </w:pPr>
            <w:r>
              <w:rPr>
                <w:kern w:val="0"/>
              </w:rPr>
              <w:t>本期末</w:t>
            </w:r>
          </w:p>
          <w:p w14:paraId="04655066">
            <w:pPr>
              <w:spacing w:line="360" w:lineRule="auto"/>
              <w:jc w:val="center"/>
              <w:rPr>
                <w:kern w:val="0"/>
              </w:rPr>
            </w:pPr>
            <w:r>
              <w:t>2026年6月30日</w:t>
            </w:r>
          </w:p>
        </w:tc>
      </w:tr>
      <w:tr w14:paraId="533F10DF">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0B0A922F">
            <w:pPr>
              <w:snapToGrid w:val="0"/>
              <w:spacing w:line="360" w:lineRule="auto"/>
            </w:pPr>
            <w:r>
              <w:t>增值税</w:t>
            </w:r>
          </w:p>
        </w:tc>
        <w:tc>
          <w:tcPr>
            <w:tcW w:w="3428" w:type="pct"/>
            <w:tcBorders>
              <w:top w:val="single" w:color="auto" w:sz="4" w:space="0"/>
              <w:left w:val="single" w:color="auto" w:sz="4" w:space="0"/>
              <w:bottom w:val="single" w:color="auto" w:sz="4" w:space="0"/>
              <w:right w:val="single" w:color="auto" w:sz="4" w:space="0"/>
            </w:tcBorders>
            <w:vAlign w:val="center"/>
          </w:tcPr>
          <w:p w14:paraId="49DA3564">
            <w:pPr>
              <w:tabs>
                <w:tab w:val="left" w:pos="196"/>
                <w:tab w:val="left" w:pos="426"/>
              </w:tabs>
              <w:snapToGrid w:val="0"/>
              <w:spacing w:line="360" w:lineRule="auto"/>
              <w:ind w:right="38" w:rightChars="18"/>
              <w:jc w:val="right"/>
              <w:rPr>
                <w:rFonts w:ascii="Times New Roman" w:hAnsi="Times New Roman" w:eastAsia="宋体" w:cs="Times New Roman"/>
                <w:kern w:val="0"/>
              </w:rPr>
            </w:pPr>
            <w:r>
              <w:rPr>
                <w:rFonts w:ascii="Times New Roman" w:hAnsi="Times New Roman" w:eastAsia="宋体" w:cs="Times New Roman"/>
                <w:kern w:val="0"/>
              </w:rPr>
              <w:t>2,225,617.82</w:t>
            </w:r>
          </w:p>
        </w:tc>
      </w:tr>
      <w:tr w14:paraId="4F41DACF">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35772928">
            <w:pPr>
              <w:snapToGrid w:val="0"/>
              <w:spacing w:line="360" w:lineRule="auto"/>
            </w:pPr>
            <w:r>
              <w:t>消费税</w:t>
            </w:r>
          </w:p>
        </w:tc>
        <w:tc>
          <w:tcPr>
            <w:tcW w:w="3428" w:type="pct"/>
            <w:tcBorders>
              <w:top w:val="single" w:color="auto" w:sz="4" w:space="0"/>
              <w:left w:val="single" w:color="auto" w:sz="4" w:space="0"/>
              <w:bottom w:val="single" w:color="auto" w:sz="4" w:space="0"/>
              <w:right w:val="single" w:color="auto" w:sz="4" w:space="0"/>
            </w:tcBorders>
            <w:vAlign w:val="center"/>
          </w:tcPr>
          <w:p w14:paraId="47E8F668">
            <w:pPr>
              <w:tabs>
                <w:tab w:val="left" w:pos="196"/>
                <w:tab w:val="left" w:pos="426"/>
              </w:tabs>
              <w:snapToGrid w:val="0"/>
              <w:spacing w:line="360" w:lineRule="auto"/>
              <w:ind w:right="38" w:rightChars="18"/>
              <w:jc w:val="right"/>
              <w:rPr>
                <w:rFonts w:ascii="Times New Roman" w:hAnsi="Times New Roman" w:eastAsia="宋体" w:cs="Times New Roman"/>
                <w:kern w:val="0"/>
              </w:rPr>
            </w:pPr>
            <w:r>
              <w:rPr>
                <w:rFonts w:ascii="Times New Roman" w:hAnsi="Times New Roman" w:eastAsia="宋体" w:cs="Times New Roman"/>
                <w:kern w:val="0"/>
              </w:rPr>
              <w:t>-</w:t>
            </w:r>
          </w:p>
        </w:tc>
      </w:tr>
      <w:tr w14:paraId="48BC3773">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2C7407AC">
            <w:pPr>
              <w:snapToGrid w:val="0"/>
              <w:spacing w:line="360" w:lineRule="auto"/>
            </w:pPr>
            <w:r>
              <w:t>企业所得税</w:t>
            </w:r>
          </w:p>
        </w:tc>
        <w:tc>
          <w:tcPr>
            <w:tcW w:w="3428" w:type="pct"/>
            <w:tcBorders>
              <w:top w:val="single" w:color="auto" w:sz="4" w:space="0"/>
              <w:left w:val="single" w:color="auto" w:sz="4" w:space="0"/>
              <w:bottom w:val="single" w:color="auto" w:sz="4" w:space="0"/>
              <w:right w:val="single" w:color="auto" w:sz="4" w:space="0"/>
            </w:tcBorders>
            <w:vAlign w:val="center"/>
          </w:tcPr>
          <w:p w14:paraId="7D9E9B64">
            <w:pPr>
              <w:tabs>
                <w:tab w:val="left" w:pos="196"/>
                <w:tab w:val="left" w:pos="426"/>
              </w:tabs>
              <w:snapToGrid w:val="0"/>
              <w:spacing w:line="360" w:lineRule="auto"/>
              <w:ind w:right="38" w:rightChars="18"/>
              <w:jc w:val="right"/>
              <w:rPr>
                <w:rFonts w:ascii="Times New Roman" w:hAnsi="Times New Roman" w:eastAsia="宋体" w:cs="Times New Roman"/>
                <w:kern w:val="0"/>
              </w:rPr>
            </w:pPr>
            <w:r>
              <w:rPr>
                <w:rFonts w:ascii="Times New Roman" w:hAnsi="Times New Roman" w:eastAsia="宋体" w:cs="Times New Roman"/>
                <w:kern w:val="0"/>
              </w:rPr>
              <w:t>-</w:t>
            </w:r>
          </w:p>
        </w:tc>
      </w:tr>
      <w:tr w14:paraId="4C6249C8">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77A814CF">
            <w:pPr>
              <w:snapToGrid w:val="0"/>
              <w:spacing w:line="360" w:lineRule="auto"/>
            </w:pPr>
            <w:r>
              <w:t>个人所得税</w:t>
            </w:r>
          </w:p>
        </w:tc>
        <w:tc>
          <w:tcPr>
            <w:tcW w:w="3428" w:type="pct"/>
            <w:tcBorders>
              <w:top w:val="single" w:color="auto" w:sz="4" w:space="0"/>
              <w:left w:val="single" w:color="auto" w:sz="4" w:space="0"/>
              <w:bottom w:val="single" w:color="auto" w:sz="4" w:space="0"/>
              <w:right w:val="single" w:color="auto" w:sz="4" w:space="0"/>
            </w:tcBorders>
            <w:vAlign w:val="center"/>
          </w:tcPr>
          <w:p w14:paraId="785768F4">
            <w:pPr>
              <w:tabs>
                <w:tab w:val="left" w:pos="196"/>
                <w:tab w:val="left" w:pos="426"/>
              </w:tabs>
              <w:snapToGrid w:val="0"/>
              <w:spacing w:line="360" w:lineRule="auto"/>
              <w:ind w:right="38" w:rightChars="18"/>
              <w:jc w:val="right"/>
            </w:pPr>
            <w:r>
              <w:rPr>
                <w:kern w:val="0"/>
              </w:rPr>
              <w:t>-</w:t>
            </w:r>
          </w:p>
        </w:tc>
      </w:tr>
      <w:tr w14:paraId="27B30606">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71B56248">
            <w:pPr>
              <w:snapToGrid w:val="0"/>
              <w:spacing w:line="360" w:lineRule="auto"/>
            </w:pPr>
            <w:r>
              <w:t>城市维护建设税</w:t>
            </w:r>
          </w:p>
        </w:tc>
        <w:tc>
          <w:tcPr>
            <w:tcW w:w="3428" w:type="pct"/>
            <w:tcBorders>
              <w:top w:val="single" w:color="auto" w:sz="4" w:space="0"/>
              <w:left w:val="single" w:color="auto" w:sz="4" w:space="0"/>
              <w:bottom w:val="single" w:color="auto" w:sz="4" w:space="0"/>
              <w:right w:val="single" w:color="auto" w:sz="4" w:space="0"/>
            </w:tcBorders>
            <w:vAlign w:val="center"/>
          </w:tcPr>
          <w:p w14:paraId="492B92FE">
            <w:pPr>
              <w:tabs>
                <w:tab w:val="left" w:pos="196"/>
                <w:tab w:val="left" w:pos="426"/>
              </w:tabs>
              <w:snapToGrid w:val="0"/>
              <w:spacing w:line="360" w:lineRule="auto"/>
              <w:ind w:right="38" w:rightChars="18"/>
              <w:jc w:val="right"/>
            </w:pPr>
            <w:r>
              <w:rPr>
                <w:kern w:val="0"/>
              </w:rPr>
              <w:t>116,769.44</w:t>
            </w:r>
          </w:p>
        </w:tc>
      </w:tr>
      <w:tr w14:paraId="03EE5691">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19FACF4D">
            <w:pPr>
              <w:tabs>
                <w:tab w:val="left" w:pos="196"/>
                <w:tab w:val="left" w:pos="426"/>
              </w:tabs>
              <w:snapToGrid w:val="0"/>
              <w:spacing w:line="360" w:lineRule="auto"/>
            </w:pPr>
            <w:r>
              <w:t>教育费附加</w:t>
            </w:r>
          </w:p>
        </w:tc>
        <w:tc>
          <w:tcPr>
            <w:tcW w:w="3428" w:type="pct"/>
            <w:tcBorders>
              <w:top w:val="single" w:color="auto" w:sz="4" w:space="0"/>
              <w:left w:val="single" w:color="auto" w:sz="4" w:space="0"/>
              <w:bottom w:val="single" w:color="auto" w:sz="4" w:space="0"/>
              <w:right w:val="single" w:color="auto" w:sz="4" w:space="0"/>
            </w:tcBorders>
            <w:vAlign w:val="center"/>
          </w:tcPr>
          <w:p w14:paraId="0F8888A2">
            <w:pPr>
              <w:tabs>
                <w:tab w:val="left" w:pos="196"/>
                <w:tab w:val="left" w:pos="426"/>
              </w:tabs>
              <w:snapToGrid w:val="0"/>
              <w:spacing w:line="360" w:lineRule="auto"/>
              <w:ind w:right="38" w:rightChars="18"/>
              <w:jc w:val="right"/>
            </w:pPr>
            <w:r>
              <w:rPr>
                <w:kern w:val="0"/>
              </w:rPr>
              <w:t>83,406.77</w:t>
            </w:r>
          </w:p>
        </w:tc>
      </w:tr>
      <w:tr w14:paraId="035E4C59">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697BB67D">
            <w:pPr>
              <w:snapToGrid w:val="0"/>
              <w:spacing w:line="360" w:lineRule="auto"/>
            </w:pPr>
            <w:r>
              <w:t>房产税</w:t>
            </w:r>
          </w:p>
        </w:tc>
        <w:tc>
          <w:tcPr>
            <w:tcW w:w="3428" w:type="pct"/>
            <w:tcBorders>
              <w:top w:val="single" w:color="auto" w:sz="4" w:space="0"/>
              <w:left w:val="single" w:color="auto" w:sz="4" w:space="0"/>
              <w:bottom w:val="single" w:color="auto" w:sz="4" w:space="0"/>
              <w:right w:val="single" w:color="auto" w:sz="4" w:space="0"/>
            </w:tcBorders>
            <w:vAlign w:val="center"/>
          </w:tcPr>
          <w:p w14:paraId="1C159769">
            <w:pPr>
              <w:tabs>
                <w:tab w:val="left" w:pos="196"/>
                <w:tab w:val="left" w:pos="426"/>
              </w:tabs>
              <w:snapToGrid w:val="0"/>
              <w:spacing w:line="360" w:lineRule="auto"/>
              <w:ind w:right="38" w:rightChars="18"/>
              <w:jc w:val="right"/>
            </w:pPr>
            <w:r>
              <w:rPr>
                <w:kern w:val="0"/>
              </w:rPr>
              <w:t>6,067,879.79</w:t>
            </w:r>
          </w:p>
        </w:tc>
      </w:tr>
      <w:tr w14:paraId="74288CFE">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53A3A475">
            <w:pPr>
              <w:snapToGrid w:val="0"/>
              <w:spacing w:line="360" w:lineRule="auto"/>
            </w:pPr>
            <w:r>
              <w:t>土地使用税</w:t>
            </w:r>
          </w:p>
        </w:tc>
        <w:tc>
          <w:tcPr>
            <w:tcW w:w="3428" w:type="pct"/>
            <w:tcBorders>
              <w:top w:val="single" w:color="auto" w:sz="4" w:space="0"/>
              <w:left w:val="single" w:color="auto" w:sz="4" w:space="0"/>
              <w:bottom w:val="single" w:color="auto" w:sz="4" w:space="0"/>
              <w:right w:val="single" w:color="auto" w:sz="4" w:space="0"/>
            </w:tcBorders>
            <w:vAlign w:val="center"/>
          </w:tcPr>
          <w:p w14:paraId="52391D5E">
            <w:pPr>
              <w:tabs>
                <w:tab w:val="left" w:pos="196"/>
                <w:tab w:val="left" w:pos="426"/>
              </w:tabs>
              <w:snapToGrid w:val="0"/>
              <w:spacing w:line="360" w:lineRule="auto"/>
              <w:ind w:right="38" w:rightChars="18"/>
              <w:jc w:val="right"/>
            </w:pPr>
            <w:r>
              <w:rPr>
                <w:kern w:val="0"/>
              </w:rPr>
              <w:t>103,895.64</w:t>
            </w:r>
          </w:p>
        </w:tc>
      </w:tr>
      <w:tr w14:paraId="6C33E9A9">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52B5D10D">
            <w:pPr>
              <w:snapToGrid w:val="0"/>
              <w:spacing w:line="360" w:lineRule="auto"/>
            </w:pPr>
            <w:r>
              <w:t>土地增值税</w:t>
            </w:r>
          </w:p>
        </w:tc>
        <w:tc>
          <w:tcPr>
            <w:tcW w:w="3428" w:type="pct"/>
            <w:tcBorders>
              <w:top w:val="single" w:color="auto" w:sz="4" w:space="0"/>
              <w:left w:val="single" w:color="auto" w:sz="4" w:space="0"/>
              <w:bottom w:val="single" w:color="auto" w:sz="4" w:space="0"/>
              <w:right w:val="single" w:color="auto" w:sz="4" w:space="0"/>
            </w:tcBorders>
            <w:vAlign w:val="center"/>
          </w:tcPr>
          <w:p w14:paraId="3E9EC68D">
            <w:pPr>
              <w:tabs>
                <w:tab w:val="left" w:pos="196"/>
                <w:tab w:val="left" w:pos="426"/>
              </w:tabs>
              <w:snapToGrid w:val="0"/>
              <w:spacing w:line="360" w:lineRule="auto"/>
              <w:ind w:right="38" w:rightChars="18"/>
              <w:jc w:val="right"/>
            </w:pPr>
            <w:r>
              <w:rPr>
                <w:kern w:val="0"/>
              </w:rPr>
              <w:t>-</w:t>
            </w:r>
          </w:p>
        </w:tc>
      </w:tr>
      <w:tr w14:paraId="7A42D661">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6B3D308C">
            <w:pPr>
              <w:tabs>
                <w:tab w:val="left" w:pos="196"/>
                <w:tab w:val="left" w:pos="426"/>
              </w:tabs>
              <w:snapToGrid w:val="0"/>
              <w:spacing w:line="360" w:lineRule="auto"/>
            </w:pPr>
            <w:r>
              <w:t>其他</w:t>
            </w:r>
          </w:p>
        </w:tc>
        <w:tc>
          <w:tcPr>
            <w:tcW w:w="3428" w:type="pct"/>
            <w:tcBorders>
              <w:top w:val="single" w:color="auto" w:sz="4" w:space="0"/>
              <w:left w:val="single" w:color="auto" w:sz="4" w:space="0"/>
              <w:bottom w:val="single" w:color="auto" w:sz="4" w:space="0"/>
              <w:right w:val="single" w:color="auto" w:sz="4" w:space="0"/>
            </w:tcBorders>
            <w:vAlign w:val="center"/>
          </w:tcPr>
          <w:p w14:paraId="2EAE92CF">
            <w:pPr>
              <w:tabs>
                <w:tab w:val="left" w:pos="196"/>
                <w:tab w:val="left" w:pos="426"/>
              </w:tabs>
              <w:snapToGrid w:val="0"/>
              <w:spacing w:line="360" w:lineRule="auto"/>
              <w:ind w:right="38" w:rightChars="18"/>
              <w:jc w:val="right"/>
            </w:pPr>
            <w:r>
              <w:rPr>
                <w:kern w:val="0"/>
              </w:rPr>
              <w:t>-</w:t>
            </w:r>
          </w:p>
        </w:tc>
      </w:tr>
      <w:tr w14:paraId="6ECF64BE">
        <w:tblPrEx>
          <w:tblBorders>
            <w:top w:val="single" w:color="auto" w:sz="12" w:space="0"/>
            <w:left w:val="none" w:color="auto" w:sz="0" w:space="0"/>
            <w:bottom w:val="single" w:color="auto" w:sz="12"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trPr>
        <w:tc>
          <w:tcPr>
            <w:tcW w:w="1572" w:type="pct"/>
            <w:tcBorders>
              <w:top w:val="single" w:color="auto" w:sz="4" w:space="0"/>
              <w:left w:val="single" w:color="auto" w:sz="4" w:space="0"/>
              <w:bottom w:val="single" w:color="auto" w:sz="4" w:space="0"/>
              <w:right w:val="single" w:color="auto" w:sz="4" w:space="0"/>
            </w:tcBorders>
            <w:vAlign w:val="center"/>
          </w:tcPr>
          <w:p w14:paraId="71273681">
            <w:pPr>
              <w:tabs>
                <w:tab w:val="left" w:pos="196"/>
                <w:tab w:val="left" w:pos="426"/>
              </w:tabs>
              <w:snapToGrid w:val="0"/>
              <w:spacing w:line="360" w:lineRule="auto"/>
              <w:jc w:val="center"/>
            </w:pPr>
            <w:r>
              <w:t>合计</w:t>
            </w:r>
          </w:p>
        </w:tc>
        <w:tc>
          <w:tcPr>
            <w:tcW w:w="3428" w:type="pct"/>
            <w:tcBorders>
              <w:top w:val="single" w:color="auto" w:sz="4" w:space="0"/>
              <w:left w:val="single" w:color="auto" w:sz="4" w:space="0"/>
              <w:bottom w:val="single" w:color="auto" w:sz="4" w:space="0"/>
              <w:right w:val="single" w:color="auto" w:sz="4" w:space="0"/>
            </w:tcBorders>
            <w:vAlign w:val="center"/>
          </w:tcPr>
          <w:p w14:paraId="55927640">
            <w:pPr>
              <w:tabs>
                <w:tab w:val="left" w:pos="196"/>
                <w:tab w:val="left" w:pos="426"/>
              </w:tabs>
              <w:snapToGrid w:val="0"/>
              <w:spacing w:line="360" w:lineRule="auto"/>
              <w:ind w:right="38" w:rightChars="18"/>
              <w:jc w:val="right"/>
            </w:pPr>
            <w:r>
              <w:rPr>
                <w:kern w:val="0"/>
              </w:rPr>
              <w:t>8,597,569.46</w:t>
            </w:r>
          </w:p>
        </w:tc>
      </w:tr>
    </w:tbl>
    <w:p w14:paraId="0AA94186">
      <w:pPr>
        <w:spacing w:line="360" w:lineRule="auto"/>
        <w:outlineLvl w:val="3"/>
        <w:rPr>
          <w:b/>
        </w:rPr>
      </w:pPr>
      <w:r>
        <w:rPr>
          <w:b/>
          <w:kern w:val="0"/>
        </w:rPr>
        <w:t>9.5.6.10</w:t>
      </w:r>
      <w:r>
        <w:rPr>
          <w:b/>
        </w:rPr>
        <w:t xml:space="preserve">  长期借款</w:t>
      </w:r>
    </w:p>
    <w:p w14:paraId="1A4357BF">
      <w:pPr>
        <w:widowControl/>
        <w:tabs>
          <w:tab w:val="left" w:pos="1680"/>
        </w:tabs>
        <w:autoSpaceDE w:val="0"/>
        <w:autoSpaceDN w:val="0"/>
        <w:spacing w:line="360" w:lineRule="auto"/>
        <w:ind w:right="-52"/>
        <w:jc w:val="right"/>
        <w:textAlignment w:val="bottom"/>
        <w:rPr>
          <w:kern w:val="0"/>
        </w:rPr>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6022"/>
      </w:tblGrid>
      <w:tr w14:paraId="5CDE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1669" w:type="pct"/>
            <w:vAlign w:val="center"/>
          </w:tcPr>
          <w:p w14:paraId="2489F85B">
            <w:pPr>
              <w:tabs>
                <w:tab w:val="left" w:pos="196"/>
                <w:tab w:val="left" w:pos="426"/>
              </w:tabs>
              <w:snapToGrid w:val="0"/>
              <w:spacing w:line="360" w:lineRule="auto"/>
              <w:jc w:val="center"/>
            </w:pPr>
            <w:r>
              <w:t>借款类别</w:t>
            </w:r>
          </w:p>
        </w:tc>
        <w:tc>
          <w:tcPr>
            <w:tcW w:w="3331" w:type="pct"/>
          </w:tcPr>
          <w:p w14:paraId="07D1501B">
            <w:pPr>
              <w:spacing w:line="360" w:lineRule="auto"/>
              <w:jc w:val="center"/>
              <w:rPr>
                <w:kern w:val="0"/>
              </w:rPr>
            </w:pPr>
            <w:r>
              <w:rPr>
                <w:kern w:val="0"/>
              </w:rPr>
              <w:t>本期末</w:t>
            </w:r>
          </w:p>
          <w:p w14:paraId="75B932C8">
            <w:pPr>
              <w:spacing w:line="360" w:lineRule="auto"/>
              <w:jc w:val="center"/>
              <w:rPr>
                <w:kern w:val="0"/>
              </w:rPr>
            </w:pPr>
            <w:r>
              <w:t>2026年6月30日</w:t>
            </w:r>
          </w:p>
        </w:tc>
      </w:tr>
      <w:tr w14:paraId="60BE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9" w:type="pct"/>
            <w:vAlign w:val="center"/>
          </w:tcPr>
          <w:p w14:paraId="4DB8E89A">
            <w:pPr>
              <w:tabs>
                <w:tab w:val="left" w:pos="196"/>
                <w:tab w:val="left" w:pos="426"/>
              </w:tabs>
              <w:snapToGrid w:val="0"/>
              <w:spacing w:line="360" w:lineRule="auto"/>
            </w:pPr>
            <w:r>
              <w:t>质押借款</w:t>
            </w:r>
          </w:p>
        </w:tc>
        <w:tc>
          <w:tcPr>
            <w:tcW w:w="3331" w:type="pct"/>
            <w:vAlign w:val="center"/>
          </w:tcPr>
          <w:p w14:paraId="6DAB53E3">
            <w:pPr>
              <w:tabs>
                <w:tab w:val="left" w:pos="196"/>
                <w:tab w:val="left" w:pos="426"/>
              </w:tabs>
              <w:snapToGrid w:val="0"/>
              <w:spacing w:line="360" w:lineRule="auto"/>
              <w:ind w:right="38" w:rightChars="18"/>
              <w:jc w:val="right"/>
            </w:pPr>
            <w:r>
              <w:rPr>
                <w:kern w:val="0"/>
              </w:rPr>
              <w:t>292,231,500.00</w:t>
            </w:r>
          </w:p>
        </w:tc>
      </w:tr>
      <w:tr w14:paraId="7C5D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9" w:type="pct"/>
            <w:vAlign w:val="center"/>
          </w:tcPr>
          <w:p w14:paraId="798CFD13">
            <w:pPr>
              <w:tabs>
                <w:tab w:val="left" w:pos="196"/>
                <w:tab w:val="left" w:pos="426"/>
              </w:tabs>
              <w:snapToGrid w:val="0"/>
              <w:spacing w:line="360" w:lineRule="auto"/>
            </w:pPr>
            <w:r>
              <w:t>抵押借款</w:t>
            </w:r>
          </w:p>
        </w:tc>
        <w:tc>
          <w:tcPr>
            <w:tcW w:w="3331" w:type="pct"/>
            <w:vAlign w:val="center"/>
          </w:tcPr>
          <w:p w14:paraId="14A0EAD4">
            <w:pPr>
              <w:tabs>
                <w:tab w:val="left" w:pos="196"/>
                <w:tab w:val="left" w:pos="426"/>
              </w:tabs>
              <w:snapToGrid w:val="0"/>
              <w:spacing w:line="360" w:lineRule="auto"/>
              <w:ind w:right="38" w:rightChars="18"/>
              <w:jc w:val="right"/>
            </w:pPr>
            <w:r>
              <w:rPr>
                <w:kern w:val="0"/>
              </w:rPr>
              <w:t>-</w:t>
            </w:r>
          </w:p>
        </w:tc>
      </w:tr>
      <w:tr w14:paraId="1289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9" w:type="pct"/>
            <w:vAlign w:val="center"/>
          </w:tcPr>
          <w:p w14:paraId="2D4FF5FC">
            <w:pPr>
              <w:tabs>
                <w:tab w:val="left" w:pos="196"/>
                <w:tab w:val="left" w:pos="426"/>
              </w:tabs>
              <w:snapToGrid w:val="0"/>
              <w:spacing w:line="360" w:lineRule="auto"/>
            </w:pPr>
            <w:r>
              <w:t>保证借款</w:t>
            </w:r>
          </w:p>
        </w:tc>
        <w:tc>
          <w:tcPr>
            <w:tcW w:w="3331" w:type="pct"/>
            <w:vAlign w:val="center"/>
          </w:tcPr>
          <w:p w14:paraId="63F6EA58">
            <w:pPr>
              <w:tabs>
                <w:tab w:val="left" w:pos="196"/>
                <w:tab w:val="left" w:pos="426"/>
              </w:tabs>
              <w:snapToGrid w:val="0"/>
              <w:spacing w:line="360" w:lineRule="auto"/>
              <w:ind w:right="38" w:rightChars="18"/>
              <w:jc w:val="right"/>
            </w:pPr>
            <w:r>
              <w:rPr>
                <w:kern w:val="0"/>
              </w:rPr>
              <w:t>-</w:t>
            </w:r>
          </w:p>
        </w:tc>
      </w:tr>
      <w:tr w14:paraId="443F4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9" w:type="pct"/>
            <w:vAlign w:val="center"/>
          </w:tcPr>
          <w:p w14:paraId="33651E85">
            <w:pPr>
              <w:tabs>
                <w:tab w:val="left" w:pos="196"/>
                <w:tab w:val="left" w:pos="426"/>
              </w:tabs>
              <w:snapToGrid w:val="0"/>
              <w:spacing w:line="360" w:lineRule="auto"/>
            </w:pPr>
            <w:r>
              <w:t>信用借款</w:t>
            </w:r>
          </w:p>
        </w:tc>
        <w:tc>
          <w:tcPr>
            <w:tcW w:w="3331" w:type="pct"/>
            <w:vAlign w:val="center"/>
          </w:tcPr>
          <w:p w14:paraId="3747456E">
            <w:pPr>
              <w:tabs>
                <w:tab w:val="left" w:pos="196"/>
                <w:tab w:val="left" w:pos="426"/>
              </w:tabs>
              <w:snapToGrid w:val="0"/>
              <w:spacing w:line="360" w:lineRule="auto"/>
              <w:ind w:right="38" w:rightChars="18"/>
              <w:jc w:val="right"/>
            </w:pPr>
            <w:r>
              <w:rPr>
                <w:kern w:val="0"/>
              </w:rPr>
              <w:t>-</w:t>
            </w:r>
          </w:p>
        </w:tc>
      </w:tr>
      <w:tr w14:paraId="1F79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9" w:type="pct"/>
            <w:vAlign w:val="center"/>
          </w:tcPr>
          <w:p w14:paraId="4B91C399">
            <w:pPr>
              <w:tabs>
                <w:tab w:val="left" w:pos="196"/>
                <w:tab w:val="left" w:pos="426"/>
              </w:tabs>
              <w:snapToGrid w:val="0"/>
              <w:spacing w:line="360" w:lineRule="auto"/>
            </w:pPr>
            <w:r>
              <w:t>未到期应付利息</w:t>
            </w:r>
          </w:p>
        </w:tc>
        <w:tc>
          <w:tcPr>
            <w:tcW w:w="3331" w:type="pct"/>
            <w:vAlign w:val="center"/>
          </w:tcPr>
          <w:p w14:paraId="3688217A">
            <w:pPr>
              <w:tabs>
                <w:tab w:val="left" w:pos="196"/>
                <w:tab w:val="left" w:pos="426"/>
              </w:tabs>
              <w:snapToGrid w:val="0"/>
              <w:spacing w:line="360" w:lineRule="auto"/>
              <w:ind w:right="38" w:rightChars="18"/>
              <w:jc w:val="right"/>
            </w:pPr>
            <w:r>
              <w:rPr>
                <w:kern w:val="0"/>
              </w:rPr>
              <w:t>260,250.83</w:t>
            </w:r>
          </w:p>
        </w:tc>
      </w:tr>
      <w:tr w14:paraId="17AB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9" w:type="pct"/>
            <w:vAlign w:val="center"/>
          </w:tcPr>
          <w:p w14:paraId="42A25755">
            <w:pPr>
              <w:tabs>
                <w:tab w:val="left" w:pos="196"/>
                <w:tab w:val="left" w:pos="426"/>
              </w:tabs>
              <w:snapToGrid w:val="0"/>
              <w:spacing w:line="360" w:lineRule="auto"/>
              <w:jc w:val="center"/>
            </w:pPr>
            <w:r>
              <w:t>合计</w:t>
            </w:r>
          </w:p>
        </w:tc>
        <w:tc>
          <w:tcPr>
            <w:tcW w:w="3331" w:type="pct"/>
            <w:vAlign w:val="center"/>
          </w:tcPr>
          <w:p w14:paraId="551B697F">
            <w:pPr>
              <w:tabs>
                <w:tab w:val="left" w:pos="196"/>
                <w:tab w:val="left" w:pos="426"/>
              </w:tabs>
              <w:snapToGrid w:val="0"/>
              <w:spacing w:line="360" w:lineRule="auto"/>
              <w:jc w:val="right"/>
            </w:pPr>
            <w:r>
              <w:rPr>
                <w:kern w:val="0"/>
              </w:rPr>
              <w:t>292,491,750.83</w:t>
            </w:r>
          </w:p>
        </w:tc>
      </w:tr>
    </w:tbl>
    <w:p w14:paraId="191A60C5">
      <w:pPr>
        <w:tabs>
          <w:tab w:val="left" w:pos="426"/>
        </w:tabs>
        <w:spacing w:line="360" w:lineRule="auto"/>
        <w:ind w:firstLine="420" w:firstLineChars="200"/>
        <w:jc w:val="left"/>
        <w:rPr>
          <w:kern w:val="0"/>
        </w:rPr>
      </w:pPr>
      <w:r>
        <w:rPr>
          <w:kern w:val="0"/>
        </w:rPr>
        <w:t>注：系以本基金持有的子公司万海大厦股权为质押且由本基金之子公司万海大厦以其投资性房地产提供抵押的借款。借款期限为180个月，借款采用浮动利率，合同期内的利率按照全国银行间同业拆借中心公布的5年期以上LPR减60个基本点（BPs）确定，以3个月为浮动周期进行浮动。万海大厦已于2026年1月15日完成借款的提款并置换原并购贷款。</w:t>
      </w:r>
    </w:p>
    <w:p w14:paraId="4C75EE1B">
      <w:pPr>
        <w:spacing w:line="360" w:lineRule="auto"/>
        <w:outlineLvl w:val="3"/>
        <w:rPr>
          <w:b/>
        </w:rPr>
      </w:pPr>
      <w:r>
        <w:rPr>
          <w:b/>
          <w:kern w:val="0"/>
        </w:rPr>
        <w:t>9.5.6.11</w:t>
      </w:r>
      <w:r>
        <w:rPr>
          <w:b/>
        </w:rPr>
        <w:t xml:space="preserve">  其他负债</w:t>
      </w:r>
    </w:p>
    <w:p w14:paraId="633C59EC">
      <w:pPr>
        <w:spacing w:line="360" w:lineRule="auto"/>
        <w:outlineLvl w:val="3"/>
        <w:rPr>
          <w:b/>
        </w:rPr>
      </w:pPr>
      <w:r>
        <w:rPr>
          <w:b/>
          <w:kern w:val="0"/>
        </w:rPr>
        <w:t>9.5.6.11.1</w:t>
      </w:r>
      <w:r>
        <w:rPr>
          <w:b/>
        </w:rPr>
        <w:t xml:space="preserve"> 其他负债情况</w:t>
      </w:r>
    </w:p>
    <w:p w14:paraId="1D52A3F4">
      <w:pPr>
        <w:widowControl/>
        <w:tabs>
          <w:tab w:val="left" w:pos="1680"/>
        </w:tabs>
        <w:autoSpaceDE w:val="0"/>
        <w:autoSpaceDN w:val="0"/>
        <w:spacing w:line="360" w:lineRule="auto"/>
        <w:ind w:right="-52"/>
        <w:jc w:val="right"/>
        <w:textAlignment w:val="bottom"/>
        <w:rPr>
          <w:kern w:val="0"/>
        </w:rPr>
      </w:pPr>
      <w:r>
        <w:t>单位：人民币元</w:t>
      </w:r>
    </w:p>
    <w:tbl>
      <w:tblPr>
        <w:tblStyle w:val="40"/>
        <w:tblW w:w="5451" w:type="pct"/>
        <w:tblInd w:w="-137" w:type="dxa"/>
        <w:tblLayout w:type="fixed"/>
        <w:tblCellMar>
          <w:top w:w="0" w:type="dxa"/>
          <w:left w:w="0" w:type="dxa"/>
          <w:bottom w:w="0" w:type="dxa"/>
          <w:right w:w="0" w:type="dxa"/>
        </w:tblCellMar>
      </w:tblPr>
      <w:tblGrid>
        <w:gridCol w:w="2834"/>
        <w:gridCol w:w="6239"/>
      </w:tblGrid>
      <w:tr w14:paraId="48C362F1">
        <w:tblPrEx>
          <w:tblCellMar>
            <w:top w:w="0" w:type="dxa"/>
            <w:left w:w="0" w:type="dxa"/>
            <w:bottom w:w="0" w:type="dxa"/>
            <w:right w:w="0" w:type="dxa"/>
          </w:tblCellMar>
        </w:tblPrEx>
        <w:trPr>
          <w:trHeight w:val="300" w:hRule="atLeast"/>
        </w:trPr>
        <w:tc>
          <w:tcPr>
            <w:tcW w:w="1562" w:type="pct"/>
            <w:tcBorders>
              <w:top w:val="single" w:color="auto" w:sz="4" w:space="0"/>
              <w:left w:val="single" w:color="auto" w:sz="4" w:space="0"/>
              <w:bottom w:val="single" w:color="auto" w:sz="4" w:space="0"/>
              <w:right w:val="single" w:color="auto" w:sz="4" w:space="0"/>
            </w:tcBorders>
            <w:vAlign w:val="center"/>
          </w:tcPr>
          <w:p w14:paraId="06688CBA">
            <w:pPr>
              <w:spacing w:line="360" w:lineRule="auto"/>
              <w:jc w:val="center"/>
            </w:pPr>
            <w:r>
              <w:rPr>
                <w:kern w:val="0"/>
              </w:rPr>
              <w:t>项目</w:t>
            </w:r>
          </w:p>
        </w:tc>
        <w:tc>
          <w:tcPr>
            <w:tcW w:w="3438" w:type="pct"/>
            <w:tcBorders>
              <w:top w:val="single" w:color="auto" w:sz="4" w:space="0"/>
              <w:left w:val="nil"/>
              <w:bottom w:val="single" w:color="auto" w:sz="4" w:space="0"/>
              <w:right w:val="single" w:color="auto" w:sz="4" w:space="0"/>
            </w:tcBorders>
          </w:tcPr>
          <w:p w14:paraId="0372B05A">
            <w:pPr>
              <w:spacing w:line="360" w:lineRule="auto"/>
              <w:jc w:val="center"/>
              <w:rPr>
                <w:kern w:val="0"/>
              </w:rPr>
            </w:pPr>
            <w:r>
              <w:rPr>
                <w:kern w:val="0"/>
              </w:rPr>
              <w:t>本期末</w:t>
            </w:r>
          </w:p>
          <w:p w14:paraId="3D8F97E8">
            <w:pPr>
              <w:spacing w:line="360" w:lineRule="auto"/>
              <w:jc w:val="center"/>
              <w:rPr>
                <w:kern w:val="0"/>
              </w:rPr>
            </w:pPr>
            <w:r>
              <w:t>2026年6月30日</w:t>
            </w:r>
          </w:p>
        </w:tc>
      </w:tr>
      <w:tr w14:paraId="14437BCF">
        <w:tblPrEx>
          <w:tblCellMar>
            <w:top w:w="0" w:type="dxa"/>
            <w:left w:w="0" w:type="dxa"/>
            <w:bottom w:w="0" w:type="dxa"/>
            <w:right w:w="0" w:type="dxa"/>
          </w:tblCellMar>
        </w:tblPrEx>
        <w:tc>
          <w:tcPr>
            <w:tcBorders>
              <w:top w:val="single" w:color="auto" w:sz="4" w:space="0"/>
              <w:left w:val="single" w:color="auto" w:sz="4" w:space="0"/>
              <w:bottom w:val="single" w:color="auto" w:sz="4" w:space="0"/>
              <w:right w:val="single" w:color="auto" w:sz="4" w:space="0"/>
            </w:tcBorders>
            <w:vAlign w:val="center"/>
          </w:tcPr>
          <w:p w14:paraId="10071211">
            <w:pPr>
              <w:jc w:val="left"/>
            </w:pPr>
            <w:r>
              <w:rPr>
                <w:kern w:val="0"/>
              </w:rPr>
              <w:t>其他应付款</w:t>
            </w:r>
          </w:p>
        </w:tc>
        <w:tc>
          <w:tcPr>
            <w:tcBorders>
              <w:top w:val="single" w:color="auto" w:sz="4" w:space="0"/>
              <w:left w:val="single" w:color="auto" w:sz="4" w:space="0"/>
              <w:bottom w:val="single" w:color="auto" w:sz="4" w:space="0"/>
              <w:right w:val="single" w:color="auto" w:sz="4" w:space="0"/>
            </w:tcBorders>
            <w:vAlign w:val="center"/>
          </w:tcPr>
          <w:p w14:paraId="007539DF">
            <w:pPr>
              <w:jc w:val="right"/>
            </w:pPr>
            <w:r>
              <w:rPr>
                <w:kern w:val="0"/>
              </w:rPr>
              <w:t>43,950,588.93</w:t>
            </w:r>
          </w:p>
        </w:tc>
      </w:tr>
      <w:tr w14:paraId="1B3C86EE">
        <w:tblPrEx>
          <w:tblCellMar>
            <w:top w:w="0" w:type="dxa"/>
            <w:left w:w="0" w:type="dxa"/>
            <w:bottom w:w="0" w:type="dxa"/>
            <w:right w:w="0" w:type="dxa"/>
          </w:tblCellMar>
        </w:tblPrEx>
        <w:tc>
          <w:tcPr>
            <w:tcBorders>
              <w:top w:val="single" w:color="auto" w:sz="4" w:space="0"/>
              <w:left w:val="single" w:color="auto" w:sz="4" w:space="0"/>
              <w:bottom w:val="single" w:color="auto" w:sz="4" w:space="0"/>
              <w:right w:val="single" w:color="auto" w:sz="4" w:space="0"/>
            </w:tcBorders>
            <w:vAlign w:val="center"/>
          </w:tcPr>
          <w:p w14:paraId="6532EBCB">
            <w:pPr>
              <w:jc w:val="left"/>
            </w:pPr>
            <w:r>
              <w:rPr>
                <w:kern w:val="0"/>
              </w:rPr>
              <w:t>预收账款</w:t>
            </w:r>
          </w:p>
        </w:tc>
        <w:tc>
          <w:tcPr>
            <w:tcBorders>
              <w:top w:val="single" w:color="auto" w:sz="4" w:space="0"/>
              <w:left w:val="single" w:color="auto" w:sz="4" w:space="0"/>
              <w:bottom w:val="single" w:color="auto" w:sz="4" w:space="0"/>
              <w:right w:val="single" w:color="auto" w:sz="4" w:space="0"/>
            </w:tcBorders>
            <w:vAlign w:val="center"/>
          </w:tcPr>
          <w:p w14:paraId="55E3361B">
            <w:pPr>
              <w:jc w:val="right"/>
            </w:pPr>
            <w:r>
              <w:rPr>
                <w:kern w:val="0"/>
              </w:rPr>
              <w:t>912,941.66</w:t>
            </w:r>
          </w:p>
        </w:tc>
      </w:tr>
      <w:tr w14:paraId="28EF0E59">
        <w:tblPrEx>
          <w:tblCellMar>
            <w:top w:w="0" w:type="dxa"/>
            <w:left w:w="0" w:type="dxa"/>
            <w:bottom w:w="0" w:type="dxa"/>
            <w:right w:w="0" w:type="dxa"/>
          </w:tblCellMar>
        </w:tblPrEx>
        <w:tc>
          <w:tcPr>
            <w:tcBorders>
              <w:top w:val="single" w:color="auto" w:sz="4" w:space="0"/>
              <w:left w:val="single" w:color="auto" w:sz="4" w:space="0"/>
              <w:bottom w:val="single" w:color="auto" w:sz="4" w:space="0"/>
              <w:right w:val="single" w:color="auto" w:sz="4" w:space="0"/>
            </w:tcBorders>
            <w:vAlign w:val="center"/>
          </w:tcPr>
          <w:p w14:paraId="1C2C7E83">
            <w:pPr>
              <w:jc w:val="left"/>
            </w:pPr>
            <w:r>
              <w:rPr>
                <w:kern w:val="0"/>
              </w:rPr>
              <w:t>待转销项税</w:t>
            </w:r>
          </w:p>
        </w:tc>
        <w:tc>
          <w:tcPr>
            <w:tcBorders>
              <w:top w:val="single" w:color="auto" w:sz="4" w:space="0"/>
              <w:left w:val="single" w:color="auto" w:sz="4" w:space="0"/>
              <w:bottom w:val="single" w:color="auto" w:sz="4" w:space="0"/>
              <w:right w:val="single" w:color="auto" w:sz="4" w:space="0"/>
            </w:tcBorders>
            <w:vAlign w:val="center"/>
          </w:tcPr>
          <w:p w14:paraId="5A3E6293">
            <w:pPr>
              <w:jc w:val="right"/>
            </w:pPr>
            <w:r>
              <w:rPr>
                <w:kern w:val="0"/>
              </w:rPr>
              <w:t>640,608.77</w:t>
            </w:r>
          </w:p>
        </w:tc>
      </w:tr>
      <w:tr w14:paraId="53D5B4F7">
        <w:tblPrEx>
          <w:tblCellMar>
            <w:top w:w="0" w:type="dxa"/>
            <w:left w:w="0" w:type="dxa"/>
            <w:bottom w:w="0" w:type="dxa"/>
            <w:right w:w="0" w:type="dxa"/>
          </w:tblCellMar>
        </w:tblPrEx>
        <w:trPr>
          <w:trHeight w:val="300" w:hRule="atLeast"/>
        </w:trPr>
        <w:tc>
          <w:tcPr>
            <w:tcW w:w="1562" w:type="pct"/>
            <w:tcBorders>
              <w:top w:val="single" w:color="auto" w:sz="4" w:space="0"/>
              <w:left w:val="single" w:color="auto" w:sz="4" w:space="0"/>
              <w:bottom w:val="single" w:color="auto" w:sz="4" w:space="0"/>
              <w:right w:val="single" w:color="auto" w:sz="4" w:space="0"/>
            </w:tcBorders>
            <w:vAlign w:val="bottom"/>
          </w:tcPr>
          <w:p w14:paraId="431A7E79">
            <w:pPr>
              <w:spacing w:line="360" w:lineRule="auto"/>
              <w:jc w:val="center"/>
            </w:pPr>
            <w:r>
              <w:t>合计</w:t>
            </w:r>
          </w:p>
        </w:tc>
        <w:tc>
          <w:tcPr>
            <w:tcW w:w="3438" w:type="pct"/>
            <w:tcBorders>
              <w:top w:val="single" w:color="auto" w:sz="4" w:space="0"/>
              <w:left w:val="nil"/>
              <w:bottom w:val="single" w:color="auto" w:sz="4" w:space="0"/>
              <w:right w:val="single" w:color="auto" w:sz="4" w:space="0"/>
            </w:tcBorders>
            <w:vAlign w:val="center"/>
          </w:tcPr>
          <w:p w14:paraId="4F00269A">
            <w:pPr>
              <w:tabs>
                <w:tab w:val="left" w:pos="196"/>
                <w:tab w:val="left" w:pos="426"/>
              </w:tabs>
              <w:snapToGrid w:val="0"/>
              <w:spacing w:line="360" w:lineRule="auto"/>
              <w:jc w:val="right"/>
            </w:pPr>
            <w:r>
              <w:rPr>
                <w:kern w:val="0"/>
              </w:rPr>
              <w:t>45,504,139.36</w:t>
            </w:r>
          </w:p>
        </w:tc>
      </w:tr>
    </w:tbl>
    <w:p w14:paraId="4937BEA4">
      <w:pPr>
        <w:spacing w:line="360" w:lineRule="auto"/>
        <w:outlineLvl w:val="3"/>
        <w:rPr>
          <w:b/>
        </w:rPr>
      </w:pPr>
      <w:r>
        <w:rPr>
          <w:b/>
          <w:kern w:val="0"/>
        </w:rPr>
        <w:t>9.5.6.11.2</w:t>
      </w:r>
      <w:r>
        <w:rPr>
          <w:b/>
        </w:rPr>
        <w:t xml:space="preserve"> 预收款项</w:t>
      </w:r>
    </w:p>
    <w:p w14:paraId="7A996C12">
      <w:pPr>
        <w:spacing w:line="360" w:lineRule="auto"/>
        <w:outlineLvl w:val="3"/>
        <w:rPr>
          <w:b/>
        </w:rPr>
      </w:pPr>
      <w:r>
        <w:rPr>
          <w:b/>
          <w:kern w:val="0"/>
        </w:rPr>
        <w:t>9.5.6.11.2.1</w:t>
      </w:r>
      <w:r>
        <w:rPr>
          <w:b/>
        </w:rPr>
        <w:t xml:space="preserve"> 预收款项情况</w:t>
      </w:r>
    </w:p>
    <w:p w14:paraId="6AD3EE37">
      <w:pPr>
        <w:spacing w:line="360" w:lineRule="auto"/>
        <w:ind w:right="-50" w:rightChars="-24"/>
        <w:jc w:val="right"/>
        <w:rPr>
          <w:kern w:val="0"/>
        </w:rPr>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6198"/>
      </w:tblGrid>
      <w:tr w14:paraId="42D2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1572" w:type="pct"/>
            <w:vAlign w:val="center"/>
          </w:tcPr>
          <w:p w14:paraId="5F66A199">
            <w:pPr>
              <w:spacing w:line="360" w:lineRule="auto"/>
              <w:jc w:val="center"/>
            </w:pPr>
            <w:r>
              <w:rPr>
                <w:kern w:val="0"/>
              </w:rPr>
              <w:t>项目</w:t>
            </w:r>
          </w:p>
        </w:tc>
        <w:tc>
          <w:tcPr>
            <w:tcW w:w="3428" w:type="pct"/>
          </w:tcPr>
          <w:p w14:paraId="442AC064">
            <w:pPr>
              <w:spacing w:line="360" w:lineRule="auto"/>
              <w:jc w:val="center"/>
              <w:rPr>
                <w:kern w:val="0"/>
              </w:rPr>
            </w:pPr>
            <w:r>
              <w:rPr>
                <w:kern w:val="0"/>
              </w:rPr>
              <w:t>本期末</w:t>
            </w:r>
          </w:p>
          <w:p w14:paraId="728DBE80">
            <w:pPr>
              <w:spacing w:line="360" w:lineRule="auto"/>
              <w:jc w:val="center"/>
              <w:rPr>
                <w:kern w:val="0"/>
              </w:rPr>
            </w:pPr>
            <w:r>
              <w:t>2026年6月30日</w:t>
            </w:r>
          </w:p>
        </w:tc>
      </w:tr>
      <w:tr w14:paraId="2561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95367A9">
            <w:pPr>
              <w:jc w:val="left"/>
            </w:pPr>
            <w:r>
              <w:rPr>
                <w:kern w:val="0"/>
              </w:rPr>
              <w:t>预收租金</w:t>
            </w:r>
          </w:p>
        </w:tc>
        <w:tc>
          <w:tcPr>
            <w:vAlign w:val="center"/>
          </w:tcPr>
          <w:p w14:paraId="615AECD6">
            <w:pPr>
              <w:jc w:val="right"/>
            </w:pPr>
            <w:r>
              <w:rPr>
                <w:kern w:val="0"/>
              </w:rPr>
              <w:t>912,941.66</w:t>
            </w:r>
          </w:p>
        </w:tc>
      </w:tr>
      <w:tr w14:paraId="0242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72" w:type="pct"/>
            <w:vAlign w:val="center"/>
          </w:tcPr>
          <w:p w14:paraId="56919348">
            <w:pPr>
              <w:tabs>
                <w:tab w:val="left" w:pos="196"/>
                <w:tab w:val="left" w:pos="426"/>
              </w:tabs>
              <w:snapToGrid w:val="0"/>
              <w:spacing w:line="360" w:lineRule="auto"/>
              <w:jc w:val="center"/>
            </w:pPr>
            <w:r>
              <w:t>合计</w:t>
            </w:r>
          </w:p>
        </w:tc>
        <w:tc>
          <w:tcPr>
            <w:tcW w:w="3428" w:type="pct"/>
            <w:vAlign w:val="center"/>
          </w:tcPr>
          <w:p w14:paraId="13F6E880">
            <w:pPr>
              <w:tabs>
                <w:tab w:val="left" w:pos="196"/>
                <w:tab w:val="left" w:pos="426"/>
              </w:tabs>
              <w:snapToGrid w:val="0"/>
              <w:spacing w:line="360" w:lineRule="auto"/>
              <w:jc w:val="right"/>
            </w:pPr>
            <w:r>
              <w:rPr>
                <w:kern w:val="0"/>
              </w:rPr>
              <w:t>912,941.66</w:t>
            </w:r>
          </w:p>
        </w:tc>
      </w:tr>
    </w:tbl>
    <w:p w14:paraId="1ECCDCB7">
      <w:pPr>
        <w:spacing w:line="360" w:lineRule="auto"/>
        <w:outlineLvl w:val="3"/>
        <w:rPr>
          <w:b/>
        </w:rPr>
      </w:pPr>
      <w:r>
        <w:rPr>
          <w:b/>
          <w:kern w:val="0"/>
        </w:rPr>
        <w:t>9.5.6.11.3</w:t>
      </w:r>
      <w:r>
        <w:rPr>
          <w:b/>
        </w:rPr>
        <w:t xml:space="preserve"> 其他应付款</w:t>
      </w:r>
    </w:p>
    <w:p w14:paraId="343C1C5E">
      <w:pPr>
        <w:spacing w:line="360" w:lineRule="auto"/>
        <w:outlineLvl w:val="3"/>
        <w:rPr>
          <w:b/>
        </w:rPr>
      </w:pPr>
      <w:r>
        <w:rPr>
          <w:b/>
          <w:kern w:val="0"/>
        </w:rPr>
        <w:t>9.5.6.11.3.1</w:t>
      </w:r>
      <w:r>
        <w:rPr>
          <w:b/>
        </w:rPr>
        <w:t xml:space="preserve"> 按款项性质列示的其他应付款</w:t>
      </w:r>
    </w:p>
    <w:p w14:paraId="01190B5C">
      <w:pPr>
        <w:spacing w:line="360" w:lineRule="auto"/>
        <w:ind w:right="-50" w:rightChars="-24"/>
        <w:jc w:val="right"/>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0"/>
        <w:gridCol w:w="4920"/>
      </w:tblGrid>
      <w:tr w14:paraId="65D00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279" w:type="pct"/>
            <w:vAlign w:val="center"/>
          </w:tcPr>
          <w:p w14:paraId="1873FB9F">
            <w:pPr>
              <w:tabs>
                <w:tab w:val="left" w:pos="196"/>
                <w:tab w:val="left" w:pos="426"/>
              </w:tabs>
              <w:snapToGrid w:val="0"/>
              <w:spacing w:line="360" w:lineRule="auto"/>
              <w:jc w:val="center"/>
            </w:pPr>
            <w:r>
              <w:t>款项性质</w:t>
            </w:r>
          </w:p>
        </w:tc>
        <w:tc>
          <w:tcPr>
            <w:tcW w:w="2721" w:type="pct"/>
          </w:tcPr>
          <w:p w14:paraId="2541D32B">
            <w:pPr>
              <w:spacing w:line="360" w:lineRule="auto"/>
              <w:jc w:val="center"/>
              <w:rPr>
                <w:kern w:val="0"/>
              </w:rPr>
            </w:pPr>
            <w:r>
              <w:rPr>
                <w:kern w:val="0"/>
              </w:rPr>
              <w:t>本期末</w:t>
            </w:r>
          </w:p>
          <w:p w14:paraId="57976379">
            <w:pPr>
              <w:spacing w:line="360" w:lineRule="auto"/>
              <w:jc w:val="center"/>
              <w:rPr>
                <w:kern w:val="0"/>
              </w:rPr>
            </w:pPr>
            <w:r>
              <w:t>2026年6月30日</w:t>
            </w:r>
          </w:p>
        </w:tc>
      </w:tr>
      <w:tr w14:paraId="6BC0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79" w:type="pct"/>
            <w:vAlign w:val="center"/>
          </w:tcPr>
          <w:p w14:paraId="77A4D6A1">
            <w:pPr>
              <w:tabs>
                <w:tab w:val="left" w:pos="196"/>
                <w:tab w:val="left" w:pos="426"/>
              </w:tabs>
              <w:snapToGrid w:val="0"/>
              <w:spacing w:line="360" w:lineRule="auto"/>
            </w:pPr>
            <w:r>
              <w:t>质保金</w:t>
            </w:r>
          </w:p>
        </w:tc>
        <w:tc>
          <w:tcPr>
            <w:tcW w:w="2721" w:type="pct"/>
            <w:vAlign w:val="center"/>
          </w:tcPr>
          <w:p w14:paraId="456C6DE1">
            <w:pPr>
              <w:tabs>
                <w:tab w:val="left" w:pos="196"/>
                <w:tab w:val="left" w:pos="426"/>
              </w:tabs>
              <w:snapToGrid w:val="0"/>
              <w:spacing w:line="360" w:lineRule="auto"/>
              <w:ind w:right="38" w:rightChars="18"/>
              <w:jc w:val="right"/>
            </w:pPr>
            <w:r>
              <w:rPr>
                <w:kern w:val="0"/>
              </w:rPr>
              <w:t>-</w:t>
            </w:r>
          </w:p>
        </w:tc>
      </w:tr>
      <w:tr w14:paraId="7ED5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79" w:type="pct"/>
            <w:vAlign w:val="center"/>
          </w:tcPr>
          <w:p w14:paraId="4756541E">
            <w:pPr>
              <w:tabs>
                <w:tab w:val="left" w:pos="196"/>
                <w:tab w:val="left" w:pos="426"/>
              </w:tabs>
              <w:snapToGrid w:val="0"/>
              <w:spacing w:line="360" w:lineRule="auto"/>
            </w:pPr>
            <w:r>
              <w:t>押金及保证金</w:t>
            </w:r>
          </w:p>
        </w:tc>
        <w:tc>
          <w:tcPr>
            <w:tcW w:w="2721" w:type="pct"/>
            <w:vAlign w:val="center"/>
          </w:tcPr>
          <w:p w14:paraId="6DE4D53E">
            <w:pPr>
              <w:tabs>
                <w:tab w:val="left" w:pos="196"/>
                <w:tab w:val="left" w:pos="426"/>
              </w:tabs>
              <w:snapToGrid w:val="0"/>
              <w:spacing w:line="360" w:lineRule="auto"/>
              <w:ind w:right="38" w:rightChars="18"/>
              <w:jc w:val="right"/>
            </w:pPr>
            <w:r>
              <w:rPr>
                <w:kern w:val="0"/>
              </w:rPr>
              <w:t>38,473,358.27</w:t>
            </w:r>
          </w:p>
        </w:tc>
      </w:tr>
      <w:tr w14:paraId="3544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9412334">
            <w:pPr>
              <w:jc w:val="left"/>
            </w:pPr>
            <w:r>
              <w:rPr>
                <w:kern w:val="0"/>
              </w:rPr>
              <w:t>预提费用</w:t>
            </w:r>
          </w:p>
        </w:tc>
        <w:tc>
          <w:tcPr>
            <w:vAlign w:val="center"/>
          </w:tcPr>
          <w:p w14:paraId="6C3975E1">
            <w:pPr>
              <w:jc w:val="right"/>
            </w:pPr>
            <w:r>
              <w:rPr>
                <w:kern w:val="0"/>
              </w:rPr>
              <w:t>948,035.79</w:t>
            </w:r>
          </w:p>
        </w:tc>
      </w:tr>
      <w:tr w14:paraId="7571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79" w:type="pct"/>
            <w:vAlign w:val="center"/>
          </w:tcPr>
          <w:p w14:paraId="5E08D825">
            <w:pPr>
              <w:tabs>
                <w:tab w:val="left" w:pos="196"/>
                <w:tab w:val="left" w:pos="426"/>
              </w:tabs>
              <w:snapToGrid w:val="0"/>
              <w:spacing w:line="360" w:lineRule="auto"/>
            </w:pPr>
            <w:r>
              <w:t>其他</w:t>
            </w:r>
          </w:p>
        </w:tc>
        <w:tc>
          <w:tcPr>
            <w:tcW w:w="2721" w:type="pct"/>
            <w:vAlign w:val="center"/>
          </w:tcPr>
          <w:p w14:paraId="30BD9E5D">
            <w:pPr>
              <w:tabs>
                <w:tab w:val="left" w:pos="196"/>
                <w:tab w:val="left" w:pos="426"/>
              </w:tabs>
              <w:snapToGrid w:val="0"/>
              <w:spacing w:line="360" w:lineRule="auto"/>
              <w:ind w:right="38" w:rightChars="18"/>
              <w:jc w:val="right"/>
            </w:pPr>
            <w:r>
              <w:rPr>
                <w:kern w:val="0"/>
              </w:rPr>
              <w:t>4,529,194.87</w:t>
            </w:r>
          </w:p>
        </w:tc>
      </w:tr>
      <w:tr w14:paraId="194D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279" w:type="pct"/>
            <w:vAlign w:val="center"/>
          </w:tcPr>
          <w:p w14:paraId="10097826">
            <w:pPr>
              <w:tabs>
                <w:tab w:val="left" w:pos="196"/>
                <w:tab w:val="left" w:pos="426"/>
              </w:tabs>
              <w:snapToGrid w:val="0"/>
              <w:spacing w:line="360" w:lineRule="auto"/>
              <w:jc w:val="center"/>
            </w:pPr>
            <w:r>
              <w:t>合计</w:t>
            </w:r>
          </w:p>
        </w:tc>
        <w:tc>
          <w:tcPr>
            <w:tcW w:w="2721" w:type="pct"/>
            <w:vAlign w:val="center"/>
          </w:tcPr>
          <w:p w14:paraId="491081B9">
            <w:pPr>
              <w:tabs>
                <w:tab w:val="left" w:pos="196"/>
                <w:tab w:val="left" w:pos="426"/>
              </w:tabs>
              <w:snapToGrid w:val="0"/>
              <w:spacing w:line="360" w:lineRule="auto"/>
              <w:ind w:right="38" w:rightChars="18"/>
              <w:jc w:val="right"/>
            </w:pPr>
            <w:r>
              <w:rPr>
                <w:kern w:val="0"/>
              </w:rPr>
              <w:t>43,950,588.93</w:t>
            </w:r>
          </w:p>
        </w:tc>
      </w:tr>
    </w:tbl>
    <w:p w14:paraId="2A113F56">
      <w:pPr>
        <w:spacing w:line="360" w:lineRule="auto"/>
        <w:outlineLvl w:val="3"/>
        <w:rPr>
          <w:b/>
        </w:rPr>
      </w:pPr>
      <w:r>
        <w:rPr>
          <w:b/>
          <w:kern w:val="0"/>
        </w:rPr>
        <w:t>9.5.6.11.3.2</w:t>
      </w:r>
      <w:r>
        <w:rPr>
          <w:b/>
        </w:rPr>
        <w:t xml:space="preserve"> 账龄超过一年的重要其他应付款</w:t>
      </w:r>
    </w:p>
    <w:p w14:paraId="72B7966A">
      <w:pPr>
        <w:spacing w:line="360" w:lineRule="auto"/>
        <w:ind w:right="-50" w:rightChars="-24"/>
        <w:jc w:val="right"/>
        <w:rPr>
          <w:kern w:val="0"/>
        </w:rPr>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6"/>
        <w:gridCol w:w="4869"/>
        <w:gridCol w:w="1734"/>
      </w:tblGrid>
      <w:tr w14:paraId="4600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436" w:type="dxa"/>
            <w:vAlign w:val="center"/>
          </w:tcPr>
          <w:p w14:paraId="081247FD">
            <w:pPr>
              <w:tabs>
                <w:tab w:val="left" w:pos="196"/>
                <w:tab w:val="left" w:pos="426"/>
              </w:tabs>
              <w:snapToGrid w:val="0"/>
              <w:spacing w:line="360" w:lineRule="auto"/>
              <w:jc w:val="center"/>
            </w:pPr>
            <w:r>
              <w:t>债权人名称</w:t>
            </w:r>
          </w:p>
        </w:tc>
        <w:tc>
          <w:tcPr>
            <w:tcW w:w="4869" w:type="dxa"/>
            <w:vAlign w:val="center"/>
          </w:tcPr>
          <w:p w14:paraId="4060628B">
            <w:pPr>
              <w:tabs>
                <w:tab w:val="left" w:pos="196"/>
                <w:tab w:val="left" w:pos="426"/>
              </w:tabs>
              <w:snapToGrid w:val="0"/>
              <w:spacing w:line="360" w:lineRule="auto"/>
              <w:jc w:val="center"/>
            </w:pPr>
            <w:r>
              <w:t>期末余额</w:t>
            </w:r>
          </w:p>
        </w:tc>
        <w:tc>
          <w:tcPr>
            <w:tcW w:w="1734" w:type="dxa"/>
            <w:vAlign w:val="center"/>
          </w:tcPr>
          <w:p w14:paraId="4CB139B9">
            <w:pPr>
              <w:tabs>
                <w:tab w:val="left" w:pos="196"/>
                <w:tab w:val="left" w:pos="426"/>
              </w:tabs>
              <w:snapToGrid w:val="0"/>
              <w:spacing w:line="360" w:lineRule="auto"/>
              <w:jc w:val="center"/>
            </w:pPr>
            <w:r>
              <w:t>未偿还或结转的原因</w:t>
            </w:r>
          </w:p>
        </w:tc>
      </w:tr>
      <w:tr w14:paraId="71C9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231426B">
            <w:pPr>
              <w:jc w:val="left"/>
            </w:pPr>
            <w:r>
              <w:rPr>
                <w:kern w:val="0"/>
              </w:rPr>
              <w:t>万海大厦项目各承租人</w:t>
            </w:r>
          </w:p>
        </w:tc>
        <w:tc>
          <w:tcPr>
            <w:vAlign w:val="center"/>
          </w:tcPr>
          <w:p w14:paraId="5BDC1083">
            <w:pPr>
              <w:jc w:val="right"/>
            </w:pPr>
            <w:r>
              <w:rPr>
                <w:kern w:val="0"/>
              </w:rPr>
              <w:t>10,709,703.56</w:t>
            </w:r>
          </w:p>
        </w:tc>
        <w:tc>
          <w:tcPr>
            <w:vAlign w:val="center"/>
          </w:tcPr>
          <w:p w14:paraId="00DF24FA">
            <w:pPr>
              <w:jc w:val="right"/>
            </w:pPr>
            <w:r>
              <w:rPr>
                <w:kern w:val="0"/>
              </w:rPr>
              <w:t>押金保证金</w:t>
            </w:r>
          </w:p>
        </w:tc>
      </w:tr>
      <w:tr w14:paraId="16D6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B40C2CF">
            <w:pPr>
              <w:jc w:val="left"/>
            </w:pPr>
            <w:r>
              <w:rPr>
                <w:kern w:val="0"/>
              </w:rPr>
              <w:t>万融大厦项目各承租人</w:t>
            </w:r>
          </w:p>
        </w:tc>
        <w:tc>
          <w:tcPr>
            <w:vAlign w:val="center"/>
          </w:tcPr>
          <w:p w14:paraId="0BC19510">
            <w:pPr>
              <w:jc w:val="right"/>
            </w:pPr>
            <w:r>
              <w:rPr>
                <w:kern w:val="0"/>
              </w:rPr>
              <w:t>7,766,043.90</w:t>
            </w:r>
          </w:p>
        </w:tc>
        <w:tc>
          <w:tcPr>
            <w:vAlign w:val="center"/>
          </w:tcPr>
          <w:p w14:paraId="0AC9A959">
            <w:pPr>
              <w:jc w:val="right"/>
            </w:pPr>
            <w:r>
              <w:rPr>
                <w:kern w:val="0"/>
              </w:rPr>
              <w:t>押金保证金</w:t>
            </w:r>
          </w:p>
        </w:tc>
      </w:tr>
      <w:tr w14:paraId="1CAB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AE2073B">
            <w:pPr>
              <w:jc w:val="left"/>
            </w:pPr>
            <w:r>
              <w:rPr>
                <w:kern w:val="0"/>
              </w:rPr>
              <w:t>招光物业项目各承租人</w:t>
            </w:r>
          </w:p>
        </w:tc>
        <w:tc>
          <w:tcPr>
            <w:vAlign w:val="center"/>
          </w:tcPr>
          <w:p w14:paraId="74B07D35">
            <w:pPr>
              <w:jc w:val="right"/>
            </w:pPr>
            <w:r>
              <w:rPr>
                <w:kern w:val="0"/>
              </w:rPr>
              <w:t>11,166,559.29</w:t>
            </w:r>
          </w:p>
        </w:tc>
        <w:tc>
          <w:tcPr>
            <w:vAlign w:val="center"/>
          </w:tcPr>
          <w:p w14:paraId="3DDA7970">
            <w:pPr>
              <w:jc w:val="right"/>
            </w:pPr>
            <w:r>
              <w:rPr>
                <w:kern w:val="0"/>
              </w:rPr>
              <w:t>押金保证金</w:t>
            </w:r>
          </w:p>
        </w:tc>
      </w:tr>
      <w:tr w14:paraId="1566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436" w:type="dxa"/>
            <w:vAlign w:val="center"/>
          </w:tcPr>
          <w:p w14:paraId="0FC89A87">
            <w:pPr>
              <w:tabs>
                <w:tab w:val="left" w:pos="196"/>
                <w:tab w:val="left" w:pos="426"/>
              </w:tabs>
              <w:snapToGrid w:val="0"/>
              <w:spacing w:line="360" w:lineRule="auto"/>
              <w:jc w:val="center"/>
            </w:pPr>
            <w:r>
              <w:t>合计</w:t>
            </w:r>
          </w:p>
        </w:tc>
        <w:tc>
          <w:tcPr>
            <w:tcW w:w="4869" w:type="dxa"/>
            <w:vAlign w:val="center"/>
          </w:tcPr>
          <w:p w14:paraId="1DDCEE75">
            <w:pPr>
              <w:tabs>
                <w:tab w:val="left" w:pos="196"/>
                <w:tab w:val="left" w:pos="426"/>
              </w:tabs>
              <w:snapToGrid w:val="0"/>
              <w:spacing w:line="360" w:lineRule="auto"/>
              <w:jc w:val="right"/>
            </w:pPr>
            <w:r>
              <w:rPr>
                <w:kern w:val="0"/>
              </w:rPr>
              <w:t>29,642,306.75</w:t>
            </w:r>
          </w:p>
        </w:tc>
        <w:tc>
          <w:tcPr>
            <w:tcW w:w="1734" w:type="dxa"/>
            <w:vAlign w:val="center"/>
          </w:tcPr>
          <w:p w14:paraId="3FB4C7EF">
            <w:pPr>
              <w:tabs>
                <w:tab w:val="left" w:pos="196"/>
                <w:tab w:val="left" w:pos="426"/>
              </w:tabs>
              <w:snapToGrid w:val="0"/>
              <w:spacing w:line="360" w:lineRule="auto"/>
              <w:jc w:val="center"/>
            </w:pPr>
            <w:r>
              <w:t>－</w:t>
            </w:r>
          </w:p>
        </w:tc>
      </w:tr>
    </w:tbl>
    <w:p w14:paraId="7BF998E9">
      <w:pPr>
        <w:spacing w:line="360" w:lineRule="auto"/>
        <w:outlineLvl w:val="3"/>
        <w:rPr>
          <w:b/>
        </w:rPr>
      </w:pPr>
      <w:bookmarkStart w:id="369" w:name="OLE_LINK5"/>
      <w:r>
        <w:rPr>
          <w:b/>
          <w:kern w:val="0"/>
        </w:rPr>
        <w:t>9.5.6.12</w:t>
      </w:r>
      <w:r>
        <w:rPr>
          <w:b/>
        </w:rPr>
        <w:t xml:space="preserve">  实收基金</w:t>
      </w:r>
      <w:bookmarkEnd w:id="369"/>
    </w:p>
    <w:p w14:paraId="316C18BC">
      <w:pPr>
        <w:spacing w:line="360" w:lineRule="auto"/>
        <w:jc w:val="right"/>
      </w:pPr>
      <w:r>
        <w:t>金额单位：人民币元</w:t>
      </w:r>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4"/>
        <w:gridCol w:w="3024"/>
        <w:gridCol w:w="3025"/>
      </w:tblGrid>
      <w:tr w14:paraId="1C707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4" w:type="dxa"/>
            <w:vAlign w:val="bottom"/>
          </w:tcPr>
          <w:p w14:paraId="1AFDA1F7">
            <w:pPr>
              <w:spacing w:line="360" w:lineRule="auto"/>
              <w:jc w:val="center"/>
            </w:pPr>
            <w:r>
              <w:t>项目</w:t>
            </w:r>
          </w:p>
        </w:tc>
        <w:tc>
          <w:tcPr>
            <w:tcW w:w="3024" w:type="dxa"/>
            <w:vAlign w:val="bottom"/>
          </w:tcPr>
          <w:p w14:paraId="0F3B4704">
            <w:pPr>
              <w:spacing w:line="360" w:lineRule="auto"/>
              <w:jc w:val="center"/>
            </w:pPr>
            <w:r>
              <w:t>基金份额（份）</w:t>
            </w:r>
          </w:p>
        </w:tc>
        <w:tc>
          <w:tcPr>
            <w:tcW w:w="3025" w:type="dxa"/>
            <w:vAlign w:val="bottom"/>
          </w:tcPr>
          <w:p w14:paraId="70202676">
            <w:pPr>
              <w:spacing w:line="360" w:lineRule="auto"/>
              <w:jc w:val="center"/>
            </w:pPr>
            <w:r>
              <w:t>账面金额</w:t>
            </w:r>
          </w:p>
        </w:tc>
      </w:tr>
      <w:tr w14:paraId="4BE79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4" w:type="dxa"/>
            <w:vAlign w:val="center"/>
          </w:tcPr>
          <w:p w14:paraId="22A04B88">
            <w:pPr>
              <w:spacing w:line="360" w:lineRule="auto"/>
            </w:pPr>
            <w:r>
              <w:t>上年度末</w:t>
            </w:r>
          </w:p>
        </w:tc>
        <w:tc>
          <w:tcPr>
            <w:tcW w:w="3024" w:type="dxa"/>
            <w:vAlign w:val="center"/>
          </w:tcPr>
          <w:p w14:paraId="7A7E6A95">
            <w:pPr>
              <w:spacing w:line="360" w:lineRule="auto"/>
              <w:jc w:val="right"/>
            </w:pPr>
            <w:r>
              <w:t>1,421,130,866.00</w:t>
            </w:r>
          </w:p>
        </w:tc>
        <w:tc>
          <w:tcPr>
            <w:tcW w:w="3025" w:type="dxa"/>
            <w:vAlign w:val="center"/>
          </w:tcPr>
          <w:p w14:paraId="5ECBCF96">
            <w:pPr>
              <w:spacing w:line="360" w:lineRule="auto"/>
              <w:jc w:val="right"/>
            </w:pPr>
            <w:r>
              <w:t>1,421,130,866.00</w:t>
            </w:r>
          </w:p>
        </w:tc>
      </w:tr>
      <w:tr w14:paraId="26EB1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4" w:type="dxa"/>
            <w:vAlign w:val="center"/>
          </w:tcPr>
          <w:p w14:paraId="0EC93C54">
            <w:pPr>
              <w:spacing w:line="360" w:lineRule="auto"/>
            </w:pPr>
            <w:r>
              <w:t>本期认购</w:t>
            </w:r>
          </w:p>
        </w:tc>
        <w:tc>
          <w:tcPr>
            <w:tcW w:w="3024" w:type="dxa"/>
            <w:vAlign w:val="center"/>
          </w:tcPr>
          <w:p w14:paraId="591C0AE7">
            <w:pPr>
              <w:spacing w:line="360" w:lineRule="auto"/>
              <w:jc w:val="right"/>
            </w:pPr>
            <w:r>
              <w:t>-</w:t>
            </w:r>
          </w:p>
        </w:tc>
        <w:tc>
          <w:tcPr>
            <w:tcW w:w="3025" w:type="dxa"/>
            <w:vAlign w:val="center"/>
          </w:tcPr>
          <w:p w14:paraId="23DB1616">
            <w:pPr>
              <w:spacing w:line="360" w:lineRule="auto"/>
              <w:jc w:val="right"/>
            </w:pPr>
            <w:r>
              <w:t>-</w:t>
            </w:r>
          </w:p>
        </w:tc>
      </w:tr>
      <w:tr w14:paraId="5E667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4" w:type="dxa"/>
            <w:vAlign w:val="center"/>
          </w:tcPr>
          <w:p w14:paraId="2523BB8E">
            <w:pPr>
              <w:spacing w:line="360" w:lineRule="auto"/>
            </w:pPr>
            <w:r>
              <w:t>本期赎回（以“-”号填列）</w:t>
            </w:r>
          </w:p>
        </w:tc>
        <w:tc>
          <w:tcPr>
            <w:tcW w:w="3024" w:type="dxa"/>
            <w:vAlign w:val="center"/>
          </w:tcPr>
          <w:p w14:paraId="66DEF274">
            <w:pPr>
              <w:spacing w:line="360" w:lineRule="auto"/>
              <w:jc w:val="right"/>
            </w:pPr>
            <w:r>
              <w:t>-</w:t>
            </w:r>
          </w:p>
        </w:tc>
        <w:tc>
          <w:tcPr>
            <w:tcW w:w="3025" w:type="dxa"/>
            <w:vAlign w:val="center"/>
          </w:tcPr>
          <w:p w14:paraId="12082B01">
            <w:pPr>
              <w:spacing w:line="360" w:lineRule="auto"/>
              <w:jc w:val="right"/>
            </w:pPr>
            <w:r>
              <w:t>-</w:t>
            </w:r>
          </w:p>
        </w:tc>
      </w:tr>
      <w:tr w14:paraId="0928F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24" w:type="dxa"/>
            <w:vAlign w:val="center"/>
          </w:tcPr>
          <w:p w14:paraId="1BF764A0">
            <w:pPr>
              <w:spacing w:line="360" w:lineRule="auto"/>
            </w:pPr>
            <w:r>
              <w:t>本期末</w:t>
            </w:r>
          </w:p>
        </w:tc>
        <w:tc>
          <w:tcPr>
            <w:tcW w:w="3024" w:type="dxa"/>
            <w:vAlign w:val="center"/>
          </w:tcPr>
          <w:p w14:paraId="7CDC0F16">
            <w:pPr>
              <w:spacing w:line="360" w:lineRule="auto"/>
              <w:jc w:val="right"/>
            </w:pPr>
            <w:r>
              <w:t>1,421,130,866.00</w:t>
            </w:r>
          </w:p>
        </w:tc>
        <w:tc>
          <w:tcPr>
            <w:tcW w:w="3025" w:type="dxa"/>
            <w:vAlign w:val="center"/>
          </w:tcPr>
          <w:p w14:paraId="213BAB57">
            <w:pPr>
              <w:spacing w:line="360" w:lineRule="auto"/>
              <w:jc w:val="right"/>
            </w:pPr>
            <w:r>
              <w:t>1,421,130,866.00</w:t>
            </w:r>
          </w:p>
        </w:tc>
      </w:tr>
    </w:tbl>
    <w:p w14:paraId="0A7AD5A1">
      <w:pPr>
        <w:spacing w:line="360" w:lineRule="auto"/>
        <w:outlineLvl w:val="3"/>
        <w:rPr>
          <w:b/>
        </w:rPr>
      </w:pPr>
      <w:r>
        <w:rPr>
          <w:b/>
          <w:kern w:val="0"/>
        </w:rPr>
        <w:t>9.5.6.13</w:t>
      </w:r>
      <w:r>
        <w:rPr>
          <w:b/>
        </w:rPr>
        <w:t xml:space="preserve">  资本公积</w:t>
      </w:r>
    </w:p>
    <w:p w14:paraId="25623424">
      <w:pPr>
        <w:spacing w:line="360" w:lineRule="auto"/>
        <w:ind w:right="-50" w:rightChars="-24"/>
        <w:jc w:val="right"/>
      </w:pPr>
      <w:r>
        <w:t>单位：人民币元</w:t>
      </w:r>
    </w:p>
    <w:tbl>
      <w:tblPr>
        <w:tblStyle w:val="40"/>
        <w:tblW w:w="53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4"/>
        <w:gridCol w:w="1767"/>
        <w:gridCol w:w="1767"/>
        <w:gridCol w:w="1766"/>
        <w:gridCol w:w="1766"/>
      </w:tblGrid>
      <w:tr w14:paraId="2BE1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91" w:type="pct"/>
            <w:vAlign w:val="center"/>
          </w:tcPr>
          <w:p w14:paraId="43771AD3">
            <w:pPr>
              <w:spacing w:line="360" w:lineRule="auto"/>
              <w:jc w:val="center"/>
            </w:pPr>
            <w:r>
              <w:t>项目</w:t>
            </w:r>
          </w:p>
        </w:tc>
        <w:tc>
          <w:tcPr>
            <w:tcW w:w="977" w:type="pct"/>
            <w:vAlign w:val="center"/>
          </w:tcPr>
          <w:p w14:paraId="4B4CF102">
            <w:pPr>
              <w:spacing w:line="360" w:lineRule="auto"/>
              <w:jc w:val="center"/>
            </w:pPr>
            <w:r>
              <w:t>期初余额</w:t>
            </w:r>
          </w:p>
        </w:tc>
        <w:tc>
          <w:tcPr>
            <w:tcW w:w="977" w:type="pct"/>
            <w:vAlign w:val="center"/>
          </w:tcPr>
          <w:p w14:paraId="61C6CA31">
            <w:pPr>
              <w:spacing w:line="360" w:lineRule="auto"/>
              <w:jc w:val="center"/>
            </w:pPr>
            <w:r>
              <w:t>本期增加金额</w:t>
            </w:r>
          </w:p>
        </w:tc>
        <w:tc>
          <w:tcPr>
            <w:tcW w:w="977" w:type="pct"/>
            <w:vAlign w:val="center"/>
          </w:tcPr>
          <w:p w14:paraId="2247AC4B">
            <w:pPr>
              <w:spacing w:line="360" w:lineRule="auto"/>
              <w:jc w:val="center"/>
            </w:pPr>
            <w:r>
              <w:t>本期减少金额</w:t>
            </w:r>
          </w:p>
        </w:tc>
        <w:tc>
          <w:tcPr>
            <w:tcW w:w="977" w:type="pct"/>
            <w:vAlign w:val="center"/>
          </w:tcPr>
          <w:p w14:paraId="32A981B4">
            <w:pPr>
              <w:spacing w:line="360" w:lineRule="auto"/>
              <w:jc w:val="center"/>
            </w:pPr>
            <w:r>
              <w:t>期末余额</w:t>
            </w:r>
          </w:p>
        </w:tc>
      </w:tr>
      <w:tr w14:paraId="6108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91" w:type="pct"/>
            <w:vAlign w:val="center"/>
          </w:tcPr>
          <w:p w14:paraId="0A2A5084">
            <w:pPr>
              <w:spacing w:line="360" w:lineRule="auto"/>
              <w:jc w:val="left"/>
            </w:pPr>
            <w:r>
              <w:t>资本溢价</w:t>
            </w:r>
          </w:p>
        </w:tc>
        <w:tc>
          <w:tcPr>
            <w:tcW w:w="977" w:type="pct"/>
          </w:tcPr>
          <w:p w14:paraId="145F9BFE">
            <w:pPr>
              <w:spacing w:line="360" w:lineRule="auto"/>
              <w:jc w:val="center"/>
            </w:pPr>
            <w:r>
              <w:t>1,901,808,511.21</w:t>
            </w:r>
          </w:p>
        </w:tc>
        <w:tc>
          <w:tcPr>
            <w:tcW w:w="977" w:type="pct"/>
          </w:tcPr>
          <w:p w14:paraId="32F0100E">
            <w:pPr>
              <w:spacing w:line="360" w:lineRule="auto"/>
            </w:pPr>
            <w:r>
              <w:t>-</w:t>
            </w:r>
          </w:p>
        </w:tc>
        <w:tc>
          <w:tcPr>
            <w:tcW w:w="977" w:type="pct"/>
          </w:tcPr>
          <w:p w14:paraId="3EA4A614">
            <w:pPr>
              <w:spacing w:line="360" w:lineRule="auto"/>
            </w:pPr>
            <w:r>
              <w:t>-</w:t>
            </w:r>
          </w:p>
        </w:tc>
        <w:tc>
          <w:tcPr>
            <w:tcW w:w="977" w:type="pct"/>
          </w:tcPr>
          <w:p w14:paraId="4D84218F">
            <w:pPr>
              <w:spacing w:line="360" w:lineRule="auto"/>
            </w:pPr>
            <w:r>
              <w:t>1,901,808,511.21</w:t>
            </w:r>
          </w:p>
        </w:tc>
      </w:tr>
      <w:tr w14:paraId="2BD0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91" w:type="pct"/>
            <w:vAlign w:val="center"/>
          </w:tcPr>
          <w:p w14:paraId="1740942B">
            <w:pPr>
              <w:spacing w:line="360" w:lineRule="auto"/>
              <w:jc w:val="left"/>
            </w:pPr>
            <w:r>
              <w:t>其他资本公积</w:t>
            </w:r>
          </w:p>
        </w:tc>
        <w:tc>
          <w:tcPr>
            <w:tcW w:w="977" w:type="pct"/>
          </w:tcPr>
          <w:p w14:paraId="2380E820">
            <w:pPr>
              <w:spacing w:line="360" w:lineRule="auto"/>
            </w:pPr>
            <w:r>
              <w:t>-</w:t>
            </w:r>
          </w:p>
        </w:tc>
        <w:tc>
          <w:tcPr>
            <w:tcW w:w="977" w:type="pct"/>
          </w:tcPr>
          <w:p w14:paraId="2355D770">
            <w:pPr>
              <w:spacing w:line="360" w:lineRule="auto"/>
            </w:pPr>
            <w:r>
              <w:t>-</w:t>
            </w:r>
          </w:p>
        </w:tc>
        <w:tc>
          <w:tcPr>
            <w:tcW w:w="977" w:type="pct"/>
          </w:tcPr>
          <w:p w14:paraId="2F36A5ED">
            <w:pPr>
              <w:spacing w:line="360" w:lineRule="auto"/>
            </w:pPr>
            <w:r>
              <w:t>-</w:t>
            </w:r>
          </w:p>
        </w:tc>
        <w:tc>
          <w:tcPr>
            <w:tcW w:w="977" w:type="pct"/>
          </w:tcPr>
          <w:p w14:paraId="5E883E73">
            <w:pPr>
              <w:spacing w:line="360" w:lineRule="auto"/>
            </w:pPr>
            <w:r>
              <w:t>-</w:t>
            </w:r>
          </w:p>
        </w:tc>
      </w:tr>
      <w:tr w14:paraId="5073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91" w:type="pct"/>
            <w:vAlign w:val="center"/>
          </w:tcPr>
          <w:p w14:paraId="01AEB75F">
            <w:pPr>
              <w:spacing w:line="360" w:lineRule="auto"/>
              <w:jc w:val="center"/>
            </w:pPr>
            <w:r>
              <w:t>合计</w:t>
            </w:r>
          </w:p>
        </w:tc>
        <w:tc>
          <w:tcPr>
            <w:tcW w:w="977" w:type="pct"/>
          </w:tcPr>
          <w:p w14:paraId="26BD59AE">
            <w:pPr>
              <w:spacing w:line="360" w:lineRule="auto"/>
            </w:pPr>
            <w:r>
              <w:t>1,901,808,511.21</w:t>
            </w:r>
          </w:p>
        </w:tc>
        <w:tc>
          <w:tcPr>
            <w:tcW w:w="977" w:type="pct"/>
          </w:tcPr>
          <w:p w14:paraId="49263B75">
            <w:pPr>
              <w:spacing w:line="360" w:lineRule="auto"/>
            </w:pPr>
            <w:r>
              <w:t>-</w:t>
            </w:r>
          </w:p>
        </w:tc>
        <w:tc>
          <w:tcPr>
            <w:tcW w:w="977" w:type="pct"/>
          </w:tcPr>
          <w:p w14:paraId="5AC3E0C7">
            <w:pPr>
              <w:spacing w:line="360" w:lineRule="auto"/>
            </w:pPr>
            <w:r>
              <w:t>-</w:t>
            </w:r>
          </w:p>
        </w:tc>
        <w:tc>
          <w:tcPr>
            <w:tcW w:w="977" w:type="pct"/>
          </w:tcPr>
          <w:p w14:paraId="27931400">
            <w:pPr>
              <w:spacing w:line="360" w:lineRule="auto"/>
            </w:pPr>
            <w:r>
              <w:t>1,901,808,511.21</w:t>
            </w:r>
          </w:p>
        </w:tc>
      </w:tr>
    </w:tbl>
    <w:p w14:paraId="61926E06">
      <w:pPr>
        <w:spacing w:line="360" w:lineRule="auto"/>
        <w:outlineLvl w:val="3"/>
        <w:rPr>
          <w:b/>
        </w:rPr>
      </w:pPr>
      <w:r>
        <w:rPr>
          <w:b/>
          <w:kern w:val="0"/>
        </w:rPr>
        <w:t>9.5.6.14</w:t>
      </w:r>
      <w:r>
        <w:rPr>
          <w:b/>
        </w:rPr>
        <w:t xml:space="preserve">  未分配利润</w:t>
      </w:r>
    </w:p>
    <w:p w14:paraId="4993CD19">
      <w:pPr>
        <w:spacing w:line="360" w:lineRule="auto"/>
        <w:jc w:val="right"/>
      </w:pPr>
      <w:r>
        <w:t>单位：人民币元</w:t>
      </w:r>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2"/>
        <w:gridCol w:w="2100"/>
        <w:gridCol w:w="2100"/>
        <w:gridCol w:w="2031"/>
      </w:tblGrid>
      <w:tr w14:paraId="0C35A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463007A8">
            <w:pPr>
              <w:spacing w:line="360" w:lineRule="auto"/>
              <w:jc w:val="center"/>
            </w:pPr>
            <w:r>
              <w:t>项目</w:t>
            </w:r>
          </w:p>
        </w:tc>
        <w:tc>
          <w:tcPr>
            <w:tcW w:w="2100" w:type="dxa"/>
            <w:vAlign w:val="center"/>
          </w:tcPr>
          <w:p w14:paraId="3BA28E20">
            <w:pPr>
              <w:spacing w:line="360" w:lineRule="auto"/>
              <w:jc w:val="center"/>
            </w:pPr>
            <w:r>
              <w:t>已实现部分</w:t>
            </w:r>
          </w:p>
        </w:tc>
        <w:tc>
          <w:tcPr>
            <w:tcW w:w="2100" w:type="dxa"/>
            <w:vAlign w:val="center"/>
          </w:tcPr>
          <w:p w14:paraId="66333026">
            <w:pPr>
              <w:spacing w:line="360" w:lineRule="auto"/>
              <w:jc w:val="center"/>
            </w:pPr>
            <w:r>
              <w:t>未实现部分</w:t>
            </w:r>
          </w:p>
        </w:tc>
        <w:tc>
          <w:tcPr>
            <w:tcW w:w="2031" w:type="dxa"/>
            <w:vAlign w:val="center"/>
          </w:tcPr>
          <w:p w14:paraId="54CB096E">
            <w:pPr>
              <w:spacing w:line="360" w:lineRule="auto"/>
              <w:jc w:val="center"/>
            </w:pPr>
            <w:r>
              <w:t>合计</w:t>
            </w:r>
          </w:p>
        </w:tc>
      </w:tr>
      <w:tr w14:paraId="11780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00B40E50">
            <w:pPr>
              <w:spacing w:line="360" w:lineRule="auto"/>
            </w:pPr>
            <w:r>
              <w:t>上年度末</w:t>
            </w:r>
          </w:p>
        </w:tc>
        <w:tc>
          <w:tcPr>
            <w:tcW w:w="2100" w:type="dxa"/>
            <w:vAlign w:val="center"/>
          </w:tcPr>
          <w:p w14:paraId="1695B322">
            <w:pPr>
              <w:spacing w:line="360" w:lineRule="auto"/>
              <w:jc w:val="right"/>
            </w:pPr>
            <w:r>
              <w:t>-305,138,984.51</w:t>
            </w:r>
          </w:p>
        </w:tc>
        <w:tc>
          <w:tcPr>
            <w:tcW w:w="2100" w:type="dxa"/>
            <w:vAlign w:val="center"/>
          </w:tcPr>
          <w:p w14:paraId="0805EF4E">
            <w:pPr>
              <w:spacing w:line="360" w:lineRule="auto"/>
              <w:jc w:val="right"/>
            </w:pPr>
            <w:r>
              <w:t>-</w:t>
            </w:r>
          </w:p>
        </w:tc>
        <w:tc>
          <w:tcPr>
            <w:tcW w:w="2031" w:type="dxa"/>
            <w:vAlign w:val="center"/>
          </w:tcPr>
          <w:p w14:paraId="66BA3B0B">
            <w:pPr>
              <w:spacing w:line="360" w:lineRule="auto"/>
              <w:jc w:val="right"/>
            </w:pPr>
            <w:r>
              <w:t>-305,138,984.51</w:t>
            </w:r>
          </w:p>
        </w:tc>
      </w:tr>
      <w:tr w14:paraId="68003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443B850C">
            <w:pPr>
              <w:spacing w:line="360" w:lineRule="auto"/>
            </w:pPr>
            <w:r>
              <w:t>本期利润</w:t>
            </w:r>
          </w:p>
        </w:tc>
        <w:tc>
          <w:tcPr>
            <w:tcW w:w="2100" w:type="dxa"/>
            <w:vAlign w:val="center"/>
          </w:tcPr>
          <w:p w14:paraId="3A6BF10E">
            <w:pPr>
              <w:spacing w:line="360" w:lineRule="auto"/>
              <w:jc w:val="right"/>
            </w:pPr>
            <w:r>
              <w:t>19,418,634.17</w:t>
            </w:r>
          </w:p>
        </w:tc>
        <w:tc>
          <w:tcPr>
            <w:tcW w:w="2100" w:type="dxa"/>
            <w:vAlign w:val="center"/>
          </w:tcPr>
          <w:p w14:paraId="5A0B7BCD">
            <w:pPr>
              <w:spacing w:line="360" w:lineRule="auto"/>
              <w:jc w:val="right"/>
            </w:pPr>
            <w:r>
              <w:t>-</w:t>
            </w:r>
          </w:p>
        </w:tc>
        <w:tc>
          <w:tcPr>
            <w:tcW w:w="2031" w:type="dxa"/>
            <w:vAlign w:val="center"/>
          </w:tcPr>
          <w:p w14:paraId="05995FE3">
            <w:pPr>
              <w:spacing w:line="360" w:lineRule="auto"/>
              <w:jc w:val="right"/>
            </w:pPr>
            <w:r>
              <w:t>19,418,634.17</w:t>
            </w:r>
          </w:p>
        </w:tc>
      </w:tr>
      <w:tr w14:paraId="147DA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6B49A813">
            <w:pPr>
              <w:spacing w:line="360" w:lineRule="auto"/>
            </w:pPr>
            <w:r>
              <w:t>本期基金份额交易产生的变动数</w:t>
            </w:r>
          </w:p>
        </w:tc>
        <w:tc>
          <w:tcPr>
            <w:tcW w:w="2100" w:type="dxa"/>
            <w:vAlign w:val="center"/>
          </w:tcPr>
          <w:p w14:paraId="03C1D4E5">
            <w:pPr>
              <w:spacing w:line="360" w:lineRule="auto"/>
              <w:jc w:val="right"/>
            </w:pPr>
            <w:r>
              <w:t>-</w:t>
            </w:r>
          </w:p>
        </w:tc>
        <w:tc>
          <w:tcPr>
            <w:tcW w:w="2100" w:type="dxa"/>
            <w:vAlign w:val="center"/>
          </w:tcPr>
          <w:p w14:paraId="3E110F90">
            <w:pPr>
              <w:spacing w:line="360" w:lineRule="auto"/>
              <w:jc w:val="right"/>
            </w:pPr>
            <w:r>
              <w:t>-</w:t>
            </w:r>
          </w:p>
        </w:tc>
        <w:tc>
          <w:tcPr>
            <w:tcW w:w="2031" w:type="dxa"/>
            <w:vAlign w:val="center"/>
          </w:tcPr>
          <w:p w14:paraId="2F8ECDE5">
            <w:pPr>
              <w:spacing w:line="360" w:lineRule="auto"/>
              <w:jc w:val="right"/>
            </w:pPr>
            <w:r>
              <w:t>-</w:t>
            </w:r>
          </w:p>
        </w:tc>
      </w:tr>
      <w:tr w14:paraId="652A8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33A5D198">
            <w:pPr>
              <w:spacing w:line="360" w:lineRule="auto"/>
            </w:pPr>
            <w:r>
              <w:t>其中：基金认购款</w:t>
            </w:r>
          </w:p>
        </w:tc>
        <w:tc>
          <w:tcPr>
            <w:tcW w:w="2100" w:type="dxa"/>
            <w:vAlign w:val="center"/>
          </w:tcPr>
          <w:p w14:paraId="7B66953F">
            <w:pPr>
              <w:spacing w:line="360" w:lineRule="auto"/>
              <w:jc w:val="right"/>
            </w:pPr>
            <w:r>
              <w:t>-</w:t>
            </w:r>
          </w:p>
        </w:tc>
        <w:tc>
          <w:tcPr>
            <w:tcW w:w="2100" w:type="dxa"/>
            <w:vAlign w:val="center"/>
          </w:tcPr>
          <w:p w14:paraId="29789AB5">
            <w:pPr>
              <w:spacing w:line="360" w:lineRule="auto"/>
              <w:jc w:val="right"/>
            </w:pPr>
            <w:r>
              <w:t>-</w:t>
            </w:r>
          </w:p>
        </w:tc>
        <w:tc>
          <w:tcPr>
            <w:tcW w:w="2031" w:type="dxa"/>
            <w:vAlign w:val="center"/>
          </w:tcPr>
          <w:p w14:paraId="12D3DF4F">
            <w:pPr>
              <w:spacing w:line="360" w:lineRule="auto"/>
              <w:jc w:val="right"/>
            </w:pPr>
            <w:r>
              <w:t>-</w:t>
            </w:r>
          </w:p>
        </w:tc>
      </w:tr>
      <w:tr w14:paraId="5EA05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2C73E926">
            <w:pPr>
              <w:spacing w:line="360" w:lineRule="auto"/>
              <w:ind w:firstLine="617" w:firstLineChars="294"/>
            </w:pPr>
            <w:r>
              <w:t>基金赎回款</w:t>
            </w:r>
          </w:p>
        </w:tc>
        <w:tc>
          <w:tcPr>
            <w:tcW w:w="2100" w:type="dxa"/>
            <w:vAlign w:val="center"/>
          </w:tcPr>
          <w:p w14:paraId="75C43450">
            <w:pPr>
              <w:spacing w:line="360" w:lineRule="auto"/>
              <w:jc w:val="right"/>
            </w:pPr>
            <w:r>
              <w:t>-</w:t>
            </w:r>
          </w:p>
        </w:tc>
        <w:tc>
          <w:tcPr>
            <w:tcW w:w="2100" w:type="dxa"/>
            <w:vAlign w:val="center"/>
          </w:tcPr>
          <w:p w14:paraId="0317D548">
            <w:pPr>
              <w:spacing w:line="360" w:lineRule="auto"/>
              <w:jc w:val="right"/>
            </w:pPr>
            <w:r>
              <w:t>-</w:t>
            </w:r>
          </w:p>
        </w:tc>
        <w:tc>
          <w:tcPr>
            <w:tcW w:w="2031" w:type="dxa"/>
            <w:vAlign w:val="center"/>
          </w:tcPr>
          <w:p w14:paraId="445DD424">
            <w:pPr>
              <w:spacing w:line="360" w:lineRule="auto"/>
              <w:jc w:val="right"/>
            </w:pPr>
            <w:r>
              <w:t>-</w:t>
            </w:r>
          </w:p>
        </w:tc>
      </w:tr>
      <w:tr w14:paraId="03949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47422261">
            <w:pPr>
              <w:spacing w:line="360" w:lineRule="auto"/>
            </w:pPr>
            <w:r>
              <w:t>本期已分配利润</w:t>
            </w:r>
          </w:p>
        </w:tc>
        <w:tc>
          <w:tcPr>
            <w:tcW w:w="2100" w:type="dxa"/>
            <w:vAlign w:val="center"/>
          </w:tcPr>
          <w:p w14:paraId="4F2DC0AC">
            <w:pPr>
              <w:spacing w:line="360" w:lineRule="auto"/>
              <w:jc w:val="right"/>
            </w:pPr>
            <w:r>
              <w:t>-32,827,929.51</w:t>
            </w:r>
          </w:p>
        </w:tc>
        <w:tc>
          <w:tcPr>
            <w:tcW w:w="2100" w:type="dxa"/>
            <w:vAlign w:val="center"/>
          </w:tcPr>
          <w:p w14:paraId="294573BB">
            <w:pPr>
              <w:spacing w:line="360" w:lineRule="auto"/>
              <w:jc w:val="right"/>
            </w:pPr>
            <w:r>
              <w:t>-</w:t>
            </w:r>
          </w:p>
        </w:tc>
        <w:tc>
          <w:tcPr>
            <w:tcW w:w="2031" w:type="dxa"/>
            <w:vAlign w:val="center"/>
          </w:tcPr>
          <w:p w14:paraId="6875A054">
            <w:pPr>
              <w:spacing w:line="360" w:lineRule="auto"/>
              <w:jc w:val="right"/>
            </w:pPr>
            <w:r>
              <w:t>-32,827,929.51</w:t>
            </w:r>
          </w:p>
        </w:tc>
      </w:tr>
      <w:tr w14:paraId="67465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2" w:type="dxa"/>
            <w:vAlign w:val="center"/>
          </w:tcPr>
          <w:p w14:paraId="766719BC">
            <w:pPr>
              <w:spacing w:line="360" w:lineRule="auto"/>
            </w:pPr>
            <w:r>
              <w:t>本期末</w:t>
            </w:r>
          </w:p>
        </w:tc>
        <w:tc>
          <w:tcPr>
            <w:tcW w:w="2100" w:type="dxa"/>
            <w:vAlign w:val="center"/>
          </w:tcPr>
          <w:p w14:paraId="6C533C07">
            <w:pPr>
              <w:spacing w:line="360" w:lineRule="auto"/>
              <w:jc w:val="right"/>
            </w:pPr>
            <w:r>
              <w:t>-318,548,279.85</w:t>
            </w:r>
          </w:p>
        </w:tc>
        <w:tc>
          <w:tcPr>
            <w:tcW w:w="2100" w:type="dxa"/>
            <w:vAlign w:val="center"/>
          </w:tcPr>
          <w:p w14:paraId="5032C6C3">
            <w:pPr>
              <w:spacing w:line="360" w:lineRule="auto"/>
              <w:jc w:val="right"/>
            </w:pPr>
            <w:r>
              <w:t>-</w:t>
            </w:r>
          </w:p>
        </w:tc>
        <w:tc>
          <w:tcPr>
            <w:tcW w:w="2031" w:type="dxa"/>
            <w:vAlign w:val="center"/>
          </w:tcPr>
          <w:p w14:paraId="4700082C">
            <w:pPr>
              <w:spacing w:line="360" w:lineRule="auto"/>
              <w:jc w:val="right"/>
            </w:pPr>
            <w:r>
              <w:t>-318,548,279.85</w:t>
            </w:r>
          </w:p>
        </w:tc>
      </w:tr>
    </w:tbl>
    <w:p w14:paraId="3AEE8347">
      <w:pPr>
        <w:spacing w:line="360" w:lineRule="auto"/>
        <w:outlineLvl w:val="3"/>
        <w:rPr>
          <w:b/>
        </w:rPr>
      </w:pPr>
      <w:r>
        <w:rPr>
          <w:b/>
          <w:kern w:val="0"/>
        </w:rPr>
        <w:t>9.5.6.15</w:t>
      </w:r>
      <w:r>
        <w:rPr>
          <w:b/>
        </w:rPr>
        <w:t xml:space="preserve">  营业收入和营业成本</w:t>
      </w:r>
    </w:p>
    <w:p w14:paraId="1C2F54B0">
      <w:pPr>
        <w:spacing w:line="360" w:lineRule="auto"/>
        <w:ind w:right="-50" w:rightChars="-24"/>
        <w:jc w:val="right"/>
      </w:pPr>
      <w:r>
        <w:t>单位：人民币元</w:t>
      </w:r>
    </w:p>
    <w:tbl>
      <w:tblPr>
        <w:tblStyle w:val="40"/>
        <w:tblW w:w="5320"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8"/>
        <w:gridCol w:w="1840"/>
        <w:gridCol w:w="1842"/>
        <w:gridCol w:w="1846"/>
        <w:gridCol w:w="1691"/>
        <w:gridCol w:w="7"/>
      </w:tblGrid>
      <w:tr w14:paraId="5DB7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1018" w:type="pct"/>
            <w:vMerge w:val="restart"/>
            <w:vAlign w:val="center"/>
          </w:tcPr>
          <w:p w14:paraId="5ED0971D">
            <w:pPr>
              <w:spacing w:line="360" w:lineRule="auto"/>
              <w:jc w:val="center"/>
            </w:pPr>
            <w:r>
              <w:t>项目</w:t>
            </w:r>
          </w:p>
        </w:tc>
        <w:tc>
          <w:tcPr>
            <w:tcW w:w="3982" w:type="pct"/>
            <w:gridSpan w:val="5"/>
          </w:tcPr>
          <w:p w14:paraId="03420FB3">
            <w:pPr>
              <w:spacing w:line="360" w:lineRule="auto"/>
              <w:jc w:val="center"/>
            </w:pPr>
            <w:r>
              <w:t>本期</w:t>
            </w:r>
          </w:p>
          <w:p w14:paraId="1861098A">
            <w:pPr>
              <w:spacing w:line="360" w:lineRule="auto"/>
              <w:jc w:val="center"/>
            </w:pPr>
            <w:r>
              <w:t>2026年1月1日至2026年6月30日</w:t>
            </w:r>
          </w:p>
        </w:tc>
      </w:tr>
      <w:tr w14:paraId="456C8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1018" w:type="pct"/>
            <w:vMerge w:val="continue"/>
            <w:vAlign w:val="center"/>
          </w:tcPr>
          <w:p w14:paraId="6D484BC3">
            <w:pPr>
              <w:spacing w:line="360" w:lineRule="auto"/>
              <w:jc w:val="center"/>
            </w:pPr>
          </w:p>
        </w:tc>
        <w:tc>
          <w:tcPr>
            <w:tcW w:w="1014" w:type="pct"/>
          </w:tcPr>
          <w:p w14:paraId="098F66D0">
            <w:pPr>
              <w:spacing w:line="360" w:lineRule="auto"/>
              <w:jc w:val="center"/>
            </w:pPr>
            <w:r>
              <w:t>万海大厦</w:t>
            </w:r>
          </w:p>
        </w:tc>
        <w:tc>
          <w:tcPr>
            <w:tcW w:w="1015" w:type="pct"/>
          </w:tcPr>
          <w:p w14:paraId="5D67ED7D">
            <w:pPr>
              <w:spacing w:line="360" w:lineRule="auto"/>
              <w:jc w:val="center"/>
            </w:pPr>
            <w:r>
              <w:t>万融大厦</w:t>
            </w:r>
          </w:p>
        </w:tc>
        <w:tc>
          <w:tcPr>
            <w:tcW w:w="1017" w:type="pct"/>
          </w:tcPr>
          <w:p w14:paraId="770EA987">
            <w:pPr>
              <w:spacing w:line="360" w:lineRule="auto"/>
              <w:jc w:val="center"/>
            </w:pPr>
            <w:r>
              <w:t>光明加速器二期项目</w:t>
            </w:r>
          </w:p>
        </w:tc>
        <w:tc>
          <w:tcPr>
            <w:tcW w:w="936" w:type="pct"/>
            <w:gridSpan w:val="2"/>
            <w:vAlign w:val="center"/>
          </w:tcPr>
          <w:p w14:paraId="088A8713">
            <w:pPr>
              <w:spacing w:line="360" w:lineRule="auto"/>
              <w:jc w:val="center"/>
            </w:pPr>
            <w:r>
              <w:t>合计</w:t>
            </w:r>
          </w:p>
        </w:tc>
      </w:tr>
      <w:tr w14:paraId="7357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8" w:type="pct"/>
            <w:vAlign w:val="center"/>
          </w:tcPr>
          <w:p w14:paraId="7093C5F2">
            <w:pPr>
              <w:spacing w:line="360" w:lineRule="auto"/>
              <w:jc w:val="left"/>
            </w:pPr>
            <w:r>
              <w:t>营业收入</w:t>
            </w:r>
          </w:p>
        </w:tc>
        <w:tc>
          <w:tcPr>
            <w:tcW w:w="1014" w:type="pct"/>
            <w:vAlign w:val="center"/>
          </w:tcPr>
          <w:p w14:paraId="701DBA97">
            <w:pPr>
              <w:spacing w:line="360" w:lineRule="auto"/>
              <w:jc w:val="right"/>
            </w:pPr>
            <w:r>
              <w:t>-</w:t>
            </w:r>
          </w:p>
        </w:tc>
        <w:tc>
          <w:tcPr>
            <w:tcW w:w="1015" w:type="pct"/>
            <w:vAlign w:val="center"/>
          </w:tcPr>
          <w:p w14:paraId="3F8C1F6D">
            <w:pPr>
              <w:spacing w:line="360" w:lineRule="auto"/>
              <w:jc w:val="right"/>
            </w:pPr>
            <w:r>
              <w:t>-</w:t>
            </w:r>
          </w:p>
        </w:tc>
        <w:tc>
          <w:tcPr>
            <w:tcW w:w="1017" w:type="pct"/>
            <w:vAlign w:val="center"/>
          </w:tcPr>
          <w:p w14:paraId="7D9E7A13">
            <w:pPr>
              <w:spacing w:line="360" w:lineRule="auto"/>
              <w:jc w:val="right"/>
            </w:pPr>
            <w:r>
              <w:t>-</w:t>
            </w:r>
          </w:p>
        </w:tc>
        <w:tc>
          <w:tcPr>
            <w:tcW w:w="936" w:type="pct"/>
            <w:gridSpan w:val="2"/>
            <w:vAlign w:val="center"/>
          </w:tcPr>
          <w:p w14:paraId="43BE372B">
            <w:pPr>
              <w:spacing w:line="360" w:lineRule="auto"/>
              <w:jc w:val="right"/>
            </w:pPr>
            <w:r>
              <w:t>-</w:t>
            </w:r>
          </w:p>
        </w:tc>
      </w:tr>
      <w:tr w14:paraId="61ED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vAlign w:val="center"/>
          </w:tcPr>
          <w:p w14:paraId="150EF7BA">
            <w:pPr>
              <w:jc w:val="center"/>
            </w:pPr>
            <w:r>
              <w:rPr>
                <w:kern w:val="0"/>
              </w:rPr>
              <w:t>租赁收入</w:t>
            </w:r>
          </w:p>
        </w:tc>
        <w:tc>
          <w:tcPr>
            <w:vAlign w:val="center"/>
          </w:tcPr>
          <w:p w14:paraId="512D9036">
            <w:pPr>
              <w:jc w:val="right"/>
            </w:pPr>
            <w:r>
              <w:rPr>
                <w:kern w:val="0"/>
              </w:rPr>
              <w:t>26,810,269.24</w:t>
            </w:r>
          </w:p>
        </w:tc>
        <w:tc>
          <w:tcPr>
            <w:vAlign w:val="center"/>
          </w:tcPr>
          <w:p w14:paraId="7C4705E0">
            <w:pPr>
              <w:jc w:val="right"/>
            </w:pPr>
            <w:r>
              <w:rPr>
                <w:kern w:val="0"/>
              </w:rPr>
              <w:t>18,915,071.95</w:t>
            </w:r>
          </w:p>
        </w:tc>
        <w:tc>
          <w:tcPr>
            <w:vAlign w:val="center"/>
          </w:tcPr>
          <w:p w14:paraId="468562DD">
            <w:pPr>
              <w:jc w:val="right"/>
            </w:pPr>
            <w:r>
              <w:rPr>
                <w:kern w:val="0"/>
              </w:rPr>
              <w:t>24,105,936.70</w:t>
            </w:r>
          </w:p>
        </w:tc>
        <w:tc>
          <w:tcPr>
            <w:vAlign w:val="center"/>
          </w:tcPr>
          <w:p w14:paraId="00050A71">
            <w:pPr>
              <w:jc w:val="right"/>
            </w:pPr>
            <w:r>
              <w:rPr>
                <w:kern w:val="0"/>
              </w:rPr>
              <w:t>69,831,277.89</w:t>
            </w:r>
          </w:p>
        </w:tc>
      </w:tr>
      <w:tr w14:paraId="1FDD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vAlign w:val="center"/>
          </w:tcPr>
          <w:p w14:paraId="52C5FE70">
            <w:pPr>
              <w:jc w:val="center"/>
            </w:pPr>
            <w:r>
              <w:rPr>
                <w:kern w:val="0"/>
              </w:rPr>
              <w:t>其他业务收入</w:t>
            </w:r>
          </w:p>
        </w:tc>
        <w:tc>
          <w:tcPr>
            <w:vAlign w:val="center"/>
          </w:tcPr>
          <w:p w14:paraId="4B4EED10">
            <w:pPr>
              <w:jc w:val="right"/>
            </w:pPr>
            <w:r>
              <w:rPr>
                <w:kern w:val="0"/>
              </w:rPr>
              <w:t>3,468,879.84</w:t>
            </w:r>
          </w:p>
        </w:tc>
        <w:tc>
          <w:tcPr>
            <w:vAlign w:val="center"/>
          </w:tcPr>
          <w:p w14:paraId="0A4DAEA8">
            <w:pPr>
              <w:jc w:val="right"/>
            </w:pPr>
            <w:r>
              <w:rPr>
                <w:kern w:val="0"/>
              </w:rPr>
              <w:t>3,128,443.89</w:t>
            </w:r>
          </w:p>
        </w:tc>
        <w:tc>
          <w:tcPr>
            <w:vAlign w:val="center"/>
          </w:tcPr>
          <w:p w14:paraId="0972D7B8">
            <w:pPr>
              <w:jc w:val="right"/>
            </w:pPr>
            <w:r>
              <w:rPr>
                <w:kern w:val="0"/>
              </w:rPr>
              <w:t>4,640,422.56</w:t>
            </w:r>
          </w:p>
        </w:tc>
        <w:tc>
          <w:tcPr>
            <w:vAlign w:val="center"/>
          </w:tcPr>
          <w:p w14:paraId="1734DC26">
            <w:pPr>
              <w:jc w:val="right"/>
            </w:pPr>
            <w:r>
              <w:rPr>
                <w:kern w:val="0"/>
              </w:rPr>
              <w:t>11,237,746.29</w:t>
            </w:r>
          </w:p>
        </w:tc>
      </w:tr>
      <w:tr w14:paraId="2260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8" w:type="pct"/>
            <w:vAlign w:val="center"/>
          </w:tcPr>
          <w:p w14:paraId="125E110D">
            <w:pPr>
              <w:spacing w:line="360" w:lineRule="auto"/>
              <w:jc w:val="left"/>
            </w:pPr>
            <w:r>
              <w:t>合计</w:t>
            </w:r>
          </w:p>
        </w:tc>
        <w:tc>
          <w:tcPr>
            <w:tcW w:w="1014" w:type="pct"/>
            <w:vAlign w:val="center"/>
          </w:tcPr>
          <w:p w14:paraId="3DC0CB2E">
            <w:pPr>
              <w:spacing w:line="360" w:lineRule="auto"/>
              <w:jc w:val="right"/>
            </w:pPr>
            <w:r>
              <w:t>30,279,149.08</w:t>
            </w:r>
          </w:p>
        </w:tc>
        <w:tc>
          <w:tcPr>
            <w:tcW w:w="1015" w:type="pct"/>
            <w:vAlign w:val="center"/>
          </w:tcPr>
          <w:p w14:paraId="283F8B0A">
            <w:pPr>
              <w:spacing w:line="360" w:lineRule="auto"/>
              <w:jc w:val="right"/>
            </w:pPr>
            <w:r>
              <w:t>22,043,515.84</w:t>
            </w:r>
          </w:p>
        </w:tc>
        <w:tc>
          <w:tcPr>
            <w:tcW w:w="1017" w:type="pct"/>
            <w:vAlign w:val="center"/>
          </w:tcPr>
          <w:p w14:paraId="28C5C49E">
            <w:pPr>
              <w:spacing w:line="360" w:lineRule="auto"/>
              <w:jc w:val="right"/>
            </w:pPr>
            <w:r>
              <w:t>28,746,359.26</w:t>
            </w:r>
          </w:p>
        </w:tc>
        <w:tc>
          <w:tcPr>
            <w:tcW w:w="936" w:type="pct"/>
            <w:gridSpan w:val="2"/>
            <w:vAlign w:val="center"/>
          </w:tcPr>
          <w:p w14:paraId="4614ADE6">
            <w:pPr>
              <w:spacing w:line="360" w:lineRule="auto"/>
              <w:jc w:val="right"/>
            </w:pPr>
            <w:r>
              <w:t>81,069,024.18</w:t>
            </w:r>
          </w:p>
        </w:tc>
      </w:tr>
      <w:tr w14:paraId="3205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8" w:type="pct"/>
            <w:vAlign w:val="center"/>
          </w:tcPr>
          <w:p w14:paraId="60E4F83B">
            <w:pPr>
              <w:spacing w:line="360" w:lineRule="auto"/>
              <w:jc w:val="left"/>
            </w:pPr>
            <w:r>
              <w:t>营业成本</w:t>
            </w:r>
          </w:p>
        </w:tc>
        <w:tc>
          <w:tcPr>
            <w:tcW w:w="1014" w:type="pct"/>
            <w:vAlign w:val="center"/>
          </w:tcPr>
          <w:p w14:paraId="4B13C7B3">
            <w:pPr>
              <w:spacing w:line="360" w:lineRule="auto"/>
              <w:jc w:val="right"/>
            </w:pPr>
            <w:r>
              <w:t>-</w:t>
            </w:r>
          </w:p>
        </w:tc>
        <w:tc>
          <w:tcPr>
            <w:tcW w:w="1015" w:type="pct"/>
            <w:vAlign w:val="center"/>
          </w:tcPr>
          <w:p w14:paraId="50E0F6D1">
            <w:pPr>
              <w:spacing w:line="360" w:lineRule="auto"/>
              <w:jc w:val="right"/>
            </w:pPr>
            <w:r>
              <w:t>-</w:t>
            </w:r>
          </w:p>
        </w:tc>
        <w:tc>
          <w:tcPr>
            <w:tcW w:w="1017" w:type="pct"/>
            <w:vAlign w:val="center"/>
          </w:tcPr>
          <w:p w14:paraId="61699321">
            <w:pPr>
              <w:spacing w:line="360" w:lineRule="auto"/>
              <w:jc w:val="right"/>
            </w:pPr>
            <w:r>
              <w:t>-</w:t>
            </w:r>
          </w:p>
        </w:tc>
        <w:tc>
          <w:tcPr>
            <w:tcW w:w="936" w:type="pct"/>
            <w:gridSpan w:val="2"/>
            <w:vAlign w:val="center"/>
          </w:tcPr>
          <w:p w14:paraId="2A3E45B6">
            <w:pPr>
              <w:spacing w:line="360" w:lineRule="auto"/>
              <w:jc w:val="right"/>
            </w:pPr>
            <w:r>
              <w:t>-</w:t>
            </w:r>
          </w:p>
        </w:tc>
      </w:tr>
      <w:tr w14:paraId="4C72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vAlign w:val="center"/>
          </w:tcPr>
          <w:p w14:paraId="28DF1EFA">
            <w:pPr>
              <w:jc w:val="center"/>
            </w:pPr>
            <w:r>
              <w:rPr>
                <w:kern w:val="0"/>
              </w:rPr>
              <w:t>租赁折旧成本</w:t>
            </w:r>
          </w:p>
        </w:tc>
        <w:tc>
          <w:tcPr>
            <w:vAlign w:val="center"/>
          </w:tcPr>
          <w:p w14:paraId="7D489D81">
            <w:pPr>
              <w:jc w:val="right"/>
            </w:pPr>
            <w:r>
              <w:rPr>
                <w:kern w:val="0"/>
              </w:rPr>
              <w:t>17,192,121.24</w:t>
            </w:r>
          </w:p>
        </w:tc>
        <w:tc>
          <w:tcPr>
            <w:vAlign w:val="center"/>
          </w:tcPr>
          <w:p w14:paraId="24A820E6">
            <w:pPr>
              <w:jc w:val="right"/>
            </w:pPr>
            <w:r>
              <w:rPr>
                <w:kern w:val="0"/>
              </w:rPr>
              <w:t>11,966,531.46</w:t>
            </w:r>
          </w:p>
        </w:tc>
        <w:tc>
          <w:tcPr>
            <w:vAlign w:val="center"/>
          </w:tcPr>
          <w:p w14:paraId="18B7B438">
            <w:pPr>
              <w:jc w:val="right"/>
            </w:pPr>
            <w:r>
              <w:rPr>
                <w:kern w:val="0"/>
              </w:rPr>
              <w:t>16,373,529.42</w:t>
            </w:r>
          </w:p>
        </w:tc>
        <w:tc>
          <w:tcPr>
            <w:vAlign w:val="center"/>
          </w:tcPr>
          <w:p w14:paraId="203428A5">
            <w:pPr>
              <w:jc w:val="right"/>
            </w:pPr>
            <w:r>
              <w:rPr>
                <w:kern w:val="0"/>
              </w:rPr>
              <w:t>45,532,182.12</w:t>
            </w:r>
          </w:p>
        </w:tc>
      </w:tr>
      <w:tr w14:paraId="23E6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vAlign w:val="center"/>
          </w:tcPr>
          <w:p w14:paraId="7EA346D0">
            <w:pPr>
              <w:jc w:val="center"/>
            </w:pPr>
            <w:r>
              <w:rPr>
                <w:kern w:val="0"/>
              </w:rPr>
              <w:t>其他业务成本</w:t>
            </w:r>
          </w:p>
        </w:tc>
        <w:tc>
          <w:tcPr>
            <w:vAlign w:val="center"/>
          </w:tcPr>
          <w:p w14:paraId="12A94436">
            <w:pPr>
              <w:jc w:val="right"/>
            </w:pPr>
            <w:r>
              <w:rPr>
                <w:kern w:val="0"/>
              </w:rPr>
              <w:t>4,361,500.93</w:t>
            </w:r>
          </w:p>
        </w:tc>
        <w:tc>
          <w:tcPr>
            <w:vAlign w:val="center"/>
          </w:tcPr>
          <w:p w14:paraId="28153C38">
            <w:pPr>
              <w:jc w:val="right"/>
            </w:pPr>
            <w:r>
              <w:rPr>
                <w:kern w:val="0"/>
              </w:rPr>
              <w:t>3,132,861.50</w:t>
            </w:r>
          </w:p>
        </w:tc>
        <w:tc>
          <w:tcPr>
            <w:vAlign w:val="center"/>
          </w:tcPr>
          <w:p w14:paraId="70AD6AF6">
            <w:pPr>
              <w:jc w:val="right"/>
            </w:pPr>
            <w:r>
              <w:rPr>
                <w:kern w:val="0"/>
              </w:rPr>
              <w:t>4,023,289.54</w:t>
            </w:r>
          </w:p>
        </w:tc>
        <w:tc>
          <w:tcPr>
            <w:vAlign w:val="center"/>
          </w:tcPr>
          <w:p w14:paraId="1E949EDF">
            <w:pPr>
              <w:jc w:val="right"/>
            </w:pPr>
            <w:r>
              <w:rPr>
                <w:kern w:val="0"/>
              </w:rPr>
              <w:t>11,517,651.97</w:t>
            </w:r>
          </w:p>
        </w:tc>
      </w:tr>
      <w:tr w14:paraId="0E93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8" w:type="pct"/>
            <w:vAlign w:val="center"/>
          </w:tcPr>
          <w:p w14:paraId="55C365DF">
            <w:pPr>
              <w:spacing w:line="360" w:lineRule="auto"/>
              <w:jc w:val="left"/>
            </w:pPr>
            <w:r>
              <w:t>合计</w:t>
            </w:r>
          </w:p>
        </w:tc>
        <w:tc>
          <w:tcPr>
            <w:tcW w:w="1014" w:type="pct"/>
            <w:vAlign w:val="center"/>
          </w:tcPr>
          <w:p w14:paraId="4427FD6B">
            <w:pPr>
              <w:spacing w:line="360" w:lineRule="auto"/>
              <w:jc w:val="right"/>
            </w:pPr>
            <w:r>
              <w:t>21,553,622.17</w:t>
            </w:r>
          </w:p>
        </w:tc>
        <w:tc>
          <w:tcPr>
            <w:tcW w:w="1015" w:type="pct"/>
            <w:vAlign w:val="center"/>
          </w:tcPr>
          <w:p w14:paraId="4D31D0CE">
            <w:pPr>
              <w:spacing w:line="360" w:lineRule="auto"/>
              <w:jc w:val="right"/>
            </w:pPr>
            <w:r>
              <w:t>15,099,392.96</w:t>
            </w:r>
          </w:p>
        </w:tc>
        <w:tc>
          <w:tcPr>
            <w:tcW w:w="1017" w:type="pct"/>
            <w:vAlign w:val="center"/>
          </w:tcPr>
          <w:p w14:paraId="0B244E00">
            <w:pPr>
              <w:spacing w:line="360" w:lineRule="auto"/>
              <w:jc w:val="right"/>
            </w:pPr>
            <w:r>
              <w:t>20,396,818.96</w:t>
            </w:r>
          </w:p>
        </w:tc>
        <w:tc>
          <w:tcPr>
            <w:tcW w:w="936" w:type="pct"/>
            <w:gridSpan w:val="2"/>
            <w:vAlign w:val="center"/>
          </w:tcPr>
          <w:p w14:paraId="0AD0FD57">
            <w:pPr>
              <w:spacing w:line="360" w:lineRule="auto"/>
              <w:jc w:val="right"/>
            </w:pPr>
            <w:r>
              <w:t>57,049,834.09</w:t>
            </w:r>
          </w:p>
        </w:tc>
      </w:tr>
    </w:tbl>
    <w:p w14:paraId="25F1A30D">
      <w:pPr>
        <w:spacing w:line="360" w:lineRule="auto"/>
        <w:outlineLvl w:val="3"/>
        <w:rPr>
          <w:b/>
        </w:rPr>
      </w:pPr>
      <w:r>
        <w:rPr>
          <w:b/>
          <w:kern w:val="0"/>
        </w:rPr>
        <w:t>9.5.6.16</w:t>
      </w:r>
      <w:r>
        <w:rPr>
          <w:b/>
        </w:rPr>
        <w:t xml:space="preserve">  投资收益</w:t>
      </w:r>
    </w:p>
    <w:p w14:paraId="4208F58D">
      <w:pPr>
        <w:spacing w:line="360" w:lineRule="auto"/>
        <w:ind w:right="-50" w:rightChars="-24"/>
        <w:jc w:val="right"/>
      </w:pPr>
      <w:r>
        <w:t>单位：人民币元</w:t>
      </w:r>
    </w:p>
    <w:tbl>
      <w:tblPr>
        <w:tblStyle w:val="40"/>
        <w:tblW w:w="5345"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1"/>
        <w:gridCol w:w="5225"/>
      </w:tblGrid>
      <w:tr w14:paraId="29DF6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34" w:type="pct"/>
            <w:vAlign w:val="center"/>
          </w:tcPr>
          <w:p w14:paraId="6CC0F52A">
            <w:pPr>
              <w:autoSpaceDE w:val="0"/>
              <w:autoSpaceDN w:val="0"/>
              <w:spacing w:line="360" w:lineRule="auto"/>
              <w:jc w:val="center"/>
              <w:textAlignment w:val="bottom"/>
              <w:rPr>
                <w:kern w:val="0"/>
              </w:rPr>
            </w:pPr>
            <w:r>
              <w:rPr>
                <w:kern w:val="0"/>
              </w:rPr>
              <w:t>项目</w:t>
            </w:r>
          </w:p>
        </w:tc>
        <w:tc>
          <w:tcPr>
            <w:tcW w:w="2866" w:type="pct"/>
          </w:tcPr>
          <w:p w14:paraId="7FB9FD27">
            <w:pPr>
              <w:spacing w:line="360" w:lineRule="auto"/>
              <w:jc w:val="center"/>
            </w:pPr>
            <w:r>
              <w:t>本期</w:t>
            </w:r>
          </w:p>
          <w:p w14:paraId="140BF5BF">
            <w:pPr>
              <w:spacing w:line="360" w:lineRule="auto"/>
              <w:jc w:val="center"/>
            </w:pPr>
            <w:r>
              <w:t>2026年1月1日至2026年6月30日</w:t>
            </w:r>
          </w:p>
        </w:tc>
      </w:tr>
      <w:tr w14:paraId="22F2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B398EA7">
            <w:pPr>
              <w:jc w:val="left"/>
            </w:pPr>
            <w:r>
              <w:rPr>
                <w:kern w:val="0"/>
              </w:rPr>
              <w:t>货币市场基金分红收入</w:t>
            </w:r>
          </w:p>
        </w:tc>
        <w:tc>
          <w:tcPr>
            <w:vAlign w:val="center"/>
          </w:tcPr>
          <w:p w14:paraId="4D88955D">
            <w:pPr>
              <w:jc w:val="right"/>
            </w:pPr>
            <w:r>
              <w:rPr>
                <w:kern w:val="0"/>
              </w:rPr>
              <w:t>525,398.64</w:t>
            </w:r>
          </w:p>
        </w:tc>
      </w:tr>
      <w:tr w14:paraId="5C9A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34" w:type="pct"/>
            <w:vAlign w:val="bottom"/>
          </w:tcPr>
          <w:p w14:paraId="50FD2CE3">
            <w:pPr>
              <w:widowControl/>
              <w:autoSpaceDE w:val="0"/>
              <w:autoSpaceDN w:val="0"/>
              <w:spacing w:line="360" w:lineRule="auto"/>
              <w:jc w:val="center"/>
              <w:textAlignment w:val="bottom"/>
              <w:rPr>
                <w:kern w:val="0"/>
              </w:rPr>
            </w:pPr>
            <w:r>
              <w:rPr>
                <w:kern w:val="0"/>
              </w:rPr>
              <w:t>合计</w:t>
            </w:r>
          </w:p>
        </w:tc>
        <w:tc>
          <w:tcPr>
            <w:tcW w:w="2866" w:type="pct"/>
            <w:vAlign w:val="bottom"/>
          </w:tcPr>
          <w:p w14:paraId="46D7B72B">
            <w:pPr>
              <w:spacing w:line="360" w:lineRule="auto"/>
              <w:jc w:val="right"/>
            </w:pPr>
            <w:r>
              <w:t>525,398.64</w:t>
            </w:r>
          </w:p>
        </w:tc>
      </w:tr>
    </w:tbl>
    <w:p w14:paraId="6DA394FA">
      <w:pPr>
        <w:spacing w:line="360" w:lineRule="auto"/>
        <w:outlineLvl w:val="3"/>
        <w:rPr>
          <w:b/>
        </w:rPr>
      </w:pPr>
      <w:r>
        <w:rPr>
          <w:b/>
          <w:kern w:val="0"/>
        </w:rPr>
        <w:t>9.5.6.17</w:t>
      </w:r>
      <w:r>
        <w:rPr>
          <w:b/>
        </w:rPr>
        <w:t xml:space="preserve">  税金及附加</w:t>
      </w:r>
    </w:p>
    <w:p w14:paraId="379731F5">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0"/>
        <w:gridCol w:w="6859"/>
      </w:tblGrid>
      <w:tr w14:paraId="4FA8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180" w:type="dxa"/>
            <w:vAlign w:val="center"/>
          </w:tcPr>
          <w:p w14:paraId="3E6456A6">
            <w:pPr>
              <w:tabs>
                <w:tab w:val="left" w:pos="196"/>
                <w:tab w:val="left" w:pos="426"/>
              </w:tabs>
              <w:snapToGrid w:val="0"/>
              <w:spacing w:line="360" w:lineRule="auto"/>
              <w:jc w:val="center"/>
            </w:pPr>
            <w:r>
              <w:t>项目</w:t>
            </w:r>
          </w:p>
        </w:tc>
        <w:tc>
          <w:tcPr>
            <w:tcW w:w="6859" w:type="dxa"/>
          </w:tcPr>
          <w:p w14:paraId="19231F59">
            <w:pPr>
              <w:spacing w:line="360" w:lineRule="auto"/>
              <w:jc w:val="center"/>
            </w:pPr>
            <w:r>
              <w:t>本期</w:t>
            </w:r>
          </w:p>
          <w:p w14:paraId="5CB6109E">
            <w:pPr>
              <w:spacing w:line="360" w:lineRule="auto"/>
              <w:jc w:val="center"/>
            </w:pPr>
            <w:r>
              <w:t>2026年1月1日至2026年6月30日</w:t>
            </w:r>
          </w:p>
        </w:tc>
      </w:tr>
      <w:tr w14:paraId="4CB3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094FA384">
            <w:pPr>
              <w:tabs>
                <w:tab w:val="left" w:pos="196"/>
                <w:tab w:val="left" w:pos="426"/>
              </w:tabs>
              <w:snapToGrid w:val="0"/>
              <w:spacing w:line="360" w:lineRule="auto"/>
            </w:pPr>
            <w:r>
              <w:t>增值税</w:t>
            </w:r>
          </w:p>
        </w:tc>
        <w:tc>
          <w:tcPr>
            <w:tcW w:w="6859" w:type="dxa"/>
            <w:vAlign w:val="bottom"/>
          </w:tcPr>
          <w:p w14:paraId="7F99DCAC">
            <w:pPr>
              <w:spacing w:line="360" w:lineRule="auto"/>
              <w:jc w:val="right"/>
            </w:pPr>
            <w:r>
              <w:t>1,667,238.80</w:t>
            </w:r>
          </w:p>
        </w:tc>
      </w:tr>
      <w:tr w14:paraId="1BB3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25E06FFE">
            <w:pPr>
              <w:tabs>
                <w:tab w:val="left" w:pos="196"/>
                <w:tab w:val="left" w:pos="426"/>
              </w:tabs>
              <w:snapToGrid w:val="0"/>
              <w:spacing w:line="360" w:lineRule="auto"/>
            </w:pPr>
            <w:r>
              <w:t>消费税</w:t>
            </w:r>
          </w:p>
        </w:tc>
        <w:tc>
          <w:tcPr>
            <w:tcW w:w="6859" w:type="dxa"/>
            <w:vAlign w:val="bottom"/>
          </w:tcPr>
          <w:p w14:paraId="49068F45">
            <w:pPr>
              <w:spacing w:line="360" w:lineRule="auto"/>
              <w:jc w:val="right"/>
            </w:pPr>
            <w:r>
              <w:t>-</w:t>
            </w:r>
          </w:p>
        </w:tc>
      </w:tr>
      <w:tr w14:paraId="7827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442D192B">
            <w:pPr>
              <w:tabs>
                <w:tab w:val="left" w:pos="196"/>
                <w:tab w:val="left" w:pos="426"/>
              </w:tabs>
              <w:snapToGrid w:val="0"/>
              <w:spacing w:line="360" w:lineRule="auto"/>
            </w:pPr>
            <w:r>
              <w:t>企业所得税</w:t>
            </w:r>
          </w:p>
        </w:tc>
        <w:tc>
          <w:tcPr>
            <w:tcW w:w="6859" w:type="dxa"/>
            <w:vAlign w:val="bottom"/>
          </w:tcPr>
          <w:p w14:paraId="458E1E28">
            <w:pPr>
              <w:spacing w:line="360" w:lineRule="auto"/>
              <w:jc w:val="right"/>
            </w:pPr>
            <w:r>
              <w:t>-</w:t>
            </w:r>
          </w:p>
        </w:tc>
      </w:tr>
      <w:tr w14:paraId="1173D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25608F79">
            <w:pPr>
              <w:tabs>
                <w:tab w:val="left" w:pos="196"/>
                <w:tab w:val="left" w:pos="426"/>
              </w:tabs>
              <w:snapToGrid w:val="0"/>
              <w:spacing w:line="360" w:lineRule="auto"/>
            </w:pPr>
            <w:r>
              <w:t>个人所得税</w:t>
            </w:r>
          </w:p>
        </w:tc>
        <w:tc>
          <w:tcPr>
            <w:tcW w:w="6859" w:type="dxa"/>
            <w:vAlign w:val="bottom"/>
          </w:tcPr>
          <w:p w14:paraId="6017F08A">
            <w:pPr>
              <w:spacing w:line="360" w:lineRule="auto"/>
              <w:jc w:val="right"/>
            </w:pPr>
            <w:r>
              <w:t>-</w:t>
            </w:r>
          </w:p>
        </w:tc>
      </w:tr>
      <w:tr w14:paraId="1E33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248A21E6">
            <w:pPr>
              <w:tabs>
                <w:tab w:val="left" w:pos="196"/>
                <w:tab w:val="left" w:pos="426"/>
              </w:tabs>
              <w:snapToGrid w:val="0"/>
              <w:spacing w:line="360" w:lineRule="auto"/>
            </w:pPr>
            <w:r>
              <w:rPr>
                <w:kern w:val="0"/>
              </w:rPr>
              <w:t>城市维护建设税</w:t>
            </w:r>
          </w:p>
        </w:tc>
        <w:tc>
          <w:tcPr>
            <w:tcW w:w="6859" w:type="dxa"/>
            <w:vAlign w:val="bottom"/>
          </w:tcPr>
          <w:p w14:paraId="49ECD855">
            <w:pPr>
              <w:spacing w:line="360" w:lineRule="auto"/>
              <w:jc w:val="right"/>
            </w:pPr>
            <w:r>
              <w:t>367,975.31</w:t>
            </w:r>
          </w:p>
        </w:tc>
      </w:tr>
      <w:tr w14:paraId="3DCF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4BC9D5AC">
            <w:pPr>
              <w:tabs>
                <w:tab w:val="left" w:pos="196"/>
                <w:tab w:val="left" w:pos="426"/>
              </w:tabs>
              <w:snapToGrid w:val="0"/>
              <w:spacing w:line="360" w:lineRule="auto"/>
            </w:pPr>
            <w:r>
              <w:rPr>
                <w:kern w:val="0"/>
              </w:rPr>
              <w:t>教育费附加</w:t>
            </w:r>
          </w:p>
        </w:tc>
        <w:tc>
          <w:tcPr>
            <w:tcW w:w="6859" w:type="dxa"/>
            <w:vAlign w:val="bottom"/>
          </w:tcPr>
          <w:p w14:paraId="25BF7A9D">
            <w:pPr>
              <w:spacing w:line="360" w:lineRule="auto"/>
              <w:jc w:val="right"/>
            </w:pPr>
            <w:r>
              <w:t>262,839.51</w:t>
            </w:r>
          </w:p>
        </w:tc>
      </w:tr>
      <w:tr w14:paraId="42F6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6389D2FE">
            <w:pPr>
              <w:tabs>
                <w:tab w:val="left" w:pos="196"/>
                <w:tab w:val="left" w:pos="426"/>
              </w:tabs>
              <w:snapToGrid w:val="0"/>
              <w:spacing w:line="360" w:lineRule="auto"/>
            </w:pPr>
            <w:r>
              <w:rPr>
                <w:kern w:val="0"/>
              </w:rPr>
              <w:t>房产税</w:t>
            </w:r>
          </w:p>
        </w:tc>
        <w:tc>
          <w:tcPr>
            <w:tcW w:w="6859" w:type="dxa"/>
            <w:vAlign w:val="bottom"/>
          </w:tcPr>
          <w:p w14:paraId="25E450A6">
            <w:pPr>
              <w:spacing w:line="360" w:lineRule="auto"/>
              <w:jc w:val="right"/>
            </w:pPr>
            <w:r>
              <w:t>6,067,879.79</w:t>
            </w:r>
          </w:p>
        </w:tc>
      </w:tr>
      <w:tr w14:paraId="7BC5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0FE108B0">
            <w:pPr>
              <w:tabs>
                <w:tab w:val="left" w:pos="196"/>
                <w:tab w:val="left" w:pos="426"/>
              </w:tabs>
              <w:snapToGrid w:val="0"/>
              <w:spacing w:line="360" w:lineRule="auto"/>
            </w:pPr>
            <w:r>
              <w:rPr>
                <w:kern w:val="0"/>
              </w:rPr>
              <w:t>土地使用税</w:t>
            </w:r>
          </w:p>
        </w:tc>
        <w:tc>
          <w:tcPr>
            <w:tcW w:w="6859" w:type="dxa"/>
            <w:vAlign w:val="bottom"/>
          </w:tcPr>
          <w:p w14:paraId="575BE751">
            <w:pPr>
              <w:spacing w:line="360" w:lineRule="auto"/>
              <w:jc w:val="right"/>
            </w:pPr>
            <w:r>
              <w:t>103,895.64</w:t>
            </w:r>
          </w:p>
        </w:tc>
      </w:tr>
      <w:tr w14:paraId="7CD49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74DEEE2E">
            <w:pPr>
              <w:tabs>
                <w:tab w:val="left" w:pos="196"/>
                <w:tab w:val="left" w:pos="426"/>
              </w:tabs>
              <w:snapToGrid w:val="0"/>
              <w:spacing w:line="360" w:lineRule="auto"/>
            </w:pPr>
            <w:r>
              <w:rPr>
                <w:kern w:val="0"/>
              </w:rPr>
              <w:t>土地增值税</w:t>
            </w:r>
          </w:p>
        </w:tc>
        <w:tc>
          <w:tcPr>
            <w:tcW w:w="6859" w:type="dxa"/>
            <w:vAlign w:val="bottom"/>
          </w:tcPr>
          <w:p w14:paraId="4D883135">
            <w:pPr>
              <w:spacing w:line="360" w:lineRule="auto"/>
              <w:jc w:val="right"/>
            </w:pPr>
            <w:r>
              <w:t>-</w:t>
            </w:r>
          </w:p>
        </w:tc>
      </w:tr>
      <w:tr w14:paraId="559F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5CED33E">
            <w:pPr>
              <w:jc w:val="left"/>
            </w:pPr>
            <w:r>
              <w:rPr>
                <w:kern w:val="0"/>
              </w:rPr>
              <w:t>印花税</w:t>
            </w:r>
          </w:p>
        </w:tc>
        <w:tc>
          <w:tcPr>
            <w:vAlign w:val="center"/>
          </w:tcPr>
          <w:p w14:paraId="45E698DC">
            <w:pPr>
              <w:jc w:val="right"/>
            </w:pPr>
            <w:r>
              <w:rPr>
                <w:kern w:val="0"/>
              </w:rPr>
              <w:t>117,110.44</w:t>
            </w:r>
          </w:p>
        </w:tc>
      </w:tr>
      <w:tr w14:paraId="69BB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7C94C62B">
            <w:pPr>
              <w:tabs>
                <w:tab w:val="left" w:pos="196"/>
                <w:tab w:val="left" w:pos="426"/>
              </w:tabs>
              <w:snapToGrid w:val="0"/>
              <w:spacing w:line="360" w:lineRule="auto"/>
            </w:pPr>
            <w:r>
              <w:t>其他</w:t>
            </w:r>
          </w:p>
        </w:tc>
        <w:tc>
          <w:tcPr>
            <w:tcW w:w="6859" w:type="dxa"/>
            <w:vAlign w:val="bottom"/>
          </w:tcPr>
          <w:p w14:paraId="360B474C">
            <w:pPr>
              <w:spacing w:line="360" w:lineRule="auto"/>
              <w:jc w:val="right"/>
            </w:pPr>
            <w:r>
              <w:t>-</w:t>
            </w:r>
          </w:p>
        </w:tc>
      </w:tr>
      <w:tr w14:paraId="424C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473FF573">
            <w:pPr>
              <w:tabs>
                <w:tab w:val="left" w:pos="196"/>
                <w:tab w:val="left" w:pos="426"/>
              </w:tabs>
              <w:snapToGrid w:val="0"/>
              <w:spacing w:line="360" w:lineRule="auto"/>
              <w:jc w:val="center"/>
            </w:pPr>
            <w:r>
              <w:t>合计</w:t>
            </w:r>
          </w:p>
        </w:tc>
        <w:tc>
          <w:tcPr>
            <w:tcW w:w="6859" w:type="dxa"/>
            <w:vAlign w:val="bottom"/>
          </w:tcPr>
          <w:p w14:paraId="60373DD8">
            <w:pPr>
              <w:spacing w:line="360" w:lineRule="auto"/>
              <w:jc w:val="right"/>
            </w:pPr>
            <w:r>
              <w:t>8,586,939.49</w:t>
            </w:r>
          </w:p>
        </w:tc>
      </w:tr>
    </w:tbl>
    <w:p w14:paraId="5E26478E">
      <w:pPr>
        <w:spacing w:line="360" w:lineRule="auto"/>
        <w:outlineLvl w:val="3"/>
        <w:rPr>
          <w:b/>
        </w:rPr>
      </w:pPr>
      <w:r>
        <w:rPr>
          <w:b/>
          <w:kern w:val="0"/>
        </w:rPr>
        <w:t>9.5.6.18</w:t>
      </w:r>
      <w:r>
        <w:rPr>
          <w:b/>
        </w:rPr>
        <w:t xml:space="preserve">  财务费用</w:t>
      </w:r>
    </w:p>
    <w:p w14:paraId="7D940C91">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9"/>
        <w:gridCol w:w="6340"/>
      </w:tblGrid>
      <w:tr w14:paraId="74F2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699" w:type="dxa"/>
            <w:vAlign w:val="center"/>
          </w:tcPr>
          <w:p w14:paraId="33B30BCA">
            <w:pPr>
              <w:tabs>
                <w:tab w:val="left" w:pos="196"/>
                <w:tab w:val="left" w:pos="426"/>
              </w:tabs>
              <w:snapToGrid w:val="0"/>
              <w:spacing w:line="360" w:lineRule="auto"/>
              <w:jc w:val="center"/>
            </w:pPr>
            <w:r>
              <w:t>项目</w:t>
            </w:r>
          </w:p>
        </w:tc>
        <w:tc>
          <w:tcPr>
            <w:tcW w:w="6340" w:type="dxa"/>
          </w:tcPr>
          <w:p w14:paraId="1336B6CA">
            <w:pPr>
              <w:spacing w:line="360" w:lineRule="auto"/>
              <w:jc w:val="center"/>
            </w:pPr>
            <w:r>
              <w:t>本期</w:t>
            </w:r>
          </w:p>
          <w:p w14:paraId="76B410B8">
            <w:pPr>
              <w:spacing w:line="360" w:lineRule="auto"/>
              <w:jc w:val="center"/>
            </w:pPr>
            <w:r>
              <w:t>2026年1月1日至2026年6月30日</w:t>
            </w:r>
          </w:p>
        </w:tc>
      </w:tr>
      <w:tr w14:paraId="4498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699" w:type="dxa"/>
            <w:vAlign w:val="center"/>
          </w:tcPr>
          <w:p w14:paraId="10CBE0C0">
            <w:pPr>
              <w:tabs>
                <w:tab w:val="left" w:pos="196"/>
                <w:tab w:val="left" w:pos="426"/>
              </w:tabs>
              <w:snapToGrid w:val="0"/>
              <w:spacing w:line="360" w:lineRule="auto"/>
            </w:pPr>
            <w:r>
              <w:t>银行手续费</w:t>
            </w:r>
          </w:p>
        </w:tc>
        <w:tc>
          <w:tcPr>
            <w:tcW w:w="6340" w:type="dxa"/>
            <w:vAlign w:val="bottom"/>
          </w:tcPr>
          <w:p w14:paraId="74A3A258">
            <w:pPr>
              <w:spacing w:line="360" w:lineRule="auto"/>
              <w:jc w:val="right"/>
            </w:pPr>
            <w:r>
              <w:t>1,078.00</w:t>
            </w:r>
          </w:p>
        </w:tc>
      </w:tr>
      <w:tr w14:paraId="64B7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B34B53E">
            <w:pPr>
              <w:jc w:val="left"/>
            </w:pPr>
            <w:r>
              <w:rPr>
                <w:kern w:val="0"/>
              </w:rPr>
              <w:t>利息支出</w:t>
            </w:r>
          </w:p>
        </w:tc>
        <w:tc>
          <w:tcPr>
            <w:vAlign w:val="center"/>
          </w:tcPr>
          <w:p w14:paraId="03E2FB01">
            <w:pPr>
              <w:jc w:val="right"/>
            </w:pPr>
            <w:r>
              <w:rPr>
                <w:kern w:val="0"/>
              </w:rPr>
              <w:t>4,374,616.63</w:t>
            </w:r>
          </w:p>
        </w:tc>
      </w:tr>
      <w:tr w14:paraId="1882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429E1E1">
            <w:pPr>
              <w:jc w:val="left"/>
            </w:pPr>
            <w:r>
              <w:rPr>
                <w:kern w:val="0"/>
              </w:rPr>
              <w:t>利息收入</w:t>
            </w:r>
          </w:p>
        </w:tc>
        <w:tc>
          <w:tcPr>
            <w:vAlign w:val="center"/>
          </w:tcPr>
          <w:p w14:paraId="5479ABFB">
            <w:pPr>
              <w:jc w:val="right"/>
            </w:pPr>
            <w:r>
              <w:rPr>
                <w:kern w:val="0"/>
              </w:rPr>
              <w:t>-45,060.49</w:t>
            </w:r>
          </w:p>
        </w:tc>
      </w:tr>
      <w:tr w14:paraId="1CDC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699" w:type="dxa"/>
            <w:vAlign w:val="center"/>
          </w:tcPr>
          <w:p w14:paraId="389358D7">
            <w:pPr>
              <w:tabs>
                <w:tab w:val="left" w:pos="196"/>
                <w:tab w:val="left" w:pos="426"/>
              </w:tabs>
              <w:snapToGrid w:val="0"/>
              <w:spacing w:line="360" w:lineRule="auto"/>
            </w:pPr>
            <w:r>
              <w:t>其他</w:t>
            </w:r>
          </w:p>
        </w:tc>
        <w:tc>
          <w:tcPr>
            <w:tcW w:w="6340" w:type="dxa"/>
            <w:vAlign w:val="bottom"/>
          </w:tcPr>
          <w:p w14:paraId="0443172C">
            <w:pPr>
              <w:spacing w:line="360" w:lineRule="auto"/>
              <w:jc w:val="right"/>
            </w:pPr>
            <w:r>
              <w:t>-</w:t>
            </w:r>
          </w:p>
        </w:tc>
      </w:tr>
      <w:tr w14:paraId="77DC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699" w:type="dxa"/>
            <w:vAlign w:val="center"/>
          </w:tcPr>
          <w:p w14:paraId="565B4084">
            <w:pPr>
              <w:tabs>
                <w:tab w:val="left" w:pos="196"/>
                <w:tab w:val="left" w:pos="426"/>
              </w:tabs>
              <w:snapToGrid w:val="0"/>
              <w:spacing w:line="360" w:lineRule="auto"/>
              <w:jc w:val="center"/>
            </w:pPr>
            <w:r>
              <w:t>合计</w:t>
            </w:r>
          </w:p>
        </w:tc>
        <w:tc>
          <w:tcPr>
            <w:tcW w:w="6340" w:type="dxa"/>
            <w:vAlign w:val="bottom"/>
          </w:tcPr>
          <w:p w14:paraId="395B1FB9">
            <w:pPr>
              <w:spacing w:line="360" w:lineRule="auto"/>
              <w:jc w:val="right"/>
            </w:pPr>
            <w:r>
              <w:t>4,330,634.14</w:t>
            </w:r>
          </w:p>
        </w:tc>
      </w:tr>
    </w:tbl>
    <w:p w14:paraId="2EE83AA5">
      <w:pPr>
        <w:spacing w:line="360" w:lineRule="auto"/>
        <w:outlineLvl w:val="3"/>
        <w:rPr>
          <w:b/>
        </w:rPr>
      </w:pPr>
      <w:r>
        <w:rPr>
          <w:b/>
          <w:kern w:val="0"/>
        </w:rPr>
        <w:t>9.5.6.19</w:t>
      </w:r>
      <w:r>
        <w:rPr>
          <w:b/>
        </w:rPr>
        <w:t xml:space="preserve">  信用减值损失</w:t>
      </w:r>
    </w:p>
    <w:p w14:paraId="1E1EA8C8">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8"/>
        <w:gridCol w:w="6491"/>
      </w:tblGrid>
      <w:tr w14:paraId="3FA9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548" w:type="dxa"/>
            <w:vAlign w:val="center"/>
          </w:tcPr>
          <w:p w14:paraId="193DB628">
            <w:pPr>
              <w:tabs>
                <w:tab w:val="left" w:pos="196"/>
                <w:tab w:val="left" w:pos="426"/>
              </w:tabs>
              <w:snapToGrid w:val="0"/>
              <w:spacing w:line="360" w:lineRule="auto"/>
              <w:jc w:val="center"/>
            </w:pPr>
            <w:r>
              <w:t>项目</w:t>
            </w:r>
          </w:p>
        </w:tc>
        <w:tc>
          <w:tcPr>
            <w:tcW w:w="6491" w:type="dxa"/>
          </w:tcPr>
          <w:p w14:paraId="6534BBF2">
            <w:pPr>
              <w:spacing w:line="360" w:lineRule="auto"/>
              <w:jc w:val="center"/>
            </w:pPr>
            <w:r>
              <w:t>本期</w:t>
            </w:r>
          </w:p>
          <w:p w14:paraId="0764C36C">
            <w:pPr>
              <w:spacing w:line="360" w:lineRule="auto"/>
              <w:jc w:val="center"/>
            </w:pPr>
            <w:r>
              <w:t>2026年1月1日至2026年6月30日</w:t>
            </w:r>
          </w:p>
        </w:tc>
      </w:tr>
      <w:tr w14:paraId="629C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48" w:type="dxa"/>
            <w:vAlign w:val="center"/>
          </w:tcPr>
          <w:p w14:paraId="6E15437A">
            <w:pPr>
              <w:tabs>
                <w:tab w:val="left" w:pos="196"/>
                <w:tab w:val="left" w:pos="426"/>
              </w:tabs>
              <w:snapToGrid w:val="0"/>
              <w:spacing w:line="360" w:lineRule="auto"/>
            </w:pPr>
            <w:r>
              <w:rPr>
                <w:bCs/>
                <w:kern w:val="0"/>
              </w:rPr>
              <w:t>债权投资减值损失</w:t>
            </w:r>
          </w:p>
        </w:tc>
        <w:tc>
          <w:tcPr>
            <w:tcW w:w="6491" w:type="dxa"/>
            <w:vAlign w:val="bottom"/>
          </w:tcPr>
          <w:p w14:paraId="340C9AD4">
            <w:pPr>
              <w:spacing w:line="360" w:lineRule="auto"/>
              <w:jc w:val="right"/>
            </w:pPr>
            <w:r>
              <w:t>-</w:t>
            </w:r>
          </w:p>
        </w:tc>
      </w:tr>
      <w:tr w14:paraId="6947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48" w:type="dxa"/>
            <w:vAlign w:val="center"/>
          </w:tcPr>
          <w:p w14:paraId="2C9BC5A7">
            <w:pPr>
              <w:tabs>
                <w:tab w:val="left" w:pos="196"/>
                <w:tab w:val="left" w:pos="426"/>
              </w:tabs>
              <w:snapToGrid w:val="0"/>
              <w:spacing w:line="360" w:lineRule="auto"/>
            </w:pPr>
            <w:r>
              <w:rPr>
                <w:bCs/>
                <w:kern w:val="0"/>
              </w:rPr>
              <w:t>应收账款坏账损失</w:t>
            </w:r>
          </w:p>
        </w:tc>
        <w:tc>
          <w:tcPr>
            <w:tcW w:w="6491" w:type="dxa"/>
            <w:vAlign w:val="bottom"/>
          </w:tcPr>
          <w:p w14:paraId="17350D2C">
            <w:pPr>
              <w:spacing w:line="360" w:lineRule="auto"/>
              <w:jc w:val="right"/>
            </w:pPr>
            <w:r>
              <w:t>566,099.23</w:t>
            </w:r>
          </w:p>
        </w:tc>
      </w:tr>
      <w:tr w14:paraId="7298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48" w:type="dxa"/>
            <w:vAlign w:val="center"/>
          </w:tcPr>
          <w:p w14:paraId="647D34CC">
            <w:pPr>
              <w:tabs>
                <w:tab w:val="left" w:pos="196"/>
                <w:tab w:val="left" w:pos="426"/>
              </w:tabs>
              <w:snapToGrid w:val="0"/>
              <w:spacing w:line="360" w:lineRule="auto"/>
              <w:rPr>
                <w:bCs/>
                <w:kern w:val="0"/>
              </w:rPr>
            </w:pPr>
            <w:r>
              <w:rPr>
                <w:bCs/>
                <w:kern w:val="0"/>
              </w:rPr>
              <w:t>其他应收款坏账损失</w:t>
            </w:r>
          </w:p>
        </w:tc>
        <w:tc>
          <w:tcPr>
            <w:tcW w:w="6491" w:type="dxa"/>
            <w:vAlign w:val="bottom"/>
          </w:tcPr>
          <w:p w14:paraId="0EB5E181">
            <w:pPr>
              <w:spacing w:line="360" w:lineRule="auto"/>
              <w:jc w:val="right"/>
            </w:pPr>
            <w:r>
              <w:t>-</w:t>
            </w:r>
          </w:p>
        </w:tc>
      </w:tr>
      <w:tr w14:paraId="1C0F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48" w:type="dxa"/>
            <w:vAlign w:val="center"/>
          </w:tcPr>
          <w:p w14:paraId="484BF96B">
            <w:pPr>
              <w:tabs>
                <w:tab w:val="left" w:pos="196"/>
                <w:tab w:val="left" w:pos="426"/>
              </w:tabs>
              <w:snapToGrid w:val="0"/>
              <w:spacing w:line="360" w:lineRule="auto"/>
            </w:pPr>
            <w:r>
              <w:rPr>
                <w:bCs/>
                <w:kern w:val="0"/>
              </w:rPr>
              <w:t>其他</w:t>
            </w:r>
          </w:p>
        </w:tc>
        <w:tc>
          <w:tcPr>
            <w:tcW w:w="6491" w:type="dxa"/>
            <w:vAlign w:val="bottom"/>
          </w:tcPr>
          <w:p w14:paraId="5E6321A9">
            <w:pPr>
              <w:spacing w:line="360" w:lineRule="auto"/>
              <w:jc w:val="right"/>
            </w:pPr>
            <w:r>
              <w:t>-</w:t>
            </w:r>
          </w:p>
        </w:tc>
      </w:tr>
      <w:tr w14:paraId="3027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48" w:type="dxa"/>
            <w:vAlign w:val="center"/>
          </w:tcPr>
          <w:p w14:paraId="0ECB1AD7">
            <w:pPr>
              <w:tabs>
                <w:tab w:val="left" w:pos="196"/>
                <w:tab w:val="left" w:pos="426"/>
              </w:tabs>
              <w:snapToGrid w:val="0"/>
              <w:spacing w:line="360" w:lineRule="auto"/>
              <w:jc w:val="center"/>
            </w:pPr>
            <w:r>
              <w:t>合计</w:t>
            </w:r>
          </w:p>
        </w:tc>
        <w:tc>
          <w:tcPr>
            <w:tcW w:w="6491" w:type="dxa"/>
            <w:vAlign w:val="bottom"/>
          </w:tcPr>
          <w:p w14:paraId="1C16C242">
            <w:pPr>
              <w:spacing w:line="360" w:lineRule="auto"/>
              <w:jc w:val="right"/>
            </w:pPr>
            <w:r>
              <w:t>566,099.23</w:t>
            </w:r>
          </w:p>
        </w:tc>
      </w:tr>
    </w:tbl>
    <w:p w14:paraId="73232620">
      <w:pPr>
        <w:spacing w:line="360" w:lineRule="auto"/>
        <w:outlineLvl w:val="3"/>
        <w:rPr>
          <w:b/>
          <w:kern w:val="0"/>
        </w:rPr>
      </w:pPr>
      <w:r>
        <w:rPr>
          <w:b/>
          <w:kern w:val="0"/>
        </w:rPr>
        <w:t>9.5.6.20  其他费用</w:t>
      </w:r>
    </w:p>
    <w:p w14:paraId="267A86F3">
      <w:pPr>
        <w:tabs>
          <w:tab w:val="left" w:pos="7230"/>
          <w:tab w:val="left" w:pos="7655"/>
        </w:tabs>
        <w:spacing w:line="360" w:lineRule="auto"/>
        <w:ind w:right="-50" w:rightChars="-24" w:firstLine="4960" w:firstLineChars="2362"/>
        <w:jc w:val="left"/>
        <w:rPr>
          <w:bCs/>
        </w:rPr>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9"/>
        <w:gridCol w:w="6520"/>
      </w:tblGrid>
      <w:tr w14:paraId="5537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160F2C6D">
            <w:pPr>
              <w:tabs>
                <w:tab w:val="left" w:pos="196"/>
                <w:tab w:val="left" w:pos="426"/>
              </w:tabs>
              <w:snapToGrid w:val="0"/>
              <w:spacing w:line="360" w:lineRule="auto"/>
              <w:jc w:val="center"/>
            </w:pPr>
            <w:r>
              <w:t>项目</w:t>
            </w:r>
          </w:p>
        </w:tc>
        <w:tc>
          <w:tcPr>
            <w:tcW w:w="6520" w:type="dxa"/>
          </w:tcPr>
          <w:p w14:paraId="5F281DE0">
            <w:pPr>
              <w:spacing w:line="360" w:lineRule="auto"/>
              <w:jc w:val="center"/>
            </w:pPr>
            <w:r>
              <w:t>本期</w:t>
            </w:r>
          </w:p>
          <w:p w14:paraId="210EF0C5">
            <w:pPr>
              <w:spacing w:line="360" w:lineRule="auto"/>
              <w:jc w:val="center"/>
            </w:pPr>
            <w:r>
              <w:t>2026年1月1日至2026年6月30日</w:t>
            </w:r>
          </w:p>
        </w:tc>
      </w:tr>
      <w:tr w14:paraId="0F15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59ADAA9">
            <w:pPr>
              <w:jc w:val="left"/>
            </w:pPr>
            <w:r>
              <w:t>审计费</w:t>
            </w:r>
          </w:p>
        </w:tc>
        <w:tc>
          <w:tcPr>
            <w:vAlign w:val="center"/>
          </w:tcPr>
          <w:p w14:paraId="1796AC51">
            <w:pPr>
              <w:jc w:val="right"/>
            </w:pPr>
            <w:r>
              <w:t>262,821.05</w:t>
            </w:r>
          </w:p>
        </w:tc>
      </w:tr>
      <w:tr w14:paraId="7F51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81F31D1">
            <w:pPr>
              <w:jc w:val="left"/>
            </w:pPr>
            <w:r>
              <w:t>评估费</w:t>
            </w:r>
          </w:p>
        </w:tc>
        <w:tc>
          <w:tcPr>
            <w:vAlign w:val="center"/>
          </w:tcPr>
          <w:p w14:paraId="0FA3853C">
            <w:pPr>
              <w:jc w:val="right"/>
            </w:pPr>
            <w:r>
              <w:t>95,707.37</w:t>
            </w:r>
          </w:p>
        </w:tc>
      </w:tr>
      <w:tr w14:paraId="2F35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A244DC8">
            <w:pPr>
              <w:jc w:val="left"/>
            </w:pPr>
            <w:r>
              <w:t>其他</w:t>
            </w:r>
          </w:p>
        </w:tc>
        <w:tc>
          <w:tcPr>
            <w:vAlign w:val="center"/>
          </w:tcPr>
          <w:p w14:paraId="78D82C28">
            <w:pPr>
              <w:jc w:val="right"/>
            </w:pPr>
            <w:r>
              <w:t>61,791.73</w:t>
            </w:r>
          </w:p>
        </w:tc>
      </w:tr>
      <w:tr w14:paraId="2C69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tcPr>
          <w:p w14:paraId="093AC885">
            <w:pPr>
              <w:tabs>
                <w:tab w:val="left" w:pos="196"/>
                <w:tab w:val="left" w:pos="426"/>
              </w:tabs>
              <w:snapToGrid w:val="0"/>
              <w:spacing w:line="360" w:lineRule="auto"/>
              <w:ind w:firstLine="630" w:firstLineChars="300"/>
            </w:pPr>
            <w:r>
              <w:t>合计</w:t>
            </w:r>
          </w:p>
        </w:tc>
        <w:tc>
          <w:tcPr>
            <w:tcW w:w="6520" w:type="dxa"/>
          </w:tcPr>
          <w:p w14:paraId="2F2B5508">
            <w:pPr>
              <w:spacing w:line="360" w:lineRule="auto"/>
              <w:jc w:val="right"/>
            </w:pPr>
            <w:r>
              <w:t>420,320.15</w:t>
            </w:r>
          </w:p>
        </w:tc>
      </w:tr>
    </w:tbl>
    <w:p w14:paraId="47F7E9A0">
      <w:pPr>
        <w:spacing w:line="360" w:lineRule="auto"/>
        <w:outlineLvl w:val="3"/>
        <w:rPr>
          <w:b/>
        </w:rPr>
      </w:pPr>
      <w:r>
        <w:rPr>
          <w:b/>
          <w:kern w:val="0"/>
        </w:rPr>
        <w:t>9.5.6.21</w:t>
      </w:r>
      <w:r>
        <w:rPr>
          <w:b/>
        </w:rPr>
        <w:t xml:space="preserve"> 营业外收入</w:t>
      </w:r>
    </w:p>
    <w:p w14:paraId="0CCA81CF">
      <w:pPr>
        <w:spacing w:line="360" w:lineRule="auto"/>
        <w:outlineLvl w:val="3"/>
        <w:rPr>
          <w:b/>
        </w:rPr>
      </w:pPr>
      <w:r>
        <w:rPr>
          <w:b/>
          <w:kern w:val="0"/>
        </w:rPr>
        <w:t>9.5.6.21.1</w:t>
      </w:r>
      <w:r>
        <w:rPr>
          <w:b/>
        </w:rPr>
        <w:t xml:space="preserve"> 营业外收入情况</w:t>
      </w:r>
    </w:p>
    <w:p w14:paraId="4FE29E24">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9"/>
        <w:gridCol w:w="6520"/>
      </w:tblGrid>
      <w:tr w14:paraId="059A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43D9B0E8">
            <w:pPr>
              <w:tabs>
                <w:tab w:val="left" w:pos="196"/>
                <w:tab w:val="left" w:pos="426"/>
              </w:tabs>
              <w:snapToGrid w:val="0"/>
              <w:spacing w:line="360" w:lineRule="auto"/>
              <w:jc w:val="center"/>
            </w:pPr>
            <w:r>
              <w:t>项目</w:t>
            </w:r>
          </w:p>
        </w:tc>
        <w:tc>
          <w:tcPr>
            <w:tcW w:w="6520" w:type="dxa"/>
          </w:tcPr>
          <w:p w14:paraId="2E4258F5">
            <w:pPr>
              <w:spacing w:line="360" w:lineRule="auto"/>
              <w:jc w:val="center"/>
            </w:pPr>
            <w:r>
              <w:t>本期</w:t>
            </w:r>
          </w:p>
          <w:p w14:paraId="55C51A97">
            <w:pPr>
              <w:spacing w:line="360" w:lineRule="auto"/>
              <w:jc w:val="center"/>
            </w:pPr>
            <w:r>
              <w:t>2026年1月1日至2026年6月30日</w:t>
            </w:r>
          </w:p>
        </w:tc>
      </w:tr>
      <w:tr w14:paraId="0C083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01222BE9">
            <w:pPr>
              <w:tabs>
                <w:tab w:val="left" w:pos="196"/>
                <w:tab w:val="left" w:pos="426"/>
              </w:tabs>
              <w:snapToGrid w:val="0"/>
              <w:spacing w:line="360" w:lineRule="auto"/>
            </w:pPr>
            <w:r>
              <w:t>非流动资产报废利得合计</w:t>
            </w:r>
          </w:p>
        </w:tc>
        <w:tc>
          <w:tcPr>
            <w:tcW w:w="6520" w:type="dxa"/>
            <w:vAlign w:val="bottom"/>
          </w:tcPr>
          <w:p w14:paraId="41D463DF">
            <w:pPr>
              <w:spacing w:line="360" w:lineRule="auto"/>
              <w:jc w:val="right"/>
            </w:pPr>
            <w:r>
              <w:t>-</w:t>
            </w:r>
          </w:p>
        </w:tc>
      </w:tr>
      <w:tr w14:paraId="0D82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32CBDD51">
            <w:pPr>
              <w:tabs>
                <w:tab w:val="left" w:pos="196"/>
                <w:tab w:val="left" w:pos="426"/>
              </w:tabs>
              <w:snapToGrid w:val="0"/>
              <w:spacing w:line="360" w:lineRule="auto"/>
            </w:pPr>
            <w:r>
              <w:t>其中：</w:t>
            </w:r>
            <w:bookmarkStart w:id="370" w:name="OLE_LINK13"/>
            <w:r>
              <w:t>固定资产报废利得</w:t>
            </w:r>
            <w:bookmarkEnd w:id="370"/>
          </w:p>
        </w:tc>
        <w:tc>
          <w:tcPr>
            <w:tcW w:w="6520" w:type="dxa"/>
            <w:vAlign w:val="bottom"/>
          </w:tcPr>
          <w:p w14:paraId="70B5E794">
            <w:pPr>
              <w:spacing w:line="360" w:lineRule="auto"/>
              <w:jc w:val="right"/>
            </w:pPr>
            <w:r>
              <w:t>-</w:t>
            </w:r>
          </w:p>
        </w:tc>
      </w:tr>
      <w:tr w14:paraId="2C1A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513308CA">
            <w:pPr>
              <w:tabs>
                <w:tab w:val="left" w:pos="196"/>
                <w:tab w:val="left" w:pos="426"/>
              </w:tabs>
              <w:snapToGrid w:val="0"/>
              <w:spacing w:line="360" w:lineRule="auto"/>
              <w:ind w:firstLine="630" w:firstLineChars="300"/>
            </w:pPr>
            <w:r>
              <w:t>无形资产报废利得</w:t>
            </w:r>
          </w:p>
        </w:tc>
        <w:tc>
          <w:tcPr>
            <w:tcW w:w="6520" w:type="dxa"/>
            <w:vAlign w:val="bottom"/>
          </w:tcPr>
          <w:p w14:paraId="499D217C">
            <w:pPr>
              <w:spacing w:line="360" w:lineRule="auto"/>
              <w:jc w:val="right"/>
            </w:pPr>
            <w:r>
              <w:t>-</w:t>
            </w:r>
          </w:p>
        </w:tc>
      </w:tr>
      <w:tr w14:paraId="486B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0F9DB321">
            <w:pPr>
              <w:tabs>
                <w:tab w:val="left" w:pos="196"/>
                <w:tab w:val="left" w:pos="426"/>
              </w:tabs>
              <w:snapToGrid w:val="0"/>
              <w:spacing w:line="360" w:lineRule="auto"/>
              <w:jc w:val="left"/>
            </w:pPr>
            <w:r>
              <w:t>政府补助</w:t>
            </w:r>
          </w:p>
        </w:tc>
        <w:tc>
          <w:tcPr>
            <w:tcW w:w="6520" w:type="dxa"/>
            <w:vAlign w:val="bottom"/>
          </w:tcPr>
          <w:p w14:paraId="4A7A145C">
            <w:pPr>
              <w:spacing w:line="360" w:lineRule="auto"/>
              <w:jc w:val="right"/>
            </w:pPr>
            <w:r>
              <w:t>-</w:t>
            </w:r>
          </w:p>
        </w:tc>
      </w:tr>
      <w:tr w14:paraId="75F52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409E0D0">
            <w:pPr>
              <w:jc w:val="left"/>
            </w:pPr>
            <w:r>
              <w:rPr>
                <w:kern w:val="0"/>
              </w:rPr>
              <w:t>退租赔偿收入</w:t>
            </w:r>
          </w:p>
        </w:tc>
        <w:tc>
          <w:tcPr>
            <w:vAlign w:val="center"/>
          </w:tcPr>
          <w:p w14:paraId="0C8BA27E">
            <w:pPr>
              <w:jc w:val="right"/>
            </w:pPr>
            <w:r>
              <w:rPr>
                <w:kern w:val="0"/>
              </w:rPr>
              <w:t>661,785.51</w:t>
            </w:r>
          </w:p>
        </w:tc>
      </w:tr>
      <w:tr w14:paraId="59AE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55E3DB8C">
            <w:pPr>
              <w:tabs>
                <w:tab w:val="left" w:pos="196"/>
                <w:tab w:val="left" w:pos="426"/>
              </w:tabs>
              <w:snapToGrid w:val="0"/>
              <w:spacing w:line="360" w:lineRule="auto"/>
            </w:pPr>
            <w:r>
              <w:t>其他</w:t>
            </w:r>
          </w:p>
        </w:tc>
        <w:tc>
          <w:tcPr>
            <w:tcW w:w="6520" w:type="dxa"/>
            <w:vAlign w:val="bottom"/>
          </w:tcPr>
          <w:p w14:paraId="0C093E7A">
            <w:pPr>
              <w:spacing w:line="360" w:lineRule="auto"/>
              <w:jc w:val="right"/>
            </w:pPr>
            <w:r>
              <w:t>-</w:t>
            </w:r>
          </w:p>
        </w:tc>
      </w:tr>
      <w:tr w14:paraId="7888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19" w:type="dxa"/>
            <w:vAlign w:val="center"/>
          </w:tcPr>
          <w:p w14:paraId="150CD3ED">
            <w:pPr>
              <w:tabs>
                <w:tab w:val="left" w:pos="196"/>
                <w:tab w:val="left" w:pos="426"/>
              </w:tabs>
              <w:snapToGrid w:val="0"/>
              <w:spacing w:line="360" w:lineRule="auto"/>
              <w:jc w:val="center"/>
            </w:pPr>
            <w:r>
              <w:t>合计</w:t>
            </w:r>
          </w:p>
        </w:tc>
        <w:tc>
          <w:tcPr>
            <w:tcW w:w="6520" w:type="dxa"/>
            <w:vAlign w:val="bottom"/>
          </w:tcPr>
          <w:p w14:paraId="0F02C694">
            <w:pPr>
              <w:spacing w:line="360" w:lineRule="auto"/>
              <w:jc w:val="right"/>
            </w:pPr>
            <w:r>
              <w:t>661,785.51</w:t>
            </w:r>
          </w:p>
        </w:tc>
      </w:tr>
    </w:tbl>
    <w:p w14:paraId="5FFFBC4D">
      <w:pPr>
        <w:spacing w:line="360" w:lineRule="auto"/>
        <w:outlineLvl w:val="3"/>
        <w:rPr>
          <w:b/>
        </w:rPr>
      </w:pPr>
      <w:r>
        <w:rPr>
          <w:b/>
          <w:kern w:val="0"/>
        </w:rPr>
        <w:t>9.5.6.22</w:t>
      </w:r>
      <w:r>
        <w:rPr>
          <w:b/>
        </w:rPr>
        <w:t xml:space="preserve"> 所得税费用</w:t>
      </w:r>
    </w:p>
    <w:p w14:paraId="70E7B25B">
      <w:pPr>
        <w:spacing w:line="360" w:lineRule="auto"/>
        <w:outlineLvl w:val="3"/>
        <w:rPr>
          <w:b/>
        </w:rPr>
      </w:pPr>
      <w:r>
        <w:rPr>
          <w:b/>
          <w:kern w:val="0"/>
        </w:rPr>
        <w:t>9.5.6.22.1</w:t>
      </w:r>
      <w:r>
        <w:rPr>
          <w:b/>
        </w:rPr>
        <w:t xml:space="preserve"> 所得税费用情况</w:t>
      </w:r>
    </w:p>
    <w:p w14:paraId="03B24BD7">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1"/>
        <w:gridCol w:w="6858"/>
      </w:tblGrid>
      <w:tr w14:paraId="4C47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181" w:type="dxa"/>
            <w:vAlign w:val="center"/>
          </w:tcPr>
          <w:p w14:paraId="6A143777">
            <w:pPr>
              <w:tabs>
                <w:tab w:val="left" w:pos="196"/>
                <w:tab w:val="left" w:pos="426"/>
              </w:tabs>
              <w:snapToGrid w:val="0"/>
              <w:spacing w:line="360" w:lineRule="auto"/>
              <w:jc w:val="center"/>
            </w:pPr>
            <w:r>
              <w:t>项目</w:t>
            </w:r>
          </w:p>
        </w:tc>
        <w:tc>
          <w:tcPr>
            <w:tcW w:w="6858" w:type="dxa"/>
          </w:tcPr>
          <w:p w14:paraId="32C5C697">
            <w:pPr>
              <w:spacing w:line="360" w:lineRule="auto"/>
              <w:jc w:val="center"/>
            </w:pPr>
            <w:r>
              <w:t>本期</w:t>
            </w:r>
          </w:p>
          <w:p w14:paraId="611DB8CF">
            <w:pPr>
              <w:spacing w:line="360" w:lineRule="auto"/>
              <w:jc w:val="center"/>
            </w:pPr>
            <w:r>
              <w:t>2026年1月1日至2026年6月30日</w:t>
            </w:r>
          </w:p>
        </w:tc>
      </w:tr>
      <w:tr w14:paraId="02B7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1" w:type="dxa"/>
            <w:vAlign w:val="center"/>
          </w:tcPr>
          <w:p w14:paraId="77C13B3B">
            <w:pPr>
              <w:tabs>
                <w:tab w:val="left" w:pos="196"/>
                <w:tab w:val="left" w:pos="426"/>
              </w:tabs>
              <w:snapToGrid w:val="0"/>
              <w:spacing w:line="360" w:lineRule="auto"/>
            </w:pPr>
            <w:r>
              <w:t>当期所得税费用</w:t>
            </w:r>
          </w:p>
        </w:tc>
        <w:tc>
          <w:tcPr>
            <w:tcW w:w="6858" w:type="dxa"/>
            <w:vAlign w:val="bottom"/>
          </w:tcPr>
          <w:p w14:paraId="632AF9A2">
            <w:pPr>
              <w:spacing w:line="360" w:lineRule="auto"/>
              <w:jc w:val="right"/>
            </w:pPr>
            <w:r>
              <w:t>-</w:t>
            </w:r>
          </w:p>
        </w:tc>
      </w:tr>
      <w:tr w14:paraId="1DCE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1" w:type="dxa"/>
            <w:vAlign w:val="center"/>
          </w:tcPr>
          <w:p w14:paraId="5BF8AACD">
            <w:pPr>
              <w:tabs>
                <w:tab w:val="left" w:pos="196"/>
                <w:tab w:val="left" w:pos="426"/>
              </w:tabs>
              <w:snapToGrid w:val="0"/>
              <w:spacing w:line="360" w:lineRule="auto"/>
            </w:pPr>
            <w:r>
              <w:t>递延所得税费用</w:t>
            </w:r>
          </w:p>
        </w:tc>
        <w:tc>
          <w:tcPr>
            <w:tcW w:w="6858" w:type="dxa"/>
            <w:vAlign w:val="bottom"/>
          </w:tcPr>
          <w:p w14:paraId="17045F73">
            <w:pPr>
              <w:spacing w:line="360" w:lineRule="auto"/>
              <w:jc w:val="right"/>
            </w:pPr>
            <w:r>
              <w:t>-11,383,045.54</w:t>
            </w:r>
          </w:p>
        </w:tc>
      </w:tr>
      <w:tr w14:paraId="4F84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1" w:type="dxa"/>
            <w:vAlign w:val="center"/>
          </w:tcPr>
          <w:p w14:paraId="1799CFE7">
            <w:pPr>
              <w:tabs>
                <w:tab w:val="left" w:pos="196"/>
                <w:tab w:val="left" w:pos="426"/>
              </w:tabs>
              <w:snapToGrid w:val="0"/>
              <w:spacing w:line="360" w:lineRule="auto"/>
              <w:jc w:val="center"/>
            </w:pPr>
            <w:r>
              <w:t>合计</w:t>
            </w:r>
          </w:p>
        </w:tc>
        <w:tc>
          <w:tcPr>
            <w:tcW w:w="6858" w:type="dxa"/>
            <w:vAlign w:val="bottom"/>
          </w:tcPr>
          <w:p w14:paraId="0B6F7FC2">
            <w:pPr>
              <w:spacing w:line="360" w:lineRule="auto"/>
              <w:jc w:val="right"/>
            </w:pPr>
            <w:r>
              <w:t>-11,383,045.54</w:t>
            </w:r>
          </w:p>
        </w:tc>
      </w:tr>
    </w:tbl>
    <w:p w14:paraId="0EE0DE61">
      <w:pPr>
        <w:spacing w:line="360" w:lineRule="auto"/>
        <w:outlineLvl w:val="3"/>
        <w:rPr>
          <w:b/>
        </w:rPr>
      </w:pPr>
      <w:r>
        <w:rPr>
          <w:b/>
          <w:kern w:val="0"/>
        </w:rPr>
        <w:t>9.5.6.22.2</w:t>
      </w:r>
      <w:r>
        <w:rPr>
          <w:b/>
        </w:rPr>
        <w:t xml:space="preserve"> 会计利润与所得税费用调整过程</w:t>
      </w:r>
    </w:p>
    <w:p w14:paraId="63BFF31F">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7"/>
        <w:gridCol w:w="3402"/>
      </w:tblGrid>
      <w:tr w14:paraId="4A2C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5637" w:type="dxa"/>
            <w:vAlign w:val="center"/>
          </w:tcPr>
          <w:p w14:paraId="55DEDBD4">
            <w:pPr>
              <w:tabs>
                <w:tab w:val="left" w:pos="196"/>
                <w:tab w:val="left" w:pos="426"/>
              </w:tabs>
              <w:snapToGrid w:val="0"/>
              <w:spacing w:line="360" w:lineRule="auto"/>
              <w:jc w:val="center"/>
            </w:pPr>
            <w:r>
              <w:t>项目</w:t>
            </w:r>
          </w:p>
        </w:tc>
        <w:tc>
          <w:tcPr>
            <w:tcW w:w="3402" w:type="dxa"/>
            <w:vAlign w:val="center"/>
          </w:tcPr>
          <w:p w14:paraId="61A43F9C">
            <w:pPr>
              <w:spacing w:line="360" w:lineRule="auto"/>
              <w:jc w:val="center"/>
            </w:pPr>
            <w:r>
              <w:t>本期</w:t>
            </w:r>
          </w:p>
          <w:p w14:paraId="75293D94">
            <w:pPr>
              <w:tabs>
                <w:tab w:val="left" w:pos="196"/>
                <w:tab w:val="left" w:pos="426"/>
              </w:tabs>
              <w:snapToGrid w:val="0"/>
              <w:spacing w:line="360" w:lineRule="auto"/>
              <w:jc w:val="center"/>
            </w:pPr>
            <w:r>
              <w:t>2026年1月1日至2026年6月30日</w:t>
            </w:r>
          </w:p>
        </w:tc>
      </w:tr>
      <w:tr w14:paraId="7D1A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1F5C7916">
            <w:pPr>
              <w:tabs>
                <w:tab w:val="left" w:pos="196"/>
                <w:tab w:val="left" w:pos="426"/>
              </w:tabs>
              <w:snapToGrid w:val="0"/>
              <w:spacing w:line="360" w:lineRule="auto"/>
            </w:pPr>
            <w:r>
              <w:t>利润总额</w:t>
            </w:r>
          </w:p>
        </w:tc>
        <w:tc>
          <w:tcPr>
            <w:tcW w:w="3402" w:type="dxa"/>
            <w:vAlign w:val="bottom"/>
          </w:tcPr>
          <w:p w14:paraId="399DFDAF">
            <w:pPr>
              <w:spacing w:line="360" w:lineRule="auto"/>
              <w:jc w:val="right"/>
            </w:pPr>
            <w:r>
              <w:t>8,035,588.63</w:t>
            </w:r>
          </w:p>
        </w:tc>
      </w:tr>
      <w:tr w14:paraId="71EC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69B2F7A4">
            <w:pPr>
              <w:tabs>
                <w:tab w:val="left" w:pos="196"/>
                <w:tab w:val="left" w:pos="426"/>
              </w:tabs>
              <w:snapToGrid w:val="0"/>
              <w:spacing w:line="360" w:lineRule="auto"/>
            </w:pPr>
            <w:r>
              <w:t>按法定/适用税率计算的所得税费用</w:t>
            </w:r>
          </w:p>
        </w:tc>
        <w:tc>
          <w:tcPr>
            <w:tcW w:w="3402" w:type="dxa"/>
            <w:vAlign w:val="bottom"/>
          </w:tcPr>
          <w:p w14:paraId="11D34AE3">
            <w:pPr>
              <w:spacing w:line="360" w:lineRule="auto"/>
              <w:jc w:val="right"/>
            </w:pPr>
            <w:r>
              <w:t>-13,289,961.48</w:t>
            </w:r>
          </w:p>
        </w:tc>
      </w:tr>
      <w:tr w14:paraId="56E1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1ED18D98">
            <w:pPr>
              <w:tabs>
                <w:tab w:val="left" w:pos="196"/>
                <w:tab w:val="left" w:pos="426"/>
              </w:tabs>
              <w:snapToGrid w:val="0"/>
              <w:spacing w:line="360" w:lineRule="auto"/>
            </w:pPr>
            <w:r>
              <w:t>子公司适用不同税率的影响</w:t>
            </w:r>
          </w:p>
        </w:tc>
        <w:tc>
          <w:tcPr>
            <w:tcW w:w="3402" w:type="dxa"/>
            <w:vAlign w:val="bottom"/>
          </w:tcPr>
          <w:p w14:paraId="6831BB09">
            <w:pPr>
              <w:spacing w:line="360" w:lineRule="auto"/>
              <w:jc w:val="right"/>
            </w:pPr>
            <w:r>
              <w:t>-</w:t>
            </w:r>
          </w:p>
        </w:tc>
      </w:tr>
      <w:tr w14:paraId="3907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194796EB">
            <w:pPr>
              <w:tabs>
                <w:tab w:val="left" w:pos="196"/>
                <w:tab w:val="left" w:pos="426"/>
              </w:tabs>
              <w:snapToGrid w:val="0"/>
              <w:spacing w:line="360" w:lineRule="auto"/>
            </w:pPr>
            <w:r>
              <w:t>调整以前期间所得税的影响</w:t>
            </w:r>
          </w:p>
        </w:tc>
        <w:tc>
          <w:tcPr>
            <w:tcW w:w="3402" w:type="dxa"/>
            <w:vAlign w:val="bottom"/>
          </w:tcPr>
          <w:p w14:paraId="6A7581F2">
            <w:pPr>
              <w:spacing w:line="360" w:lineRule="auto"/>
              <w:jc w:val="right"/>
            </w:pPr>
            <w:r>
              <w:t>-</w:t>
            </w:r>
          </w:p>
        </w:tc>
      </w:tr>
      <w:tr w14:paraId="5378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5F77A5A0">
            <w:pPr>
              <w:tabs>
                <w:tab w:val="left" w:pos="196"/>
                <w:tab w:val="left" w:pos="426"/>
              </w:tabs>
              <w:snapToGrid w:val="0"/>
              <w:spacing w:line="360" w:lineRule="auto"/>
            </w:pPr>
            <w:r>
              <w:t>非应税收入的影响</w:t>
            </w:r>
          </w:p>
        </w:tc>
        <w:tc>
          <w:tcPr>
            <w:tcW w:w="3402" w:type="dxa"/>
            <w:vAlign w:val="bottom"/>
          </w:tcPr>
          <w:p w14:paraId="0C19C3C5">
            <w:pPr>
              <w:spacing w:line="360" w:lineRule="auto"/>
              <w:jc w:val="right"/>
            </w:pPr>
            <w:r>
              <w:t>-</w:t>
            </w:r>
          </w:p>
        </w:tc>
      </w:tr>
      <w:tr w14:paraId="37F0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3F5CEF8F">
            <w:pPr>
              <w:tabs>
                <w:tab w:val="left" w:pos="196"/>
                <w:tab w:val="left" w:pos="426"/>
              </w:tabs>
              <w:snapToGrid w:val="0"/>
              <w:spacing w:line="360" w:lineRule="auto"/>
            </w:pPr>
            <w:r>
              <w:t>不可抵扣的成本、费用和损失的影响</w:t>
            </w:r>
          </w:p>
        </w:tc>
        <w:tc>
          <w:tcPr>
            <w:tcW w:w="3402" w:type="dxa"/>
            <w:vAlign w:val="bottom"/>
          </w:tcPr>
          <w:p w14:paraId="6B5F092E">
            <w:pPr>
              <w:spacing w:line="360" w:lineRule="auto"/>
              <w:jc w:val="right"/>
            </w:pPr>
            <w:r>
              <w:t>-</w:t>
            </w:r>
          </w:p>
        </w:tc>
      </w:tr>
      <w:tr w14:paraId="13A1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0E5A833F">
            <w:pPr>
              <w:tabs>
                <w:tab w:val="left" w:pos="196"/>
                <w:tab w:val="left" w:pos="426"/>
              </w:tabs>
              <w:snapToGrid w:val="0"/>
              <w:spacing w:line="360" w:lineRule="auto"/>
            </w:pPr>
            <w:r>
              <w:t>使用前期未确认递延所得税资产的可抵扣亏损的影响</w:t>
            </w:r>
          </w:p>
        </w:tc>
        <w:tc>
          <w:tcPr>
            <w:tcW w:w="3402" w:type="dxa"/>
            <w:vAlign w:val="bottom"/>
          </w:tcPr>
          <w:p w14:paraId="4169D1C4">
            <w:pPr>
              <w:spacing w:line="360" w:lineRule="auto"/>
              <w:jc w:val="right"/>
            </w:pPr>
            <w:r>
              <w:t>-</w:t>
            </w:r>
          </w:p>
        </w:tc>
      </w:tr>
      <w:tr w14:paraId="2204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28CCFF34">
            <w:pPr>
              <w:tabs>
                <w:tab w:val="left" w:pos="196"/>
                <w:tab w:val="left" w:pos="426"/>
              </w:tabs>
              <w:snapToGrid w:val="0"/>
              <w:spacing w:line="360" w:lineRule="auto"/>
            </w:pPr>
            <w:r>
              <w:t>本期未确认递延所得税资产的可抵扣暂时性差异或可抵扣亏损的影响</w:t>
            </w:r>
          </w:p>
        </w:tc>
        <w:tc>
          <w:tcPr>
            <w:tcW w:w="3402" w:type="dxa"/>
            <w:vAlign w:val="bottom"/>
          </w:tcPr>
          <w:p w14:paraId="5B67390B">
            <w:pPr>
              <w:spacing w:line="360" w:lineRule="auto"/>
              <w:jc w:val="right"/>
            </w:pPr>
            <w:r>
              <w:t>1,906,915.94</w:t>
            </w:r>
          </w:p>
        </w:tc>
      </w:tr>
      <w:tr w14:paraId="7C67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637" w:type="dxa"/>
            <w:vAlign w:val="center"/>
          </w:tcPr>
          <w:p w14:paraId="0F74DB3D">
            <w:pPr>
              <w:tabs>
                <w:tab w:val="left" w:pos="196"/>
                <w:tab w:val="left" w:pos="426"/>
              </w:tabs>
              <w:snapToGrid w:val="0"/>
              <w:spacing w:line="360" w:lineRule="auto"/>
              <w:jc w:val="center"/>
            </w:pPr>
            <w:r>
              <w:t>合计</w:t>
            </w:r>
          </w:p>
        </w:tc>
        <w:tc>
          <w:tcPr>
            <w:tcW w:w="3402" w:type="dxa"/>
            <w:vAlign w:val="center"/>
          </w:tcPr>
          <w:p w14:paraId="110B5FD2">
            <w:pPr>
              <w:tabs>
                <w:tab w:val="left" w:pos="196"/>
                <w:tab w:val="left" w:pos="426"/>
              </w:tabs>
              <w:snapToGrid w:val="0"/>
              <w:spacing w:line="360" w:lineRule="auto"/>
              <w:jc w:val="right"/>
            </w:pPr>
            <w:r>
              <w:t>-11,383,045.54</w:t>
            </w:r>
          </w:p>
        </w:tc>
      </w:tr>
    </w:tbl>
    <w:p w14:paraId="33A7DFF0">
      <w:pPr>
        <w:spacing w:line="360" w:lineRule="auto"/>
        <w:outlineLvl w:val="3"/>
        <w:rPr>
          <w:b/>
        </w:rPr>
      </w:pPr>
      <w:bookmarkStart w:id="371" w:name="_Toc161412422"/>
      <w:r>
        <w:rPr>
          <w:b/>
          <w:kern w:val="0"/>
        </w:rPr>
        <w:t>9.5.6.23</w:t>
      </w:r>
      <w:r>
        <w:rPr>
          <w:b/>
        </w:rPr>
        <w:t xml:space="preserve"> 现金流量表附注</w:t>
      </w:r>
    </w:p>
    <w:bookmarkEnd w:id="371"/>
    <w:p w14:paraId="4A46B934">
      <w:pPr>
        <w:spacing w:line="360" w:lineRule="auto"/>
        <w:outlineLvl w:val="3"/>
        <w:rPr>
          <w:b/>
        </w:rPr>
      </w:pPr>
      <w:r>
        <w:rPr>
          <w:b/>
          <w:kern w:val="0"/>
        </w:rPr>
        <w:t>9.5.6.23.1</w:t>
      </w:r>
      <w:r>
        <w:rPr>
          <w:b/>
        </w:rPr>
        <w:t xml:space="preserve"> 收到其他与经营活动有关的现金</w:t>
      </w:r>
    </w:p>
    <w:p w14:paraId="163BD084">
      <w:pPr>
        <w:tabs>
          <w:tab w:val="left" w:pos="7200"/>
          <w:tab w:val="left" w:pos="8280"/>
          <w:tab w:val="left" w:pos="9000"/>
        </w:tabs>
        <w:spacing w:line="360" w:lineRule="auto"/>
        <w:ind w:right="-109" w:rightChars="-52"/>
        <w:jc w:val="right"/>
        <w:rPr>
          <w:bCs/>
        </w:rPr>
      </w:pPr>
      <w:r>
        <w:t>单位：人民币元</w:t>
      </w:r>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97"/>
        <w:gridCol w:w="6076"/>
      </w:tblGrid>
      <w:tr w14:paraId="77C1E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97" w:type="dxa"/>
            <w:vAlign w:val="center"/>
          </w:tcPr>
          <w:p w14:paraId="0FBB1C84">
            <w:pPr>
              <w:spacing w:line="360" w:lineRule="auto"/>
              <w:jc w:val="center"/>
            </w:pPr>
            <w:r>
              <w:t>项目</w:t>
            </w:r>
          </w:p>
        </w:tc>
        <w:tc>
          <w:tcPr>
            <w:tcW w:w="6076" w:type="dxa"/>
          </w:tcPr>
          <w:p w14:paraId="1C5476F8">
            <w:pPr>
              <w:spacing w:line="360" w:lineRule="auto"/>
              <w:jc w:val="center"/>
            </w:pPr>
            <w:r>
              <w:t>本期</w:t>
            </w:r>
          </w:p>
          <w:p w14:paraId="15A1B5A3">
            <w:pPr>
              <w:widowControl/>
              <w:autoSpaceDE w:val="0"/>
              <w:autoSpaceDN w:val="0"/>
              <w:spacing w:line="360" w:lineRule="auto"/>
              <w:ind w:right="-15"/>
              <w:jc w:val="center"/>
              <w:textAlignment w:val="bottom"/>
              <w:rPr>
                <w:kern w:val="0"/>
              </w:rPr>
            </w:pPr>
            <w:r>
              <w:t>2026年1月1日至2026年6月30日</w:t>
            </w:r>
          </w:p>
        </w:tc>
      </w:tr>
      <w:tr w14:paraId="1880D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785D9BE8">
            <w:pPr>
              <w:jc w:val="left"/>
            </w:pPr>
            <w:r>
              <w:t>收到的保证金、押金、意向金</w:t>
            </w:r>
          </w:p>
        </w:tc>
        <w:tc>
          <w:tcPr>
            <w:vAlign w:val="center"/>
          </w:tcPr>
          <w:p w14:paraId="2ADF0026">
            <w:pPr>
              <w:jc w:val="right"/>
            </w:pPr>
            <w:r>
              <w:t>3,856,897.69</w:t>
            </w:r>
          </w:p>
        </w:tc>
      </w:tr>
      <w:tr w14:paraId="71AD0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7CFE67D3">
            <w:pPr>
              <w:jc w:val="left"/>
            </w:pPr>
            <w:r>
              <w:t>其他</w:t>
            </w:r>
          </w:p>
        </w:tc>
        <w:tc>
          <w:tcPr>
            <w:vAlign w:val="center"/>
          </w:tcPr>
          <w:p w14:paraId="24D1F673">
            <w:pPr>
              <w:jc w:val="right"/>
            </w:pPr>
            <w:r>
              <w:t>1,868,124.06</w:t>
            </w:r>
          </w:p>
        </w:tc>
      </w:tr>
      <w:tr w14:paraId="5F0A7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97" w:type="dxa"/>
            <w:vAlign w:val="center"/>
          </w:tcPr>
          <w:p w14:paraId="348BFA8F">
            <w:pPr>
              <w:spacing w:line="360" w:lineRule="auto"/>
            </w:pPr>
            <w:r>
              <w:t>合计</w:t>
            </w:r>
          </w:p>
        </w:tc>
        <w:tc>
          <w:tcPr>
            <w:tcW w:w="6076" w:type="dxa"/>
            <w:vAlign w:val="center"/>
          </w:tcPr>
          <w:p w14:paraId="29F60AD6">
            <w:pPr>
              <w:spacing w:line="360" w:lineRule="auto"/>
              <w:jc w:val="right"/>
            </w:pPr>
            <w:r>
              <w:t>5,725,021.75</w:t>
            </w:r>
          </w:p>
        </w:tc>
      </w:tr>
    </w:tbl>
    <w:p w14:paraId="141968CB">
      <w:pPr>
        <w:spacing w:line="360" w:lineRule="auto"/>
        <w:outlineLvl w:val="3"/>
        <w:rPr>
          <w:b/>
        </w:rPr>
      </w:pPr>
      <w:r>
        <w:rPr>
          <w:b/>
          <w:kern w:val="0"/>
        </w:rPr>
        <w:t>9.5.6.23.2</w:t>
      </w:r>
      <w:r>
        <w:rPr>
          <w:b/>
        </w:rPr>
        <w:t xml:space="preserve"> 支付其他与经营活动有关的现金</w:t>
      </w:r>
    </w:p>
    <w:p w14:paraId="2DD5F948">
      <w:pPr>
        <w:tabs>
          <w:tab w:val="left" w:pos="7200"/>
          <w:tab w:val="left" w:pos="8280"/>
          <w:tab w:val="left" w:pos="9000"/>
        </w:tabs>
        <w:spacing w:line="360" w:lineRule="auto"/>
        <w:ind w:right="-109" w:rightChars="-52"/>
        <w:jc w:val="right"/>
        <w:rPr>
          <w:bCs/>
        </w:rPr>
      </w:pPr>
      <w:r>
        <w:t>单位：人民币元</w:t>
      </w:r>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97"/>
        <w:gridCol w:w="6076"/>
      </w:tblGrid>
      <w:tr w14:paraId="5CBAD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97" w:type="dxa"/>
            <w:vAlign w:val="center"/>
          </w:tcPr>
          <w:p w14:paraId="04C90837">
            <w:pPr>
              <w:spacing w:line="360" w:lineRule="auto"/>
              <w:jc w:val="center"/>
            </w:pPr>
            <w:r>
              <w:t>项目</w:t>
            </w:r>
          </w:p>
        </w:tc>
        <w:tc>
          <w:tcPr>
            <w:tcW w:w="6076" w:type="dxa"/>
          </w:tcPr>
          <w:p w14:paraId="64734439">
            <w:pPr>
              <w:spacing w:line="360" w:lineRule="auto"/>
              <w:jc w:val="center"/>
            </w:pPr>
            <w:r>
              <w:t>本期</w:t>
            </w:r>
          </w:p>
          <w:p w14:paraId="2C33DD3A">
            <w:pPr>
              <w:widowControl/>
              <w:autoSpaceDE w:val="0"/>
              <w:autoSpaceDN w:val="0"/>
              <w:spacing w:line="360" w:lineRule="auto"/>
              <w:ind w:right="-15"/>
              <w:jc w:val="center"/>
              <w:textAlignment w:val="bottom"/>
              <w:rPr>
                <w:kern w:val="0"/>
              </w:rPr>
            </w:pPr>
            <w:r>
              <w:t>2026年1月1日至2026年6月30日</w:t>
            </w:r>
          </w:p>
        </w:tc>
      </w:tr>
      <w:tr w14:paraId="0FF52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3BD9B753">
            <w:pPr>
              <w:jc w:val="left"/>
            </w:pPr>
            <w:r>
              <w:t>支付管理费及托管费</w:t>
            </w:r>
          </w:p>
        </w:tc>
        <w:tc>
          <w:tcPr>
            <w:vAlign w:val="center"/>
          </w:tcPr>
          <w:p w14:paraId="4C12A0A7">
            <w:pPr>
              <w:jc w:val="right"/>
            </w:pPr>
            <w:r>
              <w:t>6,788,301.82</w:t>
            </w:r>
          </w:p>
        </w:tc>
      </w:tr>
      <w:tr w14:paraId="257C3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1126B954">
            <w:pPr>
              <w:jc w:val="left"/>
            </w:pPr>
            <w:r>
              <w:t>支付或退还押金、保证金</w:t>
            </w:r>
          </w:p>
        </w:tc>
        <w:tc>
          <w:tcPr>
            <w:vAlign w:val="center"/>
          </w:tcPr>
          <w:p w14:paraId="2B1CB9B7">
            <w:pPr>
              <w:jc w:val="right"/>
            </w:pPr>
            <w:r>
              <w:t>2,307,942.81</w:t>
            </w:r>
          </w:p>
        </w:tc>
      </w:tr>
      <w:tr w14:paraId="703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368F559">
            <w:pPr>
              <w:jc w:val="left"/>
            </w:pPr>
            <w:r>
              <w:t>支付专业服务费</w:t>
            </w:r>
          </w:p>
        </w:tc>
        <w:tc>
          <w:tcPr>
            <w:vAlign w:val="center"/>
          </w:tcPr>
          <w:p w14:paraId="42DEA229">
            <w:pPr>
              <w:jc w:val="right"/>
            </w:pPr>
            <w:r>
              <w:t>378,000.00</w:t>
            </w:r>
          </w:p>
        </w:tc>
      </w:tr>
      <w:tr w14:paraId="44132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807944D">
            <w:pPr>
              <w:jc w:val="left"/>
            </w:pPr>
            <w:r>
              <w:t>其他</w:t>
            </w:r>
          </w:p>
        </w:tc>
        <w:tc>
          <w:tcPr>
            <w:vAlign w:val="center"/>
          </w:tcPr>
          <w:p w14:paraId="1A8DF13A">
            <w:pPr>
              <w:jc w:val="right"/>
            </w:pPr>
            <w:r>
              <w:t>1,844,546.76</w:t>
            </w:r>
          </w:p>
        </w:tc>
      </w:tr>
      <w:tr w14:paraId="6AE60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97" w:type="dxa"/>
            <w:vAlign w:val="center"/>
          </w:tcPr>
          <w:p w14:paraId="095596ED">
            <w:pPr>
              <w:spacing w:line="360" w:lineRule="auto"/>
            </w:pPr>
            <w:r>
              <w:t>合计</w:t>
            </w:r>
          </w:p>
        </w:tc>
        <w:tc>
          <w:tcPr>
            <w:tcW w:w="6076" w:type="dxa"/>
            <w:vAlign w:val="center"/>
          </w:tcPr>
          <w:p w14:paraId="10ECE3A6">
            <w:pPr>
              <w:spacing w:line="360" w:lineRule="auto"/>
              <w:jc w:val="right"/>
            </w:pPr>
            <w:r>
              <w:t>11,318,791.39</w:t>
            </w:r>
          </w:p>
        </w:tc>
      </w:tr>
    </w:tbl>
    <w:p w14:paraId="4D8F3CDF">
      <w:pPr>
        <w:spacing w:line="360" w:lineRule="auto"/>
        <w:outlineLvl w:val="3"/>
        <w:rPr>
          <w:b/>
        </w:rPr>
      </w:pPr>
      <w:r>
        <w:rPr>
          <w:b/>
          <w:kern w:val="0"/>
        </w:rPr>
        <w:t>9.5.6.24</w:t>
      </w:r>
      <w:r>
        <w:rPr>
          <w:b/>
        </w:rPr>
        <w:t xml:space="preserve"> 现金流量表补充资料</w:t>
      </w:r>
    </w:p>
    <w:p w14:paraId="0B1F2695">
      <w:pPr>
        <w:spacing w:line="360" w:lineRule="auto"/>
        <w:outlineLvl w:val="3"/>
        <w:rPr>
          <w:b/>
        </w:rPr>
      </w:pPr>
      <w:r>
        <w:rPr>
          <w:b/>
          <w:kern w:val="0"/>
        </w:rPr>
        <w:t>9.5.6.24.1</w:t>
      </w:r>
      <w:r>
        <w:rPr>
          <w:b/>
        </w:rPr>
        <w:t xml:space="preserve"> 现金流量表补充资料</w:t>
      </w:r>
    </w:p>
    <w:p w14:paraId="4517E75D">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2"/>
        <w:gridCol w:w="5387"/>
      </w:tblGrid>
      <w:tr w14:paraId="3871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3652" w:type="dxa"/>
            <w:vAlign w:val="center"/>
          </w:tcPr>
          <w:p w14:paraId="4113AE55">
            <w:pPr>
              <w:spacing w:line="360" w:lineRule="auto"/>
              <w:jc w:val="center"/>
            </w:pPr>
            <w:r>
              <w:t>项目</w:t>
            </w:r>
          </w:p>
        </w:tc>
        <w:tc>
          <w:tcPr>
            <w:tcW w:w="5387" w:type="dxa"/>
          </w:tcPr>
          <w:p w14:paraId="7343BC3A">
            <w:pPr>
              <w:spacing w:line="360" w:lineRule="auto"/>
              <w:jc w:val="center"/>
            </w:pPr>
            <w:r>
              <w:t>本期</w:t>
            </w:r>
          </w:p>
          <w:p w14:paraId="66507A53">
            <w:pPr>
              <w:widowControl/>
              <w:autoSpaceDE w:val="0"/>
              <w:autoSpaceDN w:val="0"/>
              <w:spacing w:line="360" w:lineRule="auto"/>
              <w:ind w:right="-15"/>
              <w:jc w:val="center"/>
              <w:textAlignment w:val="bottom"/>
              <w:rPr>
                <w:kern w:val="0"/>
              </w:rPr>
            </w:pPr>
            <w:r>
              <w:t>2026年1月1日至2026年6月30日</w:t>
            </w:r>
          </w:p>
        </w:tc>
      </w:tr>
      <w:tr w14:paraId="3EBD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7DD29EE5">
            <w:pPr>
              <w:tabs>
                <w:tab w:val="left" w:pos="196"/>
                <w:tab w:val="left" w:pos="426"/>
              </w:tabs>
              <w:snapToGrid w:val="0"/>
              <w:spacing w:line="360" w:lineRule="auto"/>
            </w:pPr>
            <w:r>
              <w:t>1．将净利润调节为经营活动现金流量</w:t>
            </w:r>
          </w:p>
        </w:tc>
        <w:tc>
          <w:tcPr>
            <w:tcW w:w="5387" w:type="dxa"/>
            <w:vAlign w:val="center"/>
          </w:tcPr>
          <w:p w14:paraId="28FAF609">
            <w:pPr>
              <w:tabs>
                <w:tab w:val="left" w:pos="196"/>
                <w:tab w:val="left" w:pos="426"/>
              </w:tabs>
              <w:snapToGrid w:val="0"/>
              <w:spacing w:line="360" w:lineRule="auto"/>
              <w:jc w:val="right"/>
            </w:pPr>
          </w:p>
        </w:tc>
      </w:tr>
      <w:tr w14:paraId="1AD9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04530BF3">
            <w:pPr>
              <w:tabs>
                <w:tab w:val="left" w:pos="196"/>
                <w:tab w:val="left" w:pos="426"/>
              </w:tabs>
              <w:snapToGrid w:val="0"/>
              <w:spacing w:line="360" w:lineRule="auto"/>
            </w:pPr>
            <w:r>
              <w:t>净利润</w:t>
            </w:r>
          </w:p>
        </w:tc>
        <w:tc>
          <w:tcPr>
            <w:tcW w:w="5387" w:type="dxa"/>
            <w:vAlign w:val="bottom"/>
          </w:tcPr>
          <w:p w14:paraId="3017C47C">
            <w:pPr>
              <w:spacing w:line="360" w:lineRule="auto"/>
              <w:jc w:val="right"/>
            </w:pPr>
            <w:r>
              <w:t>19,418,634.17</w:t>
            </w:r>
          </w:p>
        </w:tc>
      </w:tr>
      <w:tr w14:paraId="68DA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27E67730">
            <w:pPr>
              <w:tabs>
                <w:tab w:val="left" w:pos="196"/>
                <w:tab w:val="left" w:pos="426"/>
              </w:tabs>
              <w:snapToGrid w:val="0"/>
              <w:spacing w:line="360" w:lineRule="auto"/>
            </w:pPr>
            <w:r>
              <w:t>加：信用减值损失</w:t>
            </w:r>
          </w:p>
        </w:tc>
        <w:tc>
          <w:tcPr>
            <w:tcW w:w="5387" w:type="dxa"/>
            <w:vAlign w:val="bottom"/>
          </w:tcPr>
          <w:p w14:paraId="29818510">
            <w:pPr>
              <w:spacing w:line="360" w:lineRule="auto"/>
              <w:jc w:val="right"/>
            </w:pPr>
            <w:r>
              <w:t>566,099.23</w:t>
            </w:r>
          </w:p>
        </w:tc>
      </w:tr>
      <w:tr w14:paraId="1030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221D5D2A">
            <w:pPr>
              <w:tabs>
                <w:tab w:val="left" w:pos="196"/>
                <w:tab w:val="left" w:pos="426"/>
              </w:tabs>
              <w:snapToGrid w:val="0"/>
              <w:spacing w:line="360" w:lineRule="auto"/>
              <w:ind w:firstLine="420" w:firstLineChars="200"/>
            </w:pPr>
            <w:r>
              <w:t>资产减值损失</w:t>
            </w:r>
          </w:p>
        </w:tc>
        <w:tc>
          <w:tcPr>
            <w:tcW w:w="5387" w:type="dxa"/>
            <w:vAlign w:val="bottom"/>
          </w:tcPr>
          <w:p w14:paraId="1E1B1638">
            <w:pPr>
              <w:spacing w:line="360" w:lineRule="auto"/>
              <w:jc w:val="right"/>
            </w:pPr>
            <w:r>
              <w:t>-</w:t>
            </w:r>
          </w:p>
        </w:tc>
      </w:tr>
      <w:tr w14:paraId="7A2F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22206FAD">
            <w:pPr>
              <w:tabs>
                <w:tab w:val="left" w:pos="196"/>
                <w:tab w:val="left" w:pos="426"/>
              </w:tabs>
              <w:snapToGrid w:val="0"/>
              <w:spacing w:line="360" w:lineRule="auto"/>
              <w:ind w:firstLine="420" w:firstLineChars="200"/>
            </w:pPr>
            <w:r>
              <w:t>固定资产折旧</w:t>
            </w:r>
          </w:p>
        </w:tc>
        <w:tc>
          <w:tcPr>
            <w:tcW w:w="5387" w:type="dxa"/>
            <w:vAlign w:val="bottom"/>
          </w:tcPr>
          <w:p w14:paraId="4425D37C">
            <w:pPr>
              <w:spacing w:line="360" w:lineRule="auto"/>
              <w:jc w:val="right"/>
            </w:pPr>
            <w:r>
              <w:t>-</w:t>
            </w:r>
          </w:p>
        </w:tc>
      </w:tr>
      <w:tr w14:paraId="358E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7CEB85AD">
            <w:pPr>
              <w:tabs>
                <w:tab w:val="left" w:pos="196"/>
                <w:tab w:val="left" w:pos="426"/>
              </w:tabs>
              <w:snapToGrid w:val="0"/>
              <w:spacing w:line="360" w:lineRule="auto"/>
              <w:ind w:firstLine="420" w:firstLineChars="200"/>
            </w:pPr>
            <w:r>
              <w:t>投资性房地产折旧</w:t>
            </w:r>
          </w:p>
        </w:tc>
        <w:tc>
          <w:tcPr>
            <w:tcW w:w="5387" w:type="dxa"/>
            <w:vAlign w:val="bottom"/>
          </w:tcPr>
          <w:p w14:paraId="6D8C2C5A">
            <w:pPr>
              <w:spacing w:line="360" w:lineRule="auto"/>
              <w:jc w:val="right"/>
            </w:pPr>
            <w:r>
              <w:t>45,532,182.12</w:t>
            </w:r>
          </w:p>
        </w:tc>
      </w:tr>
      <w:tr w14:paraId="3F6F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31D2CE91">
            <w:pPr>
              <w:tabs>
                <w:tab w:val="left" w:pos="196"/>
                <w:tab w:val="left" w:pos="426"/>
              </w:tabs>
              <w:snapToGrid w:val="0"/>
              <w:spacing w:line="360" w:lineRule="auto"/>
              <w:ind w:firstLine="420" w:firstLineChars="200"/>
            </w:pPr>
            <w:r>
              <w:t>使用权资产折旧</w:t>
            </w:r>
          </w:p>
        </w:tc>
        <w:tc>
          <w:tcPr>
            <w:tcW w:w="5387" w:type="dxa"/>
            <w:vAlign w:val="bottom"/>
          </w:tcPr>
          <w:p w14:paraId="09EC0B05">
            <w:pPr>
              <w:spacing w:line="360" w:lineRule="auto"/>
              <w:jc w:val="right"/>
            </w:pPr>
            <w:r>
              <w:t>-</w:t>
            </w:r>
          </w:p>
        </w:tc>
      </w:tr>
      <w:tr w14:paraId="374B3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303307EC">
            <w:pPr>
              <w:tabs>
                <w:tab w:val="left" w:pos="196"/>
                <w:tab w:val="left" w:pos="426"/>
              </w:tabs>
              <w:snapToGrid w:val="0"/>
              <w:spacing w:line="360" w:lineRule="auto"/>
              <w:ind w:firstLine="420" w:firstLineChars="200"/>
            </w:pPr>
            <w:r>
              <w:t>无形资产摊销</w:t>
            </w:r>
          </w:p>
        </w:tc>
        <w:tc>
          <w:tcPr>
            <w:tcW w:w="5387" w:type="dxa"/>
            <w:vAlign w:val="bottom"/>
          </w:tcPr>
          <w:p w14:paraId="5DE1B78B">
            <w:pPr>
              <w:spacing w:line="360" w:lineRule="auto"/>
              <w:jc w:val="right"/>
            </w:pPr>
            <w:r>
              <w:t>-</w:t>
            </w:r>
          </w:p>
        </w:tc>
      </w:tr>
      <w:tr w14:paraId="228B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5B1B874A">
            <w:pPr>
              <w:tabs>
                <w:tab w:val="left" w:pos="196"/>
                <w:tab w:val="left" w:pos="426"/>
              </w:tabs>
              <w:snapToGrid w:val="0"/>
              <w:spacing w:line="360" w:lineRule="auto"/>
              <w:ind w:firstLine="420" w:firstLineChars="200"/>
            </w:pPr>
            <w:r>
              <w:t>长期待摊费用摊销</w:t>
            </w:r>
          </w:p>
        </w:tc>
        <w:tc>
          <w:tcPr>
            <w:tcW w:w="5387" w:type="dxa"/>
            <w:vAlign w:val="bottom"/>
          </w:tcPr>
          <w:p w14:paraId="17BF577B">
            <w:pPr>
              <w:spacing w:line="360" w:lineRule="auto"/>
              <w:jc w:val="right"/>
            </w:pPr>
            <w:r>
              <w:t>42,981.16</w:t>
            </w:r>
          </w:p>
        </w:tc>
      </w:tr>
      <w:tr w14:paraId="1C579666">
        <w:tblPrEx>
          <w:tblCellMar>
            <w:top w:w="0" w:type="dxa"/>
            <w:left w:w="108" w:type="dxa"/>
            <w:bottom w:w="0" w:type="dxa"/>
            <w:right w:w="108" w:type="dxa"/>
          </w:tblCellMar>
        </w:tblPrEx>
        <w:trPr>
          <w:trHeight w:val="300" w:hRule="atLeast"/>
        </w:trPr>
        <w:tc>
          <w:tcPr>
            <w:tcW w:w="3652" w:type="dxa"/>
            <w:vAlign w:val="center"/>
          </w:tcPr>
          <w:p w14:paraId="68460426">
            <w:pPr>
              <w:tabs>
                <w:tab w:val="left" w:pos="196"/>
                <w:tab w:val="left" w:pos="426"/>
              </w:tabs>
              <w:snapToGrid w:val="0"/>
              <w:spacing w:line="360" w:lineRule="auto"/>
              <w:ind w:firstLine="420" w:firstLineChars="200"/>
            </w:pPr>
            <w:r>
              <w:t>处置固定资产、无形资产和其他长期资产的损失（收益以“-”号填列）</w:t>
            </w:r>
          </w:p>
        </w:tc>
        <w:tc>
          <w:tcPr>
            <w:tcW w:w="5387" w:type="dxa"/>
            <w:vAlign w:val="bottom"/>
          </w:tcPr>
          <w:p w14:paraId="3EAD6063">
            <w:pPr>
              <w:spacing w:line="360" w:lineRule="auto"/>
              <w:jc w:val="right"/>
            </w:pPr>
            <w:r>
              <w:t>-</w:t>
            </w:r>
          </w:p>
        </w:tc>
      </w:tr>
      <w:tr w14:paraId="76B6A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67319820">
            <w:pPr>
              <w:tabs>
                <w:tab w:val="left" w:pos="196"/>
                <w:tab w:val="left" w:pos="426"/>
              </w:tabs>
              <w:snapToGrid w:val="0"/>
              <w:spacing w:line="360" w:lineRule="auto"/>
              <w:ind w:firstLine="420" w:firstLineChars="200"/>
            </w:pPr>
            <w:r>
              <w:t>固定资产报废损失（收益以“-”号填列）</w:t>
            </w:r>
          </w:p>
        </w:tc>
        <w:tc>
          <w:tcPr>
            <w:tcW w:w="5387" w:type="dxa"/>
            <w:vAlign w:val="bottom"/>
          </w:tcPr>
          <w:p w14:paraId="1D418C78">
            <w:pPr>
              <w:spacing w:line="360" w:lineRule="auto"/>
              <w:jc w:val="right"/>
            </w:pPr>
            <w:r>
              <w:t>-</w:t>
            </w:r>
          </w:p>
        </w:tc>
      </w:tr>
      <w:tr w14:paraId="4F8B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57325E7B">
            <w:pPr>
              <w:tabs>
                <w:tab w:val="left" w:pos="196"/>
                <w:tab w:val="left" w:pos="426"/>
              </w:tabs>
              <w:snapToGrid w:val="0"/>
              <w:spacing w:line="360" w:lineRule="auto"/>
              <w:ind w:firstLine="420" w:firstLineChars="200"/>
            </w:pPr>
            <w:r>
              <w:t>公允价值变动损失（收益以“-”号填列）</w:t>
            </w:r>
          </w:p>
        </w:tc>
        <w:tc>
          <w:tcPr>
            <w:tcW w:w="5387" w:type="dxa"/>
            <w:vAlign w:val="bottom"/>
          </w:tcPr>
          <w:p w14:paraId="64E8BC47">
            <w:pPr>
              <w:spacing w:line="360" w:lineRule="auto"/>
              <w:jc w:val="right"/>
            </w:pPr>
            <w:r>
              <w:t>-</w:t>
            </w:r>
          </w:p>
        </w:tc>
      </w:tr>
      <w:tr w14:paraId="20A9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42C2C681">
            <w:pPr>
              <w:tabs>
                <w:tab w:val="left" w:pos="196"/>
                <w:tab w:val="left" w:pos="426"/>
              </w:tabs>
              <w:snapToGrid w:val="0"/>
              <w:spacing w:line="360" w:lineRule="auto"/>
              <w:ind w:firstLine="420" w:firstLineChars="200"/>
            </w:pPr>
            <w:r>
              <w:t>财务费用（收益以“-”号填列）</w:t>
            </w:r>
          </w:p>
        </w:tc>
        <w:tc>
          <w:tcPr>
            <w:tcW w:w="5387" w:type="dxa"/>
            <w:vAlign w:val="bottom"/>
          </w:tcPr>
          <w:p w14:paraId="2D047FDC">
            <w:pPr>
              <w:spacing w:line="360" w:lineRule="auto"/>
              <w:jc w:val="right"/>
            </w:pPr>
            <w:r>
              <w:t>4,374,616.63</w:t>
            </w:r>
          </w:p>
        </w:tc>
      </w:tr>
      <w:tr w14:paraId="0EFF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2F0F1D54">
            <w:pPr>
              <w:tabs>
                <w:tab w:val="left" w:pos="196"/>
                <w:tab w:val="left" w:pos="426"/>
              </w:tabs>
              <w:snapToGrid w:val="0"/>
              <w:spacing w:line="360" w:lineRule="auto"/>
              <w:ind w:firstLine="420" w:firstLineChars="200"/>
            </w:pPr>
            <w:r>
              <w:t>投资损失（收益以“-”号填列）</w:t>
            </w:r>
          </w:p>
        </w:tc>
        <w:tc>
          <w:tcPr>
            <w:tcW w:w="5387" w:type="dxa"/>
            <w:vAlign w:val="bottom"/>
          </w:tcPr>
          <w:p w14:paraId="7786F201">
            <w:pPr>
              <w:spacing w:line="360" w:lineRule="auto"/>
              <w:jc w:val="right"/>
            </w:pPr>
            <w:r>
              <w:t>-525,398.64</w:t>
            </w:r>
          </w:p>
        </w:tc>
      </w:tr>
      <w:tr w14:paraId="316E4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6967E537">
            <w:pPr>
              <w:tabs>
                <w:tab w:val="left" w:pos="196"/>
                <w:tab w:val="left" w:pos="426"/>
              </w:tabs>
              <w:snapToGrid w:val="0"/>
              <w:spacing w:line="360" w:lineRule="auto"/>
              <w:ind w:firstLine="420" w:firstLineChars="200"/>
            </w:pPr>
            <w:r>
              <w:t>递延所得税资产减少（增加以“-”号填列）</w:t>
            </w:r>
          </w:p>
        </w:tc>
        <w:tc>
          <w:tcPr>
            <w:tcW w:w="5387" w:type="dxa"/>
            <w:vAlign w:val="bottom"/>
          </w:tcPr>
          <w:p w14:paraId="679DF288">
            <w:pPr>
              <w:spacing w:line="360" w:lineRule="auto"/>
              <w:jc w:val="right"/>
            </w:pPr>
            <w:r>
              <w:t>-</w:t>
            </w:r>
          </w:p>
        </w:tc>
      </w:tr>
      <w:tr w14:paraId="363FE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6EADD8F9">
            <w:pPr>
              <w:tabs>
                <w:tab w:val="left" w:pos="196"/>
                <w:tab w:val="left" w:pos="426"/>
              </w:tabs>
              <w:snapToGrid w:val="0"/>
              <w:spacing w:line="360" w:lineRule="auto"/>
              <w:ind w:firstLine="420" w:firstLineChars="200"/>
            </w:pPr>
            <w:r>
              <w:t>递延所得税负债增加（减少以“-”号填列）</w:t>
            </w:r>
          </w:p>
        </w:tc>
        <w:tc>
          <w:tcPr>
            <w:tcW w:w="5387" w:type="dxa"/>
            <w:vAlign w:val="bottom"/>
          </w:tcPr>
          <w:p w14:paraId="576419D5">
            <w:pPr>
              <w:spacing w:line="360" w:lineRule="auto"/>
              <w:jc w:val="right"/>
            </w:pPr>
            <w:r>
              <w:t>-11,383,045.54</w:t>
            </w:r>
          </w:p>
        </w:tc>
      </w:tr>
      <w:tr w14:paraId="34D38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4D01ECBA">
            <w:pPr>
              <w:tabs>
                <w:tab w:val="left" w:pos="196"/>
                <w:tab w:val="left" w:pos="426"/>
              </w:tabs>
              <w:snapToGrid w:val="0"/>
              <w:spacing w:line="360" w:lineRule="auto"/>
              <w:ind w:firstLine="420" w:firstLineChars="200"/>
            </w:pPr>
            <w:r>
              <w:t>存货的减少（增加以“-”号填列）</w:t>
            </w:r>
          </w:p>
        </w:tc>
        <w:tc>
          <w:tcPr>
            <w:tcW w:w="5387" w:type="dxa"/>
            <w:vAlign w:val="bottom"/>
          </w:tcPr>
          <w:p w14:paraId="7BF65979">
            <w:pPr>
              <w:spacing w:line="360" w:lineRule="auto"/>
              <w:jc w:val="right"/>
            </w:pPr>
            <w:r>
              <w:t>-</w:t>
            </w:r>
          </w:p>
        </w:tc>
      </w:tr>
      <w:tr w14:paraId="2CF4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31134042">
            <w:pPr>
              <w:tabs>
                <w:tab w:val="left" w:pos="196"/>
                <w:tab w:val="left" w:pos="426"/>
              </w:tabs>
              <w:snapToGrid w:val="0"/>
              <w:spacing w:line="360" w:lineRule="auto"/>
              <w:ind w:firstLine="420" w:firstLineChars="200"/>
            </w:pPr>
            <w:r>
              <w:t>经营性应收项目的减少（增加以“-”号填列）</w:t>
            </w:r>
          </w:p>
        </w:tc>
        <w:tc>
          <w:tcPr>
            <w:tcW w:w="5387" w:type="dxa"/>
            <w:vAlign w:val="bottom"/>
          </w:tcPr>
          <w:p w14:paraId="4FFCB68E">
            <w:pPr>
              <w:spacing w:line="360" w:lineRule="auto"/>
              <w:jc w:val="right"/>
            </w:pPr>
            <w:r>
              <w:t>10,930,539.02</w:t>
            </w:r>
          </w:p>
        </w:tc>
      </w:tr>
      <w:tr w14:paraId="66F0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32B05912">
            <w:pPr>
              <w:tabs>
                <w:tab w:val="left" w:pos="196"/>
                <w:tab w:val="left" w:pos="426"/>
              </w:tabs>
              <w:snapToGrid w:val="0"/>
              <w:spacing w:line="360" w:lineRule="auto"/>
              <w:ind w:firstLine="420" w:firstLineChars="200"/>
            </w:pPr>
            <w:r>
              <w:t>经营性应付项目的增加（减少以“-”号填列）</w:t>
            </w:r>
          </w:p>
        </w:tc>
        <w:tc>
          <w:tcPr>
            <w:tcW w:w="5387" w:type="dxa"/>
            <w:vAlign w:val="bottom"/>
          </w:tcPr>
          <w:p w14:paraId="21FC4BB3">
            <w:pPr>
              <w:spacing w:line="360" w:lineRule="auto"/>
              <w:jc w:val="right"/>
            </w:pPr>
            <w:r>
              <w:t>6,519,036.97</w:t>
            </w:r>
          </w:p>
        </w:tc>
      </w:tr>
      <w:tr w14:paraId="41B3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58AA4020">
            <w:pPr>
              <w:tabs>
                <w:tab w:val="left" w:pos="196"/>
                <w:tab w:val="left" w:pos="426"/>
              </w:tabs>
              <w:snapToGrid w:val="0"/>
              <w:spacing w:line="360" w:lineRule="auto"/>
              <w:ind w:firstLine="420" w:firstLineChars="200"/>
            </w:pPr>
            <w:r>
              <w:t>其他</w:t>
            </w:r>
          </w:p>
        </w:tc>
        <w:tc>
          <w:tcPr>
            <w:tcW w:w="5387" w:type="dxa"/>
            <w:vAlign w:val="bottom"/>
          </w:tcPr>
          <w:p w14:paraId="226CC44E">
            <w:pPr>
              <w:spacing w:line="360" w:lineRule="auto"/>
              <w:jc w:val="right"/>
            </w:pPr>
            <w:r>
              <w:t>-</w:t>
            </w:r>
          </w:p>
        </w:tc>
      </w:tr>
      <w:tr w14:paraId="16DE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228EAFD5">
            <w:pPr>
              <w:tabs>
                <w:tab w:val="left" w:pos="196"/>
                <w:tab w:val="left" w:pos="426"/>
              </w:tabs>
              <w:snapToGrid w:val="0"/>
              <w:spacing w:line="360" w:lineRule="auto"/>
            </w:pPr>
            <w:r>
              <w:t>经营活动产生的现金流量净额</w:t>
            </w:r>
          </w:p>
        </w:tc>
        <w:tc>
          <w:tcPr>
            <w:tcW w:w="5387" w:type="dxa"/>
            <w:vAlign w:val="bottom"/>
          </w:tcPr>
          <w:p w14:paraId="241A0FD8">
            <w:pPr>
              <w:spacing w:line="360" w:lineRule="auto"/>
              <w:jc w:val="right"/>
            </w:pPr>
            <w:r>
              <w:t>75,475,645.12</w:t>
            </w:r>
          </w:p>
        </w:tc>
      </w:tr>
      <w:tr w14:paraId="6F00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75733D7C">
            <w:pPr>
              <w:tabs>
                <w:tab w:val="left" w:pos="196"/>
                <w:tab w:val="left" w:pos="426"/>
              </w:tabs>
              <w:snapToGrid w:val="0"/>
              <w:spacing w:line="360" w:lineRule="auto"/>
            </w:pPr>
            <w:r>
              <w:t>2．不涉及现金收支的重大投资和筹资活动</w:t>
            </w:r>
          </w:p>
        </w:tc>
        <w:tc>
          <w:tcPr>
            <w:tcW w:w="5387" w:type="dxa"/>
            <w:vAlign w:val="center"/>
          </w:tcPr>
          <w:p w14:paraId="707FB99E">
            <w:pPr>
              <w:tabs>
                <w:tab w:val="left" w:pos="196"/>
                <w:tab w:val="left" w:pos="426"/>
              </w:tabs>
              <w:snapToGrid w:val="0"/>
              <w:spacing w:line="360" w:lineRule="auto"/>
              <w:jc w:val="right"/>
            </w:pPr>
          </w:p>
        </w:tc>
      </w:tr>
      <w:tr w14:paraId="0FB4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0E3EB413">
            <w:pPr>
              <w:tabs>
                <w:tab w:val="left" w:pos="196"/>
                <w:tab w:val="left" w:pos="426"/>
              </w:tabs>
              <w:snapToGrid w:val="0"/>
              <w:spacing w:line="360" w:lineRule="auto"/>
              <w:ind w:firstLine="420" w:firstLineChars="200"/>
            </w:pPr>
            <w:r>
              <w:t>债务转为资本</w:t>
            </w:r>
          </w:p>
        </w:tc>
        <w:tc>
          <w:tcPr>
            <w:tcW w:w="5387" w:type="dxa"/>
            <w:vAlign w:val="bottom"/>
          </w:tcPr>
          <w:p w14:paraId="05EA7C6E">
            <w:pPr>
              <w:spacing w:line="360" w:lineRule="auto"/>
              <w:jc w:val="right"/>
            </w:pPr>
            <w:r>
              <w:t>-</w:t>
            </w:r>
          </w:p>
        </w:tc>
      </w:tr>
      <w:tr w14:paraId="0A906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1019CC35">
            <w:pPr>
              <w:tabs>
                <w:tab w:val="left" w:pos="196"/>
                <w:tab w:val="left" w:pos="426"/>
              </w:tabs>
              <w:snapToGrid w:val="0"/>
              <w:spacing w:line="360" w:lineRule="auto"/>
              <w:ind w:firstLine="420" w:firstLineChars="200"/>
            </w:pPr>
            <w:r>
              <w:t>融资租入固定资产</w:t>
            </w:r>
          </w:p>
        </w:tc>
        <w:tc>
          <w:tcPr>
            <w:tcW w:w="5387" w:type="dxa"/>
            <w:vAlign w:val="bottom"/>
          </w:tcPr>
          <w:p w14:paraId="67E30053">
            <w:pPr>
              <w:spacing w:line="360" w:lineRule="auto"/>
              <w:jc w:val="right"/>
            </w:pPr>
            <w:r>
              <w:t>-</w:t>
            </w:r>
          </w:p>
        </w:tc>
      </w:tr>
      <w:tr w14:paraId="027EE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60337BC0">
            <w:pPr>
              <w:tabs>
                <w:tab w:val="left" w:pos="196"/>
                <w:tab w:val="left" w:pos="426"/>
              </w:tabs>
              <w:snapToGrid w:val="0"/>
              <w:spacing w:line="360" w:lineRule="auto"/>
            </w:pPr>
            <w:r>
              <w:t>3．现金及现金等价物净变动情况</w:t>
            </w:r>
          </w:p>
        </w:tc>
        <w:tc>
          <w:tcPr>
            <w:tcW w:w="5387" w:type="dxa"/>
            <w:vAlign w:val="center"/>
          </w:tcPr>
          <w:p w14:paraId="76B7C148">
            <w:pPr>
              <w:tabs>
                <w:tab w:val="left" w:pos="196"/>
                <w:tab w:val="left" w:pos="426"/>
              </w:tabs>
              <w:snapToGrid w:val="0"/>
              <w:spacing w:line="360" w:lineRule="auto"/>
              <w:jc w:val="right"/>
            </w:pPr>
          </w:p>
        </w:tc>
      </w:tr>
      <w:tr w14:paraId="1C78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595647FA">
            <w:pPr>
              <w:tabs>
                <w:tab w:val="left" w:pos="196"/>
                <w:tab w:val="left" w:pos="426"/>
              </w:tabs>
              <w:snapToGrid w:val="0"/>
              <w:spacing w:line="360" w:lineRule="auto"/>
            </w:pPr>
            <w:r>
              <w:t>现金的期末余额</w:t>
            </w:r>
          </w:p>
        </w:tc>
        <w:tc>
          <w:tcPr>
            <w:tcW w:w="5387" w:type="dxa"/>
            <w:vAlign w:val="bottom"/>
          </w:tcPr>
          <w:p w14:paraId="4855BE74">
            <w:pPr>
              <w:spacing w:line="360" w:lineRule="auto"/>
              <w:jc w:val="right"/>
            </w:pPr>
            <w:r>
              <w:t>46,608,643.15</w:t>
            </w:r>
          </w:p>
        </w:tc>
      </w:tr>
      <w:tr w14:paraId="6EA9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4AC1E04A">
            <w:pPr>
              <w:tabs>
                <w:tab w:val="left" w:pos="196"/>
                <w:tab w:val="left" w:pos="426"/>
              </w:tabs>
              <w:snapToGrid w:val="0"/>
              <w:spacing w:line="360" w:lineRule="auto"/>
            </w:pPr>
            <w:r>
              <w:t>减：现金的期初余额</w:t>
            </w:r>
          </w:p>
        </w:tc>
        <w:tc>
          <w:tcPr>
            <w:tcW w:w="5387" w:type="dxa"/>
            <w:vAlign w:val="bottom"/>
          </w:tcPr>
          <w:p w14:paraId="74DA1D76">
            <w:pPr>
              <w:spacing w:line="360" w:lineRule="auto"/>
              <w:jc w:val="right"/>
            </w:pPr>
            <w:r>
              <w:t>11,307,111.61</w:t>
            </w:r>
          </w:p>
        </w:tc>
      </w:tr>
      <w:tr w14:paraId="0ADA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6DA2133B">
            <w:pPr>
              <w:tabs>
                <w:tab w:val="left" w:pos="196"/>
                <w:tab w:val="left" w:pos="426"/>
              </w:tabs>
              <w:snapToGrid w:val="0"/>
              <w:spacing w:line="360" w:lineRule="auto"/>
            </w:pPr>
            <w:r>
              <w:t>加：现金等价物的期末余额</w:t>
            </w:r>
          </w:p>
        </w:tc>
        <w:tc>
          <w:tcPr>
            <w:tcW w:w="5387" w:type="dxa"/>
            <w:vAlign w:val="bottom"/>
          </w:tcPr>
          <w:p w14:paraId="17469BFC">
            <w:pPr>
              <w:spacing w:line="360" w:lineRule="auto"/>
              <w:jc w:val="right"/>
            </w:pPr>
            <w:r>
              <w:t>-</w:t>
            </w:r>
          </w:p>
        </w:tc>
      </w:tr>
      <w:tr w14:paraId="389A9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652" w:type="dxa"/>
            <w:vAlign w:val="center"/>
          </w:tcPr>
          <w:p w14:paraId="079AD275">
            <w:pPr>
              <w:tabs>
                <w:tab w:val="left" w:pos="196"/>
                <w:tab w:val="left" w:pos="426"/>
              </w:tabs>
              <w:snapToGrid w:val="0"/>
              <w:spacing w:line="360" w:lineRule="auto"/>
            </w:pPr>
            <w:r>
              <w:t>减：现金等价物的期初余额</w:t>
            </w:r>
          </w:p>
        </w:tc>
        <w:tc>
          <w:tcPr>
            <w:tcW w:w="5387" w:type="dxa"/>
            <w:vAlign w:val="bottom"/>
          </w:tcPr>
          <w:p w14:paraId="64D0C821">
            <w:pPr>
              <w:spacing w:line="360" w:lineRule="auto"/>
              <w:jc w:val="right"/>
            </w:pPr>
            <w:r>
              <w:t>-</w:t>
            </w:r>
          </w:p>
        </w:tc>
      </w:tr>
      <w:tr w14:paraId="313B03E0">
        <w:tblPrEx>
          <w:tblCellMar>
            <w:top w:w="0" w:type="dxa"/>
            <w:left w:w="108" w:type="dxa"/>
            <w:bottom w:w="0" w:type="dxa"/>
            <w:right w:w="108" w:type="dxa"/>
          </w:tblCellMar>
        </w:tblPrEx>
        <w:trPr>
          <w:trHeight w:val="300" w:hRule="atLeast"/>
        </w:trPr>
        <w:tc>
          <w:tcPr>
            <w:tcW w:w="3652" w:type="dxa"/>
            <w:vAlign w:val="center"/>
          </w:tcPr>
          <w:p w14:paraId="1D50E487">
            <w:pPr>
              <w:tabs>
                <w:tab w:val="left" w:pos="196"/>
                <w:tab w:val="left" w:pos="426"/>
              </w:tabs>
              <w:snapToGrid w:val="0"/>
              <w:spacing w:line="360" w:lineRule="auto"/>
            </w:pPr>
            <w:r>
              <w:t>现金及现金等价物净增加额</w:t>
            </w:r>
          </w:p>
        </w:tc>
        <w:tc>
          <w:tcPr>
            <w:tcW w:w="5387" w:type="dxa"/>
            <w:vAlign w:val="bottom"/>
          </w:tcPr>
          <w:p w14:paraId="352D985D">
            <w:pPr>
              <w:spacing w:line="360" w:lineRule="auto"/>
              <w:jc w:val="right"/>
            </w:pPr>
            <w:r>
              <w:t>35,301,531.54</w:t>
            </w:r>
          </w:p>
        </w:tc>
      </w:tr>
    </w:tbl>
    <w:p w14:paraId="0CB61C2D">
      <w:pPr>
        <w:spacing w:line="360" w:lineRule="auto"/>
        <w:outlineLvl w:val="3"/>
        <w:rPr>
          <w:b/>
        </w:rPr>
      </w:pPr>
      <w:r>
        <w:rPr>
          <w:b/>
          <w:kern w:val="0"/>
        </w:rPr>
        <w:t>9.5.6.24.2</w:t>
      </w:r>
      <w:r>
        <w:rPr>
          <w:b/>
        </w:rPr>
        <w:t xml:space="preserve"> 现金和现金等价物的构成</w:t>
      </w:r>
    </w:p>
    <w:p w14:paraId="4163A039">
      <w:pPr>
        <w:spacing w:line="360" w:lineRule="auto"/>
        <w:ind w:right="-50" w:rightChars="-24"/>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536"/>
      </w:tblGrid>
      <w:tr w14:paraId="03FF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4503" w:type="dxa"/>
            <w:vAlign w:val="center"/>
          </w:tcPr>
          <w:p w14:paraId="26067530">
            <w:pPr>
              <w:tabs>
                <w:tab w:val="left" w:pos="196"/>
                <w:tab w:val="left" w:pos="426"/>
              </w:tabs>
              <w:spacing w:line="360" w:lineRule="auto"/>
              <w:jc w:val="center"/>
            </w:pPr>
            <w:r>
              <w:t>项目</w:t>
            </w:r>
          </w:p>
        </w:tc>
        <w:tc>
          <w:tcPr>
            <w:tcW w:w="4536" w:type="dxa"/>
          </w:tcPr>
          <w:p w14:paraId="38EA3C81">
            <w:pPr>
              <w:spacing w:line="360" w:lineRule="auto"/>
              <w:jc w:val="center"/>
            </w:pPr>
            <w:r>
              <w:t>本期</w:t>
            </w:r>
          </w:p>
          <w:p w14:paraId="73AE6259">
            <w:pPr>
              <w:widowControl/>
              <w:autoSpaceDE w:val="0"/>
              <w:autoSpaceDN w:val="0"/>
              <w:spacing w:line="360" w:lineRule="auto"/>
              <w:ind w:right="-15"/>
              <w:jc w:val="center"/>
              <w:textAlignment w:val="bottom"/>
              <w:rPr>
                <w:kern w:val="0"/>
              </w:rPr>
            </w:pPr>
            <w:r>
              <w:t>2026年1月1日至2026年6月30日</w:t>
            </w:r>
          </w:p>
        </w:tc>
      </w:tr>
      <w:tr w14:paraId="314D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0B45DA55">
            <w:pPr>
              <w:tabs>
                <w:tab w:val="left" w:pos="196"/>
                <w:tab w:val="left" w:pos="426"/>
              </w:tabs>
              <w:spacing w:line="360" w:lineRule="auto"/>
            </w:pPr>
            <w:r>
              <w:t>一、现金</w:t>
            </w:r>
          </w:p>
        </w:tc>
        <w:tc>
          <w:tcPr>
            <w:tcW w:w="4536" w:type="dxa"/>
            <w:vAlign w:val="bottom"/>
          </w:tcPr>
          <w:p w14:paraId="4C88A5CE">
            <w:pPr>
              <w:spacing w:line="360" w:lineRule="auto"/>
              <w:jc w:val="right"/>
            </w:pPr>
            <w:r>
              <w:t>46,608,643.15</w:t>
            </w:r>
          </w:p>
        </w:tc>
      </w:tr>
      <w:tr w14:paraId="0778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0EC31D5F">
            <w:pPr>
              <w:tabs>
                <w:tab w:val="left" w:pos="196"/>
                <w:tab w:val="left" w:pos="426"/>
              </w:tabs>
              <w:spacing w:line="360" w:lineRule="auto"/>
            </w:pPr>
            <w:r>
              <w:t>其中：库存现金</w:t>
            </w:r>
          </w:p>
        </w:tc>
        <w:tc>
          <w:tcPr>
            <w:tcW w:w="4536" w:type="dxa"/>
          </w:tcPr>
          <w:p w14:paraId="3BC81FCC">
            <w:pPr>
              <w:spacing w:line="360" w:lineRule="auto"/>
              <w:jc w:val="right"/>
            </w:pPr>
            <w:r>
              <w:t>-</w:t>
            </w:r>
          </w:p>
        </w:tc>
      </w:tr>
      <w:tr w14:paraId="00DF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394D0F70">
            <w:pPr>
              <w:tabs>
                <w:tab w:val="left" w:pos="196"/>
                <w:tab w:val="left" w:pos="426"/>
              </w:tabs>
              <w:spacing w:line="360" w:lineRule="auto"/>
              <w:ind w:firstLine="630" w:firstLineChars="300"/>
            </w:pPr>
            <w:r>
              <w:t>可随时用于支付的银行存款</w:t>
            </w:r>
          </w:p>
        </w:tc>
        <w:tc>
          <w:tcPr>
            <w:tcW w:w="4536" w:type="dxa"/>
          </w:tcPr>
          <w:p w14:paraId="6A88101D">
            <w:pPr>
              <w:spacing w:line="360" w:lineRule="auto"/>
              <w:jc w:val="right"/>
            </w:pPr>
            <w:r>
              <w:t>46,608,643.15</w:t>
            </w:r>
          </w:p>
        </w:tc>
      </w:tr>
      <w:tr w14:paraId="0305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09A6C94E">
            <w:pPr>
              <w:tabs>
                <w:tab w:val="left" w:pos="196"/>
                <w:tab w:val="left" w:pos="426"/>
              </w:tabs>
              <w:spacing w:line="360" w:lineRule="auto"/>
              <w:ind w:firstLine="630" w:firstLineChars="300"/>
            </w:pPr>
            <w:r>
              <w:t>可随时用于支付的其他货币资金</w:t>
            </w:r>
          </w:p>
        </w:tc>
        <w:tc>
          <w:tcPr>
            <w:tcW w:w="4536" w:type="dxa"/>
          </w:tcPr>
          <w:p w14:paraId="3F5D8D60">
            <w:pPr>
              <w:spacing w:line="360" w:lineRule="auto"/>
              <w:jc w:val="right"/>
            </w:pPr>
            <w:r>
              <w:t>-</w:t>
            </w:r>
          </w:p>
        </w:tc>
      </w:tr>
      <w:tr w14:paraId="69A1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0111FB38">
            <w:pPr>
              <w:tabs>
                <w:tab w:val="left" w:pos="196"/>
                <w:tab w:val="left" w:pos="426"/>
              </w:tabs>
              <w:spacing w:line="360" w:lineRule="auto"/>
            </w:pPr>
            <w:r>
              <w:t>二、现金等价物</w:t>
            </w:r>
          </w:p>
        </w:tc>
        <w:tc>
          <w:tcPr>
            <w:tcW w:w="4536" w:type="dxa"/>
          </w:tcPr>
          <w:p w14:paraId="77649B2B">
            <w:pPr>
              <w:spacing w:line="360" w:lineRule="auto"/>
              <w:jc w:val="right"/>
            </w:pPr>
            <w:r>
              <w:t>-</w:t>
            </w:r>
          </w:p>
        </w:tc>
      </w:tr>
      <w:tr w14:paraId="13C4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7C626C73">
            <w:pPr>
              <w:tabs>
                <w:tab w:val="left" w:pos="196"/>
                <w:tab w:val="left" w:pos="426"/>
              </w:tabs>
              <w:spacing w:line="360" w:lineRule="auto"/>
            </w:pPr>
            <w:r>
              <w:t>其中：3个月内到期的债券投资</w:t>
            </w:r>
          </w:p>
        </w:tc>
        <w:tc>
          <w:tcPr>
            <w:tcW w:w="4536" w:type="dxa"/>
          </w:tcPr>
          <w:p w14:paraId="59A7C1DB">
            <w:pPr>
              <w:spacing w:line="360" w:lineRule="auto"/>
              <w:jc w:val="right"/>
            </w:pPr>
            <w:r>
              <w:t>-</w:t>
            </w:r>
          </w:p>
        </w:tc>
      </w:tr>
      <w:tr w14:paraId="7E38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02A43C10">
            <w:pPr>
              <w:tabs>
                <w:tab w:val="left" w:pos="196"/>
                <w:tab w:val="left" w:pos="426"/>
              </w:tabs>
              <w:spacing w:line="360" w:lineRule="auto"/>
            </w:pPr>
            <w:r>
              <w:t>三、期末现金及现金等价物余额</w:t>
            </w:r>
          </w:p>
        </w:tc>
        <w:tc>
          <w:tcPr>
            <w:tcW w:w="4536" w:type="dxa"/>
          </w:tcPr>
          <w:p w14:paraId="43C88239">
            <w:pPr>
              <w:spacing w:line="360" w:lineRule="auto"/>
              <w:jc w:val="right"/>
            </w:pPr>
            <w:r>
              <w:t>46,608,643.15</w:t>
            </w:r>
          </w:p>
        </w:tc>
      </w:tr>
      <w:tr w14:paraId="52BB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03" w:type="dxa"/>
            <w:vAlign w:val="center"/>
          </w:tcPr>
          <w:p w14:paraId="5BEB00C1">
            <w:pPr>
              <w:tabs>
                <w:tab w:val="left" w:pos="196"/>
                <w:tab w:val="left" w:pos="426"/>
              </w:tabs>
              <w:spacing w:line="360" w:lineRule="auto"/>
            </w:pPr>
            <w:r>
              <w:t>其中：基金或集团内子公司使用受限制的现金及现金等价物</w:t>
            </w:r>
          </w:p>
        </w:tc>
        <w:tc>
          <w:tcPr>
            <w:tcW w:w="4536" w:type="dxa"/>
          </w:tcPr>
          <w:p w14:paraId="5BBF3E07">
            <w:pPr>
              <w:spacing w:line="360" w:lineRule="auto"/>
              <w:jc w:val="right"/>
            </w:pPr>
            <w:r>
              <w:t>-</w:t>
            </w:r>
          </w:p>
        </w:tc>
      </w:tr>
    </w:tbl>
    <w:p w14:paraId="668B6DF7">
      <w:pPr>
        <w:spacing w:line="360" w:lineRule="auto"/>
        <w:outlineLvl w:val="3"/>
        <w:rPr>
          <w:b/>
          <w:kern w:val="0"/>
        </w:rPr>
      </w:pPr>
      <w:r>
        <w:rPr>
          <w:b/>
          <w:kern w:val="0"/>
        </w:rPr>
        <w:t>9.5.7 集团的构成</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1"/>
        <w:gridCol w:w="1320"/>
        <w:gridCol w:w="938"/>
        <w:gridCol w:w="1232"/>
        <w:gridCol w:w="984"/>
        <w:gridCol w:w="888"/>
        <w:gridCol w:w="1806"/>
      </w:tblGrid>
      <w:tr w14:paraId="105F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1871" w:type="dxa"/>
            <w:vMerge w:val="restart"/>
            <w:vAlign w:val="center"/>
          </w:tcPr>
          <w:p w14:paraId="0E06773F">
            <w:pPr>
              <w:spacing w:line="360" w:lineRule="auto"/>
              <w:jc w:val="center"/>
              <w:rPr>
                <w:bCs/>
              </w:rPr>
            </w:pPr>
            <w:r>
              <w:rPr>
                <w:bCs/>
                <w:lang w:val="fr-FR"/>
              </w:rPr>
              <w:t>子公司名称</w:t>
            </w:r>
          </w:p>
        </w:tc>
        <w:tc>
          <w:tcPr>
            <w:tcW w:w="1320" w:type="dxa"/>
            <w:vMerge w:val="restart"/>
            <w:vAlign w:val="center"/>
          </w:tcPr>
          <w:p w14:paraId="29196F8C">
            <w:pPr>
              <w:spacing w:line="360" w:lineRule="auto"/>
              <w:jc w:val="center"/>
              <w:rPr>
                <w:bCs/>
              </w:rPr>
            </w:pPr>
            <w:r>
              <w:t>主要经营地</w:t>
            </w:r>
          </w:p>
        </w:tc>
        <w:tc>
          <w:tcPr>
            <w:tcW w:w="938" w:type="dxa"/>
            <w:vMerge w:val="restart"/>
            <w:vAlign w:val="center"/>
          </w:tcPr>
          <w:p w14:paraId="4FD92886">
            <w:pPr>
              <w:spacing w:line="360" w:lineRule="auto"/>
              <w:jc w:val="center"/>
            </w:pPr>
            <w:r>
              <w:t>注册地</w:t>
            </w:r>
          </w:p>
        </w:tc>
        <w:tc>
          <w:tcPr>
            <w:tcW w:w="1232" w:type="dxa"/>
            <w:vMerge w:val="restart"/>
            <w:vAlign w:val="center"/>
          </w:tcPr>
          <w:p w14:paraId="58F46E47">
            <w:pPr>
              <w:spacing w:line="360" w:lineRule="auto"/>
              <w:jc w:val="center"/>
              <w:rPr>
                <w:bCs/>
              </w:rPr>
            </w:pPr>
            <w:r>
              <w:rPr>
                <w:bCs/>
              </w:rPr>
              <w:t>业务性质</w:t>
            </w:r>
          </w:p>
        </w:tc>
        <w:tc>
          <w:tcPr>
            <w:tcW w:w="1872" w:type="dxa"/>
            <w:gridSpan w:val="2"/>
            <w:vAlign w:val="center"/>
          </w:tcPr>
          <w:p w14:paraId="34376C37">
            <w:pPr>
              <w:spacing w:line="360" w:lineRule="auto"/>
              <w:jc w:val="center"/>
              <w:rPr>
                <w:bCs/>
              </w:rPr>
            </w:pPr>
            <w:r>
              <w:rPr>
                <w:bCs/>
              </w:rPr>
              <w:t>持股比例（%）</w:t>
            </w:r>
          </w:p>
        </w:tc>
        <w:tc>
          <w:tcPr>
            <w:tcW w:w="1806" w:type="dxa"/>
            <w:vMerge w:val="restart"/>
            <w:vAlign w:val="center"/>
          </w:tcPr>
          <w:p w14:paraId="4D3F4C54">
            <w:pPr>
              <w:spacing w:line="360" w:lineRule="auto"/>
              <w:jc w:val="center"/>
              <w:rPr>
                <w:bCs/>
              </w:rPr>
            </w:pPr>
            <w:r>
              <w:rPr>
                <w:bCs/>
              </w:rPr>
              <w:t>取得方式</w:t>
            </w:r>
          </w:p>
        </w:tc>
      </w:tr>
      <w:tr w14:paraId="3E1C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1871" w:type="dxa"/>
            <w:vMerge w:val="continue"/>
            <w:vAlign w:val="center"/>
          </w:tcPr>
          <w:p w14:paraId="4D9C09B1">
            <w:pPr>
              <w:spacing w:line="360" w:lineRule="auto"/>
              <w:rPr>
                <w:bCs/>
              </w:rPr>
            </w:pPr>
          </w:p>
        </w:tc>
        <w:tc>
          <w:tcPr>
            <w:tcW w:w="1320" w:type="dxa"/>
            <w:vMerge w:val="continue"/>
            <w:vAlign w:val="center"/>
          </w:tcPr>
          <w:p w14:paraId="762C9A6C">
            <w:pPr>
              <w:spacing w:line="360" w:lineRule="auto"/>
              <w:jc w:val="right"/>
              <w:rPr>
                <w:bCs/>
              </w:rPr>
            </w:pPr>
          </w:p>
        </w:tc>
        <w:tc>
          <w:tcPr>
            <w:tcW w:w="938" w:type="dxa"/>
            <w:vMerge w:val="continue"/>
            <w:vAlign w:val="center"/>
          </w:tcPr>
          <w:p w14:paraId="282D1A3F">
            <w:pPr>
              <w:spacing w:line="360" w:lineRule="auto"/>
              <w:jc w:val="right"/>
              <w:rPr>
                <w:bCs/>
              </w:rPr>
            </w:pPr>
          </w:p>
        </w:tc>
        <w:tc>
          <w:tcPr>
            <w:tcW w:w="1232" w:type="dxa"/>
            <w:vMerge w:val="continue"/>
            <w:vAlign w:val="center"/>
          </w:tcPr>
          <w:p w14:paraId="6554A3D9">
            <w:pPr>
              <w:spacing w:line="360" w:lineRule="auto"/>
              <w:jc w:val="right"/>
              <w:rPr>
                <w:bCs/>
              </w:rPr>
            </w:pPr>
          </w:p>
        </w:tc>
        <w:tc>
          <w:tcPr>
            <w:tcW w:w="984" w:type="dxa"/>
            <w:vAlign w:val="center"/>
          </w:tcPr>
          <w:p w14:paraId="7B1EA82D">
            <w:pPr>
              <w:spacing w:line="360" w:lineRule="auto"/>
              <w:jc w:val="center"/>
              <w:rPr>
                <w:bCs/>
              </w:rPr>
            </w:pPr>
            <w:r>
              <w:rPr>
                <w:bCs/>
              </w:rPr>
              <w:t>直接</w:t>
            </w:r>
          </w:p>
        </w:tc>
        <w:tc>
          <w:tcPr>
            <w:tcW w:w="888" w:type="dxa"/>
            <w:vAlign w:val="center"/>
          </w:tcPr>
          <w:p w14:paraId="6226B936">
            <w:pPr>
              <w:spacing w:line="360" w:lineRule="auto"/>
              <w:jc w:val="center"/>
              <w:rPr>
                <w:bCs/>
              </w:rPr>
            </w:pPr>
            <w:r>
              <w:rPr>
                <w:bCs/>
              </w:rPr>
              <w:t>间接</w:t>
            </w:r>
          </w:p>
        </w:tc>
        <w:tc>
          <w:tcPr>
            <w:tcW w:w="1806" w:type="dxa"/>
            <w:vMerge w:val="continue"/>
            <w:vAlign w:val="center"/>
          </w:tcPr>
          <w:p w14:paraId="029C37FE">
            <w:pPr>
              <w:spacing w:line="360" w:lineRule="auto"/>
              <w:jc w:val="right"/>
              <w:rPr>
                <w:bCs/>
              </w:rPr>
            </w:pPr>
          </w:p>
        </w:tc>
      </w:tr>
      <w:tr w14:paraId="5ABC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C74F61B">
            <w:pPr>
              <w:jc w:val="right"/>
            </w:pPr>
            <w:r>
              <w:t>招商蛇口博时产业园基础设施1期资产支持计划</w:t>
            </w:r>
          </w:p>
        </w:tc>
        <w:tc>
          <w:tcPr>
            <w:vAlign w:val="center"/>
          </w:tcPr>
          <w:p w14:paraId="6E3511CD">
            <w:pPr>
              <w:jc w:val="center"/>
            </w:pPr>
            <w:r>
              <w:t>深圳</w:t>
            </w:r>
          </w:p>
        </w:tc>
        <w:tc>
          <w:tcPr>
            <w:vAlign w:val="center"/>
          </w:tcPr>
          <w:p w14:paraId="056964F6">
            <w:pPr>
              <w:jc w:val="center"/>
            </w:pPr>
            <w:r>
              <w:t>深圳</w:t>
            </w:r>
          </w:p>
        </w:tc>
        <w:tc>
          <w:tcPr>
            <w:vAlign w:val="center"/>
          </w:tcPr>
          <w:p w14:paraId="566F00E2">
            <w:pPr>
              <w:jc w:val="center"/>
            </w:pPr>
            <w:r>
              <w:t>资产支持专项计划</w:t>
            </w:r>
          </w:p>
        </w:tc>
        <w:tc>
          <w:tcPr>
            <w:vAlign w:val="center"/>
          </w:tcPr>
          <w:p w14:paraId="5B7F2359">
            <w:pPr>
              <w:jc w:val="center"/>
            </w:pPr>
            <w:r>
              <w:t>100.00</w:t>
            </w:r>
          </w:p>
        </w:tc>
        <w:tc>
          <w:tcPr>
            <w:vAlign w:val="center"/>
          </w:tcPr>
          <w:p w14:paraId="496BD590">
            <w:pPr>
              <w:jc w:val="center"/>
            </w:pPr>
            <w:r>
              <w:t>-</w:t>
            </w:r>
          </w:p>
        </w:tc>
        <w:tc>
          <w:tcPr>
            <w:vAlign w:val="center"/>
          </w:tcPr>
          <w:p w14:paraId="3A31819F">
            <w:pPr>
              <w:jc w:val="center"/>
            </w:pPr>
            <w:r>
              <w:t>认购</w:t>
            </w:r>
          </w:p>
        </w:tc>
      </w:tr>
      <w:tr w14:paraId="2BF7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D1D6484">
            <w:pPr>
              <w:jc w:val="right"/>
            </w:pPr>
            <w:r>
              <w:t>招商蛇口博时产业园基础设施2期资产支持计划</w:t>
            </w:r>
          </w:p>
        </w:tc>
        <w:tc>
          <w:tcPr>
            <w:vAlign w:val="center"/>
          </w:tcPr>
          <w:p w14:paraId="3575B580">
            <w:pPr>
              <w:jc w:val="center"/>
            </w:pPr>
            <w:r>
              <w:t>深圳</w:t>
            </w:r>
          </w:p>
        </w:tc>
        <w:tc>
          <w:tcPr>
            <w:vAlign w:val="center"/>
          </w:tcPr>
          <w:p w14:paraId="30807665">
            <w:pPr>
              <w:jc w:val="center"/>
            </w:pPr>
            <w:r>
              <w:t>深圳</w:t>
            </w:r>
          </w:p>
        </w:tc>
        <w:tc>
          <w:tcPr>
            <w:vAlign w:val="center"/>
          </w:tcPr>
          <w:p w14:paraId="4E0AB44E">
            <w:pPr>
              <w:jc w:val="center"/>
            </w:pPr>
            <w:r>
              <w:t>资产支持专项计划</w:t>
            </w:r>
          </w:p>
        </w:tc>
        <w:tc>
          <w:tcPr>
            <w:vAlign w:val="center"/>
          </w:tcPr>
          <w:p w14:paraId="2B8273CB">
            <w:pPr>
              <w:jc w:val="center"/>
            </w:pPr>
            <w:r>
              <w:t>100.00</w:t>
            </w:r>
          </w:p>
        </w:tc>
        <w:tc>
          <w:tcPr>
            <w:vAlign w:val="center"/>
          </w:tcPr>
          <w:p w14:paraId="5DB03163">
            <w:pPr>
              <w:jc w:val="center"/>
            </w:pPr>
            <w:r>
              <w:t>-</w:t>
            </w:r>
          </w:p>
        </w:tc>
        <w:tc>
          <w:tcPr>
            <w:vAlign w:val="center"/>
          </w:tcPr>
          <w:p w14:paraId="421C13AD">
            <w:pPr>
              <w:jc w:val="center"/>
            </w:pPr>
            <w:r>
              <w:t>认购</w:t>
            </w:r>
          </w:p>
        </w:tc>
      </w:tr>
      <w:tr w14:paraId="5220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3072BA9">
            <w:pPr>
              <w:jc w:val="right"/>
            </w:pPr>
            <w:r>
              <w:t>深圳市万海大厦管理有限公司</w:t>
            </w:r>
          </w:p>
        </w:tc>
        <w:tc>
          <w:tcPr>
            <w:vAlign w:val="center"/>
          </w:tcPr>
          <w:p w14:paraId="7D2E671A">
            <w:pPr>
              <w:jc w:val="center"/>
            </w:pPr>
            <w:r>
              <w:t>深圳</w:t>
            </w:r>
          </w:p>
        </w:tc>
        <w:tc>
          <w:tcPr>
            <w:vAlign w:val="center"/>
          </w:tcPr>
          <w:p w14:paraId="15F8CB1C">
            <w:pPr>
              <w:jc w:val="center"/>
            </w:pPr>
            <w:r>
              <w:t>深圳</w:t>
            </w:r>
          </w:p>
        </w:tc>
        <w:tc>
          <w:tcPr>
            <w:vAlign w:val="center"/>
          </w:tcPr>
          <w:p w14:paraId="06554A92">
            <w:pPr>
              <w:jc w:val="center"/>
            </w:pPr>
            <w:r>
              <w:t>物业出租</w:t>
            </w:r>
          </w:p>
        </w:tc>
        <w:tc>
          <w:tcPr>
            <w:vAlign w:val="center"/>
          </w:tcPr>
          <w:p w14:paraId="30952605">
            <w:pPr>
              <w:jc w:val="center"/>
            </w:pPr>
            <w:r>
              <w:t>-</w:t>
            </w:r>
          </w:p>
        </w:tc>
        <w:tc>
          <w:tcPr>
            <w:vAlign w:val="center"/>
          </w:tcPr>
          <w:p w14:paraId="0A6069B7">
            <w:pPr>
              <w:jc w:val="center"/>
            </w:pPr>
            <w:r>
              <w:t>100.00</w:t>
            </w:r>
          </w:p>
        </w:tc>
        <w:tc>
          <w:tcPr>
            <w:vAlign w:val="center"/>
          </w:tcPr>
          <w:p w14:paraId="5316A695">
            <w:pPr>
              <w:jc w:val="center"/>
            </w:pPr>
            <w:r>
              <w:t>收购</w:t>
            </w:r>
          </w:p>
        </w:tc>
      </w:tr>
      <w:tr w14:paraId="64146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1CC4371">
            <w:pPr>
              <w:jc w:val="right"/>
            </w:pPr>
            <w:r>
              <w:t>深圳市万融大厦管理有限公司</w:t>
            </w:r>
          </w:p>
        </w:tc>
        <w:tc>
          <w:tcPr>
            <w:vAlign w:val="center"/>
          </w:tcPr>
          <w:p w14:paraId="7878E28B">
            <w:pPr>
              <w:jc w:val="center"/>
            </w:pPr>
            <w:r>
              <w:t>深圳</w:t>
            </w:r>
          </w:p>
        </w:tc>
        <w:tc>
          <w:tcPr>
            <w:vAlign w:val="center"/>
          </w:tcPr>
          <w:p w14:paraId="074C649B">
            <w:pPr>
              <w:jc w:val="center"/>
            </w:pPr>
            <w:r>
              <w:t>深圳</w:t>
            </w:r>
          </w:p>
        </w:tc>
        <w:tc>
          <w:tcPr>
            <w:vAlign w:val="center"/>
          </w:tcPr>
          <w:p w14:paraId="24B4A069">
            <w:pPr>
              <w:jc w:val="center"/>
            </w:pPr>
            <w:r>
              <w:t>物业出租</w:t>
            </w:r>
          </w:p>
        </w:tc>
        <w:tc>
          <w:tcPr>
            <w:vAlign w:val="center"/>
          </w:tcPr>
          <w:p w14:paraId="42CDAFAA">
            <w:pPr>
              <w:jc w:val="center"/>
            </w:pPr>
            <w:r>
              <w:t>-</w:t>
            </w:r>
          </w:p>
        </w:tc>
        <w:tc>
          <w:tcPr>
            <w:vAlign w:val="center"/>
          </w:tcPr>
          <w:p w14:paraId="2CA3242C">
            <w:pPr>
              <w:jc w:val="center"/>
            </w:pPr>
            <w:r>
              <w:t>100.00</w:t>
            </w:r>
          </w:p>
        </w:tc>
        <w:tc>
          <w:tcPr>
            <w:vAlign w:val="center"/>
          </w:tcPr>
          <w:p w14:paraId="3B30A4DE">
            <w:pPr>
              <w:jc w:val="center"/>
            </w:pPr>
            <w:r>
              <w:t>收购</w:t>
            </w:r>
          </w:p>
        </w:tc>
      </w:tr>
      <w:tr w14:paraId="0A7B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EB5E6C0">
            <w:pPr>
              <w:jc w:val="right"/>
            </w:pPr>
            <w:r>
              <w:t>深圳市招光物业租赁有限公司</w:t>
            </w:r>
          </w:p>
        </w:tc>
        <w:tc>
          <w:tcPr>
            <w:vAlign w:val="center"/>
          </w:tcPr>
          <w:p w14:paraId="333A24A5">
            <w:pPr>
              <w:jc w:val="center"/>
            </w:pPr>
            <w:r>
              <w:t>深圳</w:t>
            </w:r>
          </w:p>
        </w:tc>
        <w:tc>
          <w:tcPr>
            <w:vAlign w:val="center"/>
          </w:tcPr>
          <w:p w14:paraId="05D20736">
            <w:pPr>
              <w:jc w:val="center"/>
            </w:pPr>
            <w:r>
              <w:t>深圳</w:t>
            </w:r>
          </w:p>
        </w:tc>
        <w:tc>
          <w:tcPr>
            <w:vAlign w:val="center"/>
          </w:tcPr>
          <w:p w14:paraId="51D55AFE">
            <w:pPr>
              <w:jc w:val="center"/>
            </w:pPr>
            <w:r>
              <w:t>物业出租</w:t>
            </w:r>
          </w:p>
        </w:tc>
        <w:tc>
          <w:tcPr>
            <w:vAlign w:val="center"/>
          </w:tcPr>
          <w:p w14:paraId="04B1CF0B">
            <w:pPr>
              <w:jc w:val="center"/>
            </w:pPr>
            <w:r>
              <w:t>-</w:t>
            </w:r>
          </w:p>
        </w:tc>
        <w:tc>
          <w:tcPr>
            <w:vAlign w:val="center"/>
          </w:tcPr>
          <w:p w14:paraId="3A296782">
            <w:pPr>
              <w:jc w:val="center"/>
            </w:pPr>
            <w:r>
              <w:t>100.00</w:t>
            </w:r>
          </w:p>
        </w:tc>
        <w:tc>
          <w:tcPr>
            <w:vAlign w:val="center"/>
          </w:tcPr>
          <w:p w14:paraId="7915E30D">
            <w:pPr>
              <w:jc w:val="center"/>
            </w:pPr>
            <w:r>
              <w:t>收购</w:t>
            </w:r>
          </w:p>
        </w:tc>
      </w:tr>
    </w:tbl>
    <w:p w14:paraId="602B2D60">
      <w:pPr>
        <w:spacing w:line="360" w:lineRule="auto"/>
        <w:outlineLvl w:val="3"/>
        <w:rPr>
          <w:b/>
          <w:kern w:val="0"/>
        </w:rPr>
      </w:pPr>
      <w:r>
        <w:rPr>
          <w:b/>
          <w:kern w:val="0"/>
        </w:rPr>
        <w:t>9.5.8 承诺事项、或有事项、资产负债表日后事项的说明</w:t>
      </w:r>
    </w:p>
    <w:p w14:paraId="73789ACE">
      <w:pPr>
        <w:spacing w:line="360" w:lineRule="auto"/>
        <w:outlineLvl w:val="3"/>
        <w:rPr>
          <w:b/>
        </w:rPr>
      </w:pPr>
      <w:r>
        <w:rPr>
          <w:b/>
          <w:kern w:val="0"/>
        </w:rPr>
        <w:t>9.5.8.1</w:t>
      </w:r>
      <w:r>
        <w:rPr>
          <w:b/>
        </w:rPr>
        <w:t xml:space="preserve"> 承诺事项</w:t>
      </w:r>
    </w:p>
    <w:p w14:paraId="74D7D65B">
      <w:pPr>
        <w:spacing w:line="360" w:lineRule="auto"/>
        <w:ind w:firstLine="420" w:firstLineChars="200"/>
      </w:pPr>
      <w:r>
        <w:t>截至资产负债表日，本集团并无须作披露的承诺事项。</w:t>
      </w:r>
    </w:p>
    <w:p w14:paraId="17475546">
      <w:pPr>
        <w:spacing w:line="360" w:lineRule="auto"/>
        <w:outlineLvl w:val="3"/>
        <w:rPr>
          <w:b/>
        </w:rPr>
      </w:pPr>
      <w:r>
        <w:rPr>
          <w:b/>
          <w:kern w:val="0"/>
        </w:rPr>
        <w:t>9.5.8.2</w:t>
      </w:r>
      <w:r>
        <w:rPr>
          <w:b/>
        </w:rPr>
        <w:t xml:space="preserve"> 或有事项</w:t>
      </w:r>
    </w:p>
    <w:p w14:paraId="269F2DC8">
      <w:pPr>
        <w:spacing w:line="360" w:lineRule="auto"/>
        <w:ind w:firstLine="420" w:firstLineChars="200"/>
      </w:pPr>
      <w:r>
        <w:t>截至资产负债表日，本基金无须披露的或有事项。</w:t>
      </w:r>
    </w:p>
    <w:p w14:paraId="43AC12D8">
      <w:pPr>
        <w:spacing w:line="360" w:lineRule="auto"/>
        <w:outlineLvl w:val="3"/>
        <w:rPr>
          <w:b/>
        </w:rPr>
      </w:pPr>
      <w:r>
        <w:rPr>
          <w:b/>
          <w:kern w:val="0"/>
        </w:rPr>
        <w:t>9.5.8.3</w:t>
      </w:r>
      <w:r>
        <w:rPr>
          <w:b/>
        </w:rPr>
        <w:t xml:space="preserve"> 资产负债表日后事项</w:t>
      </w:r>
    </w:p>
    <w:p w14:paraId="3B5BC35B">
      <w:pPr>
        <w:spacing w:line="360" w:lineRule="auto"/>
        <w:ind w:firstLine="420" w:firstLineChars="200"/>
      </w:pPr>
      <w:r>
        <w:t>截至财务报表批准报出日，本基金无须披露的资产负债表日后事项。</w:t>
      </w:r>
    </w:p>
    <w:p w14:paraId="4A62608F">
      <w:pPr>
        <w:spacing w:line="360" w:lineRule="auto"/>
        <w:outlineLvl w:val="3"/>
        <w:rPr>
          <w:b/>
          <w:kern w:val="0"/>
        </w:rPr>
      </w:pPr>
      <w:r>
        <w:rPr>
          <w:b/>
          <w:kern w:val="0"/>
        </w:rPr>
        <w:t>9.5.9 关联方关系</w:t>
      </w:r>
    </w:p>
    <w:p w14:paraId="3B1F3A5F">
      <w:pPr>
        <w:spacing w:line="360" w:lineRule="auto"/>
        <w:outlineLvl w:val="3"/>
        <w:rPr>
          <w:b/>
        </w:rPr>
      </w:pPr>
      <w:r>
        <w:rPr>
          <w:b/>
          <w:kern w:val="0"/>
        </w:rPr>
        <w:t>9.5.9.1</w:t>
      </w:r>
      <w:r>
        <w:rPr>
          <w:b/>
        </w:rPr>
        <w:t xml:space="preserve"> 本报告期存在控制关系或其他重大利害关系的关联方发生变化的情况</w:t>
      </w:r>
    </w:p>
    <w:p w14:paraId="380F21FC">
      <w:pPr>
        <w:spacing w:line="360" w:lineRule="auto"/>
        <w:ind w:firstLine="420" w:firstLineChars="200"/>
      </w:pPr>
      <w:r>
        <w:t>无。</w:t>
      </w:r>
    </w:p>
    <w:p w14:paraId="3797815C">
      <w:pPr>
        <w:spacing w:line="360" w:lineRule="auto"/>
        <w:outlineLvl w:val="3"/>
        <w:rPr>
          <w:b/>
        </w:rPr>
      </w:pPr>
      <w:r>
        <w:rPr>
          <w:b/>
          <w:kern w:val="0"/>
        </w:rPr>
        <w:t>9.5.9.2</w:t>
      </w:r>
      <w:r>
        <w:rPr>
          <w:b/>
        </w:rPr>
        <w:t xml:space="preserve"> 本报告期与基金发生关联交易的各关联方</w:t>
      </w:r>
    </w:p>
    <w:tbl>
      <w:tblPr>
        <w:tblStyle w:val="40"/>
        <w:tblW w:w="964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62"/>
        <w:gridCol w:w="4278"/>
      </w:tblGrid>
      <w:tr w14:paraId="72C8F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62" w:type="dxa"/>
          </w:tcPr>
          <w:p w14:paraId="4A4A84D5">
            <w:pPr>
              <w:spacing w:line="360" w:lineRule="auto"/>
              <w:jc w:val="center"/>
            </w:pPr>
            <w:r>
              <w:t>关联方名称</w:t>
            </w:r>
          </w:p>
        </w:tc>
        <w:tc>
          <w:tcPr>
            <w:tcW w:w="4278" w:type="dxa"/>
          </w:tcPr>
          <w:p w14:paraId="27D6B420">
            <w:pPr>
              <w:spacing w:line="360" w:lineRule="auto"/>
              <w:jc w:val="center"/>
            </w:pPr>
            <w:r>
              <w:t>与本基金的关系</w:t>
            </w:r>
          </w:p>
        </w:tc>
      </w:tr>
      <w:tr w14:paraId="019B1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C2CA233">
            <w:pPr>
              <w:jc w:val="left"/>
            </w:pPr>
            <w:r>
              <w:t>博时基金管理有限公司(以下简称“博时基金”)</w:t>
            </w:r>
          </w:p>
        </w:tc>
        <w:tc>
          <w:tcPr>
            <w:vAlign w:val="center"/>
          </w:tcPr>
          <w:p w14:paraId="0D7DB5A4">
            <w:pPr>
              <w:jc w:val="center"/>
            </w:pPr>
            <w:r>
              <w:t>基金管理人</w:t>
            </w:r>
          </w:p>
        </w:tc>
      </w:tr>
      <w:tr w14:paraId="08C99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EE7B8E4">
            <w:pPr>
              <w:jc w:val="left"/>
            </w:pPr>
            <w:r>
              <w:t>博时资本管理有限公司(以下简称“博时资本”)</w:t>
            </w:r>
          </w:p>
        </w:tc>
        <w:tc>
          <w:tcPr>
            <w:vAlign w:val="center"/>
          </w:tcPr>
          <w:p w14:paraId="612020FB">
            <w:pPr>
              <w:jc w:val="center"/>
            </w:pPr>
            <w:r>
              <w:t>资产支持证券管理人</w:t>
            </w:r>
          </w:p>
        </w:tc>
      </w:tr>
      <w:tr w14:paraId="03599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159EE9AA">
            <w:pPr>
              <w:jc w:val="left"/>
            </w:pPr>
            <w:r>
              <w:t>招商银行股份有限公司(以下简称“招商银行”)</w:t>
            </w:r>
          </w:p>
        </w:tc>
        <w:tc>
          <w:tcPr>
            <w:vAlign w:val="center"/>
          </w:tcPr>
          <w:p w14:paraId="4D0C2BA3">
            <w:pPr>
              <w:jc w:val="center"/>
            </w:pPr>
            <w:r>
              <w:t>基金托管人</w:t>
            </w:r>
          </w:p>
        </w:tc>
      </w:tr>
      <w:tr w14:paraId="47CEE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3A9E4D80">
            <w:pPr>
              <w:jc w:val="left"/>
            </w:pPr>
            <w:r>
              <w:t>招商证券股份有限公司(以下简称“招商证券”）</w:t>
            </w:r>
          </w:p>
        </w:tc>
        <w:tc>
          <w:tcPr>
            <w:vAlign w:val="center"/>
          </w:tcPr>
          <w:p w14:paraId="77186149">
            <w:pPr>
              <w:jc w:val="center"/>
            </w:pPr>
            <w:r>
              <w:t>基金管理人的股东</w:t>
            </w:r>
          </w:p>
        </w:tc>
      </w:tr>
      <w:tr w14:paraId="05E7B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3FABA10">
            <w:pPr>
              <w:jc w:val="left"/>
            </w:pPr>
            <w:r>
              <w:t>深圳市招商创业有限公司</w:t>
            </w:r>
          </w:p>
        </w:tc>
        <w:tc>
          <w:tcPr>
            <w:vAlign w:val="center"/>
          </w:tcPr>
          <w:p w14:paraId="484D3571">
            <w:pPr>
              <w:jc w:val="center"/>
            </w:pPr>
            <w:r>
              <w:t>基金运营管理公司、原始权益人的子公司</w:t>
            </w:r>
          </w:p>
        </w:tc>
      </w:tr>
      <w:tr w14:paraId="15BF2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22790235">
            <w:pPr>
              <w:jc w:val="left"/>
            </w:pPr>
            <w:r>
              <w:t>深圳市招商物业管理有限公司</w:t>
            </w:r>
          </w:p>
        </w:tc>
        <w:tc>
          <w:tcPr>
            <w:vAlign w:val="center"/>
          </w:tcPr>
          <w:p w14:paraId="5E25530C">
            <w:pPr>
              <w:jc w:val="center"/>
            </w:pPr>
            <w:r>
              <w:t>基金物业管理公司、原始权益人的子公司</w:t>
            </w:r>
          </w:p>
        </w:tc>
      </w:tr>
      <w:tr w14:paraId="3EE32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73DAB36E">
            <w:pPr>
              <w:jc w:val="left"/>
            </w:pPr>
            <w:r>
              <w:t>招商局蛇口工业区控股股份有限公司(以下简称“招商蛇口”)</w:t>
            </w:r>
          </w:p>
        </w:tc>
        <w:tc>
          <w:tcPr>
            <w:vAlign w:val="center"/>
          </w:tcPr>
          <w:p w14:paraId="5584893D">
            <w:pPr>
              <w:jc w:val="center"/>
            </w:pPr>
            <w:r>
              <w:t>原始权益人、基金份额持有人</w:t>
            </w:r>
          </w:p>
        </w:tc>
      </w:tr>
      <w:tr w14:paraId="1FDFB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07D4ACC">
            <w:pPr>
              <w:jc w:val="left"/>
            </w:pPr>
            <w:r>
              <w:t>招商局光明科技园有限公司(以下简称“招商光明”）</w:t>
            </w:r>
          </w:p>
        </w:tc>
        <w:tc>
          <w:tcPr>
            <w:vAlign w:val="center"/>
          </w:tcPr>
          <w:p w14:paraId="4671D652">
            <w:pPr>
              <w:jc w:val="center"/>
            </w:pPr>
            <w:r>
              <w:t>招光租赁的原始权益人、基金份额持有人、万融大厦和万海大厦的原始权益人(“招商蛇口”)的子公司</w:t>
            </w:r>
          </w:p>
        </w:tc>
      </w:tr>
      <w:tr w14:paraId="1F577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34652A9">
            <w:pPr>
              <w:jc w:val="left"/>
            </w:pPr>
            <w:r>
              <w:t>深圳海勤工程管理有限公司</w:t>
            </w:r>
          </w:p>
        </w:tc>
        <w:tc>
          <w:tcPr>
            <w:vAlign w:val="center"/>
          </w:tcPr>
          <w:p w14:paraId="7265E53F">
            <w:pPr>
              <w:jc w:val="center"/>
            </w:pPr>
            <w:r>
              <w:t>原始权益人控股股东的集团内子公司</w:t>
            </w:r>
          </w:p>
        </w:tc>
      </w:tr>
      <w:tr w14:paraId="53DFD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2A4F62F2">
            <w:pPr>
              <w:jc w:val="left"/>
            </w:pPr>
            <w:r>
              <w:t>招商海达保险经纪有限公司</w:t>
            </w:r>
          </w:p>
        </w:tc>
        <w:tc>
          <w:tcPr>
            <w:vAlign w:val="center"/>
          </w:tcPr>
          <w:p w14:paraId="721EEA46">
            <w:pPr>
              <w:jc w:val="center"/>
            </w:pPr>
            <w:r>
              <w:t>原始权益人控股股东的集团内子公司</w:t>
            </w:r>
          </w:p>
        </w:tc>
      </w:tr>
    </w:tbl>
    <w:p w14:paraId="0C2C8F9A">
      <w:pPr>
        <w:spacing w:line="360" w:lineRule="auto"/>
        <w:outlineLvl w:val="3"/>
        <w:rPr>
          <w:b/>
          <w:kern w:val="0"/>
        </w:rPr>
      </w:pPr>
      <w:r>
        <w:rPr>
          <w:b/>
          <w:kern w:val="0"/>
        </w:rPr>
        <w:t>9.5.10 本报告期及上年度可比期间的关联方交易</w:t>
      </w:r>
    </w:p>
    <w:p w14:paraId="248DB94D">
      <w:pPr>
        <w:spacing w:line="360" w:lineRule="auto"/>
        <w:ind w:firstLine="420" w:firstLineChars="200"/>
      </w:pPr>
      <w:r>
        <w:t>无。</w:t>
      </w:r>
    </w:p>
    <w:p w14:paraId="6831734F">
      <w:pPr>
        <w:spacing w:line="360" w:lineRule="auto"/>
        <w:outlineLvl w:val="3"/>
        <w:rPr>
          <w:b/>
        </w:rPr>
      </w:pPr>
      <w:r>
        <w:rPr>
          <w:b/>
          <w:kern w:val="0"/>
        </w:rPr>
        <w:t>9.5.10.1</w:t>
      </w:r>
      <w:r>
        <w:rPr>
          <w:b/>
        </w:rPr>
        <w:t xml:space="preserve"> 采购商品、接受劳务情况</w:t>
      </w:r>
    </w:p>
    <w:p w14:paraId="4C218CD1">
      <w:pPr>
        <w:spacing w:line="360" w:lineRule="auto"/>
        <w:jc w:val="right"/>
      </w:pPr>
      <w:r>
        <w:t>单位：人民币元</w:t>
      </w:r>
    </w:p>
    <w:tbl>
      <w:tblPr>
        <w:tblStyle w:val="40"/>
        <w:tblW w:w="960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96"/>
        <w:gridCol w:w="1868"/>
        <w:gridCol w:w="2533"/>
        <w:gridCol w:w="3609"/>
      </w:tblGrid>
      <w:tr w14:paraId="10F667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blHeader/>
        </w:trPr>
        <w:tc>
          <w:tcPr>
            <w:tcW w:w="1596" w:type="dxa"/>
            <w:vAlign w:val="center"/>
          </w:tcPr>
          <w:p w14:paraId="3E241614">
            <w:pPr>
              <w:tabs>
                <w:tab w:val="left" w:pos="196"/>
                <w:tab w:val="left" w:pos="426"/>
              </w:tabs>
              <w:snapToGrid w:val="0"/>
              <w:spacing w:line="360" w:lineRule="auto"/>
              <w:jc w:val="center"/>
            </w:pPr>
            <w:r>
              <w:t>关联方名称</w:t>
            </w:r>
          </w:p>
        </w:tc>
        <w:tc>
          <w:tcPr>
            <w:tcW w:w="1868" w:type="dxa"/>
            <w:vAlign w:val="center"/>
          </w:tcPr>
          <w:p w14:paraId="096FC32D">
            <w:pPr>
              <w:spacing w:line="360" w:lineRule="auto"/>
              <w:jc w:val="center"/>
            </w:pPr>
            <w:r>
              <w:t>关联交易内容</w:t>
            </w:r>
          </w:p>
        </w:tc>
        <w:tc>
          <w:tcPr>
            <w:tcW w:w="2533" w:type="dxa"/>
          </w:tcPr>
          <w:p w14:paraId="1F9F5AE2">
            <w:pPr>
              <w:spacing w:line="360" w:lineRule="auto"/>
              <w:jc w:val="center"/>
            </w:pPr>
            <w:r>
              <w:t>本期</w:t>
            </w:r>
          </w:p>
          <w:p w14:paraId="3F6E5928">
            <w:pPr>
              <w:widowControl/>
              <w:autoSpaceDE w:val="0"/>
              <w:autoSpaceDN w:val="0"/>
              <w:spacing w:line="360" w:lineRule="auto"/>
              <w:ind w:right="-15"/>
              <w:jc w:val="center"/>
              <w:textAlignment w:val="bottom"/>
            </w:pPr>
            <w:r>
              <w:t>2026年1月1日至2026年6月30日</w:t>
            </w:r>
          </w:p>
        </w:tc>
        <w:tc>
          <w:tcPr>
            <w:tcW w:w="3609" w:type="dxa"/>
          </w:tcPr>
          <w:p w14:paraId="075F3132">
            <w:pPr>
              <w:tabs>
                <w:tab w:val="left" w:pos="555"/>
                <w:tab w:val="center" w:pos="1472"/>
              </w:tabs>
              <w:spacing w:line="360" w:lineRule="auto"/>
              <w:jc w:val="center"/>
            </w:pPr>
            <w:r>
              <w:t>上年度可比期间</w:t>
            </w:r>
          </w:p>
          <w:p w14:paraId="69EF0096">
            <w:pPr>
              <w:widowControl/>
              <w:autoSpaceDE w:val="0"/>
              <w:autoSpaceDN w:val="0"/>
              <w:spacing w:line="360" w:lineRule="auto"/>
              <w:ind w:right="-15"/>
              <w:jc w:val="center"/>
              <w:textAlignment w:val="bottom"/>
              <w:rPr>
                <w:kern w:val="0"/>
              </w:rPr>
            </w:pPr>
            <w:r>
              <w:t>2025年1月1日至2025年6月30日</w:t>
            </w:r>
          </w:p>
        </w:tc>
      </w:tr>
      <w:tr w14:paraId="361DCA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78247C89">
            <w:pPr>
              <w:jc w:val="right"/>
            </w:pPr>
            <w:r>
              <w:t>深圳市招商创业有限公司</w:t>
            </w:r>
          </w:p>
        </w:tc>
        <w:tc>
          <w:tcPr>
            <w:vAlign w:val="center"/>
          </w:tcPr>
          <w:p w14:paraId="62E2E31D">
            <w:pPr>
              <w:jc w:val="right"/>
            </w:pPr>
            <w:r>
              <w:t>运营管理费</w:t>
            </w:r>
          </w:p>
        </w:tc>
        <w:tc>
          <w:tcPr>
            <w:vAlign w:val="center"/>
          </w:tcPr>
          <w:p w14:paraId="2909C625">
            <w:pPr>
              <w:jc w:val="right"/>
            </w:pPr>
            <w:r>
              <w:t>3,985,423.89</w:t>
            </w:r>
          </w:p>
        </w:tc>
        <w:tc>
          <w:tcPr>
            <w:vAlign w:val="center"/>
          </w:tcPr>
          <w:p w14:paraId="6A736059">
            <w:pPr>
              <w:jc w:val="right"/>
            </w:pPr>
            <w:r>
              <w:t>4,072,747.67</w:t>
            </w:r>
          </w:p>
        </w:tc>
      </w:tr>
      <w:tr w14:paraId="379846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vAlign w:val="center"/>
          </w:tcPr>
          <w:p w14:paraId="29813A17">
            <w:pPr>
              <w:jc w:val="right"/>
            </w:pPr>
            <w:r>
              <w:t>深圳市招商物业管理有限公司</w:t>
            </w:r>
          </w:p>
        </w:tc>
        <w:tc>
          <w:tcPr>
            <w:vAlign w:val="center"/>
          </w:tcPr>
          <w:p w14:paraId="78B22222">
            <w:pPr>
              <w:jc w:val="right"/>
            </w:pPr>
            <w:r>
              <w:t>物业管理费</w:t>
            </w:r>
          </w:p>
        </w:tc>
        <w:tc>
          <w:tcPr>
            <w:vAlign w:val="center"/>
          </w:tcPr>
          <w:p w14:paraId="0A2822D3">
            <w:pPr>
              <w:jc w:val="right"/>
            </w:pPr>
            <w:r>
              <w:t>7,718,275.11</w:t>
            </w:r>
          </w:p>
        </w:tc>
        <w:tc>
          <w:tcPr>
            <w:vAlign w:val="center"/>
          </w:tcPr>
          <w:p w14:paraId="073308B7">
            <w:pPr>
              <w:jc w:val="right"/>
            </w:pPr>
            <w:r>
              <w:t>8,767,850.79</w:t>
            </w:r>
          </w:p>
        </w:tc>
      </w:tr>
      <w:tr w14:paraId="13F67D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596" w:type="dxa"/>
            <w:vAlign w:val="center"/>
          </w:tcPr>
          <w:p w14:paraId="2E5EAA47">
            <w:pPr>
              <w:tabs>
                <w:tab w:val="left" w:pos="196"/>
                <w:tab w:val="left" w:pos="426"/>
              </w:tabs>
              <w:snapToGrid w:val="0"/>
              <w:spacing w:line="360" w:lineRule="auto"/>
              <w:jc w:val="center"/>
            </w:pPr>
            <w:r>
              <w:t>合计</w:t>
            </w:r>
          </w:p>
        </w:tc>
        <w:tc>
          <w:tcPr>
            <w:tcW w:w="1868" w:type="dxa"/>
          </w:tcPr>
          <w:p w14:paraId="00B73CDD">
            <w:pPr>
              <w:spacing w:line="360" w:lineRule="auto"/>
              <w:jc w:val="center"/>
            </w:pPr>
            <w:r>
              <w:t>—</w:t>
            </w:r>
          </w:p>
        </w:tc>
        <w:tc>
          <w:tcPr>
            <w:tcW w:w="2533" w:type="dxa"/>
          </w:tcPr>
          <w:p w14:paraId="10A6A050">
            <w:pPr>
              <w:spacing w:line="360" w:lineRule="auto"/>
              <w:jc w:val="right"/>
            </w:pPr>
            <w:r>
              <w:t>11,703,699.00</w:t>
            </w:r>
          </w:p>
        </w:tc>
        <w:tc>
          <w:tcPr>
            <w:tcW w:w="3609" w:type="dxa"/>
          </w:tcPr>
          <w:p w14:paraId="6360CF1D">
            <w:pPr>
              <w:spacing w:line="360" w:lineRule="auto"/>
              <w:jc w:val="right"/>
            </w:pPr>
            <w:r>
              <w:t>12,840,598.46</w:t>
            </w:r>
          </w:p>
        </w:tc>
      </w:tr>
    </w:tbl>
    <w:p w14:paraId="12CA7860">
      <w:pPr>
        <w:spacing w:line="360" w:lineRule="auto"/>
        <w:outlineLvl w:val="3"/>
        <w:rPr>
          <w:b/>
        </w:rPr>
      </w:pPr>
      <w:r>
        <w:rPr>
          <w:b/>
          <w:kern w:val="0"/>
        </w:rPr>
        <w:t>9.5.10.2</w:t>
      </w:r>
      <w:r>
        <w:rPr>
          <w:b/>
        </w:rPr>
        <w:t xml:space="preserve"> 关联租赁情况</w:t>
      </w:r>
    </w:p>
    <w:p w14:paraId="7C78B10B">
      <w:pPr>
        <w:spacing w:line="360" w:lineRule="auto"/>
        <w:outlineLvl w:val="3"/>
        <w:rPr>
          <w:b/>
        </w:rPr>
      </w:pPr>
      <w:r>
        <w:rPr>
          <w:b/>
          <w:kern w:val="0"/>
        </w:rPr>
        <w:t>9.5.10.2.1</w:t>
      </w:r>
      <w:r>
        <w:rPr>
          <w:b/>
        </w:rPr>
        <w:t xml:space="preserve"> 作为出租方</w:t>
      </w:r>
    </w:p>
    <w:p w14:paraId="3D2CFFB6">
      <w:pPr>
        <w:spacing w:line="360" w:lineRule="auto"/>
        <w:jc w:val="right"/>
        <w:outlineLvl w:val="3"/>
      </w:pPr>
      <w:r>
        <w:t>单位：人民币元</w:t>
      </w:r>
    </w:p>
    <w:tbl>
      <w:tblPr>
        <w:tblStyle w:val="40"/>
        <w:tblW w:w="964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2"/>
        <w:gridCol w:w="2748"/>
        <w:gridCol w:w="2551"/>
        <w:gridCol w:w="3119"/>
      </w:tblGrid>
      <w:tr w14:paraId="42161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2" w:type="dxa"/>
            <w:vAlign w:val="center"/>
          </w:tcPr>
          <w:p w14:paraId="025AC7C1">
            <w:pPr>
              <w:tabs>
                <w:tab w:val="left" w:pos="196"/>
                <w:tab w:val="left" w:pos="426"/>
              </w:tabs>
              <w:snapToGrid w:val="0"/>
              <w:spacing w:line="360" w:lineRule="auto"/>
              <w:jc w:val="center"/>
            </w:pPr>
            <w:r>
              <w:t>承租方名称</w:t>
            </w:r>
          </w:p>
        </w:tc>
        <w:tc>
          <w:tcPr>
            <w:tcW w:w="2748" w:type="dxa"/>
            <w:vAlign w:val="center"/>
          </w:tcPr>
          <w:p w14:paraId="6FADFA65">
            <w:pPr>
              <w:spacing w:line="360" w:lineRule="auto"/>
              <w:jc w:val="center"/>
            </w:pPr>
            <w:r>
              <w:t>租赁资产种类</w:t>
            </w:r>
          </w:p>
        </w:tc>
        <w:tc>
          <w:tcPr>
            <w:tcW w:w="2551" w:type="dxa"/>
            <w:vAlign w:val="center"/>
          </w:tcPr>
          <w:p w14:paraId="006BF93F">
            <w:pPr>
              <w:tabs>
                <w:tab w:val="left" w:pos="196"/>
                <w:tab w:val="left" w:pos="426"/>
              </w:tabs>
              <w:snapToGrid w:val="0"/>
              <w:spacing w:line="360" w:lineRule="auto"/>
              <w:jc w:val="center"/>
            </w:pPr>
            <w:r>
              <w:t>本期确认的租赁收入</w:t>
            </w:r>
          </w:p>
        </w:tc>
        <w:tc>
          <w:tcPr>
            <w:tcW w:w="3119" w:type="dxa"/>
          </w:tcPr>
          <w:p w14:paraId="4945965D">
            <w:pPr>
              <w:tabs>
                <w:tab w:val="left" w:pos="196"/>
                <w:tab w:val="left" w:pos="426"/>
              </w:tabs>
              <w:snapToGrid w:val="0"/>
              <w:spacing w:line="360" w:lineRule="auto"/>
              <w:jc w:val="center"/>
            </w:pPr>
            <w:r>
              <w:t>上年度可比期间</w:t>
            </w:r>
          </w:p>
          <w:p w14:paraId="0DA65BA2">
            <w:pPr>
              <w:tabs>
                <w:tab w:val="left" w:pos="196"/>
                <w:tab w:val="left" w:pos="426"/>
              </w:tabs>
              <w:snapToGrid w:val="0"/>
              <w:spacing w:line="360" w:lineRule="auto"/>
              <w:jc w:val="center"/>
            </w:pPr>
            <w:r>
              <w:t>确认的租赁收入</w:t>
            </w:r>
          </w:p>
        </w:tc>
      </w:tr>
      <w:tr w14:paraId="60A3E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8E69F97">
            <w:pPr>
              <w:jc w:val="right"/>
            </w:pPr>
            <w:r>
              <w:t>招商银行股份有限公司</w:t>
            </w:r>
          </w:p>
        </w:tc>
        <w:tc>
          <w:tcPr>
            <w:vAlign w:val="center"/>
          </w:tcPr>
          <w:p w14:paraId="3174CA5F">
            <w:pPr>
              <w:jc w:val="right"/>
            </w:pPr>
            <w:r>
              <w:t>办公楼租赁</w:t>
            </w:r>
          </w:p>
        </w:tc>
        <w:tc>
          <w:tcPr>
            <w:vAlign w:val="center"/>
          </w:tcPr>
          <w:p w14:paraId="48F6D7EF">
            <w:pPr>
              <w:jc w:val="right"/>
              <w:rPr>
                <w:rFonts w:hint="eastAsia" w:eastAsia="宋体"/>
                <w:lang w:val="en-US" w:eastAsia="zh-CN"/>
              </w:rPr>
            </w:pPr>
            <w:r>
              <w:t>655,486.24</w:t>
            </w:r>
          </w:p>
        </w:tc>
        <w:tc>
          <w:tcPr>
            <w:vAlign w:val="center"/>
          </w:tcPr>
          <w:p w14:paraId="64AD5437">
            <w:pPr>
              <w:jc w:val="right"/>
            </w:pPr>
            <w:r>
              <w:t>655,486.26</w:t>
            </w:r>
          </w:p>
        </w:tc>
      </w:tr>
      <w:tr w14:paraId="71D03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CB1A7D5">
            <w:pPr>
              <w:jc w:val="right"/>
            </w:pPr>
            <w:r>
              <w:t>深圳海勤工程管理有限公司</w:t>
            </w:r>
          </w:p>
        </w:tc>
        <w:tc>
          <w:tcPr>
            <w:vAlign w:val="center"/>
          </w:tcPr>
          <w:p w14:paraId="363EA37F">
            <w:pPr>
              <w:jc w:val="right"/>
            </w:pPr>
            <w:r>
              <w:t>办公楼租赁</w:t>
            </w:r>
          </w:p>
        </w:tc>
        <w:tc>
          <w:tcPr>
            <w:vAlign w:val="center"/>
          </w:tcPr>
          <w:p w14:paraId="7041F677">
            <w:pPr>
              <w:jc w:val="right"/>
            </w:pPr>
            <w:r>
              <w:t>849,398.17</w:t>
            </w:r>
          </w:p>
        </w:tc>
        <w:tc>
          <w:tcPr>
            <w:vAlign w:val="center"/>
          </w:tcPr>
          <w:p w14:paraId="08A6B553">
            <w:pPr>
              <w:jc w:val="right"/>
            </w:pPr>
            <w:r>
              <w:t>808,947.71</w:t>
            </w:r>
          </w:p>
        </w:tc>
      </w:tr>
      <w:tr w14:paraId="15D820A1">
        <w:tblPrEx>
          <w:tblCellMar>
            <w:top w:w="0" w:type="dxa"/>
            <w:left w:w="108" w:type="dxa"/>
            <w:bottom w:w="0" w:type="dxa"/>
            <w:right w:w="108" w:type="dxa"/>
          </w:tblCellMar>
        </w:tblPrEx>
        <w:tc>
          <w:tcPr>
            <w:vAlign w:val="center"/>
          </w:tcPr>
          <w:p w14:paraId="0E80167D">
            <w:pPr>
              <w:jc w:val="right"/>
            </w:pPr>
            <w:r>
              <w:t>招商海达保险经纪有限公司</w:t>
            </w:r>
          </w:p>
        </w:tc>
        <w:tc>
          <w:tcPr>
            <w:vAlign w:val="center"/>
          </w:tcPr>
          <w:p w14:paraId="03E2753C">
            <w:pPr>
              <w:jc w:val="right"/>
            </w:pPr>
            <w:r>
              <w:t>办公楼租赁</w:t>
            </w:r>
          </w:p>
        </w:tc>
        <w:tc>
          <w:tcPr>
            <w:vAlign w:val="center"/>
          </w:tcPr>
          <w:p w14:paraId="29DA6516">
            <w:pPr>
              <w:jc w:val="right"/>
            </w:pPr>
            <w:r>
              <w:t>641,400.00</w:t>
            </w:r>
          </w:p>
        </w:tc>
        <w:tc>
          <w:tcPr>
            <w:vAlign w:val="center"/>
          </w:tcPr>
          <w:p w14:paraId="63D19006">
            <w:pPr>
              <w:jc w:val="right"/>
            </w:pPr>
            <w:r>
              <w:t>622,711.92</w:t>
            </w:r>
          </w:p>
        </w:tc>
      </w:tr>
      <w:tr w14:paraId="03BE94D8">
        <w:tblPrEx>
          <w:tblCellMar>
            <w:top w:w="0" w:type="dxa"/>
            <w:left w:w="108" w:type="dxa"/>
            <w:bottom w:w="0" w:type="dxa"/>
            <w:right w:w="108" w:type="dxa"/>
          </w:tblCellMar>
        </w:tblPrEx>
        <w:tc>
          <w:tcPr>
            <w:tcW w:w="1222" w:type="dxa"/>
            <w:vAlign w:val="center"/>
          </w:tcPr>
          <w:p w14:paraId="75246CCB">
            <w:pPr>
              <w:widowControl/>
              <w:spacing w:line="360" w:lineRule="auto"/>
              <w:jc w:val="center"/>
              <w:rPr>
                <w:kern w:val="0"/>
              </w:rPr>
            </w:pPr>
            <w:r>
              <w:t>合计</w:t>
            </w:r>
          </w:p>
        </w:tc>
        <w:tc>
          <w:tcPr>
            <w:tcW w:w="2748" w:type="dxa"/>
            <w:vAlign w:val="center"/>
          </w:tcPr>
          <w:p w14:paraId="116E9FA2">
            <w:pPr>
              <w:spacing w:line="360" w:lineRule="auto"/>
              <w:jc w:val="center"/>
            </w:pPr>
            <w:r>
              <w:t>—</w:t>
            </w:r>
          </w:p>
        </w:tc>
        <w:tc>
          <w:tcPr>
            <w:tcW w:w="2551" w:type="dxa"/>
            <w:vAlign w:val="center"/>
          </w:tcPr>
          <w:p w14:paraId="5BEED54E">
            <w:pPr>
              <w:spacing w:line="360" w:lineRule="auto"/>
              <w:jc w:val="right"/>
              <w:rPr>
                <w:rFonts w:hint="default" w:eastAsia="宋体"/>
                <w:lang w:val="en-US" w:eastAsia="zh-CN"/>
              </w:rPr>
            </w:pPr>
            <w:r>
              <w:t>2,146,284.41</w:t>
            </w:r>
          </w:p>
        </w:tc>
        <w:tc>
          <w:tcPr>
            <w:tcW w:w="3119" w:type="dxa"/>
            <w:vAlign w:val="center"/>
          </w:tcPr>
          <w:p w14:paraId="7479E7CD">
            <w:pPr>
              <w:spacing w:line="360" w:lineRule="auto"/>
              <w:jc w:val="right"/>
            </w:pPr>
            <w:r>
              <w:t>2,087,145.89</w:t>
            </w:r>
          </w:p>
        </w:tc>
      </w:tr>
    </w:tbl>
    <w:p w14:paraId="42286EAD">
      <w:pPr>
        <w:spacing w:line="360" w:lineRule="auto"/>
        <w:outlineLvl w:val="3"/>
        <w:rPr>
          <w:b/>
        </w:rPr>
      </w:pPr>
      <w:r>
        <w:rPr>
          <w:b/>
          <w:kern w:val="0"/>
        </w:rPr>
        <w:t>9.5.10.3</w:t>
      </w:r>
      <w:r>
        <w:rPr>
          <w:b/>
        </w:rPr>
        <w:t xml:space="preserve"> 关联方报酬</w:t>
      </w:r>
    </w:p>
    <w:p w14:paraId="242AAD41">
      <w:pPr>
        <w:spacing w:line="360" w:lineRule="auto"/>
        <w:outlineLvl w:val="3"/>
        <w:rPr>
          <w:b/>
        </w:rPr>
      </w:pPr>
      <w:r>
        <w:rPr>
          <w:b/>
          <w:kern w:val="0"/>
        </w:rPr>
        <w:t>9.5.10.3.1</w:t>
      </w:r>
      <w:r>
        <w:rPr>
          <w:b/>
        </w:rPr>
        <w:t xml:space="preserve"> 基金管理费</w:t>
      </w:r>
    </w:p>
    <w:p w14:paraId="14455841">
      <w:pPr>
        <w:autoSpaceDE w:val="0"/>
        <w:autoSpaceDN w:val="0"/>
        <w:adjustRightInd w:val="0"/>
        <w:spacing w:before="29" w:line="360" w:lineRule="auto"/>
        <w:ind w:left="15" w:right="-52"/>
        <w:jc w:val="right"/>
        <w:rPr>
          <w:kern w:val="0"/>
        </w:rPr>
      </w:pPr>
      <w:r>
        <w:t>单位：人民币元</w:t>
      </w:r>
    </w:p>
    <w:tbl>
      <w:tblPr>
        <w:tblStyle w:val="40"/>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gridCol w:w="2374"/>
        <w:gridCol w:w="3155"/>
      </w:tblGrid>
      <w:tr w14:paraId="230ED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9" w:type="dxa"/>
            <w:vAlign w:val="center"/>
          </w:tcPr>
          <w:p w14:paraId="43576D96">
            <w:pPr>
              <w:spacing w:line="360" w:lineRule="auto"/>
              <w:jc w:val="center"/>
            </w:pPr>
            <w:r>
              <w:t>项目</w:t>
            </w:r>
          </w:p>
        </w:tc>
        <w:tc>
          <w:tcPr>
            <w:tcW w:w="2374" w:type="dxa"/>
          </w:tcPr>
          <w:p w14:paraId="0C13E145">
            <w:pPr>
              <w:spacing w:line="360" w:lineRule="auto"/>
              <w:jc w:val="center"/>
            </w:pPr>
            <w:r>
              <w:t>本期</w:t>
            </w:r>
          </w:p>
          <w:p w14:paraId="71B5DC5F">
            <w:pPr>
              <w:widowControl/>
              <w:autoSpaceDE w:val="0"/>
              <w:autoSpaceDN w:val="0"/>
              <w:spacing w:line="360" w:lineRule="auto"/>
              <w:ind w:right="-15"/>
              <w:jc w:val="center"/>
              <w:textAlignment w:val="bottom"/>
            </w:pPr>
            <w:r>
              <w:t>2026年1月1日至2026年6月30日</w:t>
            </w:r>
          </w:p>
        </w:tc>
        <w:tc>
          <w:tcPr>
            <w:tcW w:w="3155" w:type="dxa"/>
          </w:tcPr>
          <w:p w14:paraId="68D40D37">
            <w:pPr>
              <w:spacing w:line="360" w:lineRule="auto"/>
              <w:jc w:val="center"/>
            </w:pPr>
            <w:r>
              <w:t>上年度可比期间</w:t>
            </w:r>
          </w:p>
          <w:p w14:paraId="2A0BD59E">
            <w:pPr>
              <w:widowControl/>
              <w:autoSpaceDE w:val="0"/>
              <w:autoSpaceDN w:val="0"/>
              <w:spacing w:line="360" w:lineRule="auto"/>
              <w:ind w:right="-15"/>
              <w:jc w:val="center"/>
              <w:textAlignment w:val="bottom"/>
              <w:rPr>
                <w:kern w:val="0"/>
              </w:rPr>
            </w:pPr>
            <w:r>
              <w:t>2025年1月1日至2025年6月30日</w:t>
            </w:r>
          </w:p>
        </w:tc>
      </w:tr>
      <w:tr w14:paraId="51F3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9" w:type="dxa"/>
            <w:vAlign w:val="center"/>
          </w:tcPr>
          <w:p w14:paraId="0A8F04C3">
            <w:pPr>
              <w:spacing w:line="360" w:lineRule="auto"/>
            </w:pPr>
            <w:r>
              <w:t>当期发生的基金应支付的管理费</w:t>
            </w:r>
          </w:p>
        </w:tc>
        <w:tc>
          <w:tcPr>
            <w:tcW w:w="2374" w:type="dxa"/>
            <w:vAlign w:val="center"/>
          </w:tcPr>
          <w:p w14:paraId="2BB66CAE">
            <w:pPr>
              <w:spacing w:line="360" w:lineRule="auto"/>
              <w:jc w:val="right"/>
            </w:pPr>
            <w:r>
              <w:t>3,058,129.36</w:t>
            </w:r>
          </w:p>
        </w:tc>
        <w:tc>
          <w:tcPr>
            <w:tcW w:w="3155" w:type="dxa"/>
            <w:vAlign w:val="center"/>
          </w:tcPr>
          <w:p w14:paraId="10741FC3">
            <w:pPr>
              <w:spacing w:line="360" w:lineRule="auto"/>
              <w:jc w:val="right"/>
            </w:pPr>
            <w:r>
              <w:t>3,198,214.88</w:t>
            </w:r>
          </w:p>
        </w:tc>
      </w:tr>
      <w:tr w14:paraId="09591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9" w:type="dxa"/>
          </w:tcPr>
          <w:p w14:paraId="7AEF16A3">
            <w:pPr>
              <w:spacing w:line="360" w:lineRule="auto"/>
            </w:pPr>
            <w:r>
              <w:t>其中：固定管理费</w:t>
            </w:r>
          </w:p>
        </w:tc>
        <w:tc>
          <w:tcPr>
            <w:tcW w:w="2374" w:type="dxa"/>
            <w:vAlign w:val="center"/>
          </w:tcPr>
          <w:p w14:paraId="414457B6">
            <w:pPr>
              <w:spacing w:line="360" w:lineRule="auto"/>
              <w:jc w:val="right"/>
            </w:pPr>
            <w:r>
              <w:t>2,286,461.44</w:t>
            </w:r>
          </w:p>
        </w:tc>
        <w:tc>
          <w:tcPr>
            <w:tcW w:w="3155" w:type="dxa"/>
            <w:vAlign w:val="center"/>
          </w:tcPr>
          <w:p w14:paraId="75E5BB8D">
            <w:pPr>
              <w:spacing w:line="360" w:lineRule="auto"/>
              <w:jc w:val="right"/>
            </w:pPr>
            <w:r>
              <w:t>2,349,611.68</w:t>
            </w:r>
          </w:p>
        </w:tc>
      </w:tr>
      <w:tr w14:paraId="49A6A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9" w:type="dxa"/>
          </w:tcPr>
          <w:p w14:paraId="3A398783">
            <w:pPr>
              <w:spacing w:line="360" w:lineRule="auto"/>
              <w:ind w:firstLine="738"/>
            </w:pPr>
            <w:r>
              <w:t>浮动管理费</w:t>
            </w:r>
          </w:p>
        </w:tc>
        <w:tc>
          <w:tcPr>
            <w:tcW w:w="2374" w:type="dxa"/>
            <w:vAlign w:val="center"/>
          </w:tcPr>
          <w:p w14:paraId="4C108BC0">
            <w:pPr>
              <w:spacing w:line="360" w:lineRule="auto"/>
              <w:jc w:val="right"/>
            </w:pPr>
            <w:r>
              <w:t>771,667.92</w:t>
            </w:r>
          </w:p>
        </w:tc>
        <w:tc>
          <w:tcPr>
            <w:tcW w:w="3155" w:type="dxa"/>
            <w:vAlign w:val="center"/>
          </w:tcPr>
          <w:p w14:paraId="31CE1274">
            <w:pPr>
              <w:spacing w:line="360" w:lineRule="auto"/>
              <w:jc w:val="right"/>
            </w:pPr>
            <w:r>
              <w:t>848,603.20</w:t>
            </w:r>
          </w:p>
        </w:tc>
      </w:tr>
      <w:tr w14:paraId="2890D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69" w:type="dxa"/>
          </w:tcPr>
          <w:p w14:paraId="1A5A0A26">
            <w:pPr>
              <w:spacing w:line="360" w:lineRule="auto"/>
              <w:ind w:firstLine="630" w:firstLineChars="300"/>
            </w:pPr>
            <w:r>
              <w:t>支付销售机构的客户维护费</w:t>
            </w:r>
          </w:p>
        </w:tc>
        <w:tc>
          <w:tcPr>
            <w:tcW w:w="2374" w:type="dxa"/>
            <w:vAlign w:val="center"/>
          </w:tcPr>
          <w:p w14:paraId="0B440BB4">
            <w:pPr>
              <w:spacing w:line="360" w:lineRule="auto"/>
              <w:jc w:val="right"/>
            </w:pPr>
            <w:r>
              <w:t>-</w:t>
            </w:r>
          </w:p>
        </w:tc>
        <w:tc>
          <w:tcPr>
            <w:tcW w:w="3155" w:type="dxa"/>
            <w:vAlign w:val="center"/>
          </w:tcPr>
          <w:p w14:paraId="4C81BF33">
            <w:pPr>
              <w:spacing w:line="360" w:lineRule="auto"/>
              <w:jc w:val="right"/>
            </w:pPr>
            <w:r>
              <w:t>-</w:t>
            </w:r>
          </w:p>
        </w:tc>
      </w:tr>
    </w:tbl>
    <w:p w14:paraId="09C910D7">
      <w:pPr>
        <w:widowControl/>
        <w:spacing w:line="360" w:lineRule="auto"/>
        <w:ind w:firstLine="420" w:firstLineChars="200"/>
        <w:jc w:val="left"/>
        <w:rPr>
          <w:kern w:val="0"/>
        </w:rPr>
      </w:pPr>
      <w:r>
        <w:rPr>
          <w:kern w:val="0"/>
        </w:rPr>
        <w:t>注：1. 固定管理费</w:t>
      </w:r>
    </w:p>
    <w:p w14:paraId="22480A83">
      <w:pPr>
        <w:widowControl/>
        <w:spacing w:line="360" w:lineRule="auto"/>
        <w:ind w:firstLine="420" w:firstLineChars="200"/>
        <w:jc w:val="left"/>
        <w:rPr>
          <w:kern w:val="0"/>
        </w:rPr>
      </w:pPr>
      <w:r>
        <w:rPr>
          <w:kern w:val="0"/>
        </w:rPr>
        <w:t>按本基金最近一期年度报告披露的基金净资产×0.15%的年费率计提，逐日累计至每年年末，按年支付。其计算公式为：</w:t>
      </w:r>
    </w:p>
    <w:p w14:paraId="789BEC92">
      <w:pPr>
        <w:widowControl/>
        <w:spacing w:line="360" w:lineRule="auto"/>
        <w:ind w:firstLine="420" w:firstLineChars="200"/>
        <w:jc w:val="left"/>
        <w:rPr>
          <w:kern w:val="0"/>
        </w:rPr>
      </w:pPr>
      <w:r>
        <w:rPr>
          <w:kern w:val="0"/>
        </w:rPr>
        <w:t>H=E×0.15%÷ 当年天数</w:t>
      </w:r>
    </w:p>
    <w:p w14:paraId="53109E98">
      <w:pPr>
        <w:widowControl/>
        <w:spacing w:line="360" w:lineRule="auto"/>
        <w:ind w:firstLine="420" w:firstLineChars="200"/>
        <w:jc w:val="left"/>
        <w:rPr>
          <w:kern w:val="0"/>
        </w:rPr>
      </w:pPr>
      <w:r>
        <w:rPr>
          <w:kern w:val="0"/>
        </w:rPr>
        <w:t>H为每日计提的基金管理费</w:t>
      </w:r>
    </w:p>
    <w:p w14:paraId="743E04C3">
      <w:pPr>
        <w:widowControl/>
        <w:spacing w:line="360" w:lineRule="auto"/>
        <w:ind w:firstLine="420" w:firstLineChars="200"/>
        <w:jc w:val="left"/>
        <w:rPr>
          <w:kern w:val="0"/>
        </w:rPr>
      </w:pPr>
      <w:r>
        <w:rPr>
          <w:kern w:val="0"/>
        </w:rPr>
        <w:t>E为合并报表层面基金净资产（若涉及基金扩募等原因导致基金规模变化时，需按照实际规模变化期间进行调整）</w:t>
      </w:r>
    </w:p>
    <w:p w14:paraId="4A0F93C9">
      <w:pPr>
        <w:widowControl/>
        <w:spacing w:line="360" w:lineRule="auto"/>
        <w:ind w:firstLine="420" w:firstLineChars="200"/>
        <w:jc w:val="left"/>
        <w:rPr>
          <w:kern w:val="0"/>
        </w:rPr>
      </w:pPr>
      <w:r>
        <w:rPr>
          <w:kern w:val="0"/>
        </w:rPr>
        <w:t>2. 浮动管理费</w:t>
      </w:r>
    </w:p>
    <w:p w14:paraId="57201BF8">
      <w:pPr>
        <w:widowControl/>
        <w:spacing w:line="360" w:lineRule="auto"/>
        <w:ind w:firstLine="420" w:firstLineChars="200"/>
        <w:jc w:val="left"/>
        <w:rPr>
          <w:kern w:val="0"/>
        </w:rPr>
      </w:pPr>
      <w:r>
        <w:rPr>
          <w:kern w:val="0"/>
        </w:rPr>
        <w:t>支付的浮动管理费以本基金当年可供分配金额（基金管理费前）×1.20%的费率计提；该部分管理费按照协商一致的方式预提，年末根据经确认的当年可供分配金额（基金管理费前）进行调整并按年支付。</w:t>
      </w:r>
    </w:p>
    <w:p w14:paraId="05DDDB41">
      <w:pPr>
        <w:spacing w:line="360" w:lineRule="auto"/>
        <w:outlineLvl w:val="3"/>
        <w:rPr>
          <w:b/>
        </w:rPr>
      </w:pPr>
      <w:r>
        <w:rPr>
          <w:b/>
          <w:kern w:val="0"/>
        </w:rPr>
        <w:t>9.5.10.3.2</w:t>
      </w:r>
      <w:r>
        <w:rPr>
          <w:b/>
        </w:rPr>
        <w:t xml:space="preserve"> 基金托管费</w:t>
      </w:r>
    </w:p>
    <w:p w14:paraId="2B30FE24">
      <w:pPr>
        <w:autoSpaceDE w:val="0"/>
        <w:autoSpaceDN w:val="0"/>
        <w:adjustRightInd w:val="0"/>
        <w:spacing w:before="29" w:line="360" w:lineRule="auto"/>
        <w:ind w:left="15" w:right="-52"/>
        <w:jc w:val="right"/>
        <w:rPr>
          <w:kern w:val="0"/>
        </w:rPr>
      </w:pPr>
      <w:r>
        <w:t>单位：人民币元</w:t>
      </w:r>
    </w:p>
    <w:tbl>
      <w:tblPr>
        <w:tblStyle w:val="40"/>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86"/>
        <w:gridCol w:w="2657"/>
        <w:gridCol w:w="3155"/>
      </w:tblGrid>
      <w:tr w14:paraId="13863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6" w:type="dxa"/>
            <w:vAlign w:val="center"/>
          </w:tcPr>
          <w:p w14:paraId="11928765">
            <w:pPr>
              <w:spacing w:line="360" w:lineRule="auto"/>
              <w:jc w:val="center"/>
            </w:pPr>
            <w:r>
              <w:t>项目</w:t>
            </w:r>
          </w:p>
        </w:tc>
        <w:tc>
          <w:tcPr>
            <w:tcW w:w="2657" w:type="dxa"/>
          </w:tcPr>
          <w:p w14:paraId="3D60D8C7">
            <w:pPr>
              <w:spacing w:line="360" w:lineRule="auto"/>
              <w:jc w:val="center"/>
            </w:pPr>
            <w:r>
              <w:t>本期</w:t>
            </w:r>
          </w:p>
          <w:p w14:paraId="47690EC7">
            <w:pPr>
              <w:widowControl/>
              <w:autoSpaceDE w:val="0"/>
              <w:autoSpaceDN w:val="0"/>
              <w:spacing w:line="360" w:lineRule="auto"/>
              <w:ind w:right="-15"/>
              <w:jc w:val="center"/>
              <w:textAlignment w:val="bottom"/>
            </w:pPr>
            <w:r>
              <w:t>2026年1月1日至2026年6月30日</w:t>
            </w:r>
          </w:p>
        </w:tc>
        <w:tc>
          <w:tcPr>
            <w:tcW w:w="3155" w:type="dxa"/>
          </w:tcPr>
          <w:p w14:paraId="2468C2E2">
            <w:pPr>
              <w:spacing w:line="360" w:lineRule="auto"/>
              <w:jc w:val="center"/>
            </w:pPr>
            <w:r>
              <w:t>上年度可比期间</w:t>
            </w:r>
          </w:p>
          <w:p w14:paraId="620922BA">
            <w:pPr>
              <w:widowControl/>
              <w:autoSpaceDE w:val="0"/>
              <w:autoSpaceDN w:val="0"/>
              <w:spacing w:line="360" w:lineRule="auto"/>
              <w:ind w:right="-15"/>
              <w:jc w:val="center"/>
              <w:textAlignment w:val="bottom"/>
              <w:rPr>
                <w:kern w:val="0"/>
              </w:rPr>
            </w:pPr>
            <w:r>
              <w:t>2025年1月1日至2025年6月30日</w:t>
            </w:r>
          </w:p>
        </w:tc>
      </w:tr>
      <w:tr w14:paraId="1A431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6" w:type="dxa"/>
            <w:vAlign w:val="center"/>
          </w:tcPr>
          <w:p w14:paraId="1EE4B84B">
            <w:pPr>
              <w:spacing w:line="360" w:lineRule="auto"/>
            </w:pPr>
            <w:r>
              <w:t>当期发生的基金应支付的托管费</w:t>
            </w:r>
          </w:p>
        </w:tc>
        <w:tc>
          <w:tcPr>
            <w:tcW w:w="2657" w:type="dxa"/>
            <w:vAlign w:val="center"/>
          </w:tcPr>
          <w:p w14:paraId="477EE425">
            <w:pPr>
              <w:spacing w:line="360" w:lineRule="auto"/>
              <w:jc w:val="right"/>
              <w:rPr>
                <w:kern w:val="0"/>
              </w:rPr>
            </w:pPr>
            <w:r>
              <w:t>228,646.07</w:t>
            </w:r>
          </w:p>
        </w:tc>
        <w:tc>
          <w:tcPr>
            <w:tcW w:w="3155" w:type="dxa"/>
            <w:vAlign w:val="center"/>
          </w:tcPr>
          <w:p w14:paraId="6A03438B">
            <w:pPr>
              <w:spacing w:line="360" w:lineRule="auto"/>
              <w:jc w:val="right"/>
            </w:pPr>
            <w:r>
              <w:t>234,961.53</w:t>
            </w:r>
          </w:p>
        </w:tc>
      </w:tr>
    </w:tbl>
    <w:p w14:paraId="2C0018E5">
      <w:pPr>
        <w:widowControl/>
        <w:spacing w:line="360" w:lineRule="auto"/>
        <w:ind w:firstLine="420" w:firstLineChars="200"/>
        <w:jc w:val="left"/>
        <w:rPr>
          <w:rFonts w:hint="eastAsia"/>
          <w:kern w:val="0"/>
        </w:rPr>
      </w:pPr>
      <w:r>
        <w:rPr>
          <w:kern w:val="0"/>
        </w:rPr>
        <w:t>注：支付基金托管人招商银行的托管费按E的0.015%按日计提，具体计算方法如下：</w:t>
      </w:r>
    </w:p>
    <w:p w14:paraId="0EC2CB7B">
      <w:pPr>
        <w:widowControl/>
        <w:spacing w:line="360" w:lineRule="auto"/>
        <w:ind w:firstLine="420" w:firstLineChars="200"/>
        <w:jc w:val="left"/>
        <w:rPr>
          <w:rFonts w:hint="eastAsia"/>
          <w:kern w:val="0"/>
        </w:rPr>
      </w:pPr>
      <w:r>
        <w:rPr>
          <w:kern w:val="0"/>
        </w:rPr>
        <w:t>H＝E×0.015%÷当年天数</w:t>
      </w:r>
    </w:p>
    <w:p w14:paraId="176BEE9E">
      <w:pPr>
        <w:widowControl/>
        <w:spacing w:line="360" w:lineRule="auto"/>
        <w:ind w:firstLine="420" w:firstLineChars="200"/>
        <w:jc w:val="left"/>
        <w:rPr>
          <w:rFonts w:hint="eastAsia"/>
          <w:kern w:val="0"/>
        </w:rPr>
      </w:pPr>
      <w:r>
        <w:rPr>
          <w:kern w:val="0"/>
        </w:rPr>
        <w:t>H为每日应计提的基金托管费</w:t>
      </w:r>
    </w:p>
    <w:p w14:paraId="472C85C9">
      <w:pPr>
        <w:widowControl/>
        <w:spacing w:line="360" w:lineRule="auto"/>
        <w:ind w:firstLine="420" w:firstLineChars="200"/>
        <w:jc w:val="left"/>
        <w:rPr>
          <w:rFonts w:hint="eastAsia"/>
          <w:kern w:val="0"/>
        </w:rPr>
      </w:pPr>
      <w:r>
        <w:rPr>
          <w:kern w:val="0"/>
        </w:rPr>
        <w:t>E为计提日所在年度的上一自然年度基金年度报告披露的基金净值（若涉及基金扩募导致基金规模变化时，需按照实际规模变化情况对基金净值进行调整，分段计算），特别地，就基金成立当年，E为基金成立时的募集规模。</w:t>
      </w:r>
    </w:p>
    <w:p w14:paraId="12154C09">
      <w:pPr>
        <w:spacing w:line="360" w:lineRule="auto"/>
        <w:outlineLvl w:val="3"/>
        <w:rPr>
          <w:b/>
        </w:rPr>
      </w:pPr>
      <w:r>
        <w:rPr>
          <w:b/>
          <w:kern w:val="0"/>
        </w:rPr>
        <w:t>9.5.10.4</w:t>
      </w:r>
      <w:r>
        <w:rPr>
          <w:b/>
        </w:rPr>
        <w:t xml:space="preserve"> 与关联方进行银行间同业市场的债券（含回购）交易</w:t>
      </w:r>
    </w:p>
    <w:p w14:paraId="14A12B14">
      <w:pPr>
        <w:tabs>
          <w:tab w:val="left" w:pos="426"/>
        </w:tabs>
        <w:spacing w:line="360" w:lineRule="auto"/>
        <w:ind w:firstLine="420" w:firstLineChars="200"/>
        <w:jc w:val="left"/>
        <w:rPr>
          <w:kern w:val="0"/>
        </w:rPr>
      </w:pPr>
      <w:r>
        <w:rPr>
          <w:kern w:val="0"/>
        </w:rPr>
        <w:t>无。</w:t>
      </w:r>
    </w:p>
    <w:p w14:paraId="05FE5D5D">
      <w:pPr>
        <w:spacing w:line="360" w:lineRule="auto"/>
        <w:outlineLvl w:val="3"/>
        <w:rPr>
          <w:b/>
        </w:rPr>
      </w:pPr>
      <w:r>
        <w:rPr>
          <w:b/>
          <w:kern w:val="0"/>
        </w:rPr>
        <w:t>9.5.10.5</w:t>
      </w:r>
      <w:r>
        <w:rPr>
          <w:b/>
        </w:rPr>
        <w:t xml:space="preserve"> 各关联方投资本基金的情况</w:t>
      </w:r>
    </w:p>
    <w:p w14:paraId="247DE510">
      <w:pPr>
        <w:spacing w:line="360" w:lineRule="auto"/>
        <w:outlineLvl w:val="3"/>
        <w:rPr>
          <w:b/>
        </w:rPr>
      </w:pPr>
      <w:r>
        <w:rPr>
          <w:b/>
          <w:kern w:val="0"/>
        </w:rPr>
        <w:t>9.5.10.5.1</w:t>
      </w:r>
      <w:r>
        <w:rPr>
          <w:b/>
        </w:rPr>
        <w:t xml:space="preserve"> 报告期内除基金管理人外其他关联方投资本基金的情况</w:t>
      </w:r>
    </w:p>
    <w:p w14:paraId="0CC956A8">
      <w:pPr>
        <w:autoSpaceDE w:val="0"/>
        <w:autoSpaceDN w:val="0"/>
        <w:adjustRightInd w:val="0"/>
        <w:spacing w:before="29" w:line="360" w:lineRule="auto"/>
        <w:ind w:left="15" w:right="-52"/>
        <w:jc w:val="right"/>
      </w:pPr>
      <w:r>
        <w:t xml:space="preserve">份额单位：份 </w:t>
      </w:r>
    </w:p>
    <w:tbl>
      <w:tblPr>
        <w:tblStyle w:val="40"/>
        <w:tblW w:w="5642" w:type="pct"/>
        <w:tblInd w:w="-5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60"/>
        <w:gridCol w:w="1380"/>
        <w:gridCol w:w="975"/>
        <w:gridCol w:w="1410"/>
        <w:gridCol w:w="915"/>
        <w:gridCol w:w="1425"/>
        <w:gridCol w:w="1627"/>
        <w:gridCol w:w="1232"/>
      </w:tblGrid>
      <w:tr w14:paraId="2B5330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624" w:type="dxa"/>
            <w:gridSpan w:val="8"/>
            <w:vAlign w:val="center"/>
          </w:tcPr>
          <w:p w14:paraId="230E1538">
            <w:pPr>
              <w:spacing w:line="360" w:lineRule="auto"/>
              <w:jc w:val="center"/>
              <w:rPr>
                <w:sz w:val="18"/>
                <w:szCs w:val="18"/>
              </w:rPr>
            </w:pPr>
            <w:r>
              <w:rPr>
                <w:sz w:val="18"/>
                <w:szCs w:val="18"/>
              </w:rPr>
              <w:t>本期</w:t>
            </w:r>
          </w:p>
          <w:p w14:paraId="6E50C2EF">
            <w:pPr>
              <w:spacing w:line="360" w:lineRule="auto"/>
              <w:jc w:val="center"/>
              <w:rPr>
                <w:sz w:val="18"/>
                <w:szCs w:val="18"/>
              </w:rPr>
            </w:pPr>
            <w:r>
              <w:rPr>
                <w:sz w:val="18"/>
                <w:szCs w:val="18"/>
              </w:rPr>
              <w:t>2026年1月1日至2026年6月30日</w:t>
            </w:r>
          </w:p>
        </w:tc>
      </w:tr>
      <w:tr w14:paraId="71206F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60" w:type="dxa"/>
            <w:vMerge w:val="restart"/>
            <w:vAlign w:val="center"/>
          </w:tcPr>
          <w:p w14:paraId="31788B13">
            <w:pPr>
              <w:spacing w:line="360" w:lineRule="auto"/>
              <w:jc w:val="center"/>
              <w:rPr>
                <w:sz w:val="18"/>
                <w:szCs w:val="18"/>
              </w:rPr>
            </w:pPr>
            <w:r>
              <w:rPr>
                <w:sz w:val="18"/>
                <w:szCs w:val="18"/>
              </w:rPr>
              <w:t>关联方名称</w:t>
            </w:r>
          </w:p>
        </w:tc>
        <w:tc>
          <w:tcPr>
            <w:tcW w:w="2355" w:type="dxa"/>
            <w:gridSpan w:val="2"/>
            <w:vAlign w:val="center"/>
          </w:tcPr>
          <w:p w14:paraId="787C12F1">
            <w:pPr>
              <w:spacing w:line="360" w:lineRule="auto"/>
              <w:jc w:val="center"/>
              <w:rPr>
                <w:sz w:val="18"/>
                <w:szCs w:val="18"/>
              </w:rPr>
            </w:pPr>
            <w:r>
              <w:rPr>
                <w:sz w:val="18"/>
                <w:szCs w:val="18"/>
              </w:rPr>
              <w:t>期初持有</w:t>
            </w:r>
          </w:p>
        </w:tc>
        <w:tc>
          <w:tcPr>
            <w:tcW w:w="1410" w:type="dxa"/>
            <w:vMerge w:val="restart"/>
            <w:vAlign w:val="center"/>
          </w:tcPr>
          <w:p w14:paraId="4AEFACD9">
            <w:pPr>
              <w:spacing w:line="360" w:lineRule="auto"/>
              <w:jc w:val="center"/>
              <w:rPr>
                <w:sz w:val="18"/>
                <w:szCs w:val="18"/>
              </w:rPr>
            </w:pPr>
            <w:r>
              <w:rPr>
                <w:sz w:val="18"/>
                <w:szCs w:val="18"/>
              </w:rPr>
              <w:t>期间申购/买入份额</w:t>
            </w:r>
          </w:p>
        </w:tc>
        <w:tc>
          <w:tcPr>
            <w:tcW w:w="915" w:type="dxa"/>
            <w:vMerge w:val="restart"/>
            <w:vAlign w:val="center"/>
          </w:tcPr>
          <w:p w14:paraId="67C6E010">
            <w:pPr>
              <w:spacing w:line="360" w:lineRule="auto"/>
              <w:jc w:val="center"/>
              <w:rPr>
                <w:sz w:val="18"/>
                <w:szCs w:val="18"/>
              </w:rPr>
            </w:pPr>
            <w:r>
              <w:rPr>
                <w:sz w:val="18"/>
                <w:szCs w:val="18"/>
              </w:rPr>
              <w:t>期间因拆分变动份额</w:t>
            </w:r>
          </w:p>
        </w:tc>
        <w:tc>
          <w:tcPr>
            <w:tcW w:w="1425" w:type="dxa"/>
            <w:vMerge w:val="restart"/>
            <w:vAlign w:val="center"/>
          </w:tcPr>
          <w:p w14:paraId="538EC0D8">
            <w:pPr>
              <w:spacing w:line="360" w:lineRule="auto"/>
              <w:jc w:val="center"/>
              <w:rPr>
                <w:sz w:val="18"/>
                <w:szCs w:val="18"/>
              </w:rPr>
            </w:pPr>
            <w:r>
              <w:rPr>
                <w:sz w:val="18"/>
                <w:szCs w:val="18"/>
              </w:rPr>
              <w:t>减：期间赎回/卖出份额</w:t>
            </w:r>
          </w:p>
        </w:tc>
        <w:tc>
          <w:tcPr>
            <w:tcW w:w="2859" w:type="dxa"/>
            <w:gridSpan w:val="2"/>
            <w:vAlign w:val="center"/>
          </w:tcPr>
          <w:p w14:paraId="2689020D">
            <w:pPr>
              <w:spacing w:line="360" w:lineRule="auto"/>
              <w:jc w:val="center"/>
              <w:rPr>
                <w:sz w:val="18"/>
                <w:szCs w:val="18"/>
              </w:rPr>
            </w:pPr>
            <w:r>
              <w:rPr>
                <w:sz w:val="18"/>
                <w:szCs w:val="18"/>
              </w:rPr>
              <w:t>期末持有</w:t>
            </w:r>
          </w:p>
        </w:tc>
      </w:tr>
      <w:tr w14:paraId="498EFF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60" w:type="dxa"/>
            <w:vMerge w:val="continue"/>
            <w:vAlign w:val="center"/>
          </w:tcPr>
          <w:p w14:paraId="04649BB1">
            <w:pPr>
              <w:spacing w:line="360" w:lineRule="auto"/>
              <w:jc w:val="center"/>
              <w:rPr>
                <w:sz w:val="18"/>
                <w:szCs w:val="18"/>
              </w:rPr>
            </w:pPr>
          </w:p>
        </w:tc>
        <w:tc>
          <w:tcPr>
            <w:tcW w:w="1380" w:type="dxa"/>
            <w:vAlign w:val="center"/>
          </w:tcPr>
          <w:p w14:paraId="22B58794">
            <w:pPr>
              <w:spacing w:line="360" w:lineRule="auto"/>
              <w:jc w:val="center"/>
              <w:rPr>
                <w:sz w:val="18"/>
                <w:szCs w:val="18"/>
              </w:rPr>
            </w:pPr>
            <w:r>
              <w:rPr>
                <w:sz w:val="18"/>
                <w:szCs w:val="18"/>
              </w:rPr>
              <w:t>份额</w:t>
            </w:r>
          </w:p>
        </w:tc>
        <w:tc>
          <w:tcPr>
            <w:tcW w:w="975" w:type="dxa"/>
            <w:vAlign w:val="center"/>
          </w:tcPr>
          <w:p w14:paraId="291F0E09">
            <w:pPr>
              <w:spacing w:line="360" w:lineRule="auto"/>
              <w:jc w:val="center"/>
              <w:rPr>
                <w:sz w:val="18"/>
                <w:szCs w:val="18"/>
              </w:rPr>
            </w:pPr>
            <w:r>
              <w:rPr>
                <w:sz w:val="18"/>
                <w:szCs w:val="18"/>
              </w:rPr>
              <w:t>比例</w:t>
            </w:r>
          </w:p>
        </w:tc>
        <w:tc>
          <w:tcPr>
            <w:tcW w:w="1410" w:type="dxa"/>
            <w:vMerge w:val="continue"/>
            <w:vAlign w:val="center"/>
          </w:tcPr>
          <w:p w14:paraId="276A3DDF">
            <w:pPr>
              <w:spacing w:line="360" w:lineRule="auto"/>
              <w:jc w:val="center"/>
              <w:rPr>
                <w:sz w:val="18"/>
                <w:szCs w:val="18"/>
              </w:rPr>
            </w:pPr>
          </w:p>
        </w:tc>
        <w:tc>
          <w:tcPr>
            <w:tcW w:w="915" w:type="dxa"/>
            <w:vMerge w:val="continue"/>
            <w:vAlign w:val="center"/>
          </w:tcPr>
          <w:p w14:paraId="31D45C3E">
            <w:pPr>
              <w:spacing w:line="360" w:lineRule="auto"/>
              <w:jc w:val="center"/>
              <w:rPr>
                <w:sz w:val="18"/>
                <w:szCs w:val="18"/>
              </w:rPr>
            </w:pPr>
          </w:p>
        </w:tc>
        <w:tc>
          <w:tcPr>
            <w:tcW w:w="1425" w:type="dxa"/>
            <w:vMerge w:val="continue"/>
            <w:vAlign w:val="center"/>
          </w:tcPr>
          <w:p w14:paraId="3AE39442">
            <w:pPr>
              <w:spacing w:line="360" w:lineRule="auto"/>
              <w:jc w:val="center"/>
              <w:rPr>
                <w:sz w:val="18"/>
                <w:szCs w:val="18"/>
              </w:rPr>
            </w:pPr>
          </w:p>
        </w:tc>
        <w:tc>
          <w:tcPr>
            <w:tcW w:w="1627" w:type="dxa"/>
            <w:vAlign w:val="center"/>
          </w:tcPr>
          <w:p w14:paraId="47BB8ABB">
            <w:pPr>
              <w:spacing w:line="360" w:lineRule="auto"/>
              <w:jc w:val="center"/>
              <w:rPr>
                <w:sz w:val="18"/>
                <w:szCs w:val="18"/>
              </w:rPr>
            </w:pPr>
            <w:r>
              <w:rPr>
                <w:sz w:val="18"/>
                <w:szCs w:val="18"/>
              </w:rPr>
              <w:t>份额</w:t>
            </w:r>
          </w:p>
        </w:tc>
        <w:tc>
          <w:tcPr>
            <w:tcW w:w="1232" w:type="dxa"/>
            <w:vAlign w:val="center"/>
          </w:tcPr>
          <w:p w14:paraId="00C61136">
            <w:pPr>
              <w:spacing w:line="360" w:lineRule="auto"/>
              <w:jc w:val="center"/>
              <w:rPr>
                <w:sz w:val="18"/>
                <w:szCs w:val="18"/>
              </w:rPr>
            </w:pPr>
            <w:r>
              <w:rPr>
                <w:sz w:val="18"/>
                <w:szCs w:val="18"/>
              </w:rPr>
              <w:t>比例</w:t>
            </w:r>
          </w:p>
        </w:tc>
      </w:tr>
      <w:tr w14:paraId="69A0F7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0" w:type="dxa"/>
            <w:vAlign w:val="center"/>
          </w:tcPr>
          <w:p w14:paraId="2E9ADE5C">
            <w:pPr>
              <w:jc w:val="right"/>
              <w:rPr>
                <w:sz w:val="18"/>
                <w:szCs w:val="18"/>
              </w:rPr>
            </w:pPr>
            <w:r>
              <w:rPr>
                <w:sz w:val="18"/>
                <w:szCs w:val="18"/>
              </w:rPr>
              <w:t>招商证券</w:t>
            </w:r>
          </w:p>
        </w:tc>
        <w:tc>
          <w:tcPr>
            <w:tcW w:w="1380" w:type="dxa"/>
            <w:vAlign w:val="center"/>
          </w:tcPr>
          <w:p w14:paraId="76BC94AB">
            <w:pPr>
              <w:jc w:val="right"/>
              <w:rPr>
                <w:sz w:val="18"/>
                <w:szCs w:val="18"/>
              </w:rPr>
            </w:pPr>
            <w:r>
              <w:rPr>
                <w:sz w:val="18"/>
                <w:szCs w:val="18"/>
              </w:rPr>
              <w:t>3,890,883.00</w:t>
            </w:r>
          </w:p>
        </w:tc>
        <w:tc>
          <w:tcPr>
            <w:tcW w:w="975" w:type="dxa"/>
            <w:vAlign w:val="center"/>
          </w:tcPr>
          <w:p w14:paraId="4DC240DB">
            <w:pPr>
              <w:jc w:val="right"/>
              <w:rPr>
                <w:sz w:val="18"/>
                <w:szCs w:val="18"/>
              </w:rPr>
            </w:pPr>
            <w:r>
              <w:rPr>
                <w:sz w:val="18"/>
                <w:szCs w:val="18"/>
              </w:rPr>
              <w:t>0.27%</w:t>
            </w:r>
          </w:p>
        </w:tc>
        <w:tc>
          <w:tcPr>
            <w:tcW w:w="1410" w:type="dxa"/>
            <w:vAlign w:val="center"/>
          </w:tcPr>
          <w:p w14:paraId="30B6FBB8">
            <w:pPr>
              <w:jc w:val="right"/>
              <w:rPr>
                <w:sz w:val="18"/>
                <w:szCs w:val="18"/>
              </w:rPr>
            </w:pPr>
            <w:r>
              <w:rPr>
                <w:sz w:val="18"/>
                <w:szCs w:val="18"/>
              </w:rPr>
              <w:t>10,797,559.00</w:t>
            </w:r>
          </w:p>
        </w:tc>
        <w:tc>
          <w:tcPr>
            <w:tcW w:w="915" w:type="dxa"/>
            <w:vAlign w:val="center"/>
          </w:tcPr>
          <w:p w14:paraId="4224DC28">
            <w:pPr>
              <w:jc w:val="right"/>
              <w:rPr>
                <w:sz w:val="18"/>
                <w:szCs w:val="18"/>
              </w:rPr>
            </w:pPr>
            <w:r>
              <w:rPr>
                <w:sz w:val="18"/>
                <w:szCs w:val="18"/>
              </w:rPr>
              <w:t>-</w:t>
            </w:r>
          </w:p>
        </w:tc>
        <w:tc>
          <w:tcPr>
            <w:tcW w:w="1425" w:type="dxa"/>
            <w:vAlign w:val="center"/>
          </w:tcPr>
          <w:p w14:paraId="086CFA87">
            <w:pPr>
              <w:jc w:val="right"/>
              <w:rPr>
                <w:sz w:val="18"/>
                <w:szCs w:val="18"/>
              </w:rPr>
            </w:pPr>
            <w:r>
              <w:rPr>
                <w:sz w:val="18"/>
                <w:szCs w:val="18"/>
              </w:rPr>
              <w:t>3,971,813.00</w:t>
            </w:r>
          </w:p>
        </w:tc>
        <w:tc>
          <w:tcPr>
            <w:tcW w:w="1627" w:type="dxa"/>
            <w:vAlign w:val="center"/>
          </w:tcPr>
          <w:p w14:paraId="60413774">
            <w:pPr>
              <w:jc w:val="right"/>
              <w:rPr>
                <w:sz w:val="18"/>
                <w:szCs w:val="18"/>
              </w:rPr>
            </w:pPr>
            <w:r>
              <w:rPr>
                <w:sz w:val="18"/>
                <w:szCs w:val="18"/>
              </w:rPr>
              <w:t>10,716,629.00</w:t>
            </w:r>
          </w:p>
        </w:tc>
        <w:tc>
          <w:tcPr>
            <w:tcW w:w="1232" w:type="dxa"/>
            <w:vAlign w:val="center"/>
          </w:tcPr>
          <w:p w14:paraId="411A32E6">
            <w:pPr>
              <w:jc w:val="right"/>
              <w:rPr>
                <w:sz w:val="18"/>
                <w:szCs w:val="18"/>
              </w:rPr>
            </w:pPr>
            <w:r>
              <w:rPr>
                <w:sz w:val="18"/>
                <w:szCs w:val="18"/>
              </w:rPr>
              <w:t>0.75%</w:t>
            </w:r>
          </w:p>
        </w:tc>
      </w:tr>
      <w:tr w14:paraId="57EB98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0" w:type="dxa"/>
            <w:vAlign w:val="center"/>
          </w:tcPr>
          <w:p w14:paraId="6E9D9861">
            <w:pPr>
              <w:jc w:val="right"/>
              <w:rPr>
                <w:sz w:val="18"/>
                <w:szCs w:val="18"/>
              </w:rPr>
            </w:pPr>
            <w:r>
              <w:rPr>
                <w:sz w:val="18"/>
                <w:szCs w:val="18"/>
              </w:rPr>
              <w:t>招商蛇口</w:t>
            </w:r>
          </w:p>
        </w:tc>
        <w:tc>
          <w:tcPr>
            <w:tcW w:w="1380" w:type="dxa"/>
            <w:vAlign w:val="center"/>
          </w:tcPr>
          <w:p w14:paraId="405479B7">
            <w:pPr>
              <w:jc w:val="right"/>
              <w:rPr>
                <w:sz w:val="18"/>
                <w:szCs w:val="18"/>
              </w:rPr>
            </w:pPr>
            <w:r>
              <w:rPr>
                <w:sz w:val="18"/>
                <w:szCs w:val="18"/>
              </w:rPr>
              <w:t>288,000,000.00</w:t>
            </w:r>
          </w:p>
        </w:tc>
        <w:tc>
          <w:tcPr>
            <w:tcW w:w="975" w:type="dxa"/>
            <w:vAlign w:val="center"/>
          </w:tcPr>
          <w:p w14:paraId="26CD5598">
            <w:pPr>
              <w:jc w:val="right"/>
              <w:rPr>
                <w:sz w:val="18"/>
                <w:szCs w:val="18"/>
              </w:rPr>
            </w:pPr>
            <w:r>
              <w:rPr>
                <w:sz w:val="18"/>
                <w:szCs w:val="18"/>
              </w:rPr>
              <w:t>20.27%</w:t>
            </w:r>
          </w:p>
        </w:tc>
        <w:tc>
          <w:tcPr>
            <w:tcW w:w="1410" w:type="dxa"/>
            <w:vAlign w:val="center"/>
          </w:tcPr>
          <w:p w14:paraId="6AAFF532">
            <w:pPr>
              <w:jc w:val="right"/>
              <w:rPr>
                <w:sz w:val="18"/>
                <w:szCs w:val="18"/>
              </w:rPr>
            </w:pPr>
            <w:r>
              <w:rPr>
                <w:sz w:val="18"/>
                <w:szCs w:val="18"/>
              </w:rPr>
              <w:t>-</w:t>
            </w:r>
          </w:p>
        </w:tc>
        <w:tc>
          <w:tcPr>
            <w:tcW w:w="915" w:type="dxa"/>
            <w:vAlign w:val="center"/>
          </w:tcPr>
          <w:p w14:paraId="76E023D2">
            <w:pPr>
              <w:jc w:val="right"/>
              <w:rPr>
                <w:sz w:val="18"/>
                <w:szCs w:val="18"/>
              </w:rPr>
            </w:pPr>
            <w:r>
              <w:rPr>
                <w:sz w:val="18"/>
                <w:szCs w:val="18"/>
              </w:rPr>
              <w:t>-</w:t>
            </w:r>
          </w:p>
        </w:tc>
        <w:tc>
          <w:tcPr>
            <w:tcW w:w="1425" w:type="dxa"/>
            <w:vAlign w:val="center"/>
          </w:tcPr>
          <w:p w14:paraId="4CF35D44">
            <w:pPr>
              <w:jc w:val="right"/>
              <w:rPr>
                <w:sz w:val="18"/>
                <w:szCs w:val="18"/>
              </w:rPr>
            </w:pPr>
            <w:r>
              <w:rPr>
                <w:sz w:val="18"/>
                <w:szCs w:val="18"/>
              </w:rPr>
              <w:t>-</w:t>
            </w:r>
          </w:p>
        </w:tc>
        <w:tc>
          <w:tcPr>
            <w:tcW w:w="1627" w:type="dxa"/>
            <w:vAlign w:val="center"/>
          </w:tcPr>
          <w:p w14:paraId="73AC854F">
            <w:pPr>
              <w:jc w:val="right"/>
              <w:rPr>
                <w:sz w:val="18"/>
                <w:szCs w:val="18"/>
              </w:rPr>
            </w:pPr>
            <w:r>
              <w:rPr>
                <w:sz w:val="18"/>
                <w:szCs w:val="18"/>
              </w:rPr>
              <w:t>288,000,000.00</w:t>
            </w:r>
          </w:p>
        </w:tc>
        <w:tc>
          <w:tcPr>
            <w:tcW w:w="1232" w:type="dxa"/>
            <w:vAlign w:val="center"/>
          </w:tcPr>
          <w:p w14:paraId="0BCD1977">
            <w:pPr>
              <w:jc w:val="right"/>
              <w:rPr>
                <w:sz w:val="18"/>
                <w:szCs w:val="18"/>
              </w:rPr>
            </w:pPr>
            <w:r>
              <w:rPr>
                <w:sz w:val="18"/>
                <w:szCs w:val="18"/>
              </w:rPr>
              <w:t>20.27%</w:t>
            </w:r>
          </w:p>
        </w:tc>
      </w:tr>
      <w:tr w14:paraId="068653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0" w:type="dxa"/>
            <w:vAlign w:val="center"/>
          </w:tcPr>
          <w:p w14:paraId="666FA421">
            <w:pPr>
              <w:jc w:val="right"/>
              <w:rPr>
                <w:sz w:val="18"/>
                <w:szCs w:val="18"/>
              </w:rPr>
            </w:pPr>
            <w:r>
              <w:rPr>
                <w:sz w:val="18"/>
                <w:szCs w:val="18"/>
              </w:rPr>
              <w:t>招商光明</w:t>
            </w:r>
          </w:p>
        </w:tc>
        <w:tc>
          <w:tcPr>
            <w:tcW w:w="1380" w:type="dxa"/>
            <w:vAlign w:val="center"/>
          </w:tcPr>
          <w:p w14:paraId="1071CC35">
            <w:pPr>
              <w:jc w:val="right"/>
              <w:rPr>
                <w:sz w:val="18"/>
                <w:szCs w:val="18"/>
              </w:rPr>
            </w:pPr>
            <w:r>
              <w:rPr>
                <w:sz w:val="18"/>
                <w:szCs w:val="18"/>
              </w:rPr>
              <w:t>166,761,877.00</w:t>
            </w:r>
          </w:p>
        </w:tc>
        <w:tc>
          <w:tcPr>
            <w:tcW w:w="975" w:type="dxa"/>
            <w:vAlign w:val="center"/>
          </w:tcPr>
          <w:p w14:paraId="28546E79">
            <w:pPr>
              <w:jc w:val="right"/>
              <w:rPr>
                <w:sz w:val="18"/>
                <w:szCs w:val="18"/>
              </w:rPr>
            </w:pPr>
            <w:r>
              <w:rPr>
                <w:sz w:val="18"/>
                <w:szCs w:val="18"/>
              </w:rPr>
              <w:t>11.73%</w:t>
            </w:r>
          </w:p>
        </w:tc>
        <w:tc>
          <w:tcPr>
            <w:tcW w:w="1410" w:type="dxa"/>
            <w:vAlign w:val="center"/>
          </w:tcPr>
          <w:p w14:paraId="616EF91F">
            <w:pPr>
              <w:jc w:val="right"/>
              <w:rPr>
                <w:sz w:val="18"/>
                <w:szCs w:val="18"/>
              </w:rPr>
            </w:pPr>
            <w:r>
              <w:rPr>
                <w:sz w:val="18"/>
                <w:szCs w:val="18"/>
              </w:rPr>
              <w:t>-</w:t>
            </w:r>
          </w:p>
        </w:tc>
        <w:tc>
          <w:tcPr>
            <w:tcW w:w="915" w:type="dxa"/>
            <w:vAlign w:val="center"/>
          </w:tcPr>
          <w:p w14:paraId="5F62D219">
            <w:pPr>
              <w:jc w:val="right"/>
              <w:rPr>
                <w:sz w:val="18"/>
                <w:szCs w:val="18"/>
              </w:rPr>
            </w:pPr>
            <w:r>
              <w:rPr>
                <w:sz w:val="18"/>
                <w:szCs w:val="18"/>
              </w:rPr>
              <w:t>-</w:t>
            </w:r>
          </w:p>
        </w:tc>
        <w:tc>
          <w:tcPr>
            <w:tcW w:w="1425" w:type="dxa"/>
            <w:vAlign w:val="center"/>
          </w:tcPr>
          <w:p w14:paraId="258D91A5">
            <w:pPr>
              <w:jc w:val="right"/>
              <w:rPr>
                <w:sz w:val="18"/>
                <w:szCs w:val="18"/>
              </w:rPr>
            </w:pPr>
            <w:r>
              <w:rPr>
                <w:sz w:val="18"/>
                <w:szCs w:val="18"/>
              </w:rPr>
              <w:t>-</w:t>
            </w:r>
          </w:p>
        </w:tc>
        <w:tc>
          <w:tcPr>
            <w:tcW w:w="1627" w:type="dxa"/>
            <w:vAlign w:val="center"/>
          </w:tcPr>
          <w:p w14:paraId="26B0F01E">
            <w:pPr>
              <w:jc w:val="right"/>
              <w:rPr>
                <w:sz w:val="18"/>
                <w:szCs w:val="18"/>
              </w:rPr>
            </w:pPr>
            <w:r>
              <w:rPr>
                <w:sz w:val="18"/>
                <w:szCs w:val="18"/>
              </w:rPr>
              <w:t>166,761,877.00</w:t>
            </w:r>
          </w:p>
        </w:tc>
        <w:tc>
          <w:tcPr>
            <w:tcW w:w="1232" w:type="dxa"/>
            <w:vAlign w:val="center"/>
          </w:tcPr>
          <w:p w14:paraId="5EE04FA7">
            <w:pPr>
              <w:jc w:val="right"/>
              <w:rPr>
                <w:sz w:val="18"/>
                <w:szCs w:val="18"/>
              </w:rPr>
            </w:pPr>
            <w:r>
              <w:rPr>
                <w:sz w:val="18"/>
                <w:szCs w:val="18"/>
              </w:rPr>
              <w:t>11.73%</w:t>
            </w:r>
          </w:p>
        </w:tc>
      </w:tr>
      <w:tr w14:paraId="567BA8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60" w:type="dxa"/>
          </w:tcPr>
          <w:p w14:paraId="57CC633D">
            <w:pPr>
              <w:spacing w:line="360" w:lineRule="auto"/>
              <w:jc w:val="center"/>
              <w:rPr>
                <w:sz w:val="18"/>
                <w:szCs w:val="18"/>
              </w:rPr>
            </w:pPr>
            <w:r>
              <w:rPr>
                <w:sz w:val="18"/>
                <w:szCs w:val="18"/>
              </w:rPr>
              <w:t>合计</w:t>
            </w:r>
          </w:p>
        </w:tc>
        <w:tc>
          <w:tcPr>
            <w:tcW w:w="1380" w:type="dxa"/>
          </w:tcPr>
          <w:p w14:paraId="5707FDEA">
            <w:pPr>
              <w:spacing w:line="360" w:lineRule="auto"/>
              <w:jc w:val="right"/>
              <w:rPr>
                <w:sz w:val="18"/>
                <w:szCs w:val="18"/>
              </w:rPr>
            </w:pPr>
            <w:r>
              <w:rPr>
                <w:sz w:val="18"/>
                <w:szCs w:val="18"/>
              </w:rPr>
              <w:t>458,652,760.00</w:t>
            </w:r>
          </w:p>
        </w:tc>
        <w:tc>
          <w:tcPr>
            <w:tcW w:w="975" w:type="dxa"/>
          </w:tcPr>
          <w:p w14:paraId="68A4E348">
            <w:pPr>
              <w:spacing w:line="360" w:lineRule="auto"/>
              <w:jc w:val="right"/>
              <w:rPr>
                <w:sz w:val="18"/>
                <w:szCs w:val="18"/>
              </w:rPr>
            </w:pPr>
            <w:r>
              <w:rPr>
                <w:sz w:val="18"/>
                <w:szCs w:val="18"/>
              </w:rPr>
              <w:t>32.27%</w:t>
            </w:r>
          </w:p>
        </w:tc>
        <w:tc>
          <w:tcPr>
            <w:tcW w:w="1410" w:type="dxa"/>
          </w:tcPr>
          <w:p w14:paraId="18B022DE">
            <w:pPr>
              <w:spacing w:line="360" w:lineRule="auto"/>
              <w:jc w:val="right"/>
              <w:rPr>
                <w:sz w:val="18"/>
                <w:szCs w:val="18"/>
              </w:rPr>
            </w:pPr>
            <w:r>
              <w:rPr>
                <w:sz w:val="18"/>
                <w:szCs w:val="18"/>
              </w:rPr>
              <w:t>10,797,559.00</w:t>
            </w:r>
          </w:p>
        </w:tc>
        <w:tc>
          <w:tcPr>
            <w:tcW w:w="915" w:type="dxa"/>
          </w:tcPr>
          <w:p w14:paraId="38364CBB">
            <w:pPr>
              <w:spacing w:line="360" w:lineRule="auto"/>
              <w:jc w:val="right"/>
              <w:rPr>
                <w:sz w:val="18"/>
                <w:szCs w:val="18"/>
              </w:rPr>
            </w:pPr>
            <w:r>
              <w:rPr>
                <w:sz w:val="18"/>
                <w:szCs w:val="18"/>
              </w:rPr>
              <w:t>-</w:t>
            </w:r>
          </w:p>
        </w:tc>
        <w:tc>
          <w:tcPr>
            <w:tcW w:w="1425" w:type="dxa"/>
          </w:tcPr>
          <w:p w14:paraId="162A709C">
            <w:pPr>
              <w:spacing w:line="360" w:lineRule="auto"/>
              <w:jc w:val="right"/>
              <w:rPr>
                <w:sz w:val="18"/>
                <w:szCs w:val="18"/>
              </w:rPr>
            </w:pPr>
            <w:r>
              <w:rPr>
                <w:sz w:val="18"/>
                <w:szCs w:val="18"/>
              </w:rPr>
              <w:t>3,971,813.00</w:t>
            </w:r>
          </w:p>
        </w:tc>
        <w:tc>
          <w:tcPr>
            <w:tcW w:w="1627" w:type="dxa"/>
          </w:tcPr>
          <w:p w14:paraId="752EDFDE">
            <w:pPr>
              <w:spacing w:line="360" w:lineRule="auto"/>
              <w:jc w:val="right"/>
              <w:rPr>
                <w:sz w:val="18"/>
                <w:szCs w:val="18"/>
              </w:rPr>
            </w:pPr>
            <w:r>
              <w:rPr>
                <w:sz w:val="18"/>
                <w:szCs w:val="18"/>
              </w:rPr>
              <w:t>465,478,506.00</w:t>
            </w:r>
          </w:p>
        </w:tc>
        <w:tc>
          <w:tcPr>
            <w:tcW w:w="1232" w:type="dxa"/>
          </w:tcPr>
          <w:p w14:paraId="224F47A1">
            <w:pPr>
              <w:spacing w:line="360" w:lineRule="auto"/>
              <w:jc w:val="right"/>
              <w:rPr>
                <w:sz w:val="18"/>
                <w:szCs w:val="18"/>
              </w:rPr>
            </w:pPr>
            <w:r>
              <w:rPr>
                <w:sz w:val="18"/>
                <w:szCs w:val="18"/>
              </w:rPr>
              <w:t>32.75%</w:t>
            </w:r>
          </w:p>
        </w:tc>
      </w:tr>
      <w:tr w14:paraId="19A2DE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9624" w:type="dxa"/>
            <w:gridSpan w:val="8"/>
            <w:vAlign w:val="center"/>
          </w:tcPr>
          <w:p w14:paraId="1069274B">
            <w:pPr>
              <w:spacing w:line="360" w:lineRule="auto"/>
              <w:jc w:val="center"/>
              <w:rPr>
                <w:sz w:val="18"/>
                <w:szCs w:val="18"/>
              </w:rPr>
            </w:pPr>
            <w:r>
              <w:rPr>
                <w:sz w:val="18"/>
                <w:szCs w:val="18"/>
              </w:rPr>
              <w:t>上年度可比期间</w:t>
            </w:r>
          </w:p>
          <w:p w14:paraId="00B422AC">
            <w:pPr>
              <w:spacing w:line="360" w:lineRule="auto"/>
              <w:jc w:val="center"/>
              <w:rPr>
                <w:sz w:val="18"/>
                <w:szCs w:val="18"/>
              </w:rPr>
            </w:pPr>
            <w:r>
              <w:rPr>
                <w:sz w:val="18"/>
                <w:szCs w:val="18"/>
              </w:rPr>
              <w:t>2025年1月1日至2025年6月30日</w:t>
            </w:r>
          </w:p>
        </w:tc>
      </w:tr>
      <w:tr w14:paraId="4F2F62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60" w:type="dxa"/>
            <w:vMerge w:val="restart"/>
            <w:vAlign w:val="center"/>
          </w:tcPr>
          <w:p w14:paraId="1839FB10">
            <w:pPr>
              <w:spacing w:line="360" w:lineRule="auto"/>
              <w:jc w:val="center"/>
              <w:rPr>
                <w:sz w:val="18"/>
                <w:szCs w:val="18"/>
              </w:rPr>
            </w:pPr>
            <w:r>
              <w:rPr>
                <w:sz w:val="18"/>
                <w:szCs w:val="18"/>
              </w:rPr>
              <w:t>关联方名称</w:t>
            </w:r>
          </w:p>
        </w:tc>
        <w:tc>
          <w:tcPr>
            <w:tcW w:w="2355" w:type="dxa"/>
            <w:gridSpan w:val="2"/>
            <w:vAlign w:val="center"/>
          </w:tcPr>
          <w:p w14:paraId="036154A3">
            <w:pPr>
              <w:spacing w:line="360" w:lineRule="auto"/>
              <w:jc w:val="center"/>
              <w:rPr>
                <w:sz w:val="18"/>
                <w:szCs w:val="18"/>
              </w:rPr>
            </w:pPr>
            <w:r>
              <w:rPr>
                <w:sz w:val="18"/>
                <w:szCs w:val="18"/>
              </w:rPr>
              <w:t>期初持有</w:t>
            </w:r>
          </w:p>
        </w:tc>
        <w:tc>
          <w:tcPr>
            <w:tcW w:w="1410" w:type="dxa"/>
            <w:vMerge w:val="restart"/>
            <w:vAlign w:val="center"/>
          </w:tcPr>
          <w:p w14:paraId="47F8A340">
            <w:pPr>
              <w:spacing w:line="360" w:lineRule="auto"/>
              <w:jc w:val="center"/>
              <w:rPr>
                <w:sz w:val="18"/>
                <w:szCs w:val="18"/>
              </w:rPr>
            </w:pPr>
            <w:r>
              <w:rPr>
                <w:sz w:val="18"/>
                <w:szCs w:val="18"/>
              </w:rPr>
              <w:t>期间申购/买入份额</w:t>
            </w:r>
          </w:p>
        </w:tc>
        <w:tc>
          <w:tcPr>
            <w:tcW w:w="915" w:type="dxa"/>
            <w:vMerge w:val="restart"/>
            <w:vAlign w:val="center"/>
          </w:tcPr>
          <w:p w14:paraId="289B9677">
            <w:pPr>
              <w:spacing w:line="360" w:lineRule="auto"/>
              <w:jc w:val="center"/>
              <w:rPr>
                <w:sz w:val="18"/>
                <w:szCs w:val="18"/>
              </w:rPr>
            </w:pPr>
            <w:r>
              <w:rPr>
                <w:sz w:val="18"/>
                <w:szCs w:val="18"/>
              </w:rPr>
              <w:t>期间因拆分变动份额</w:t>
            </w:r>
          </w:p>
        </w:tc>
        <w:tc>
          <w:tcPr>
            <w:tcW w:w="1425" w:type="dxa"/>
            <w:vMerge w:val="restart"/>
            <w:vAlign w:val="center"/>
          </w:tcPr>
          <w:p w14:paraId="73E81278">
            <w:pPr>
              <w:spacing w:line="360" w:lineRule="auto"/>
              <w:jc w:val="center"/>
              <w:rPr>
                <w:sz w:val="18"/>
                <w:szCs w:val="18"/>
              </w:rPr>
            </w:pPr>
            <w:r>
              <w:rPr>
                <w:sz w:val="18"/>
                <w:szCs w:val="18"/>
              </w:rPr>
              <w:t>减：期间赎回/卖出份额</w:t>
            </w:r>
          </w:p>
        </w:tc>
        <w:tc>
          <w:tcPr>
            <w:tcW w:w="2859" w:type="dxa"/>
            <w:gridSpan w:val="2"/>
            <w:vAlign w:val="center"/>
          </w:tcPr>
          <w:p w14:paraId="29196B20">
            <w:pPr>
              <w:spacing w:line="360" w:lineRule="auto"/>
              <w:jc w:val="center"/>
              <w:rPr>
                <w:sz w:val="18"/>
                <w:szCs w:val="18"/>
              </w:rPr>
            </w:pPr>
            <w:r>
              <w:rPr>
                <w:sz w:val="18"/>
                <w:szCs w:val="18"/>
              </w:rPr>
              <w:t>期末持有</w:t>
            </w:r>
          </w:p>
        </w:tc>
      </w:tr>
      <w:tr w14:paraId="5E50AD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60" w:type="dxa"/>
            <w:vMerge w:val="continue"/>
            <w:vAlign w:val="center"/>
          </w:tcPr>
          <w:p w14:paraId="67F1D4D7">
            <w:pPr>
              <w:spacing w:line="360" w:lineRule="auto"/>
              <w:jc w:val="center"/>
              <w:rPr>
                <w:sz w:val="18"/>
                <w:szCs w:val="18"/>
              </w:rPr>
            </w:pPr>
          </w:p>
        </w:tc>
        <w:tc>
          <w:tcPr>
            <w:tcW w:w="1380" w:type="dxa"/>
            <w:vAlign w:val="center"/>
          </w:tcPr>
          <w:p w14:paraId="437F1A4A">
            <w:pPr>
              <w:spacing w:line="360" w:lineRule="auto"/>
              <w:jc w:val="center"/>
              <w:rPr>
                <w:sz w:val="18"/>
                <w:szCs w:val="18"/>
              </w:rPr>
            </w:pPr>
            <w:r>
              <w:rPr>
                <w:sz w:val="18"/>
                <w:szCs w:val="18"/>
              </w:rPr>
              <w:t>份额</w:t>
            </w:r>
          </w:p>
        </w:tc>
        <w:tc>
          <w:tcPr>
            <w:tcW w:w="975" w:type="dxa"/>
            <w:vAlign w:val="center"/>
          </w:tcPr>
          <w:p w14:paraId="7E206F15">
            <w:pPr>
              <w:spacing w:line="360" w:lineRule="auto"/>
              <w:jc w:val="center"/>
              <w:rPr>
                <w:sz w:val="18"/>
                <w:szCs w:val="18"/>
              </w:rPr>
            </w:pPr>
            <w:r>
              <w:rPr>
                <w:sz w:val="18"/>
                <w:szCs w:val="18"/>
              </w:rPr>
              <w:t>比例</w:t>
            </w:r>
          </w:p>
        </w:tc>
        <w:tc>
          <w:tcPr>
            <w:tcW w:w="1410" w:type="dxa"/>
            <w:vMerge w:val="continue"/>
            <w:vAlign w:val="center"/>
          </w:tcPr>
          <w:p w14:paraId="3D526F8A">
            <w:pPr>
              <w:spacing w:line="360" w:lineRule="auto"/>
              <w:jc w:val="center"/>
              <w:rPr>
                <w:sz w:val="18"/>
                <w:szCs w:val="18"/>
              </w:rPr>
            </w:pPr>
          </w:p>
        </w:tc>
        <w:tc>
          <w:tcPr>
            <w:tcW w:w="915" w:type="dxa"/>
            <w:vMerge w:val="continue"/>
            <w:vAlign w:val="center"/>
          </w:tcPr>
          <w:p w14:paraId="1E8DE52A">
            <w:pPr>
              <w:spacing w:line="360" w:lineRule="auto"/>
              <w:jc w:val="center"/>
              <w:rPr>
                <w:sz w:val="18"/>
                <w:szCs w:val="18"/>
              </w:rPr>
            </w:pPr>
          </w:p>
        </w:tc>
        <w:tc>
          <w:tcPr>
            <w:tcW w:w="1425" w:type="dxa"/>
            <w:vMerge w:val="continue"/>
            <w:vAlign w:val="center"/>
          </w:tcPr>
          <w:p w14:paraId="449D428A">
            <w:pPr>
              <w:spacing w:line="360" w:lineRule="auto"/>
              <w:jc w:val="center"/>
              <w:rPr>
                <w:sz w:val="18"/>
                <w:szCs w:val="18"/>
              </w:rPr>
            </w:pPr>
          </w:p>
        </w:tc>
        <w:tc>
          <w:tcPr>
            <w:tcW w:w="1627" w:type="dxa"/>
            <w:vAlign w:val="center"/>
          </w:tcPr>
          <w:p w14:paraId="600E9082">
            <w:pPr>
              <w:spacing w:line="360" w:lineRule="auto"/>
              <w:jc w:val="center"/>
              <w:rPr>
                <w:sz w:val="18"/>
                <w:szCs w:val="18"/>
              </w:rPr>
            </w:pPr>
            <w:r>
              <w:rPr>
                <w:sz w:val="18"/>
                <w:szCs w:val="18"/>
              </w:rPr>
              <w:t>份额</w:t>
            </w:r>
          </w:p>
        </w:tc>
        <w:tc>
          <w:tcPr>
            <w:tcW w:w="1232" w:type="dxa"/>
            <w:vAlign w:val="center"/>
          </w:tcPr>
          <w:p w14:paraId="29CAA60B">
            <w:pPr>
              <w:spacing w:line="360" w:lineRule="auto"/>
              <w:jc w:val="center"/>
              <w:rPr>
                <w:sz w:val="18"/>
                <w:szCs w:val="18"/>
              </w:rPr>
            </w:pPr>
            <w:r>
              <w:rPr>
                <w:sz w:val="18"/>
                <w:szCs w:val="18"/>
              </w:rPr>
              <w:t>比例</w:t>
            </w:r>
          </w:p>
        </w:tc>
      </w:tr>
      <w:tr w14:paraId="166337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0" w:type="dxa"/>
            <w:vAlign w:val="center"/>
          </w:tcPr>
          <w:p w14:paraId="3A491C93">
            <w:pPr>
              <w:jc w:val="right"/>
              <w:rPr>
                <w:sz w:val="18"/>
                <w:szCs w:val="18"/>
              </w:rPr>
            </w:pPr>
            <w:r>
              <w:rPr>
                <w:sz w:val="18"/>
                <w:szCs w:val="18"/>
              </w:rPr>
              <w:t>招商证券</w:t>
            </w:r>
          </w:p>
        </w:tc>
        <w:tc>
          <w:tcPr>
            <w:tcW w:w="1380" w:type="dxa"/>
            <w:vAlign w:val="center"/>
          </w:tcPr>
          <w:p w14:paraId="01CA795E">
            <w:pPr>
              <w:jc w:val="right"/>
              <w:rPr>
                <w:sz w:val="18"/>
                <w:szCs w:val="18"/>
              </w:rPr>
            </w:pPr>
            <w:r>
              <w:rPr>
                <w:rFonts w:hint="eastAsia"/>
                <w:sz w:val="18"/>
                <w:szCs w:val="18"/>
              </w:rPr>
              <w:t>1</w:t>
            </w:r>
            <w:r>
              <w:rPr>
                <w:sz w:val="18"/>
                <w:szCs w:val="18"/>
              </w:rPr>
              <w:t>,</w:t>
            </w:r>
            <w:r>
              <w:rPr>
                <w:rFonts w:hint="eastAsia"/>
                <w:sz w:val="18"/>
                <w:szCs w:val="18"/>
              </w:rPr>
              <w:t>200</w:t>
            </w:r>
            <w:r>
              <w:rPr>
                <w:sz w:val="18"/>
                <w:szCs w:val="18"/>
              </w:rPr>
              <w:t>,</w:t>
            </w:r>
            <w:r>
              <w:rPr>
                <w:rFonts w:hint="eastAsia"/>
                <w:sz w:val="18"/>
                <w:szCs w:val="18"/>
              </w:rPr>
              <w:t>096.00</w:t>
            </w:r>
          </w:p>
        </w:tc>
        <w:tc>
          <w:tcPr>
            <w:tcW w:w="975" w:type="dxa"/>
            <w:vAlign w:val="center"/>
          </w:tcPr>
          <w:p w14:paraId="0F60CBAD">
            <w:pPr>
              <w:jc w:val="right"/>
              <w:rPr>
                <w:sz w:val="18"/>
                <w:szCs w:val="18"/>
              </w:rPr>
            </w:pPr>
            <w:r>
              <w:rPr>
                <w:sz w:val="18"/>
                <w:szCs w:val="18"/>
              </w:rPr>
              <w:t>0.</w:t>
            </w:r>
            <w:r>
              <w:rPr>
                <w:rFonts w:hint="eastAsia"/>
                <w:sz w:val="18"/>
                <w:szCs w:val="18"/>
                <w:lang w:val="en-US" w:eastAsia="zh-CN"/>
              </w:rPr>
              <w:t>08</w:t>
            </w:r>
            <w:r>
              <w:rPr>
                <w:sz w:val="18"/>
                <w:szCs w:val="18"/>
              </w:rPr>
              <w:t>%</w:t>
            </w:r>
          </w:p>
        </w:tc>
        <w:tc>
          <w:tcPr>
            <w:tcW w:w="1410" w:type="dxa"/>
            <w:vAlign w:val="center"/>
          </w:tcPr>
          <w:p w14:paraId="632D01B8">
            <w:pPr>
              <w:jc w:val="right"/>
              <w:rPr>
                <w:sz w:val="18"/>
                <w:szCs w:val="18"/>
              </w:rPr>
            </w:pPr>
            <w:r>
              <w:rPr>
                <w:sz w:val="18"/>
                <w:szCs w:val="18"/>
              </w:rPr>
              <w:t>9,270,098.00</w:t>
            </w:r>
          </w:p>
        </w:tc>
        <w:tc>
          <w:tcPr>
            <w:tcW w:w="915" w:type="dxa"/>
            <w:vAlign w:val="center"/>
          </w:tcPr>
          <w:p w14:paraId="30CA9792">
            <w:pPr>
              <w:jc w:val="right"/>
              <w:rPr>
                <w:sz w:val="18"/>
                <w:szCs w:val="18"/>
              </w:rPr>
            </w:pPr>
            <w:r>
              <w:rPr>
                <w:sz w:val="18"/>
                <w:szCs w:val="18"/>
              </w:rPr>
              <w:t>-</w:t>
            </w:r>
          </w:p>
        </w:tc>
        <w:tc>
          <w:tcPr>
            <w:tcW w:w="1425" w:type="dxa"/>
            <w:vAlign w:val="center"/>
          </w:tcPr>
          <w:p w14:paraId="6AB72161">
            <w:pPr>
              <w:jc w:val="right"/>
              <w:rPr>
                <w:sz w:val="18"/>
                <w:szCs w:val="18"/>
              </w:rPr>
            </w:pPr>
            <w:r>
              <w:rPr>
                <w:sz w:val="18"/>
                <w:szCs w:val="18"/>
              </w:rPr>
              <w:t>3,816,566.00</w:t>
            </w:r>
          </w:p>
        </w:tc>
        <w:tc>
          <w:tcPr>
            <w:tcW w:w="1627" w:type="dxa"/>
            <w:vAlign w:val="center"/>
          </w:tcPr>
          <w:p w14:paraId="0F3855E7">
            <w:pPr>
              <w:jc w:val="right"/>
              <w:rPr>
                <w:sz w:val="18"/>
                <w:szCs w:val="18"/>
              </w:rPr>
            </w:pPr>
            <w:r>
              <w:rPr>
                <w:sz w:val="18"/>
                <w:szCs w:val="18"/>
              </w:rPr>
              <w:t>6,653,628.00</w:t>
            </w:r>
          </w:p>
        </w:tc>
        <w:tc>
          <w:tcPr>
            <w:tcW w:w="1232" w:type="dxa"/>
            <w:vAlign w:val="center"/>
          </w:tcPr>
          <w:p w14:paraId="248D25D8">
            <w:pPr>
              <w:jc w:val="right"/>
              <w:rPr>
                <w:sz w:val="18"/>
                <w:szCs w:val="18"/>
              </w:rPr>
            </w:pPr>
            <w:r>
              <w:rPr>
                <w:sz w:val="18"/>
                <w:szCs w:val="18"/>
              </w:rPr>
              <w:t>0.47%</w:t>
            </w:r>
          </w:p>
        </w:tc>
      </w:tr>
      <w:tr w14:paraId="3FA8CB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0" w:type="dxa"/>
            <w:vAlign w:val="center"/>
          </w:tcPr>
          <w:p w14:paraId="0705C900">
            <w:pPr>
              <w:jc w:val="right"/>
              <w:rPr>
                <w:sz w:val="18"/>
                <w:szCs w:val="18"/>
              </w:rPr>
            </w:pPr>
            <w:r>
              <w:rPr>
                <w:sz w:val="18"/>
                <w:szCs w:val="18"/>
              </w:rPr>
              <w:t>招商蛇口</w:t>
            </w:r>
          </w:p>
        </w:tc>
        <w:tc>
          <w:tcPr>
            <w:tcW w:w="1380" w:type="dxa"/>
            <w:vAlign w:val="center"/>
          </w:tcPr>
          <w:p w14:paraId="44ED7BA6">
            <w:pPr>
              <w:jc w:val="right"/>
              <w:rPr>
                <w:sz w:val="18"/>
                <w:szCs w:val="18"/>
              </w:rPr>
            </w:pPr>
            <w:r>
              <w:rPr>
                <w:sz w:val="18"/>
                <w:szCs w:val="18"/>
              </w:rPr>
              <w:t>288,000,000.00</w:t>
            </w:r>
          </w:p>
        </w:tc>
        <w:tc>
          <w:tcPr>
            <w:tcW w:w="975" w:type="dxa"/>
            <w:vAlign w:val="center"/>
          </w:tcPr>
          <w:p w14:paraId="159D468C">
            <w:pPr>
              <w:jc w:val="right"/>
              <w:rPr>
                <w:sz w:val="18"/>
                <w:szCs w:val="18"/>
              </w:rPr>
            </w:pPr>
            <w:r>
              <w:rPr>
                <w:sz w:val="18"/>
                <w:szCs w:val="18"/>
              </w:rPr>
              <w:t>20.27%</w:t>
            </w:r>
          </w:p>
        </w:tc>
        <w:tc>
          <w:tcPr>
            <w:tcW w:w="1410" w:type="dxa"/>
            <w:vAlign w:val="center"/>
          </w:tcPr>
          <w:p w14:paraId="298F0100">
            <w:pPr>
              <w:jc w:val="right"/>
              <w:rPr>
                <w:sz w:val="18"/>
                <w:szCs w:val="18"/>
              </w:rPr>
            </w:pPr>
            <w:r>
              <w:rPr>
                <w:sz w:val="18"/>
                <w:szCs w:val="18"/>
              </w:rPr>
              <w:t>-</w:t>
            </w:r>
          </w:p>
        </w:tc>
        <w:tc>
          <w:tcPr>
            <w:tcW w:w="915" w:type="dxa"/>
            <w:vAlign w:val="center"/>
          </w:tcPr>
          <w:p w14:paraId="0C60256E">
            <w:pPr>
              <w:jc w:val="right"/>
              <w:rPr>
                <w:sz w:val="18"/>
                <w:szCs w:val="18"/>
              </w:rPr>
            </w:pPr>
            <w:r>
              <w:rPr>
                <w:sz w:val="18"/>
                <w:szCs w:val="18"/>
              </w:rPr>
              <w:t>-</w:t>
            </w:r>
          </w:p>
        </w:tc>
        <w:tc>
          <w:tcPr>
            <w:tcW w:w="1425" w:type="dxa"/>
            <w:vAlign w:val="center"/>
          </w:tcPr>
          <w:p w14:paraId="6C266C9A">
            <w:pPr>
              <w:jc w:val="right"/>
              <w:rPr>
                <w:sz w:val="18"/>
                <w:szCs w:val="18"/>
              </w:rPr>
            </w:pPr>
            <w:r>
              <w:rPr>
                <w:sz w:val="18"/>
                <w:szCs w:val="18"/>
              </w:rPr>
              <w:t>-</w:t>
            </w:r>
          </w:p>
        </w:tc>
        <w:tc>
          <w:tcPr>
            <w:tcW w:w="1627" w:type="dxa"/>
            <w:vAlign w:val="center"/>
          </w:tcPr>
          <w:p w14:paraId="5836E759">
            <w:pPr>
              <w:jc w:val="right"/>
              <w:rPr>
                <w:sz w:val="18"/>
                <w:szCs w:val="18"/>
              </w:rPr>
            </w:pPr>
            <w:r>
              <w:rPr>
                <w:sz w:val="18"/>
                <w:szCs w:val="18"/>
              </w:rPr>
              <w:t>288,000,000.00</w:t>
            </w:r>
          </w:p>
        </w:tc>
        <w:tc>
          <w:tcPr>
            <w:tcW w:w="1232" w:type="dxa"/>
            <w:vAlign w:val="center"/>
          </w:tcPr>
          <w:p w14:paraId="368E9BAD">
            <w:pPr>
              <w:jc w:val="right"/>
              <w:rPr>
                <w:sz w:val="18"/>
                <w:szCs w:val="18"/>
              </w:rPr>
            </w:pPr>
            <w:r>
              <w:rPr>
                <w:sz w:val="18"/>
                <w:szCs w:val="18"/>
              </w:rPr>
              <w:t>20.27%</w:t>
            </w:r>
          </w:p>
        </w:tc>
      </w:tr>
      <w:tr w14:paraId="1F53AC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60" w:type="dxa"/>
            <w:vAlign w:val="center"/>
          </w:tcPr>
          <w:p w14:paraId="5AE8858F">
            <w:pPr>
              <w:jc w:val="right"/>
              <w:rPr>
                <w:sz w:val="18"/>
                <w:szCs w:val="18"/>
              </w:rPr>
            </w:pPr>
            <w:r>
              <w:rPr>
                <w:sz w:val="18"/>
                <w:szCs w:val="18"/>
              </w:rPr>
              <w:t>招商光明</w:t>
            </w:r>
          </w:p>
        </w:tc>
        <w:tc>
          <w:tcPr>
            <w:tcW w:w="1380" w:type="dxa"/>
            <w:vAlign w:val="center"/>
          </w:tcPr>
          <w:p w14:paraId="0A9D6A34">
            <w:pPr>
              <w:jc w:val="right"/>
              <w:rPr>
                <w:sz w:val="18"/>
                <w:szCs w:val="18"/>
              </w:rPr>
            </w:pPr>
            <w:r>
              <w:rPr>
                <w:sz w:val="18"/>
                <w:szCs w:val="18"/>
              </w:rPr>
              <w:t>166,761,877.00</w:t>
            </w:r>
          </w:p>
        </w:tc>
        <w:tc>
          <w:tcPr>
            <w:tcW w:w="975" w:type="dxa"/>
            <w:vAlign w:val="center"/>
          </w:tcPr>
          <w:p w14:paraId="03DDB148">
            <w:pPr>
              <w:jc w:val="right"/>
              <w:rPr>
                <w:sz w:val="18"/>
                <w:szCs w:val="18"/>
              </w:rPr>
            </w:pPr>
            <w:r>
              <w:rPr>
                <w:sz w:val="18"/>
                <w:szCs w:val="18"/>
              </w:rPr>
              <w:t>11.73%</w:t>
            </w:r>
          </w:p>
        </w:tc>
        <w:tc>
          <w:tcPr>
            <w:tcW w:w="1410" w:type="dxa"/>
            <w:vAlign w:val="center"/>
          </w:tcPr>
          <w:p w14:paraId="701117FA">
            <w:pPr>
              <w:jc w:val="right"/>
              <w:rPr>
                <w:sz w:val="18"/>
                <w:szCs w:val="18"/>
              </w:rPr>
            </w:pPr>
            <w:r>
              <w:rPr>
                <w:sz w:val="18"/>
                <w:szCs w:val="18"/>
              </w:rPr>
              <w:t>-</w:t>
            </w:r>
          </w:p>
        </w:tc>
        <w:tc>
          <w:tcPr>
            <w:tcW w:w="915" w:type="dxa"/>
            <w:vAlign w:val="center"/>
          </w:tcPr>
          <w:p w14:paraId="1E190D7F">
            <w:pPr>
              <w:jc w:val="right"/>
              <w:rPr>
                <w:sz w:val="18"/>
                <w:szCs w:val="18"/>
              </w:rPr>
            </w:pPr>
            <w:r>
              <w:rPr>
                <w:sz w:val="18"/>
                <w:szCs w:val="18"/>
              </w:rPr>
              <w:t>-</w:t>
            </w:r>
          </w:p>
        </w:tc>
        <w:tc>
          <w:tcPr>
            <w:tcW w:w="1425" w:type="dxa"/>
            <w:vAlign w:val="center"/>
          </w:tcPr>
          <w:p w14:paraId="1C66BB54">
            <w:pPr>
              <w:jc w:val="right"/>
              <w:rPr>
                <w:sz w:val="18"/>
                <w:szCs w:val="18"/>
              </w:rPr>
            </w:pPr>
            <w:r>
              <w:rPr>
                <w:sz w:val="18"/>
                <w:szCs w:val="18"/>
              </w:rPr>
              <w:t>-</w:t>
            </w:r>
          </w:p>
        </w:tc>
        <w:tc>
          <w:tcPr>
            <w:tcW w:w="1627" w:type="dxa"/>
            <w:vAlign w:val="center"/>
          </w:tcPr>
          <w:p w14:paraId="4FF45628">
            <w:pPr>
              <w:jc w:val="right"/>
              <w:rPr>
                <w:sz w:val="18"/>
                <w:szCs w:val="18"/>
              </w:rPr>
            </w:pPr>
            <w:r>
              <w:rPr>
                <w:sz w:val="18"/>
                <w:szCs w:val="18"/>
              </w:rPr>
              <w:t>166,761,877.00</w:t>
            </w:r>
          </w:p>
        </w:tc>
        <w:tc>
          <w:tcPr>
            <w:tcW w:w="1232" w:type="dxa"/>
            <w:vAlign w:val="center"/>
          </w:tcPr>
          <w:p w14:paraId="11B5509C">
            <w:pPr>
              <w:jc w:val="right"/>
              <w:rPr>
                <w:sz w:val="18"/>
                <w:szCs w:val="18"/>
              </w:rPr>
            </w:pPr>
            <w:r>
              <w:rPr>
                <w:sz w:val="18"/>
                <w:szCs w:val="18"/>
              </w:rPr>
              <w:t>11.73%</w:t>
            </w:r>
          </w:p>
        </w:tc>
      </w:tr>
      <w:tr w14:paraId="709B3A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660" w:type="dxa"/>
          </w:tcPr>
          <w:p w14:paraId="749DB8E9">
            <w:pPr>
              <w:spacing w:line="360" w:lineRule="auto"/>
              <w:jc w:val="center"/>
              <w:rPr>
                <w:sz w:val="18"/>
                <w:szCs w:val="18"/>
              </w:rPr>
            </w:pPr>
            <w:r>
              <w:rPr>
                <w:sz w:val="18"/>
                <w:szCs w:val="18"/>
              </w:rPr>
              <w:t>合计</w:t>
            </w:r>
          </w:p>
        </w:tc>
        <w:tc>
          <w:tcPr>
            <w:tcW w:w="1380" w:type="dxa"/>
          </w:tcPr>
          <w:p w14:paraId="61CBBECD">
            <w:pPr>
              <w:spacing w:line="360" w:lineRule="auto"/>
              <w:jc w:val="right"/>
              <w:rPr>
                <w:sz w:val="18"/>
                <w:szCs w:val="18"/>
              </w:rPr>
            </w:pPr>
            <w:r>
              <w:rPr>
                <w:sz w:val="18"/>
                <w:szCs w:val="18"/>
              </w:rPr>
              <w:t>455,961,973.00</w:t>
            </w:r>
          </w:p>
        </w:tc>
        <w:tc>
          <w:tcPr>
            <w:tcW w:w="975" w:type="dxa"/>
          </w:tcPr>
          <w:p w14:paraId="60639790">
            <w:pPr>
              <w:spacing w:line="360" w:lineRule="auto"/>
              <w:jc w:val="right"/>
              <w:rPr>
                <w:sz w:val="18"/>
                <w:szCs w:val="18"/>
              </w:rPr>
            </w:pPr>
            <w:r>
              <w:rPr>
                <w:sz w:val="18"/>
                <w:szCs w:val="18"/>
              </w:rPr>
              <w:t>32.08%</w:t>
            </w:r>
          </w:p>
        </w:tc>
        <w:tc>
          <w:tcPr>
            <w:tcW w:w="1410" w:type="dxa"/>
          </w:tcPr>
          <w:p w14:paraId="67BA4807">
            <w:pPr>
              <w:spacing w:line="360" w:lineRule="auto"/>
              <w:jc w:val="right"/>
              <w:rPr>
                <w:sz w:val="18"/>
                <w:szCs w:val="18"/>
              </w:rPr>
            </w:pPr>
            <w:r>
              <w:rPr>
                <w:sz w:val="18"/>
                <w:szCs w:val="18"/>
              </w:rPr>
              <w:t>9,270,098.00</w:t>
            </w:r>
          </w:p>
        </w:tc>
        <w:tc>
          <w:tcPr>
            <w:tcW w:w="915" w:type="dxa"/>
          </w:tcPr>
          <w:p w14:paraId="706A10C7">
            <w:pPr>
              <w:spacing w:line="360" w:lineRule="auto"/>
              <w:jc w:val="right"/>
              <w:rPr>
                <w:sz w:val="18"/>
                <w:szCs w:val="18"/>
              </w:rPr>
            </w:pPr>
            <w:r>
              <w:rPr>
                <w:sz w:val="18"/>
                <w:szCs w:val="18"/>
              </w:rPr>
              <w:t>-</w:t>
            </w:r>
          </w:p>
        </w:tc>
        <w:tc>
          <w:tcPr>
            <w:tcW w:w="1425" w:type="dxa"/>
          </w:tcPr>
          <w:p w14:paraId="30129323">
            <w:pPr>
              <w:spacing w:line="360" w:lineRule="auto"/>
              <w:jc w:val="right"/>
              <w:rPr>
                <w:sz w:val="18"/>
                <w:szCs w:val="18"/>
              </w:rPr>
            </w:pPr>
            <w:r>
              <w:rPr>
                <w:sz w:val="18"/>
                <w:szCs w:val="18"/>
              </w:rPr>
              <w:t>3,816,566.00</w:t>
            </w:r>
          </w:p>
        </w:tc>
        <w:tc>
          <w:tcPr>
            <w:tcW w:w="1627" w:type="dxa"/>
          </w:tcPr>
          <w:p w14:paraId="53A36E78">
            <w:pPr>
              <w:spacing w:line="360" w:lineRule="auto"/>
              <w:jc w:val="right"/>
              <w:rPr>
                <w:sz w:val="18"/>
                <w:szCs w:val="18"/>
              </w:rPr>
            </w:pPr>
            <w:r>
              <w:rPr>
                <w:sz w:val="18"/>
                <w:szCs w:val="18"/>
              </w:rPr>
              <w:t>461,415,505.00</w:t>
            </w:r>
          </w:p>
        </w:tc>
        <w:tc>
          <w:tcPr>
            <w:tcW w:w="1232" w:type="dxa"/>
          </w:tcPr>
          <w:p w14:paraId="3FD1D9BF">
            <w:pPr>
              <w:spacing w:line="360" w:lineRule="auto"/>
              <w:jc w:val="right"/>
              <w:rPr>
                <w:sz w:val="18"/>
                <w:szCs w:val="18"/>
              </w:rPr>
            </w:pPr>
            <w:r>
              <w:rPr>
                <w:sz w:val="18"/>
                <w:szCs w:val="18"/>
              </w:rPr>
              <w:t>32.47%</w:t>
            </w:r>
          </w:p>
        </w:tc>
      </w:tr>
    </w:tbl>
    <w:p w14:paraId="12D8B506">
      <w:pPr>
        <w:widowControl/>
        <w:spacing w:line="360" w:lineRule="auto"/>
        <w:ind w:firstLine="420" w:firstLineChars="200"/>
        <w:jc w:val="left"/>
        <w:rPr>
          <w:kern w:val="0"/>
        </w:rPr>
      </w:pPr>
      <w:r>
        <w:rPr>
          <w:kern w:val="0"/>
        </w:rPr>
        <w:t>注：1.除基金管理人之外的其他关联方投资本基金适用的交易费率与本基金法律文件规定一致。</w:t>
      </w:r>
    </w:p>
    <w:p w14:paraId="60F2AB5D">
      <w:pPr>
        <w:widowControl/>
        <w:spacing w:line="360" w:lineRule="auto"/>
        <w:ind w:firstLine="420" w:firstLineChars="200"/>
        <w:jc w:val="left"/>
        <w:rPr>
          <w:kern w:val="0"/>
        </w:rPr>
      </w:pPr>
      <w:r>
        <w:rPr>
          <w:kern w:val="0"/>
        </w:rPr>
        <w:t>2.持有的基金份额占基金总份额的比例为四舍五入后的结果。</w:t>
      </w:r>
    </w:p>
    <w:p w14:paraId="4D542791">
      <w:pPr>
        <w:spacing w:line="360" w:lineRule="auto"/>
        <w:outlineLvl w:val="3"/>
        <w:rPr>
          <w:b/>
        </w:rPr>
      </w:pPr>
      <w:r>
        <w:rPr>
          <w:b/>
          <w:kern w:val="0"/>
        </w:rPr>
        <w:t>9.5.10.6</w:t>
      </w:r>
      <w:r>
        <w:rPr>
          <w:b/>
        </w:rPr>
        <w:t xml:space="preserve"> 由关联方保管的银行存款余额及当期产生的利息收入</w:t>
      </w:r>
    </w:p>
    <w:p w14:paraId="307EC91B">
      <w:pPr>
        <w:autoSpaceDE w:val="0"/>
        <w:autoSpaceDN w:val="0"/>
        <w:adjustRightInd w:val="0"/>
        <w:spacing w:before="29" w:line="360" w:lineRule="auto"/>
        <w:ind w:left="15" w:right="-52"/>
        <w:jc w:val="right"/>
        <w:rPr>
          <w:kern w:val="0"/>
        </w:rPr>
      </w:pPr>
      <w:r>
        <w:t>单位：人民币元</w:t>
      </w:r>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71"/>
        <w:gridCol w:w="1922"/>
        <w:gridCol w:w="1683"/>
        <w:gridCol w:w="1683"/>
        <w:gridCol w:w="1614"/>
      </w:tblGrid>
      <w:tr w14:paraId="1DC5E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1" w:type="dxa"/>
            <w:vMerge w:val="restart"/>
            <w:vAlign w:val="center"/>
          </w:tcPr>
          <w:p w14:paraId="0AF5EC13">
            <w:pPr>
              <w:spacing w:line="360" w:lineRule="auto"/>
              <w:jc w:val="center"/>
            </w:pPr>
            <w:r>
              <w:t>关联方名称</w:t>
            </w:r>
          </w:p>
        </w:tc>
        <w:tc>
          <w:tcPr>
            <w:tcW w:w="3605" w:type="dxa"/>
            <w:gridSpan w:val="2"/>
          </w:tcPr>
          <w:p w14:paraId="176E5186">
            <w:pPr>
              <w:spacing w:line="360" w:lineRule="auto"/>
              <w:jc w:val="center"/>
            </w:pPr>
            <w:r>
              <w:t>本期</w:t>
            </w:r>
          </w:p>
          <w:p w14:paraId="7E3A3321">
            <w:pPr>
              <w:widowControl/>
              <w:autoSpaceDE w:val="0"/>
              <w:autoSpaceDN w:val="0"/>
              <w:spacing w:line="360" w:lineRule="auto"/>
              <w:ind w:right="-15"/>
              <w:jc w:val="center"/>
              <w:textAlignment w:val="bottom"/>
            </w:pPr>
            <w:r>
              <w:t>2026年1月1日至2026年6月30日</w:t>
            </w:r>
          </w:p>
        </w:tc>
        <w:tc>
          <w:tcPr>
            <w:tcW w:w="3297" w:type="dxa"/>
            <w:gridSpan w:val="2"/>
          </w:tcPr>
          <w:p w14:paraId="19C874B3">
            <w:pPr>
              <w:spacing w:line="360" w:lineRule="auto"/>
              <w:jc w:val="center"/>
            </w:pPr>
            <w:r>
              <w:t>上年度可比期间</w:t>
            </w:r>
          </w:p>
          <w:p w14:paraId="3A31A64F">
            <w:pPr>
              <w:widowControl/>
              <w:autoSpaceDE w:val="0"/>
              <w:autoSpaceDN w:val="0"/>
              <w:spacing w:line="360" w:lineRule="auto"/>
              <w:ind w:right="-15"/>
              <w:jc w:val="center"/>
              <w:textAlignment w:val="bottom"/>
              <w:rPr>
                <w:kern w:val="0"/>
              </w:rPr>
            </w:pPr>
            <w:r>
              <w:t>2025年1月1日至2025年6月30日</w:t>
            </w:r>
          </w:p>
        </w:tc>
      </w:tr>
      <w:tr w14:paraId="71B32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1" w:type="dxa"/>
            <w:vMerge w:val="continue"/>
            <w:vAlign w:val="center"/>
          </w:tcPr>
          <w:p w14:paraId="4D8C7F48">
            <w:pPr>
              <w:widowControl/>
              <w:spacing w:line="360" w:lineRule="auto"/>
              <w:jc w:val="left"/>
            </w:pPr>
          </w:p>
        </w:tc>
        <w:tc>
          <w:tcPr>
            <w:tcW w:w="1922" w:type="dxa"/>
            <w:vAlign w:val="center"/>
          </w:tcPr>
          <w:p w14:paraId="21FBCCC4">
            <w:pPr>
              <w:spacing w:line="360" w:lineRule="auto"/>
              <w:jc w:val="center"/>
            </w:pPr>
            <w:r>
              <w:t>期末余额</w:t>
            </w:r>
          </w:p>
        </w:tc>
        <w:tc>
          <w:tcPr>
            <w:tcW w:w="1683" w:type="dxa"/>
            <w:vAlign w:val="center"/>
          </w:tcPr>
          <w:p w14:paraId="53EB4C59">
            <w:pPr>
              <w:spacing w:line="360" w:lineRule="auto"/>
              <w:jc w:val="center"/>
            </w:pPr>
            <w:r>
              <w:t>当期利息收入</w:t>
            </w:r>
          </w:p>
        </w:tc>
        <w:tc>
          <w:tcPr>
            <w:tcW w:w="1683" w:type="dxa"/>
            <w:vAlign w:val="center"/>
          </w:tcPr>
          <w:p w14:paraId="04DCE7AC">
            <w:pPr>
              <w:spacing w:line="360" w:lineRule="auto"/>
              <w:jc w:val="center"/>
            </w:pPr>
            <w:r>
              <w:t>期末余额</w:t>
            </w:r>
          </w:p>
        </w:tc>
        <w:tc>
          <w:tcPr>
            <w:tcW w:w="1614" w:type="dxa"/>
            <w:vAlign w:val="center"/>
          </w:tcPr>
          <w:p w14:paraId="29B07632">
            <w:pPr>
              <w:spacing w:line="360" w:lineRule="auto"/>
              <w:jc w:val="center"/>
            </w:pPr>
            <w:r>
              <w:t>当期利息收入</w:t>
            </w:r>
          </w:p>
        </w:tc>
      </w:tr>
      <w:tr w14:paraId="1A9E4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1" w:type="dxa"/>
            <w:vAlign w:val="center"/>
          </w:tcPr>
          <w:p w14:paraId="36849FBC">
            <w:pPr>
              <w:jc w:val="right"/>
            </w:pPr>
            <w:r>
              <w:t>招商银行</w:t>
            </w:r>
          </w:p>
        </w:tc>
        <w:tc>
          <w:tcPr>
            <w:tcW w:w="1922" w:type="dxa"/>
            <w:vAlign w:val="center"/>
          </w:tcPr>
          <w:p w14:paraId="370C02BB">
            <w:pPr>
              <w:jc w:val="right"/>
            </w:pPr>
            <w:r>
              <w:t>46,611,366.15</w:t>
            </w:r>
          </w:p>
        </w:tc>
        <w:tc>
          <w:tcPr>
            <w:vAlign w:val="center"/>
          </w:tcPr>
          <w:p w14:paraId="7F5A6CD2">
            <w:pPr>
              <w:jc w:val="right"/>
            </w:pPr>
            <w:r>
              <w:t>19,982.83</w:t>
            </w:r>
          </w:p>
        </w:tc>
        <w:tc>
          <w:tcPr>
            <w:vAlign w:val="center"/>
          </w:tcPr>
          <w:p w14:paraId="29411B3B">
            <w:pPr>
              <w:jc w:val="right"/>
            </w:pPr>
            <w:r>
              <w:t>13,475,166.86</w:t>
            </w:r>
          </w:p>
        </w:tc>
        <w:tc>
          <w:tcPr>
            <w:vAlign w:val="center"/>
          </w:tcPr>
          <w:p w14:paraId="432840AD">
            <w:pPr>
              <w:jc w:val="right"/>
            </w:pPr>
            <w:r>
              <w:t>7,599.03</w:t>
            </w:r>
          </w:p>
        </w:tc>
      </w:tr>
      <w:tr w14:paraId="46C8F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71" w:type="dxa"/>
            <w:vAlign w:val="center"/>
          </w:tcPr>
          <w:p w14:paraId="258CF42F">
            <w:pPr>
              <w:widowControl/>
              <w:spacing w:line="360" w:lineRule="auto"/>
              <w:jc w:val="left"/>
            </w:pPr>
            <w:r>
              <w:t>合计</w:t>
            </w:r>
          </w:p>
        </w:tc>
        <w:tc>
          <w:tcPr>
            <w:tcW w:w="1922" w:type="dxa"/>
          </w:tcPr>
          <w:p w14:paraId="2B80816C">
            <w:pPr>
              <w:spacing w:line="360" w:lineRule="auto"/>
              <w:jc w:val="right"/>
            </w:pPr>
            <w:r>
              <w:t>46,611,366.15</w:t>
            </w:r>
          </w:p>
        </w:tc>
        <w:tc>
          <w:tcPr>
            <w:tcW w:w="1683" w:type="dxa"/>
          </w:tcPr>
          <w:p w14:paraId="7BF1D79C">
            <w:pPr>
              <w:spacing w:line="360" w:lineRule="auto"/>
              <w:jc w:val="right"/>
            </w:pPr>
            <w:r>
              <w:t>19,982.83</w:t>
            </w:r>
          </w:p>
        </w:tc>
        <w:tc>
          <w:tcPr>
            <w:tcW w:w="1683" w:type="dxa"/>
          </w:tcPr>
          <w:p w14:paraId="07E9718A">
            <w:pPr>
              <w:spacing w:line="360" w:lineRule="auto"/>
              <w:jc w:val="right"/>
            </w:pPr>
            <w:r>
              <w:t>13,475,166.86</w:t>
            </w:r>
          </w:p>
        </w:tc>
        <w:tc>
          <w:tcPr>
            <w:tcW w:w="1614" w:type="dxa"/>
          </w:tcPr>
          <w:p w14:paraId="21B563F9">
            <w:pPr>
              <w:spacing w:line="360" w:lineRule="auto"/>
              <w:jc w:val="right"/>
            </w:pPr>
            <w:r>
              <w:t>7,599.03</w:t>
            </w:r>
          </w:p>
        </w:tc>
      </w:tr>
    </w:tbl>
    <w:p w14:paraId="658A5114">
      <w:pPr>
        <w:widowControl/>
        <w:spacing w:line="360" w:lineRule="auto"/>
        <w:ind w:firstLine="420" w:firstLineChars="200"/>
        <w:jc w:val="left"/>
        <w:rPr>
          <w:kern w:val="0"/>
        </w:rPr>
      </w:pPr>
      <w:r>
        <w:rPr>
          <w:kern w:val="0"/>
        </w:rPr>
        <w:t>注：本基金的银行存款由基金托管人保管，按银行活期利率/银行同业利率/约定利率计息。</w:t>
      </w:r>
    </w:p>
    <w:p w14:paraId="06554895">
      <w:pPr>
        <w:spacing w:line="360" w:lineRule="auto"/>
        <w:outlineLvl w:val="3"/>
        <w:rPr>
          <w:b/>
        </w:rPr>
      </w:pPr>
      <w:r>
        <w:rPr>
          <w:b/>
          <w:kern w:val="0"/>
        </w:rPr>
        <w:t>9.5.10.7</w:t>
      </w:r>
      <w:r>
        <w:rPr>
          <w:b/>
        </w:rPr>
        <w:t xml:space="preserve"> 本基金在承销期内参与关联方承销证券的情况</w:t>
      </w:r>
    </w:p>
    <w:p w14:paraId="556BCE8E">
      <w:pPr>
        <w:widowControl/>
        <w:spacing w:line="360" w:lineRule="auto"/>
        <w:ind w:firstLine="420" w:firstLineChars="200"/>
        <w:jc w:val="left"/>
        <w:rPr>
          <w:kern w:val="0"/>
        </w:rPr>
      </w:pPr>
      <w:r>
        <w:rPr>
          <w:kern w:val="0"/>
        </w:rPr>
        <w:t>无。</w:t>
      </w:r>
    </w:p>
    <w:p w14:paraId="23E0025E">
      <w:pPr>
        <w:spacing w:line="360" w:lineRule="auto"/>
        <w:outlineLvl w:val="3"/>
        <w:rPr>
          <w:b/>
        </w:rPr>
      </w:pPr>
      <w:r>
        <w:rPr>
          <w:b/>
          <w:kern w:val="0"/>
        </w:rPr>
        <w:t>9.5.10.8</w:t>
      </w:r>
      <w:r>
        <w:rPr>
          <w:b/>
        </w:rPr>
        <w:t xml:space="preserve"> 其他关联交易事项的说明</w:t>
      </w:r>
    </w:p>
    <w:p w14:paraId="63C78F63">
      <w:pPr>
        <w:widowControl/>
        <w:spacing w:line="360" w:lineRule="auto"/>
        <w:ind w:firstLine="420" w:firstLineChars="200"/>
        <w:rPr>
          <w:kern w:val="0"/>
        </w:rPr>
      </w:pPr>
      <w:r>
        <w:rPr>
          <w:kern w:val="0"/>
        </w:rPr>
        <w:t>无。</w:t>
      </w:r>
    </w:p>
    <w:p w14:paraId="79D4AE7D">
      <w:pPr>
        <w:spacing w:line="360" w:lineRule="auto"/>
        <w:outlineLvl w:val="3"/>
        <w:rPr>
          <w:b/>
          <w:kern w:val="0"/>
        </w:rPr>
      </w:pPr>
      <w:r>
        <w:rPr>
          <w:b/>
          <w:kern w:val="0"/>
        </w:rPr>
        <w:t>9.5.11 关联方应收应付款项</w:t>
      </w:r>
    </w:p>
    <w:p w14:paraId="6F36F655">
      <w:pPr>
        <w:spacing w:line="360" w:lineRule="auto"/>
        <w:outlineLvl w:val="3"/>
        <w:rPr>
          <w:b/>
        </w:rPr>
      </w:pPr>
      <w:r>
        <w:rPr>
          <w:b/>
          <w:kern w:val="0"/>
        </w:rPr>
        <w:t>9.5.11.1</w:t>
      </w:r>
      <w:r>
        <w:rPr>
          <w:b/>
        </w:rPr>
        <w:t xml:space="preserve"> 应收项目</w:t>
      </w:r>
    </w:p>
    <w:p w14:paraId="2A94FDB6">
      <w:pPr>
        <w:spacing w:line="360" w:lineRule="auto"/>
        <w:ind w:right="-52"/>
        <w:jc w:val="right"/>
        <w:rPr>
          <w:b/>
        </w:rPr>
      </w:pPr>
      <w:r>
        <w:t>单位：人民币元</w:t>
      </w:r>
    </w:p>
    <w:tbl>
      <w:tblPr>
        <w:tblStyle w:val="40"/>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6"/>
        <w:gridCol w:w="1570"/>
        <w:gridCol w:w="1261"/>
        <w:gridCol w:w="1528"/>
        <w:gridCol w:w="1528"/>
        <w:gridCol w:w="2140"/>
      </w:tblGrid>
      <w:tr w14:paraId="4E1A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046" w:type="dxa"/>
            <w:vMerge w:val="restart"/>
            <w:vAlign w:val="center"/>
          </w:tcPr>
          <w:p w14:paraId="30D5F913">
            <w:pPr>
              <w:spacing w:line="360" w:lineRule="auto"/>
              <w:jc w:val="center"/>
            </w:pPr>
            <w:r>
              <w:t>项目名称</w:t>
            </w:r>
          </w:p>
        </w:tc>
        <w:tc>
          <w:tcPr>
            <w:tcW w:w="1570" w:type="dxa"/>
            <w:vMerge w:val="restart"/>
            <w:vAlign w:val="center"/>
          </w:tcPr>
          <w:p w14:paraId="1BC10C18">
            <w:pPr>
              <w:spacing w:line="360" w:lineRule="auto"/>
              <w:jc w:val="center"/>
            </w:pPr>
            <w:r>
              <w:t>关联方名称</w:t>
            </w:r>
          </w:p>
        </w:tc>
        <w:tc>
          <w:tcPr>
            <w:tcW w:w="2789" w:type="dxa"/>
            <w:gridSpan w:val="2"/>
            <w:tcMar>
              <w:top w:w="15" w:type="dxa"/>
              <w:left w:w="15" w:type="dxa"/>
              <w:bottom w:w="0" w:type="dxa"/>
              <w:right w:w="15" w:type="dxa"/>
            </w:tcMar>
            <w:vAlign w:val="center"/>
          </w:tcPr>
          <w:p w14:paraId="57F9C56A">
            <w:pPr>
              <w:spacing w:line="360" w:lineRule="auto"/>
              <w:jc w:val="center"/>
            </w:pPr>
            <w:r>
              <w:t>本期末</w:t>
            </w:r>
          </w:p>
          <w:p w14:paraId="24176567">
            <w:pPr>
              <w:spacing w:line="360" w:lineRule="auto"/>
              <w:jc w:val="center"/>
            </w:pPr>
            <w:r>
              <w:t>2026年6月30日</w:t>
            </w:r>
          </w:p>
        </w:tc>
        <w:tc>
          <w:tcPr>
            <w:tcW w:w="3668" w:type="dxa"/>
            <w:gridSpan w:val="2"/>
            <w:tcMar>
              <w:top w:w="15" w:type="dxa"/>
              <w:left w:w="15" w:type="dxa"/>
              <w:bottom w:w="0" w:type="dxa"/>
              <w:right w:w="15" w:type="dxa"/>
            </w:tcMar>
            <w:vAlign w:val="center"/>
          </w:tcPr>
          <w:p w14:paraId="3099D77E">
            <w:pPr>
              <w:spacing w:line="360" w:lineRule="auto"/>
              <w:jc w:val="center"/>
            </w:pPr>
            <w:r>
              <w:t>上年度末</w:t>
            </w:r>
          </w:p>
          <w:p w14:paraId="18ECC3A9">
            <w:pPr>
              <w:spacing w:line="360" w:lineRule="auto"/>
              <w:jc w:val="center"/>
            </w:pPr>
            <w:r>
              <w:t>2025年12月31日</w:t>
            </w:r>
          </w:p>
        </w:tc>
      </w:tr>
      <w:tr w14:paraId="0278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046" w:type="dxa"/>
            <w:vMerge w:val="continue"/>
            <w:vAlign w:val="center"/>
          </w:tcPr>
          <w:p w14:paraId="76C750CD">
            <w:pPr>
              <w:spacing w:line="360" w:lineRule="auto"/>
              <w:jc w:val="center"/>
            </w:pPr>
          </w:p>
        </w:tc>
        <w:tc>
          <w:tcPr>
            <w:tcW w:w="1570" w:type="dxa"/>
            <w:vMerge w:val="continue"/>
            <w:vAlign w:val="center"/>
          </w:tcPr>
          <w:p w14:paraId="5773D15E">
            <w:pPr>
              <w:spacing w:line="360" w:lineRule="auto"/>
              <w:jc w:val="center"/>
            </w:pPr>
          </w:p>
        </w:tc>
        <w:tc>
          <w:tcPr>
            <w:tcW w:w="1261" w:type="dxa"/>
            <w:tcMar>
              <w:top w:w="15" w:type="dxa"/>
              <w:left w:w="15" w:type="dxa"/>
              <w:bottom w:w="0" w:type="dxa"/>
              <w:right w:w="15" w:type="dxa"/>
            </w:tcMar>
            <w:vAlign w:val="center"/>
          </w:tcPr>
          <w:p w14:paraId="1133D799">
            <w:pPr>
              <w:spacing w:line="360" w:lineRule="auto"/>
              <w:jc w:val="center"/>
            </w:pPr>
            <w:r>
              <w:t>账面余额</w:t>
            </w:r>
          </w:p>
        </w:tc>
        <w:tc>
          <w:tcPr>
            <w:tcW w:w="1528" w:type="dxa"/>
            <w:tcMar>
              <w:top w:w="15" w:type="dxa"/>
              <w:left w:w="15" w:type="dxa"/>
              <w:bottom w:w="0" w:type="dxa"/>
              <w:right w:w="15" w:type="dxa"/>
            </w:tcMar>
            <w:vAlign w:val="center"/>
          </w:tcPr>
          <w:p w14:paraId="0CE2B0E6">
            <w:pPr>
              <w:spacing w:line="360" w:lineRule="auto"/>
              <w:jc w:val="center"/>
            </w:pPr>
            <w:r>
              <w:t>坏账准备</w:t>
            </w:r>
          </w:p>
        </w:tc>
        <w:tc>
          <w:tcPr>
            <w:tcW w:w="1528" w:type="dxa"/>
            <w:tcMar>
              <w:top w:w="15" w:type="dxa"/>
              <w:left w:w="15" w:type="dxa"/>
              <w:bottom w:w="0" w:type="dxa"/>
              <w:right w:w="15" w:type="dxa"/>
            </w:tcMar>
            <w:vAlign w:val="center"/>
          </w:tcPr>
          <w:p w14:paraId="6FA91063">
            <w:pPr>
              <w:spacing w:line="360" w:lineRule="auto"/>
              <w:jc w:val="center"/>
            </w:pPr>
            <w:r>
              <w:t>账面余额</w:t>
            </w:r>
          </w:p>
        </w:tc>
        <w:tc>
          <w:tcPr>
            <w:tcW w:w="2140" w:type="dxa"/>
            <w:vAlign w:val="center"/>
          </w:tcPr>
          <w:p w14:paraId="43E6A5F1">
            <w:pPr>
              <w:spacing w:line="360" w:lineRule="auto"/>
              <w:jc w:val="center"/>
            </w:pPr>
            <w:r>
              <w:t>坏账准备</w:t>
            </w:r>
          </w:p>
        </w:tc>
      </w:tr>
      <w:tr w14:paraId="2CF2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vAlign w:val="center"/>
          </w:tcPr>
          <w:p w14:paraId="4F64A880">
            <w:pPr>
              <w:jc w:val="left"/>
            </w:pPr>
            <w:r>
              <w:t>应收账款</w:t>
            </w:r>
          </w:p>
        </w:tc>
        <w:tc>
          <w:tcPr>
            <w:tcW w:w="1570" w:type="dxa"/>
            <w:vAlign w:val="center"/>
          </w:tcPr>
          <w:p w14:paraId="0E33A87E">
            <w:pPr>
              <w:jc w:val="left"/>
            </w:pPr>
            <w:r>
              <w:t>深圳市招商物业管理有限公司</w:t>
            </w:r>
          </w:p>
        </w:tc>
        <w:tc>
          <w:tcPr>
            <w:tcW w:w="1261" w:type="dxa"/>
            <w:vAlign w:val="center"/>
          </w:tcPr>
          <w:p w14:paraId="3E6ADD9F">
            <w:pPr>
              <w:jc w:val="right"/>
            </w:pPr>
            <w:r>
              <w:t>-</w:t>
            </w:r>
          </w:p>
        </w:tc>
        <w:tc>
          <w:tcPr>
            <w:vAlign w:val="center"/>
          </w:tcPr>
          <w:p w14:paraId="6C72D543">
            <w:pPr>
              <w:jc w:val="right"/>
            </w:pPr>
            <w:r>
              <w:t>-</w:t>
            </w:r>
          </w:p>
        </w:tc>
        <w:tc>
          <w:tcPr>
            <w:vAlign w:val="center"/>
          </w:tcPr>
          <w:p w14:paraId="7D6D822A">
            <w:pPr>
              <w:jc w:val="right"/>
            </w:pPr>
            <w:r>
              <w:t>325,593.37</w:t>
            </w:r>
          </w:p>
        </w:tc>
        <w:tc>
          <w:tcPr>
            <w:vAlign w:val="center"/>
          </w:tcPr>
          <w:p w14:paraId="68FB9CE7">
            <w:pPr>
              <w:jc w:val="right"/>
            </w:pPr>
            <w:r>
              <w:t>-</w:t>
            </w:r>
          </w:p>
        </w:tc>
      </w:tr>
      <w:tr w14:paraId="20339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vAlign w:val="center"/>
          </w:tcPr>
          <w:p w14:paraId="313AF6A0">
            <w:pPr>
              <w:jc w:val="left"/>
            </w:pPr>
            <w:r>
              <w:t>预付款项</w:t>
            </w:r>
          </w:p>
        </w:tc>
        <w:tc>
          <w:tcPr>
            <w:tcW w:w="1570" w:type="dxa"/>
            <w:vAlign w:val="center"/>
          </w:tcPr>
          <w:p w14:paraId="6DA786D1">
            <w:pPr>
              <w:jc w:val="left"/>
            </w:pPr>
            <w:r>
              <w:t>招商局光明科技园有限公司</w:t>
            </w:r>
          </w:p>
        </w:tc>
        <w:tc>
          <w:tcPr>
            <w:tcW w:w="1261" w:type="dxa"/>
            <w:vAlign w:val="center"/>
          </w:tcPr>
          <w:p w14:paraId="4D824D4E">
            <w:pPr>
              <w:jc w:val="right"/>
            </w:pPr>
            <w:r>
              <w:t>-</w:t>
            </w:r>
          </w:p>
        </w:tc>
        <w:tc>
          <w:tcPr>
            <w:vAlign w:val="center"/>
          </w:tcPr>
          <w:p w14:paraId="1270C7E6">
            <w:pPr>
              <w:jc w:val="right"/>
            </w:pPr>
            <w:r>
              <w:t>-</w:t>
            </w:r>
          </w:p>
        </w:tc>
        <w:tc>
          <w:tcPr>
            <w:vAlign w:val="center"/>
          </w:tcPr>
          <w:p w14:paraId="776229C9">
            <w:pPr>
              <w:jc w:val="right"/>
            </w:pPr>
            <w:r>
              <w:t>253,600.82</w:t>
            </w:r>
          </w:p>
        </w:tc>
        <w:tc>
          <w:tcPr>
            <w:vAlign w:val="center"/>
          </w:tcPr>
          <w:p w14:paraId="13E29A23">
            <w:pPr>
              <w:jc w:val="right"/>
            </w:pPr>
            <w:r>
              <w:t>-</w:t>
            </w:r>
          </w:p>
        </w:tc>
      </w:tr>
      <w:tr w14:paraId="4D18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vAlign w:val="center"/>
          </w:tcPr>
          <w:p w14:paraId="57D34AFC">
            <w:pPr>
              <w:jc w:val="left"/>
            </w:pPr>
            <w:r>
              <w:t>预付款项</w:t>
            </w:r>
          </w:p>
        </w:tc>
        <w:tc>
          <w:tcPr>
            <w:tcW w:w="1570" w:type="dxa"/>
            <w:vAlign w:val="center"/>
          </w:tcPr>
          <w:p w14:paraId="75BB3A0A">
            <w:pPr>
              <w:jc w:val="left"/>
            </w:pPr>
            <w:r>
              <w:t>深圳市招商物业管理有限公司</w:t>
            </w:r>
          </w:p>
        </w:tc>
        <w:tc>
          <w:tcPr>
            <w:tcW w:w="1261" w:type="dxa"/>
            <w:vAlign w:val="center"/>
          </w:tcPr>
          <w:p w14:paraId="3B383D1F">
            <w:pPr>
              <w:jc w:val="right"/>
            </w:pPr>
            <w:r>
              <w:t>147,064.43</w:t>
            </w:r>
          </w:p>
        </w:tc>
        <w:tc>
          <w:tcPr>
            <w:vAlign w:val="center"/>
          </w:tcPr>
          <w:p w14:paraId="49AA3F07">
            <w:pPr>
              <w:jc w:val="right"/>
            </w:pPr>
            <w:r>
              <w:t>-</w:t>
            </w:r>
          </w:p>
        </w:tc>
        <w:tc>
          <w:tcPr>
            <w:vAlign w:val="center"/>
          </w:tcPr>
          <w:p w14:paraId="60264C03">
            <w:pPr>
              <w:jc w:val="right"/>
            </w:pPr>
            <w:r>
              <w:t>43,549.32</w:t>
            </w:r>
          </w:p>
        </w:tc>
        <w:tc>
          <w:tcPr>
            <w:vAlign w:val="center"/>
          </w:tcPr>
          <w:p w14:paraId="4F311A48">
            <w:pPr>
              <w:jc w:val="right"/>
            </w:pPr>
            <w:r>
              <w:t>-</w:t>
            </w:r>
          </w:p>
        </w:tc>
      </w:tr>
      <w:tr w14:paraId="65EF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046" w:type="dxa"/>
            <w:vAlign w:val="center"/>
          </w:tcPr>
          <w:p w14:paraId="19E5EE6B">
            <w:pPr>
              <w:spacing w:line="360" w:lineRule="auto"/>
              <w:jc w:val="center"/>
            </w:pPr>
            <w:r>
              <w:t>合计</w:t>
            </w:r>
          </w:p>
        </w:tc>
        <w:tc>
          <w:tcPr>
            <w:tcW w:w="1570" w:type="dxa"/>
            <w:vAlign w:val="center"/>
          </w:tcPr>
          <w:p w14:paraId="24F83B6A">
            <w:pPr>
              <w:spacing w:line="360" w:lineRule="auto"/>
              <w:jc w:val="center"/>
            </w:pPr>
            <w:r>
              <w:t>—</w:t>
            </w:r>
          </w:p>
        </w:tc>
        <w:tc>
          <w:tcPr>
            <w:tcW w:w="1261" w:type="dxa"/>
            <w:tcMar>
              <w:top w:w="15" w:type="dxa"/>
              <w:left w:w="15" w:type="dxa"/>
              <w:bottom w:w="0" w:type="dxa"/>
              <w:right w:w="15" w:type="dxa"/>
            </w:tcMar>
          </w:tcPr>
          <w:p w14:paraId="620C225B">
            <w:pPr>
              <w:spacing w:line="360" w:lineRule="auto"/>
              <w:jc w:val="right"/>
            </w:pPr>
            <w:r>
              <w:t>147,064.43</w:t>
            </w:r>
          </w:p>
        </w:tc>
        <w:tc>
          <w:tcPr>
            <w:tcW w:w="1528" w:type="dxa"/>
            <w:tcMar>
              <w:top w:w="15" w:type="dxa"/>
              <w:left w:w="15" w:type="dxa"/>
              <w:bottom w:w="0" w:type="dxa"/>
              <w:right w:w="15" w:type="dxa"/>
            </w:tcMar>
          </w:tcPr>
          <w:p w14:paraId="068ED687">
            <w:pPr>
              <w:spacing w:line="360" w:lineRule="auto"/>
              <w:jc w:val="right"/>
            </w:pPr>
            <w:r>
              <w:t>-</w:t>
            </w:r>
          </w:p>
        </w:tc>
        <w:tc>
          <w:tcPr>
            <w:tcW w:w="1528" w:type="dxa"/>
            <w:tcMar>
              <w:top w:w="15" w:type="dxa"/>
              <w:left w:w="15" w:type="dxa"/>
              <w:bottom w:w="0" w:type="dxa"/>
              <w:right w:w="15" w:type="dxa"/>
            </w:tcMar>
          </w:tcPr>
          <w:p w14:paraId="30C8A7E0">
            <w:pPr>
              <w:spacing w:line="360" w:lineRule="auto"/>
              <w:jc w:val="right"/>
            </w:pPr>
            <w:r>
              <w:t>622,743.51</w:t>
            </w:r>
          </w:p>
        </w:tc>
        <w:tc>
          <w:tcPr>
            <w:tcW w:w="2140" w:type="dxa"/>
          </w:tcPr>
          <w:p w14:paraId="1CDD0402">
            <w:pPr>
              <w:spacing w:line="360" w:lineRule="auto"/>
              <w:jc w:val="right"/>
            </w:pPr>
            <w:r>
              <w:t>-</w:t>
            </w:r>
          </w:p>
        </w:tc>
      </w:tr>
    </w:tbl>
    <w:p w14:paraId="61BE8166">
      <w:pPr>
        <w:spacing w:line="360" w:lineRule="auto"/>
        <w:outlineLvl w:val="3"/>
        <w:rPr>
          <w:b/>
        </w:rPr>
      </w:pPr>
      <w:r>
        <w:rPr>
          <w:b/>
          <w:kern w:val="0"/>
        </w:rPr>
        <w:t>9.5.11.2</w:t>
      </w:r>
      <w:r>
        <w:rPr>
          <w:b/>
        </w:rPr>
        <w:t xml:space="preserve"> 应付项目</w:t>
      </w:r>
    </w:p>
    <w:p w14:paraId="647723EF">
      <w:pPr>
        <w:spacing w:line="360" w:lineRule="auto"/>
        <w:jc w:val="right"/>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868"/>
        <w:gridCol w:w="2533"/>
        <w:gridCol w:w="3042"/>
      </w:tblGrid>
      <w:tr w14:paraId="789EB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1596" w:type="dxa"/>
            <w:vAlign w:val="center"/>
          </w:tcPr>
          <w:p w14:paraId="49AA67A8">
            <w:pPr>
              <w:tabs>
                <w:tab w:val="left" w:pos="196"/>
                <w:tab w:val="left" w:pos="426"/>
              </w:tabs>
              <w:snapToGrid w:val="0"/>
              <w:spacing w:line="360" w:lineRule="auto"/>
              <w:jc w:val="center"/>
            </w:pPr>
            <w:r>
              <w:t>项目名称</w:t>
            </w:r>
          </w:p>
        </w:tc>
        <w:tc>
          <w:tcPr>
            <w:tcW w:w="1868" w:type="dxa"/>
            <w:vAlign w:val="center"/>
          </w:tcPr>
          <w:p w14:paraId="29577E16">
            <w:pPr>
              <w:spacing w:line="360" w:lineRule="auto"/>
              <w:jc w:val="center"/>
            </w:pPr>
            <w:r>
              <w:t>关联方名称</w:t>
            </w:r>
          </w:p>
        </w:tc>
        <w:tc>
          <w:tcPr>
            <w:tcW w:w="2533" w:type="dxa"/>
            <w:vAlign w:val="center"/>
          </w:tcPr>
          <w:p w14:paraId="1C8CD49B">
            <w:pPr>
              <w:spacing w:line="360" w:lineRule="auto"/>
              <w:jc w:val="center"/>
            </w:pPr>
            <w:r>
              <w:t>本期末</w:t>
            </w:r>
          </w:p>
          <w:p w14:paraId="61C50424">
            <w:pPr>
              <w:spacing w:line="360" w:lineRule="auto"/>
              <w:jc w:val="center"/>
            </w:pPr>
            <w:r>
              <w:t>2026年6月30日</w:t>
            </w:r>
          </w:p>
        </w:tc>
        <w:tc>
          <w:tcPr>
            <w:tcW w:w="3042" w:type="dxa"/>
            <w:vAlign w:val="center"/>
          </w:tcPr>
          <w:p w14:paraId="5E3CBE01">
            <w:pPr>
              <w:spacing w:line="360" w:lineRule="auto"/>
              <w:jc w:val="center"/>
            </w:pPr>
            <w:r>
              <w:t>上年度末</w:t>
            </w:r>
          </w:p>
          <w:p w14:paraId="5B521FE7">
            <w:pPr>
              <w:spacing w:line="360" w:lineRule="auto"/>
              <w:jc w:val="center"/>
            </w:pPr>
            <w:r>
              <w:t>2025年12月31日</w:t>
            </w:r>
          </w:p>
        </w:tc>
      </w:tr>
      <w:tr w14:paraId="3811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B8B8FB3">
            <w:pPr>
              <w:jc w:val="left"/>
            </w:pPr>
            <w:r>
              <w:t>长期借款</w:t>
            </w:r>
          </w:p>
        </w:tc>
        <w:tc>
          <w:tcPr>
            <w:vAlign w:val="center"/>
          </w:tcPr>
          <w:p w14:paraId="1622A78C">
            <w:pPr>
              <w:jc w:val="left"/>
            </w:pPr>
            <w:r>
              <w:t>招商银行</w:t>
            </w:r>
          </w:p>
        </w:tc>
        <w:tc>
          <w:tcPr>
            <w:vAlign w:val="center"/>
          </w:tcPr>
          <w:p w14:paraId="33A573D3">
            <w:pPr>
              <w:jc w:val="right"/>
            </w:pPr>
            <w:r>
              <w:t>292,491,750.83</w:t>
            </w:r>
          </w:p>
        </w:tc>
        <w:tc>
          <w:tcPr>
            <w:vAlign w:val="center"/>
          </w:tcPr>
          <w:p w14:paraId="3D41E245">
            <w:pPr>
              <w:jc w:val="right"/>
            </w:pPr>
            <w:r>
              <w:t>294,014,095.83</w:t>
            </w:r>
          </w:p>
        </w:tc>
      </w:tr>
      <w:tr w14:paraId="73CA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14D2A46">
            <w:pPr>
              <w:jc w:val="left"/>
            </w:pPr>
            <w:r>
              <w:t>其他应付款</w:t>
            </w:r>
          </w:p>
        </w:tc>
        <w:tc>
          <w:tcPr>
            <w:vAlign w:val="center"/>
          </w:tcPr>
          <w:p w14:paraId="0A26B08D">
            <w:pPr>
              <w:jc w:val="left"/>
            </w:pPr>
            <w:r>
              <w:t>深圳市招商创业有限公司</w:t>
            </w:r>
          </w:p>
        </w:tc>
        <w:tc>
          <w:tcPr>
            <w:vAlign w:val="center"/>
          </w:tcPr>
          <w:p w14:paraId="315BB5ED">
            <w:pPr>
              <w:jc w:val="right"/>
            </w:pPr>
            <w:r>
              <w:t>4,378,720.20</w:t>
            </w:r>
          </w:p>
        </w:tc>
        <w:tc>
          <w:tcPr>
            <w:vAlign w:val="center"/>
          </w:tcPr>
          <w:p w14:paraId="5B5BAB01">
            <w:pPr>
              <w:jc w:val="right"/>
            </w:pPr>
            <w:r>
              <w:t>1,380,222.25</w:t>
            </w:r>
          </w:p>
        </w:tc>
      </w:tr>
      <w:tr w14:paraId="50EB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3148720">
            <w:pPr>
              <w:jc w:val="left"/>
            </w:pPr>
            <w:r>
              <w:t>应付管理人报酬</w:t>
            </w:r>
          </w:p>
        </w:tc>
        <w:tc>
          <w:tcPr>
            <w:vAlign w:val="center"/>
          </w:tcPr>
          <w:p w14:paraId="0A458B79">
            <w:pPr>
              <w:jc w:val="left"/>
            </w:pPr>
            <w:r>
              <w:t>博时基金</w:t>
            </w:r>
          </w:p>
        </w:tc>
        <w:tc>
          <w:tcPr>
            <w:vAlign w:val="center"/>
          </w:tcPr>
          <w:p w14:paraId="6381A996">
            <w:pPr>
              <w:jc w:val="right"/>
            </w:pPr>
            <w:r>
              <w:t>2,168,247.35</w:t>
            </w:r>
          </w:p>
        </w:tc>
        <w:tc>
          <w:tcPr>
            <w:vAlign w:val="center"/>
          </w:tcPr>
          <w:p w14:paraId="0E238461">
            <w:pPr>
              <w:jc w:val="right"/>
            </w:pPr>
            <w:r>
              <w:t>4,465,360.46</w:t>
            </w:r>
          </w:p>
        </w:tc>
      </w:tr>
      <w:tr w14:paraId="58B9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5C73D38">
            <w:pPr>
              <w:jc w:val="left"/>
            </w:pPr>
            <w:r>
              <w:t>应付管理人报酬</w:t>
            </w:r>
          </w:p>
        </w:tc>
        <w:tc>
          <w:tcPr>
            <w:vAlign w:val="center"/>
          </w:tcPr>
          <w:p w14:paraId="0F66DA53">
            <w:pPr>
              <w:jc w:val="left"/>
            </w:pPr>
            <w:r>
              <w:t>博时资本</w:t>
            </w:r>
          </w:p>
        </w:tc>
        <w:tc>
          <w:tcPr>
            <w:vAlign w:val="center"/>
          </w:tcPr>
          <w:p w14:paraId="73E79613">
            <w:pPr>
              <w:jc w:val="right"/>
            </w:pPr>
            <w:r>
              <w:t>889,882.01</w:t>
            </w:r>
          </w:p>
        </w:tc>
        <w:tc>
          <w:tcPr>
            <w:vAlign w:val="center"/>
          </w:tcPr>
          <w:p w14:paraId="13175564">
            <w:pPr>
              <w:jc w:val="right"/>
            </w:pPr>
            <w:r>
              <w:t>1,846,318.79</w:t>
            </w:r>
          </w:p>
        </w:tc>
      </w:tr>
      <w:tr w14:paraId="5829A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D025114">
            <w:pPr>
              <w:jc w:val="left"/>
            </w:pPr>
            <w:r>
              <w:t>应付托管费</w:t>
            </w:r>
          </w:p>
        </w:tc>
        <w:tc>
          <w:tcPr>
            <w:vAlign w:val="center"/>
          </w:tcPr>
          <w:p w14:paraId="0D7D98D4">
            <w:pPr>
              <w:jc w:val="left"/>
            </w:pPr>
            <w:r>
              <w:t>招商银行</w:t>
            </w:r>
          </w:p>
        </w:tc>
        <w:tc>
          <w:tcPr>
            <w:vAlign w:val="center"/>
          </w:tcPr>
          <w:p w14:paraId="49F180DC">
            <w:pPr>
              <w:jc w:val="right"/>
            </w:pPr>
            <w:r>
              <w:t>228,646.07</w:t>
            </w:r>
          </w:p>
        </w:tc>
        <w:tc>
          <w:tcPr>
            <w:vAlign w:val="center"/>
          </w:tcPr>
          <w:p w14:paraId="7E82A22E">
            <w:pPr>
              <w:jc w:val="right"/>
            </w:pPr>
            <w:r>
              <w:t>476,622.57</w:t>
            </w:r>
          </w:p>
        </w:tc>
      </w:tr>
      <w:tr w14:paraId="08EC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96" w:type="dxa"/>
            <w:vAlign w:val="center"/>
          </w:tcPr>
          <w:p w14:paraId="3BF7C232">
            <w:pPr>
              <w:tabs>
                <w:tab w:val="left" w:pos="196"/>
                <w:tab w:val="left" w:pos="426"/>
              </w:tabs>
              <w:snapToGrid w:val="0"/>
              <w:spacing w:line="360" w:lineRule="auto"/>
              <w:jc w:val="center"/>
            </w:pPr>
            <w:r>
              <w:t>合计</w:t>
            </w:r>
          </w:p>
        </w:tc>
        <w:tc>
          <w:tcPr>
            <w:tcW w:w="1868" w:type="dxa"/>
          </w:tcPr>
          <w:p w14:paraId="2AE1BC80">
            <w:pPr>
              <w:spacing w:line="360" w:lineRule="auto"/>
              <w:jc w:val="center"/>
            </w:pPr>
            <w:r>
              <w:t>—</w:t>
            </w:r>
          </w:p>
        </w:tc>
        <w:tc>
          <w:tcPr>
            <w:tcW w:w="2533" w:type="dxa"/>
          </w:tcPr>
          <w:p w14:paraId="31094727">
            <w:pPr>
              <w:spacing w:line="360" w:lineRule="auto"/>
              <w:jc w:val="right"/>
            </w:pPr>
            <w:r>
              <w:t>300,157,246.46</w:t>
            </w:r>
          </w:p>
        </w:tc>
        <w:tc>
          <w:tcPr>
            <w:tcW w:w="3042" w:type="dxa"/>
          </w:tcPr>
          <w:p w14:paraId="4BFB760A">
            <w:pPr>
              <w:spacing w:line="360" w:lineRule="auto"/>
              <w:jc w:val="right"/>
            </w:pPr>
            <w:r>
              <w:t>302,182,619.90</w:t>
            </w:r>
          </w:p>
        </w:tc>
      </w:tr>
    </w:tbl>
    <w:p w14:paraId="39AD19C8">
      <w:pPr>
        <w:spacing w:line="360" w:lineRule="auto"/>
        <w:outlineLvl w:val="3"/>
        <w:rPr>
          <w:b/>
          <w:kern w:val="0"/>
        </w:rPr>
      </w:pPr>
      <w:r>
        <w:rPr>
          <w:b/>
          <w:kern w:val="0"/>
        </w:rPr>
        <w:t>9.5.12 期末基金持有的流通受限证券</w:t>
      </w:r>
    </w:p>
    <w:p w14:paraId="40C2EE04">
      <w:pPr>
        <w:spacing w:line="360" w:lineRule="auto"/>
        <w:outlineLvl w:val="3"/>
        <w:rPr>
          <w:b/>
        </w:rPr>
      </w:pPr>
      <w:r>
        <w:rPr>
          <w:b/>
          <w:kern w:val="0"/>
        </w:rPr>
        <w:t>9.5.12.1</w:t>
      </w:r>
      <w:r>
        <w:rPr>
          <w:b/>
        </w:rPr>
        <w:t xml:space="preserve"> 因认购新发/增发证券而于期末持有的流通受限证券</w:t>
      </w:r>
    </w:p>
    <w:p w14:paraId="2B6CD5F4">
      <w:pPr>
        <w:widowControl/>
        <w:spacing w:line="360" w:lineRule="auto"/>
        <w:ind w:firstLine="210" w:firstLineChars="100"/>
        <w:jc w:val="left"/>
        <w:rPr>
          <w:kern w:val="0"/>
        </w:rPr>
      </w:pPr>
      <w:r>
        <w:rPr>
          <w:kern w:val="0"/>
        </w:rPr>
        <w:t xml:space="preserve">无。 </w:t>
      </w:r>
    </w:p>
    <w:p w14:paraId="0958CE08">
      <w:pPr>
        <w:spacing w:line="360" w:lineRule="auto"/>
        <w:outlineLvl w:val="3"/>
        <w:rPr>
          <w:b/>
        </w:rPr>
      </w:pPr>
      <w:r>
        <w:rPr>
          <w:b/>
          <w:kern w:val="0"/>
        </w:rPr>
        <w:t>9.5.12.2</w:t>
      </w:r>
      <w:r>
        <w:rPr>
          <w:b/>
        </w:rPr>
        <w:t xml:space="preserve"> 期末债券正回购交易中作为抵押的债券</w:t>
      </w:r>
    </w:p>
    <w:p w14:paraId="2EE4BAF6">
      <w:pPr>
        <w:spacing w:line="360" w:lineRule="auto"/>
        <w:rPr>
          <w:b/>
          <w:bCs/>
        </w:rPr>
      </w:pPr>
      <w:r>
        <w:rPr>
          <w:b/>
          <w:kern w:val="0"/>
        </w:rPr>
        <w:t>9.5.12.2.1</w:t>
      </w:r>
      <w:r>
        <w:rPr>
          <w:b/>
        </w:rPr>
        <w:t xml:space="preserve"> </w:t>
      </w:r>
      <w:r>
        <w:rPr>
          <w:b/>
          <w:bCs/>
        </w:rPr>
        <w:t>银行间市场债券正回购</w:t>
      </w:r>
    </w:p>
    <w:p w14:paraId="17E52FBC">
      <w:pPr>
        <w:spacing w:line="360" w:lineRule="auto"/>
        <w:ind w:firstLine="420" w:firstLineChars="200"/>
      </w:pPr>
      <w:r>
        <w:t>无。</w:t>
      </w:r>
    </w:p>
    <w:p w14:paraId="1022C734">
      <w:pPr>
        <w:spacing w:line="360" w:lineRule="auto"/>
        <w:outlineLvl w:val="3"/>
        <w:rPr>
          <w:b/>
        </w:rPr>
      </w:pPr>
      <w:r>
        <w:rPr>
          <w:b/>
          <w:kern w:val="0"/>
        </w:rPr>
        <w:t>9.5.12.2.2</w:t>
      </w:r>
      <w:r>
        <w:rPr>
          <w:b/>
        </w:rPr>
        <w:t xml:space="preserve"> 交易所市场债券正回购</w:t>
      </w:r>
    </w:p>
    <w:p w14:paraId="2140BE94">
      <w:pPr>
        <w:spacing w:line="360" w:lineRule="auto"/>
        <w:ind w:firstLine="420" w:firstLineChars="200"/>
      </w:pPr>
      <w:r>
        <w:t>无。</w:t>
      </w:r>
    </w:p>
    <w:p w14:paraId="4BDBFF71">
      <w:pPr>
        <w:spacing w:line="360" w:lineRule="auto"/>
        <w:outlineLvl w:val="3"/>
        <w:rPr>
          <w:b/>
          <w:kern w:val="0"/>
        </w:rPr>
      </w:pPr>
      <w:r>
        <w:rPr>
          <w:b/>
          <w:kern w:val="0"/>
        </w:rPr>
        <w:t>9.5.13 收益分配情况</w:t>
      </w:r>
    </w:p>
    <w:p w14:paraId="51E37D6C">
      <w:pPr>
        <w:spacing w:line="360" w:lineRule="auto"/>
        <w:outlineLvl w:val="3"/>
        <w:rPr>
          <w:b/>
        </w:rPr>
      </w:pPr>
      <w:r>
        <w:rPr>
          <w:b/>
          <w:kern w:val="0"/>
        </w:rPr>
        <w:t>9.5.13.1</w:t>
      </w:r>
      <w:r>
        <w:rPr>
          <w:b/>
        </w:rPr>
        <w:t xml:space="preserve"> 收益分配基本情况</w:t>
      </w:r>
    </w:p>
    <w:p w14:paraId="1F4F7D3D">
      <w:pPr>
        <w:widowControl/>
        <w:tabs>
          <w:tab w:val="left" w:pos="1680"/>
        </w:tabs>
        <w:autoSpaceDE w:val="0"/>
        <w:autoSpaceDN w:val="0"/>
        <w:spacing w:line="360" w:lineRule="auto"/>
        <w:ind w:right="-52"/>
        <w:jc w:val="right"/>
        <w:textAlignment w:val="bottom"/>
        <w:rPr>
          <w:b/>
        </w:rPr>
      </w:pPr>
      <w:r>
        <w:rPr>
          <w:lang w:val="en-AU"/>
        </w:rPr>
        <w:t>金额单位：人民币元</w:t>
      </w:r>
    </w:p>
    <w:tbl>
      <w:tblPr>
        <w:tblStyle w:val="40"/>
        <w:tblW w:w="9059"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5"/>
        <w:gridCol w:w="1030"/>
        <w:gridCol w:w="1217"/>
        <w:gridCol w:w="1652"/>
        <w:gridCol w:w="1258"/>
        <w:gridCol w:w="1496"/>
        <w:gridCol w:w="1501"/>
      </w:tblGrid>
      <w:tr w14:paraId="32A35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905" w:type="dxa"/>
            <w:vAlign w:val="center"/>
          </w:tcPr>
          <w:p w14:paraId="4784614E">
            <w:pPr>
              <w:spacing w:line="360" w:lineRule="auto"/>
              <w:ind w:left="105" w:leftChars="50"/>
              <w:jc w:val="center"/>
            </w:pPr>
            <w:r>
              <w:t>序号</w:t>
            </w:r>
          </w:p>
        </w:tc>
        <w:tc>
          <w:tcPr>
            <w:tcW w:w="1030" w:type="dxa"/>
            <w:vAlign w:val="center"/>
          </w:tcPr>
          <w:p w14:paraId="3C95C680">
            <w:pPr>
              <w:spacing w:line="360" w:lineRule="auto"/>
              <w:ind w:left="105" w:leftChars="50"/>
              <w:jc w:val="center"/>
            </w:pPr>
            <w:r>
              <w:t>权益</w:t>
            </w:r>
          </w:p>
          <w:p w14:paraId="58ECFC2F">
            <w:pPr>
              <w:spacing w:line="360" w:lineRule="auto"/>
              <w:ind w:left="105" w:leftChars="50"/>
              <w:jc w:val="center"/>
            </w:pPr>
            <w:r>
              <w:t>登记日</w:t>
            </w:r>
          </w:p>
        </w:tc>
        <w:tc>
          <w:tcPr>
            <w:tcW w:w="1217" w:type="dxa"/>
            <w:tcMar>
              <w:top w:w="15" w:type="dxa"/>
              <w:left w:w="15" w:type="dxa"/>
              <w:bottom w:w="0" w:type="dxa"/>
              <w:right w:w="15" w:type="dxa"/>
            </w:tcMar>
            <w:vAlign w:val="center"/>
          </w:tcPr>
          <w:p w14:paraId="16936F31">
            <w:pPr>
              <w:spacing w:line="360" w:lineRule="auto"/>
              <w:ind w:left="105" w:leftChars="50"/>
              <w:jc w:val="center"/>
            </w:pPr>
            <w:r>
              <w:t>除息日</w:t>
            </w:r>
          </w:p>
        </w:tc>
        <w:tc>
          <w:tcPr>
            <w:tcW w:w="1652" w:type="dxa"/>
            <w:tcMar>
              <w:top w:w="15" w:type="dxa"/>
              <w:left w:w="15" w:type="dxa"/>
              <w:bottom w:w="0" w:type="dxa"/>
              <w:right w:w="15" w:type="dxa"/>
            </w:tcMar>
            <w:vAlign w:val="center"/>
          </w:tcPr>
          <w:p w14:paraId="311D75A8">
            <w:pPr>
              <w:spacing w:line="360" w:lineRule="auto"/>
              <w:ind w:left="105" w:leftChars="50"/>
              <w:jc w:val="center"/>
            </w:pPr>
            <w:r>
              <w:t>每10份基金份额分红数</w:t>
            </w:r>
          </w:p>
        </w:tc>
        <w:tc>
          <w:tcPr>
            <w:tcW w:w="1258" w:type="dxa"/>
            <w:tcMar>
              <w:top w:w="15" w:type="dxa"/>
              <w:left w:w="15" w:type="dxa"/>
              <w:bottom w:w="0" w:type="dxa"/>
              <w:right w:w="15" w:type="dxa"/>
            </w:tcMar>
            <w:vAlign w:val="center"/>
          </w:tcPr>
          <w:p w14:paraId="5237731D">
            <w:pPr>
              <w:spacing w:line="360" w:lineRule="auto"/>
              <w:ind w:left="105" w:leftChars="50"/>
              <w:jc w:val="center"/>
            </w:pPr>
            <w:r>
              <w:rPr>
                <w:lang w:val="en-AU"/>
              </w:rPr>
              <w:t>本期</w:t>
            </w:r>
            <w:r>
              <w:t>收益</w:t>
            </w:r>
            <w:r>
              <w:rPr>
                <w:lang w:val="en-AU"/>
              </w:rPr>
              <w:t>分配合计</w:t>
            </w:r>
          </w:p>
        </w:tc>
        <w:tc>
          <w:tcPr>
            <w:tcW w:w="1496" w:type="dxa"/>
            <w:tcMar>
              <w:top w:w="15" w:type="dxa"/>
              <w:left w:w="15" w:type="dxa"/>
              <w:bottom w:w="0" w:type="dxa"/>
              <w:right w:w="15" w:type="dxa"/>
            </w:tcMar>
            <w:vAlign w:val="center"/>
          </w:tcPr>
          <w:p w14:paraId="34480B82">
            <w:pPr>
              <w:spacing w:line="360" w:lineRule="auto"/>
              <w:ind w:left="105" w:leftChars="50"/>
              <w:jc w:val="center"/>
            </w:pPr>
            <w:r>
              <w:rPr>
                <w:lang w:val="en-AU"/>
              </w:rPr>
              <w:t>本期</w:t>
            </w:r>
            <w:r>
              <w:t>收益</w:t>
            </w:r>
            <w:r>
              <w:rPr>
                <w:lang w:val="en-AU"/>
              </w:rPr>
              <w:t>分配占可供分配金额比例（%）</w:t>
            </w:r>
          </w:p>
        </w:tc>
        <w:tc>
          <w:tcPr>
            <w:tcW w:w="1501" w:type="dxa"/>
            <w:tcMar>
              <w:top w:w="15" w:type="dxa"/>
              <w:left w:w="15" w:type="dxa"/>
              <w:bottom w:w="0" w:type="dxa"/>
              <w:right w:w="15" w:type="dxa"/>
            </w:tcMar>
            <w:vAlign w:val="center"/>
          </w:tcPr>
          <w:p w14:paraId="4AEE4A40">
            <w:pPr>
              <w:spacing w:line="360" w:lineRule="auto"/>
              <w:jc w:val="center"/>
              <w:rPr>
                <w:lang w:val="en-AU"/>
              </w:rPr>
            </w:pPr>
            <w:r>
              <w:rPr>
                <w:lang w:val="en-AU"/>
              </w:rPr>
              <w:t>备注</w:t>
            </w:r>
          </w:p>
        </w:tc>
      </w:tr>
      <w:tr w14:paraId="1EB6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vAlign w:val="center"/>
          </w:tcPr>
          <w:p w14:paraId="18E02CE7">
            <w:pPr>
              <w:jc w:val="center"/>
            </w:pPr>
            <w:r>
              <w:t>1</w:t>
            </w:r>
          </w:p>
        </w:tc>
        <w:tc>
          <w:tcPr>
            <w:vAlign w:val="center"/>
          </w:tcPr>
          <w:p w14:paraId="4A73D24A">
            <w:pPr>
              <w:jc w:val="center"/>
            </w:pPr>
            <w:r>
              <w:t>2026-04-17</w:t>
            </w:r>
          </w:p>
        </w:tc>
        <w:tc>
          <w:tcPr>
            <w:vAlign w:val="center"/>
          </w:tcPr>
          <w:p w14:paraId="03E11D91">
            <w:pPr>
              <w:jc w:val="center"/>
            </w:pPr>
            <w:r>
              <w:t>2026-04-17</w:t>
            </w:r>
          </w:p>
        </w:tc>
        <w:tc>
          <w:tcPr>
            <w:vAlign w:val="center"/>
          </w:tcPr>
          <w:p w14:paraId="0E644919">
            <w:pPr>
              <w:jc w:val="right"/>
            </w:pPr>
            <w:r>
              <w:t>0.2310</w:t>
            </w:r>
          </w:p>
        </w:tc>
        <w:tc>
          <w:tcPr>
            <w:vAlign w:val="center"/>
          </w:tcPr>
          <w:p w14:paraId="1B33F554">
            <w:pPr>
              <w:jc w:val="center"/>
            </w:pPr>
            <w:r>
              <w:t>32,827,929.51</w:t>
            </w:r>
          </w:p>
        </w:tc>
        <w:tc>
          <w:tcPr>
            <w:vAlign w:val="center"/>
          </w:tcPr>
          <w:p w14:paraId="0C0C69DC">
            <w:pPr>
              <w:jc w:val="right"/>
            </w:pPr>
            <w:r>
              <w:t>27.22%</w:t>
            </w:r>
          </w:p>
        </w:tc>
        <w:tc>
          <w:tcPr>
            <w:vAlign w:val="center"/>
          </w:tcPr>
          <w:p w14:paraId="2205D8E2">
            <w:pPr>
              <w:jc w:val="left"/>
            </w:pPr>
            <w:r>
              <w:t>-</w:t>
            </w:r>
          </w:p>
        </w:tc>
      </w:tr>
      <w:tr w14:paraId="7B95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905" w:type="dxa"/>
          </w:tcPr>
          <w:p w14:paraId="5E9DB9BF">
            <w:pPr>
              <w:spacing w:line="360" w:lineRule="auto"/>
              <w:ind w:left="105" w:leftChars="50"/>
              <w:jc w:val="center"/>
            </w:pPr>
            <w:r>
              <w:t>合计</w:t>
            </w:r>
          </w:p>
        </w:tc>
        <w:tc>
          <w:tcPr>
            <w:tcW w:w="1030" w:type="dxa"/>
          </w:tcPr>
          <w:p w14:paraId="63EBB4BE">
            <w:pPr>
              <w:spacing w:line="360" w:lineRule="auto"/>
              <w:ind w:left="105" w:leftChars="50"/>
            </w:pPr>
          </w:p>
        </w:tc>
        <w:tc>
          <w:tcPr>
            <w:tcW w:w="1217" w:type="dxa"/>
            <w:tcMar>
              <w:top w:w="15" w:type="dxa"/>
              <w:left w:w="15" w:type="dxa"/>
              <w:bottom w:w="0" w:type="dxa"/>
              <w:right w:w="15" w:type="dxa"/>
            </w:tcMar>
          </w:tcPr>
          <w:p w14:paraId="6481CD7D">
            <w:pPr>
              <w:spacing w:line="360" w:lineRule="auto"/>
              <w:ind w:left="105" w:leftChars="50"/>
            </w:pPr>
          </w:p>
        </w:tc>
        <w:tc>
          <w:tcPr>
            <w:tcW w:w="1652" w:type="dxa"/>
            <w:tcMar>
              <w:top w:w="15" w:type="dxa"/>
              <w:left w:w="15" w:type="dxa"/>
              <w:bottom w:w="0" w:type="dxa"/>
              <w:right w:w="15" w:type="dxa"/>
            </w:tcMar>
          </w:tcPr>
          <w:p w14:paraId="62B526E6">
            <w:pPr>
              <w:spacing w:line="360" w:lineRule="auto"/>
              <w:ind w:left="105" w:leftChars="50"/>
            </w:pPr>
          </w:p>
        </w:tc>
        <w:tc>
          <w:tcPr>
            <w:tcW w:w="1258" w:type="dxa"/>
            <w:tcMar>
              <w:top w:w="15" w:type="dxa"/>
              <w:left w:w="15" w:type="dxa"/>
              <w:bottom w:w="0" w:type="dxa"/>
              <w:right w:w="15" w:type="dxa"/>
            </w:tcMar>
          </w:tcPr>
          <w:p w14:paraId="5AA2345F">
            <w:pPr>
              <w:spacing w:line="360" w:lineRule="auto"/>
              <w:jc w:val="right"/>
            </w:pPr>
            <w:r>
              <w:t>32,827,929.51</w:t>
            </w:r>
          </w:p>
        </w:tc>
        <w:tc>
          <w:tcPr>
            <w:tcW w:w="1496" w:type="dxa"/>
            <w:tcMar>
              <w:top w:w="15" w:type="dxa"/>
              <w:left w:w="15" w:type="dxa"/>
              <w:bottom w:w="0" w:type="dxa"/>
              <w:right w:w="15" w:type="dxa"/>
            </w:tcMar>
          </w:tcPr>
          <w:p w14:paraId="1BC01328">
            <w:pPr>
              <w:spacing w:line="360" w:lineRule="auto"/>
              <w:jc w:val="right"/>
            </w:pPr>
            <w:r>
              <w:t>-</w:t>
            </w:r>
          </w:p>
        </w:tc>
        <w:tc>
          <w:tcPr>
            <w:tcW w:w="1501" w:type="dxa"/>
            <w:tcMar>
              <w:top w:w="15" w:type="dxa"/>
              <w:left w:w="15" w:type="dxa"/>
              <w:bottom w:w="0" w:type="dxa"/>
              <w:right w:w="15" w:type="dxa"/>
            </w:tcMar>
            <w:vAlign w:val="center"/>
          </w:tcPr>
          <w:p w14:paraId="32AB9590">
            <w:pPr>
              <w:spacing w:line="360" w:lineRule="auto"/>
              <w:ind w:left="105" w:leftChars="50"/>
              <w:jc w:val="left"/>
              <w:rPr>
                <w:kern w:val="0"/>
              </w:rPr>
            </w:pPr>
            <w:r>
              <w:t>-</w:t>
            </w:r>
          </w:p>
        </w:tc>
      </w:tr>
    </w:tbl>
    <w:p w14:paraId="305D227A">
      <w:pPr>
        <w:tabs>
          <w:tab w:val="left" w:pos="426"/>
        </w:tabs>
        <w:spacing w:line="360" w:lineRule="auto"/>
        <w:ind w:firstLine="420" w:firstLineChars="200"/>
        <w:jc w:val="left"/>
        <w:rPr>
          <w:kern w:val="0"/>
        </w:rPr>
      </w:pPr>
      <w:r>
        <w:rPr>
          <w:kern w:val="0"/>
        </w:rPr>
        <w:t>注：场外除息日为2026年4月17日，场内除息日为2026年4月20日。本基金2025年度的累计可供分配金额为人民币120,616,413.57元，此次分红为2025年度第三次分红，本次分红比例为27.22%。</w:t>
      </w:r>
    </w:p>
    <w:p w14:paraId="00005F64">
      <w:pPr>
        <w:spacing w:line="360" w:lineRule="auto"/>
        <w:outlineLvl w:val="3"/>
        <w:rPr>
          <w:b/>
        </w:rPr>
      </w:pPr>
      <w:r>
        <w:rPr>
          <w:b/>
          <w:kern w:val="0"/>
        </w:rPr>
        <w:t>9.5.13.2</w:t>
      </w:r>
      <w:r>
        <w:rPr>
          <w:b/>
        </w:rPr>
        <w:t xml:space="preserve"> 可供分配金额计算过程</w:t>
      </w:r>
    </w:p>
    <w:p w14:paraId="2958343B">
      <w:pPr>
        <w:spacing w:line="360" w:lineRule="auto"/>
      </w:pPr>
      <w:r>
        <w:t>参见3.3.2.1。</w:t>
      </w:r>
    </w:p>
    <w:p w14:paraId="37D8780E">
      <w:pPr>
        <w:spacing w:line="360" w:lineRule="auto"/>
        <w:outlineLvl w:val="3"/>
        <w:rPr>
          <w:b/>
          <w:kern w:val="0"/>
        </w:rPr>
      </w:pPr>
      <w:bookmarkStart w:id="372" w:name="_Toc96424961"/>
      <w:r>
        <w:rPr>
          <w:b/>
          <w:kern w:val="0"/>
        </w:rPr>
        <w:t>9.5.14 金融工具风险及管理</w:t>
      </w:r>
      <w:bookmarkEnd w:id="372"/>
    </w:p>
    <w:p w14:paraId="06827054">
      <w:pPr>
        <w:spacing w:line="360" w:lineRule="auto"/>
        <w:outlineLvl w:val="3"/>
        <w:rPr>
          <w:b/>
        </w:rPr>
      </w:pPr>
      <w:r>
        <w:rPr>
          <w:b/>
          <w:kern w:val="0"/>
        </w:rPr>
        <w:t>9.5.14.1</w:t>
      </w:r>
      <w:r>
        <w:rPr>
          <w:b/>
        </w:rPr>
        <w:t xml:space="preserve"> 信用风险</w:t>
      </w:r>
    </w:p>
    <w:p w14:paraId="65E87952">
      <w:pPr>
        <w:spacing w:line="360" w:lineRule="auto"/>
        <w:ind w:firstLine="420" w:firstLineChars="200"/>
      </w:pPr>
      <w:r>
        <w:t>本基金在存续期内通过不动产资产支持证券投资于不动产项目，以获取不动产项目收益为目标，主动运营管理不动产项目。本基金的现金流波动与不动产项目的租赁市场情况相关，风险收益高于债券型基金和货币型基金，低于股票型基金。本基金在日常经营活动中面临的风险主要包括信用风险、流动性风险及市场风险。本基金将主要通过投资专项计划穿透取得不动产项目完全所有权，基金管理人主动履行不动产项目运营管理职责，以获取不动产项目运营收入等稳定现金流及不动产资产增值为主要目的。</w:t>
      </w:r>
    </w:p>
    <w:p w14:paraId="75E59370">
      <w:pPr>
        <w:spacing w:line="360" w:lineRule="auto"/>
        <w:ind w:firstLine="420" w:firstLineChars="200"/>
      </w:pPr>
      <w:r>
        <w:t>本集团对信用风险按组合分类进行管理。信用风险主要产生于货币资金，应收款项和其他应收款等。</w:t>
      </w:r>
    </w:p>
    <w:p w14:paraId="40AD2F38">
      <w:pPr>
        <w:spacing w:line="360" w:lineRule="auto"/>
        <w:ind w:firstLine="420" w:firstLineChars="200"/>
      </w:pPr>
      <w:r>
        <w:t>于资产负债表日，本集团金融资产的账面价值已代表其最大信用风险敞口。</w:t>
      </w:r>
    </w:p>
    <w:p w14:paraId="2AB915F7">
      <w:pPr>
        <w:spacing w:line="360" w:lineRule="auto"/>
        <w:ind w:firstLine="420" w:firstLineChars="200"/>
      </w:pPr>
      <w:r>
        <w:t>本集团银行存款主要存放于声誉良好并拥有较高信用评级的大中型上市银行，本集团认为其不存在重大的信用风险，不会产生因对方单位违约而导致的任何重大损失。</w:t>
      </w:r>
    </w:p>
    <w:p w14:paraId="52C71166">
      <w:pPr>
        <w:spacing w:line="360" w:lineRule="auto"/>
        <w:ind w:firstLine="420" w:firstLineChars="200"/>
      </w:pPr>
      <w:r>
        <w:t>此外，对于应收账款和其他应收款，本集团设定相关政策以控制信用风险敞口。本集团基于对客户的财务状况、从第三方获取担保的可能性、信用记录及其他因素诸如目前市场状况等评估客户的信用资质并设置相应信用期。本集团会定期对客户信用记录进行监控，对于信用记录不良的客户，本集团会采用书面催款、缩短信用期或取消信用期等方式，以确保本集团的整体信用风险在可控的范围内。</w:t>
      </w:r>
    </w:p>
    <w:p w14:paraId="551C05AE">
      <w:pPr>
        <w:spacing w:line="360" w:lineRule="auto"/>
        <w:ind w:firstLine="420" w:firstLineChars="200"/>
      </w:pPr>
      <w:r>
        <w:t>于2026年6月30日，本集团无重大的因债务人抵押而持有的担保物或其他信用增级（2025年12月31日：同）</w:t>
      </w:r>
    </w:p>
    <w:p w14:paraId="2F12C2C6">
      <w:pPr>
        <w:spacing w:line="360" w:lineRule="auto"/>
        <w:outlineLvl w:val="3"/>
        <w:rPr>
          <w:b/>
        </w:rPr>
      </w:pPr>
      <w:r>
        <w:rPr>
          <w:b/>
          <w:kern w:val="0"/>
        </w:rPr>
        <w:t>9.5.14.2</w:t>
      </w:r>
      <w:r>
        <w:rPr>
          <w:b/>
        </w:rPr>
        <w:t xml:space="preserve"> 流动性风险</w:t>
      </w:r>
    </w:p>
    <w:p w14:paraId="2119C6E8">
      <w:pPr>
        <w:spacing w:line="360" w:lineRule="auto"/>
        <w:ind w:firstLine="420" w:firstLineChars="200"/>
      </w:pPr>
      <w:r>
        <w:t>本集团内各子公司负责其自身的现金流量预测，持续监控短期和长期的资金需求，以确保维持充裕的现金储备和可供随时变现的有价证券；同时持续监控是否符合借款协议的规定，从主要金融机构获得提供足够备用资金的承诺，以满足短期和长期的资金需求。</w:t>
      </w:r>
    </w:p>
    <w:p w14:paraId="7DC6E23E">
      <w:pPr>
        <w:spacing w:line="360" w:lineRule="auto"/>
        <w:ind w:firstLine="420" w:firstLineChars="200"/>
      </w:pPr>
      <w:r>
        <w:t>于资产负债表日本集团财务报表中列示的现金反映了本集团所持有的流动性储备。本集团除长期借款外（未折现借款本金金额</w:t>
      </w:r>
      <w:r>
        <w:rPr>
          <w:kern w:val="0"/>
        </w:rPr>
        <w:t>292,231,500.00</w:t>
      </w:r>
      <w:r>
        <w:t>元，借款期限为180个月，借款采用浮动利率，合同期内的利率按照全国银行间同业拆借中心公布的5年期以上LPR减60个基本点（BPs）确定，以3个月为浮动周期进行浮动。），其他各项金融负债的到期日均在一年以内（2025年12月31日：未折现借款本金金额293,700,000.00元，借款利率为3.5%并按季度付息，已于2026年1月15日完成借款的提款并置换原并购贷款）。由于折现的影响不重大，因此财务报表中列示的各项金融负债的账面余额基本反映了其于到期日将要支付的未折现合约现金流量。</w:t>
      </w:r>
    </w:p>
    <w:p w14:paraId="51E26D31">
      <w:pPr>
        <w:spacing w:line="360" w:lineRule="auto"/>
        <w:outlineLvl w:val="3"/>
        <w:rPr>
          <w:b/>
        </w:rPr>
      </w:pPr>
      <w:r>
        <w:rPr>
          <w:b/>
          <w:kern w:val="0"/>
        </w:rPr>
        <w:t>9.5.14.3</w:t>
      </w:r>
      <w:r>
        <w:rPr>
          <w:b/>
        </w:rPr>
        <w:t xml:space="preserve"> 市场风险</w:t>
      </w:r>
    </w:p>
    <w:p w14:paraId="2FEA4A2A">
      <w:pPr>
        <w:spacing w:line="360" w:lineRule="auto"/>
        <w:ind w:firstLine="420" w:firstLineChars="200"/>
      </w:pPr>
      <w:r>
        <w:t>（a） 外汇风险</w:t>
      </w:r>
    </w:p>
    <w:p w14:paraId="39AE97E8">
      <w:pPr>
        <w:spacing w:line="360" w:lineRule="auto"/>
        <w:ind w:firstLine="420" w:firstLineChars="200"/>
      </w:pPr>
      <w:r>
        <w:t>本集团的主要经营位于中国境内，主要业务以人民币结算，因此无重大外汇风险。</w:t>
      </w:r>
    </w:p>
    <w:p w14:paraId="103CBF77">
      <w:pPr>
        <w:spacing w:line="360" w:lineRule="auto"/>
        <w:ind w:firstLine="420" w:firstLineChars="200"/>
      </w:pPr>
      <w:r>
        <w:t>（b） 利率风险</w:t>
      </w:r>
    </w:p>
    <w:p w14:paraId="24D61347">
      <w:pPr>
        <w:spacing w:line="360" w:lineRule="auto"/>
        <w:ind w:firstLine="420" w:firstLineChars="200"/>
      </w:pPr>
      <w:r>
        <w:t>本集团的利率风险主要产生于银行存款及交易性金融资产等。银行存款的利率在同期银行同业存款利率的基础上与各存款银行协商确定，银行存款的利息收入随市场利率的变化而波动。承担利率风险的交易性金融资产面临由于市场利率上升而导致公允价值下降的风险。</w:t>
      </w:r>
    </w:p>
    <w:p w14:paraId="68B137E9">
      <w:pPr>
        <w:spacing w:line="360" w:lineRule="auto"/>
        <w:ind w:firstLine="420" w:firstLineChars="200"/>
      </w:pPr>
      <w:r>
        <w:t>本集团财务部门持续监控公司的利率风险，依据最新的市场状况通过调整现行持仓等方式作出决策。</w:t>
      </w:r>
    </w:p>
    <w:p w14:paraId="0CB8580A">
      <w:pPr>
        <w:spacing w:line="360" w:lineRule="auto"/>
        <w:ind w:firstLine="420" w:firstLineChars="200"/>
      </w:pPr>
      <w:r>
        <w:t>于2026 年6月30日，本集团以公允价值计量的生息资产占本集团净资产的比例为2.24%（2025 年 12 月31日：2.71%）。如果其他因素保持不变，因此市场利率的变化对本集</w:t>
      </w:r>
    </w:p>
    <w:p w14:paraId="591A08D6">
      <w:pPr>
        <w:spacing w:line="360" w:lineRule="auto"/>
        <w:ind w:firstLine="420" w:firstLineChars="200"/>
      </w:pPr>
      <w:r>
        <w:t>团无重大影响。</w:t>
      </w:r>
    </w:p>
    <w:p w14:paraId="6BCBBF59">
      <w:pPr>
        <w:spacing w:line="360" w:lineRule="auto"/>
        <w:ind w:firstLine="420" w:firstLineChars="200"/>
      </w:pPr>
      <w:r>
        <w:t>（c） 其他价格风险</w:t>
      </w:r>
    </w:p>
    <w:p w14:paraId="7683D6A0">
      <w:pPr>
        <w:spacing w:line="360" w:lineRule="auto"/>
        <w:ind w:firstLine="420" w:firstLineChars="200"/>
      </w:pPr>
      <w:r>
        <w:t>其他价格风险主要产生于各类权益工具投资，存在权益工具价格变动的风险。于2026年6月30日，本集团未持有权益工具投资，因此无重大其他价格风险（2025年12月31日：同）。</w:t>
      </w:r>
    </w:p>
    <w:p w14:paraId="3ACDB28F">
      <w:pPr>
        <w:spacing w:line="360" w:lineRule="auto"/>
        <w:outlineLvl w:val="3"/>
        <w:rPr>
          <w:b/>
        </w:rPr>
      </w:pPr>
      <w:r>
        <w:rPr>
          <w:b/>
          <w:kern w:val="0"/>
        </w:rPr>
        <w:t>9.5.15</w:t>
      </w:r>
      <w:r>
        <w:rPr>
          <w:b/>
        </w:rPr>
        <w:t xml:space="preserve"> 有助于理解和分析会计报表需要说明的其他事项</w:t>
      </w:r>
    </w:p>
    <w:p w14:paraId="0047EA4D">
      <w:pPr>
        <w:spacing w:line="360" w:lineRule="auto"/>
        <w:ind w:firstLine="420" w:firstLineChars="200"/>
      </w:pPr>
      <w:r>
        <w:t>截至资产负债表日本基金无需要说明的其他重要事项。</w:t>
      </w:r>
    </w:p>
    <w:p w14:paraId="61F430FC">
      <w:pPr>
        <w:spacing w:line="360" w:lineRule="auto"/>
        <w:outlineLvl w:val="3"/>
        <w:rPr>
          <w:b/>
          <w:kern w:val="0"/>
        </w:rPr>
      </w:pPr>
      <w:r>
        <w:rPr>
          <w:b/>
          <w:kern w:val="0"/>
        </w:rPr>
        <w:t>9.5.16 个别财务报表重要项目的说明</w:t>
      </w:r>
    </w:p>
    <w:p w14:paraId="70082968">
      <w:pPr>
        <w:spacing w:line="360" w:lineRule="auto"/>
        <w:outlineLvl w:val="3"/>
        <w:rPr>
          <w:b/>
        </w:rPr>
      </w:pPr>
      <w:r>
        <w:rPr>
          <w:b/>
          <w:kern w:val="0"/>
        </w:rPr>
        <w:t>9.5.16.1</w:t>
      </w:r>
      <w:r>
        <w:rPr>
          <w:b/>
        </w:rPr>
        <w:t xml:space="preserve"> 货币资金</w:t>
      </w:r>
    </w:p>
    <w:p w14:paraId="04297EA9">
      <w:pPr>
        <w:spacing w:line="360" w:lineRule="auto"/>
        <w:outlineLvl w:val="3"/>
        <w:rPr>
          <w:b/>
        </w:rPr>
      </w:pPr>
      <w:r>
        <w:rPr>
          <w:b/>
          <w:kern w:val="0"/>
        </w:rPr>
        <w:t>9.5.16.1.1</w:t>
      </w:r>
      <w:r>
        <w:rPr>
          <w:b/>
        </w:rPr>
        <w:t xml:space="preserve"> 货币资金情况</w:t>
      </w:r>
    </w:p>
    <w:p w14:paraId="46ECC0E2">
      <w:pPr>
        <w:spacing w:line="360" w:lineRule="auto"/>
        <w:jc w:val="right"/>
        <w:outlineLvl w:val="3"/>
      </w:pPr>
      <w:r>
        <w:t>单位：人民币元</w:t>
      </w:r>
    </w:p>
    <w:tbl>
      <w:tblPr>
        <w:tblStyle w:val="4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0"/>
        <w:gridCol w:w="6859"/>
      </w:tblGrid>
      <w:tr w14:paraId="364E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2180" w:type="dxa"/>
            <w:vAlign w:val="center"/>
          </w:tcPr>
          <w:p w14:paraId="03B06D61">
            <w:pPr>
              <w:spacing w:line="360" w:lineRule="auto"/>
              <w:jc w:val="center"/>
            </w:pPr>
            <w:r>
              <w:rPr>
                <w:kern w:val="0"/>
              </w:rPr>
              <w:t>项目</w:t>
            </w:r>
          </w:p>
        </w:tc>
        <w:tc>
          <w:tcPr>
            <w:tcW w:w="6859" w:type="dxa"/>
          </w:tcPr>
          <w:p w14:paraId="14515691">
            <w:pPr>
              <w:spacing w:line="360" w:lineRule="auto"/>
              <w:jc w:val="center"/>
              <w:rPr>
                <w:kern w:val="0"/>
              </w:rPr>
            </w:pPr>
            <w:r>
              <w:rPr>
                <w:kern w:val="0"/>
              </w:rPr>
              <w:t>本期末</w:t>
            </w:r>
          </w:p>
          <w:p w14:paraId="0BB19280">
            <w:pPr>
              <w:spacing w:line="360" w:lineRule="auto"/>
              <w:jc w:val="center"/>
              <w:rPr>
                <w:kern w:val="0"/>
              </w:rPr>
            </w:pPr>
            <w:r>
              <w:t>2026年6月30日</w:t>
            </w:r>
          </w:p>
        </w:tc>
      </w:tr>
      <w:tr w14:paraId="0FF1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tcPr>
          <w:p w14:paraId="699022E4">
            <w:pPr>
              <w:spacing w:line="360" w:lineRule="auto"/>
              <w:rPr>
                <w:kern w:val="0"/>
              </w:rPr>
            </w:pPr>
            <w:r>
              <w:rPr>
                <w:kern w:val="0"/>
              </w:rPr>
              <w:t>库存现金</w:t>
            </w:r>
          </w:p>
        </w:tc>
        <w:tc>
          <w:tcPr>
            <w:tcW w:w="6859" w:type="dxa"/>
            <w:vAlign w:val="center"/>
          </w:tcPr>
          <w:p w14:paraId="2278D0DE">
            <w:pPr>
              <w:spacing w:line="360" w:lineRule="auto"/>
              <w:jc w:val="right"/>
              <w:rPr>
                <w:kern w:val="0"/>
              </w:rPr>
            </w:pPr>
            <w:r>
              <w:rPr>
                <w:kern w:val="0"/>
              </w:rPr>
              <w:t>-</w:t>
            </w:r>
          </w:p>
        </w:tc>
      </w:tr>
      <w:tr w14:paraId="12C3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tcPr>
          <w:p w14:paraId="43C2F9F9">
            <w:pPr>
              <w:spacing w:line="360" w:lineRule="auto"/>
              <w:rPr>
                <w:kern w:val="0"/>
              </w:rPr>
            </w:pPr>
            <w:r>
              <w:rPr>
                <w:kern w:val="0"/>
              </w:rPr>
              <w:t>银行存款</w:t>
            </w:r>
          </w:p>
        </w:tc>
        <w:tc>
          <w:tcPr>
            <w:tcW w:w="6859" w:type="dxa"/>
            <w:vAlign w:val="center"/>
          </w:tcPr>
          <w:p w14:paraId="5B7AD827">
            <w:pPr>
              <w:spacing w:line="360" w:lineRule="auto"/>
              <w:jc w:val="right"/>
              <w:rPr>
                <w:kern w:val="0"/>
              </w:rPr>
            </w:pPr>
            <w:r>
              <w:rPr>
                <w:kern w:val="0"/>
              </w:rPr>
              <w:t>3,280,288.30</w:t>
            </w:r>
          </w:p>
        </w:tc>
      </w:tr>
      <w:tr w14:paraId="547D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tcPr>
          <w:p w14:paraId="63800849">
            <w:pPr>
              <w:spacing w:line="360" w:lineRule="auto"/>
              <w:rPr>
                <w:kern w:val="0"/>
              </w:rPr>
            </w:pPr>
            <w:r>
              <w:rPr>
                <w:kern w:val="0"/>
              </w:rPr>
              <w:t>其他货币资金</w:t>
            </w:r>
          </w:p>
        </w:tc>
        <w:tc>
          <w:tcPr>
            <w:tcW w:w="6859" w:type="dxa"/>
            <w:vAlign w:val="center"/>
          </w:tcPr>
          <w:p w14:paraId="1B458146">
            <w:pPr>
              <w:spacing w:line="360" w:lineRule="auto"/>
              <w:jc w:val="right"/>
              <w:rPr>
                <w:kern w:val="0"/>
              </w:rPr>
            </w:pPr>
            <w:r>
              <w:rPr>
                <w:kern w:val="0"/>
              </w:rPr>
              <w:t>-</w:t>
            </w:r>
          </w:p>
        </w:tc>
      </w:tr>
      <w:tr w14:paraId="7B26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tcPr>
          <w:p w14:paraId="6E914EA6">
            <w:pPr>
              <w:spacing w:line="360" w:lineRule="auto"/>
              <w:jc w:val="center"/>
              <w:rPr>
                <w:kern w:val="0"/>
              </w:rPr>
            </w:pPr>
            <w:r>
              <w:rPr>
                <w:kern w:val="0"/>
              </w:rPr>
              <w:t>小计</w:t>
            </w:r>
          </w:p>
          <w:p w14:paraId="5783365B">
            <w:pPr>
              <w:spacing w:line="360" w:lineRule="auto"/>
              <w:jc w:val="center"/>
              <w:rPr>
                <w:kern w:val="0"/>
              </w:rPr>
            </w:pPr>
          </w:p>
        </w:tc>
        <w:tc>
          <w:tcPr>
            <w:tcW w:w="6859" w:type="dxa"/>
            <w:vAlign w:val="center"/>
          </w:tcPr>
          <w:p w14:paraId="438C5F09">
            <w:pPr>
              <w:spacing w:line="360" w:lineRule="auto"/>
              <w:jc w:val="right"/>
              <w:rPr>
                <w:kern w:val="0"/>
              </w:rPr>
            </w:pPr>
            <w:r>
              <w:rPr>
                <w:kern w:val="0"/>
              </w:rPr>
              <w:t>3,280,288.30</w:t>
            </w:r>
          </w:p>
        </w:tc>
      </w:tr>
      <w:tr w14:paraId="5A07F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14ACBE4C">
            <w:pPr>
              <w:spacing w:line="360" w:lineRule="auto"/>
              <w:rPr>
                <w:kern w:val="0"/>
              </w:rPr>
            </w:pPr>
            <w:r>
              <w:rPr>
                <w:kern w:val="0"/>
              </w:rPr>
              <w:t>减：减值准备</w:t>
            </w:r>
          </w:p>
        </w:tc>
        <w:tc>
          <w:tcPr>
            <w:tcW w:w="6859" w:type="dxa"/>
            <w:vAlign w:val="center"/>
          </w:tcPr>
          <w:p w14:paraId="0FB97D48">
            <w:pPr>
              <w:spacing w:line="360" w:lineRule="auto"/>
              <w:jc w:val="right"/>
              <w:rPr>
                <w:kern w:val="0"/>
              </w:rPr>
            </w:pPr>
            <w:r>
              <w:rPr>
                <w:kern w:val="0"/>
              </w:rPr>
              <w:t>-</w:t>
            </w:r>
          </w:p>
        </w:tc>
      </w:tr>
      <w:tr w14:paraId="451D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80" w:type="dxa"/>
            <w:vAlign w:val="center"/>
          </w:tcPr>
          <w:p w14:paraId="7FAE3DE9">
            <w:pPr>
              <w:spacing w:line="360" w:lineRule="auto"/>
              <w:rPr>
                <w:kern w:val="0"/>
              </w:rPr>
            </w:pPr>
            <w:r>
              <w:rPr>
                <w:kern w:val="0"/>
              </w:rPr>
              <w:t>合计</w:t>
            </w:r>
          </w:p>
        </w:tc>
        <w:tc>
          <w:tcPr>
            <w:tcW w:w="6859" w:type="dxa"/>
            <w:vAlign w:val="center"/>
          </w:tcPr>
          <w:p w14:paraId="7FA3AC81">
            <w:pPr>
              <w:spacing w:line="360" w:lineRule="auto"/>
              <w:jc w:val="right"/>
              <w:rPr>
                <w:kern w:val="0"/>
              </w:rPr>
            </w:pPr>
            <w:r>
              <w:rPr>
                <w:kern w:val="0"/>
              </w:rPr>
              <w:t>3,280,288.30</w:t>
            </w:r>
          </w:p>
        </w:tc>
      </w:tr>
    </w:tbl>
    <w:p w14:paraId="6429DBB3">
      <w:pPr>
        <w:spacing w:line="360" w:lineRule="auto"/>
        <w:outlineLvl w:val="3"/>
        <w:rPr>
          <w:b/>
        </w:rPr>
      </w:pPr>
      <w:r>
        <w:rPr>
          <w:b/>
          <w:kern w:val="0"/>
        </w:rPr>
        <w:t>9.5.16.1.2</w:t>
      </w:r>
      <w:r>
        <w:rPr>
          <w:b/>
        </w:rPr>
        <w:t xml:space="preserve"> 银行存款</w:t>
      </w:r>
    </w:p>
    <w:p w14:paraId="34DE4023">
      <w:pPr>
        <w:autoSpaceDE w:val="0"/>
        <w:autoSpaceDN w:val="0"/>
        <w:adjustRightInd w:val="0"/>
        <w:spacing w:line="360" w:lineRule="auto"/>
        <w:ind w:left="15"/>
        <w:jc w:val="right"/>
        <w:rPr>
          <w:b/>
          <w:kern w:val="0"/>
        </w:rPr>
      </w:pPr>
      <w:r>
        <w:rPr>
          <w:bCs/>
        </w:rPr>
        <w:t>单位：人民币元</w:t>
      </w:r>
    </w:p>
    <w:tbl>
      <w:tblPr>
        <w:tblStyle w:val="40"/>
        <w:tblW w:w="9076"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61"/>
        <w:gridCol w:w="6315"/>
      </w:tblGrid>
      <w:tr w14:paraId="3E695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2761" w:type="dxa"/>
            <w:tcMar>
              <w:top w:w="15" w:type="dxa"/>
              <w:left w:w="15" w:type="dxa"/>
              <w:bottom w:w="0" w:type="dxa"/>
              <w:right w:w="15" w:type="dxa"/>
            </w:tcMar>
            <w:vAlign w:val="center"/>
          </w:tcPr>
          <w:p w14:paraId="4D4F5DF3">
            <w:pPr>
              <w:spacing w:line="360" w:lineRule="auto"/>
              <w:jc w:val="center"/>
            </w:pPr>
            <w:r>
              <w:rPr>
                <w:kern w:val="0"/>
              </w:rPr>
              <w:t>项目</w:t>
            </w:r>
          </w:p>
        </w:tc>
        <w:tc>
          <w:tcPr>
            <w:tcW w:w="6315" w:type="dxa"/>
            <w:tcMar>
              <w:top w:w="15" w:type="dxa"/>
              <w:left w:w="15" w:type="dxa"/>
              <w:bottom w:w="0" w:type="dxa"/>
              <w:right w:w="15" w:type="dxa"/>
            </w:tcMar>
          </w:tcPr>
          <w:p w14:paraId="1DFFCA35">
            <w:pPr>
              <w:spacing w:line="360" w:lineRule="auto"/>
              <w:jc w:val="center"/>
              <w:rPr>
                <w:kern w:val="0"/>
              </w:rPr>
            </w:pPr>
            <w:r>
              <w:rPr>
                <w:kern w:val="0"/>
              </w:rPr>
              <w:t>本期末</w:t>
            </w:r>
          </w:p>
          <w:p w14:paraId="30BC2F24">
            <w:pPr>
              <w:spacing w:line="360" w:lineRule="auto"/>
              <w:jc w:val="center"/>
              <w:rPr>
                <w:kern w:val="0"/>
              </w:rPr>
            </w:pPr>
            <w:r>
              <w:t>2026年6月30日</w:t>
            </w:r>
          </w:p>
        </w:tc>
      </w:tr>
      <w:tr w14:paraId="3A576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vAlign w:val="center"/>
          </w:tcPr>
          <w:p w14:paraId="69B4D353">
            <w:pPr>
              <w:spacing w:line="360" w:lineRule="auto"/>
              <w:rPr>
                <w:kern w:val="0"/>
              </w:rPr>
            </w:pPr>
            <w:r>
              <w:rPr>
                <w:kern w:val="0"/>
              </w:rPr>
              <w:t>活期存款</w:t>
            </w:r>
          </w:p>
        </w:tc>
        <w:tc>
          <w:tcPr>
            <w:tcW w:w="6315" w:type="dxa"/>
            <w:tcMar>
              <w:top w:w="15" w:type="dxa"/>
              <w:left w:w="15" w:type="dxa"/>
              <w:bottom w:w="0" w:type="dxa"/>
              <w:right w:w="15" w:type="dxa"/>
            </w:tcMar>
            <w:vAlign w:val="center"/>
          </w:tcPr>
          <w:p w14:paraId="242F0173">
            <w:pPr>
              <w:spacing w:line="360" w:lineRule="auto"/>
              <w:jc w:val="right"/>
              <w:rPr>
                <w:kern w:val="0"/>
              </w:rPr>
            </w:pPr>
            <w:r>
              <w:rPr>
                <w:kern w:val="0"/>
              </w:rPr>
              <w:t>3,279,969.40</w:t>
            </w:r>
          </w:p>
        </w:tc>
      </w:tr>
      <w:tr w14:paraId="7AB76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vAlign w:val="center"/>
          </w:tcPr>
          <w:p w14:paraId="4622DC99">
            <w:pPr>
              <w:spacing w:line="360" w:lineRule="auto"/>
              <w:rPr>
                <w:kern w:val="0"/>
              </w:rPr>
            </w:pPr>
            <w:r>
              <w:rPr>
                <w:kern w:val="0"/>
              </w:rPr>
              <w:t>定期存款</w:t>
            </w:r>
          </w:p>
        </w:tc>
        <w:tc>
          <w:tcPr>
            <w:tcW w:w="6315" w:type="dxa"/>
            <w:tcMar>
              <w:top w:w="15" w:type="dxa"/>
              <w:left w:w="15" w:type="dxa"/>
              <w:bottom w:w="0" w:type="dxa"/>
              <w:right w:w="15" w:type="dxa"/>
            </w:tcMar>
            <w:vAlign w:val="center"/>
          </w:tcPr>
          <w:p w14:paraId="39A49A12">
            <w:pPr>
              <w:spacing w:line="360" w:lineRule="auto"/>
              <w:jc w:val="right"/>
              <w:rPr>
                <w:kern w:val="0"/>
              </w:rPr>
            </w:pPr>
            <w:r>
              <w:rPr>
                <w:kern w:val="0"/>
              </w:rPr>
              <w:t>-</w:t>
            </w:r>
          </w:p>
        </w:tc>
      </w:tr>
      <w:tr w14:paraId="72280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698FA267">
            <w:pPr>
              <w:spacing w:line="360" w:lineRule="auto"/>
              <w:rPr>
                <w:kern w:val="0"/>
              </w:rPr>
            </w:pPr>
            <w:r>
              <w:rPr>
                <w:kern w:val="0"/>
              </w:rPr>
              <w:t>其中：存款期限1－3个月</w:t>
            </w:r>
          </w:p>
        </w:tc>
        <w:tc>
          <w:tcPr>
            <w:tcW w:w="6315" w:type="dxa"/>
            <w:tcMar>
              <w:top w:w="15" w:type="dxa"/>
              <w:left w:w="15" w:type="dxa"/>
              <w:bottom w:w="0" w:type="dxa"/>
              <w:right w:w="15" w:type="dxa"/>
            </w:tcMar>
            <w:vAlign w:val="bottom"/>
          </w:tcPr>
          <w:p w14:paraId="763F36D9">
            <w:pPr>
              <w:spacing w:line="360" w:lineRule="auto"/>
              <w:jc w:val="right"/>
              <w:rPr>
                <w:kern w:val="0"/>
              </w:rPr>
            </w:pPr>
            <w:r>
              <w:rPr>
                <w:kern w:val="0"/>
              </w:rPr>
              <w:t>-</w:t>
            </w:r>
          </w:p>
        </w:tc>
      </w:tr>
      <w:tr w14:paraId="10347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vAlign w:val="center"/>
          </w:tcPr>
          <w:p w14:paraId="6A489766">
            <w:pPr>
              <w:spacing w:line="360" w:lineRule="auto"/>
              <w:rPr>
                <w:kern w:val="0"/>
              </w:rPr>
            </w:pPr>
            <w:r>
              <w:rPr>
                <w:kern w:val="0"/>
              </w:rPr>
              <w:t>其他存款</w:t>
            </w:r>
          </w:p>
        </w:tc>
        <w:tc>
          <w:tcPr>
            <w:tcW w:w="6315" w:type="dxa"/>
            <w:tcMar>
              <w:top w:w="15" w:type="dxa"/>
              <w:left w:w="15" w:type="dxa"/>
              <w:bottom w:w="0" w:type="dxa"/>
              <w:right w:w="15" w:type="dxa"/>
            </w:tcMar>
            <w:vAlign w:val="center"/>
          </w:tcPr>
          <w:p w14:paraId="5B1A04BC">
            <w:pPr>
              <w:spacing w:line="360" w:lineRule="auto"/>
              <w:jc w:val="right"/>
              <w:rPr>
                <w:kern w:val="0"/>
              </w:rPr>
            </w:pPr>
            <w:r>
              <w:rPr>
                <w:kern w:val="0"/>
              </w:rPr>
              <w:t>-</w:t>
            </w:r>
          </w:p>
        </w:tc>
      </w:tr>
      <w:tr w14:paraId="5807B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47B46898">
            <w:pPr>
              <w:spacing w:line="360" w:lineRule="auto"/>
              <w:rPr>
                <w:kern w:val="0"/>
              </w:rPr>
            </w:pPr>
            <w:r>
              <w:rPr>
                <w:kern w:val="0"/>
              </w:rPr>
              <w:t>应计利息</w:t>
            </w:r>
          </w:p>
        </w:tc>
        <w:tc>
          <w:tcPr>
            <w:tcW w:w="6315" w:type="dxa"/>
            <w:tcMar>
              <w:top w:w="15" w:type="dxa"/>
              <w:left w:w="15" w:type="dxa"/>
              <w:bottom w:w="0" w:type="dxa"/>
              <w:right w:w="15" w:type="dxa"/>
            </w:tcMar>
            <w:vAlign w:val="center"/>
          </w:tcPr>
          <w:p w14:paraId="5728EC8D">
            <w:pPr>
              <w:spacing w:line="360" w:lineRule="auto"/>
              <w:jc w:val="right"/>
              <w:rPr>
                <w:kern w:val="0"/>
              </w:rPr>
            </w:pPr>
            <w:r>
              <w:rPr>
                <w:kern w:val="0"/>
              </w:rPr>
              <w:t>318.90</w:t>
            </w:r>
          </w:p>
        </w:tc>
      </w:tr>
      <w:tr w14:paraId="07D9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3B402FE6">
            <w:pPr>
              <w:spacing w:line="360" w:lineRule="auto"/>
              <w:jc w:val="center"/>
              <w:rPr>
                <w:kern w:val="0"/>
              </w:rPr>
            </w:pPr>
            <w:r>
              <w:rPr>
                <w:kern w:val="0"/>
              </w:rPr>
              <w:t>小计</w:t>
            </w:r>
          </w:p>
        </w:tc>
        <w:tc>
          <w:tcPr>
            <w:tcW w:w="6315" w:type="dxa"/>
            <w:tcMar>
              <w:top w:w="15" w:type="dxa"/>
              <w:left w:w="15" w:type="dxa"/>
              <w:bottom w:w="0" w:type="dxa"/>
              <w:right w:w="15" w:type="dxa"/>
            </w:tcMar>
            <w:vAlign w:val="center"/>
          </w:tcPr>
          <w:p w14:paraId="797E92F7">
            <w:pPr>
              <w:spacing w:line="360" w:lineRule="auto"/>
              <w:jc w:val="right"/>
              <w:rPr>
                <w:kern w:val="0"/>
              </w:rPr>
            </w:pPr>
            <w:r>
              <w:rPr>
                <w:kern w:val="0"/>
              </w:rPr>
              <w:t>3,280,288.30</w:t>
            </w:r>
          </w:p>
        </w:tc>
      </w:tr>
      <w:tr w14:paraId="4C78A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tcPr>
          <w:p w14:paraId="2BCD6906">
            <w:pPr>
              <w:spacing w:line="360" w:lineRule="auto"/>
              <w:rPr>
                <w:kern w:val="0"/>
              </w:rPr>
            </w:pPr>
            <w:r>
              <w:rPr>
                <w:kern w:val="0"/>
              </w:rPr>
              <w:t>减：减值准备</w:t>
            </w:r>
          </w:p>
        </w:tc>
        <w:tc>
          <w:tcPr>
            <w:tcW w:w="6315" w:type="dxa"/>
            <w:tcMar>
              <w:top w:w="15" w:type="dxa"/>
              <w:left w:w="15" w:type="dxa"/>
              <w:bottom w:w="0" w:type="dxa"/>
              <w:right w:w="15" w:type="dxa"/>
            </w:tcMar>
            <w:vAlign w:val="center"/>
          </w:tcPr>
          <w:p w14:paraId="57900E12">
            <w:pPr>
              <w:spacing w:line="360" w:lineRule="auto"/>
              <w:jc w:val="right"/>
              <w:rPr>
                <w:kern w:val="0"/>
              </w:rPr>
            </w:pPr>
            <w:r>
              <w:rPr>
                <w:kern w:val="0"/>
              </w:rPr>
              <w:t>-</w:t>
            </w:r>
          </w:p>
        </w:tc>
      </w:tr>
      <w:tr w14:paraId="243B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61" w:type="dxa"/>
            <w:tcMar>
              <w:top w:w="15" w:type="dxa"/>
              <w:left w:w="15" w:type="dxa"/>
              <w:bottom w:w="0" w:type="dxa"/>
              <w:right w:w="15" w:type="dxa"/>
            </w:tcMar>
            <w:vAlign w:val="center"/>
          </w:tcPr>
          <w:p w14:paraId="4C111F5E">
            <w:pPr>
              <w:spacing w:line="360" w:lineRule="auto"/>
              <w:rPr>
                <w:kern w:val="0"/>
              </w:rPr>
            </w:pPr>
            <w:r>
              <w:rPr>
                <w:kern w:val="0"/>
              </w:rPr>
              <w:t>合计</w:t>
            </w:r>
          </w:p>
        </w:tc>
        <w:tc>
          <w:tcPr>
            <w:tcW w:w="6315" w:type="dxa"/>
            <w:tcMar>
              <w:top w:w="15" w:type="dxa"/>
              <w:left w:w="15" w:type="dxa"/>
              <w:bottom w:w="0" w:type="dxa"/>
              <w:right w:w="15" w:type="dxa"/>
            </w:tcMar>
            <w:vAlign w:val="center"/>
          </w:tcPr>
          <w:p w14:paraId="73B28F98">
            <w:pPr>
              <w:spacing w:line="360" w:lineRule="auto"/>
              <w:jc w:val="right"/>
              <w:rPr>
                <w:kern w:val="0"/>
              </w:rPr>
            </w:pPr>
            <w:r>
              <w:rPr>
                <w:kern w:val="0"/>
              </w:rPr>
              <w:t>3,280,288.30</w:t>
            </w:r>
          </w:p>
        </w:tc>
      </w:tr>
    </w:tbl>
    <w:p w14:paraId="43EF7D6A">
      <w:pPr>
        <w:spacing w:line="360" w:lineRule="auto"/>
        <w:outlineLvl w:val="3"/>
        <w:rPr>
          <w:b/>
        </w:rPr>
      </w:pPr>
      <w:r>
        <w:rPr>
          <w:b/>
          <w:kern w:val="0"/>
        </w:rPr>
        <w:t>9.5.16.2</w:t>
      </w:r>
      <w:r>
        <w:rPr>
          <w:b/>
        </w:rPr>
        <w:t xml:space="preserve"> 长期股权投资</w:t>
      </w:r>
    </w:p>
    <w:p w14:paraId="55AB1B75">
      <w:pPr>
        <w:spacing w:line="360" w:lineRule="auto"/>
        <w:outlineLvl w:val="3"/>
        <w:rPr>
          <w:b/>
        </w:rPr>
      </w:pPr>
      <w:r>
        <w:rPr>
          <w:b/>
          <w:kern w:val="0"/>
        </w:rPr>
        <w:t>9.5.16.2.1</w:t>
      </w:r>
      <w:r>
        <w:rPr>
          <w:b/>
        </w:rPr>
        <w:t xml:space="preserve"> 长期股权投资情况</w:t>
      </w:r>
    </w:p>
    <w:p w14:paraId="20492A14">
      <w:pPr>
        <w:spacing w:line="360" w:lineRule="auto"/>
        <w:ind w:right="-52"/>
        <w:jc w:val="right"/>
      </w:pPr>
      <w:r>
        <w:t>单位：人民币元</w:t>
      </w:r>
    </w:p>
    <w:tbl>
      <w:tblPr>
        <w:tblStyle w:val="40"/>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5"/>
        <w:gridCol w:w="2295"/>
        <w:gridCol w:w="1843"/>
        <w:gridCol w:w="2410"/>
      </w:tblGrid>
      <w:tr w14:paraId="5931F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0" w:hRule="atLeast"/>
        </w:trPr>
        <w:tc>
          <w:tcPr>
            <w:tcW w:w="2525" w:type="dxa"/>
          </w:tcPr>
          <w:p w14:paraId="31DFFB30">
            <w:pPr>
              <w:widowControl/>
              <w:spacing w:line="360" w:lineRule="auto"/>
              <w:jc w:val="center"/>
            </w:pPr>
          </w:p>
        </w:tc>
        <w:tc>
          <w:tcPr>
            <w:tcW w:w="6548" w:type="dxa"/>
            <w:gridSpan w:val="3"/>
            <w:vAlign w:val="center"/>
          </w:tcPr>
          <w:p w14:paraId="18EE1412">
            <w:pPr>
              <w:spacing w:line="360" w:lineRule="auto"/>
              <w:jc w:val="center"/>
              <w:rPr>
                <w:kern w:val="0"/>
              </w:rPr>
            </w:pPr>
            <w:r>
              <w:rPr>
                <w:kern w:val="0"/>
              </w:rPr>
              <w:t>本期末</w:t>
            </w:r>
          </w:p>
          <w:p w14:paraId="746EC96B">
            <w:pPr>
              <w:spacing w:line="360" w:lineRule="auto"/>
              <w:jc w:val="center"/>
            </w:pPr>
            <w:r>
              <w:t>2026年6月30日</w:t>
            </w:r>
          </w:p>
        </w:tc>
      </w:tr>
      <w:tr w14:paraId="5DF2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2525" w:type="dxa"/>
          </w:tcPr>
          <w:p w14:paraId="6C874349">
            <w:pPr>
              <w:widowControl/>
              <w:spacing w:line="360" w:lineRule="auto"/>
              <w:jc w:val="center"/>
            </w:pPr>
          </w:p>
        </w:tc>
        <w:tc>
          <w:tcPr>
            <w:tcW w:w="2295" w:type="dxa"/>
            <w:vAlign w:val="center"/>
          </w:tcPr>
          <w:p w14:paraId="1C2D4A0C">
            <w:pPr>
              <w:widowControl/>
              <w:spacing w:line="360" w:lineRule="auto"/>
              <w:jc w:val="center"/>
              <w:rPr>
                <w:kern w:val="0"/>
              </w:rPr>
            </w:pPr>
            <w:r>
              <w:rPr>
                <w:kern w:val="0"/>
              </w:rPr>
              <w:t>账面余额</w:t>
            </w:r>
          </w:p>
        </w:tc>
        <w:tc>
          <w:tcPr>
            <w:tcW w:w="1843" w:type="dxa"/>
            <w:vAlign w:val="center"/>
          </w:tcPr>
          <w:p w14:paraId="107E7206">
            <w:pPr>
              <w:widowControl/>
              <w:spacing w:line="360" w:lineRule="auto"/>
              <w:jc w:val="center"/>
              <w:rPr>
                <w:kern w:val="0"/>
              </w:rPr>
            </w:pPr>
            <w:r>
              <w:rPr>
                <w:kern w:val="0"/>
              </w:rPr>
              <w:t>减值准备</w:t>
            </w:r>
          </w:p>
        </w:tc>
        <w:tc>
          <w:tcPr>
            <w:tcW w:w="2410" w:type="dxa"/>
            <w:vAlign w:val="center"/>
          </w:tcPr>
          <w:p w14:paraId="3E55001D">
            <w:pPr>
              <w:widowControl/>
              <w:spacing w:line="360" w:lineRule="auto"/>
              <w:jc w:val="center"/>
              <w:rPr>
                <w:kern w:val="0"/>
              </w:rPr>
            </w:pPr>
            <w:r>
              <w:rPr>
                <w:kern w:val="0"/>
              </w:rPr>
              <w:t>账面价值</w:t>
            </w:r>
          </w:p>
        </w:tc>
      </w:tr>
      <w:tr w14:paraId="29CC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2525" w:type="dxa"/>
          </w:tcPr>
          <w:p w14:paraId="2D589782">
            <w:pPr>
              <w:widowControl/>
              <w:spacing w:line="360" w:lineRule="auto"/>
              <w:jc w:val="center"/>
              <w:rPr>
                <w:kern w:val="0"/>
              </w:rPr>
            </w:pPr>
            <w:r>
              <w:rPr>
                <w:kern w:val="0"/>
              </w:rPr>
              <w:t>对子公司投资</w:t>
            </w:r>
          </w:p>
        </w:tc>
        <w:tc>
          <w:tcPr>
            <w:tcW w:w="2295" w:type="dxa"/>
            <w:vAlign w:val="center"/>
          </w:tcPr>
          <w:p w14:paraId="3AB9255A">
            <w:pPr>
              <w:widowControl/>
              <w:spacing w:line="360" w:lineRule="auto"/>
              <w:jc w:val="right"/>
              <w:rPr>
                <w:kern w:val="0"/>
              </w:rPr>
            </w:pPr>
            <w:r>
              <w:t>3,322,634,500.00</w:t>
            </w:r>
          </w:p>
        </w:tc>
        <w:tc>
          <w:tcPr>
            <w:tcW w:w="1843" w:type="dxa"/>
            <w:vAlign w:val="center"/>
          </w:tcPr>
          <w:p w14:paraId="6BDAC057">
            <w:pPr>
              <w:spacing w:line="360" w:lineRule="auto"/>
              <w:jc w:val="right"/>
            </w:pPr>
            <w:r>
              <w:t>189,528,358.93</w:t>
            </w:r>
          </w:p>
        </w:tc>
        <w:tc>
          <w:tcPr>
            <w:tcW w:w="2410" w:type="dxa"/>
            <w:vAlign w:val="center"/>
          </w:tcPr>
          <w:p w14:paraId="221564E8">
            <w:pPr>
              <w:spacing w:line="360" w:lineRule="auto"/>
              <w:jc w:val="right"/>
            </w:pPr>
            <w:r>
              <w:t>3,133,106,141.07</w:t>
            </w:r>
          </w:p>
        </w:tc>
      </w:tr>
      <w:tr w14:paraId="7CD9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2525" w:type="dxa"/>
          </w:tcPr>
          <w:p w14:paraId="1D78DE51">
            <w:pPr>
              <w:widowControl/>
              <w:spacing w:line="360" w:lineRule="auto"/>
              <w:jc w:val="center"/>
              <w:rPr>
                <w:kern w:val="0"/>
              </w:rPr>
            </w:pPr>
            <w:r>
              <w:rPr>
                <w:kern w:val="0"/>
              </w:rPr>
              <w:t>合计</w:t>
            </w:r>
          </w:p>
        </w:tc>
        <w:tc>
          <w:tcPr>
            <w:tcW w:w="2295" w:type="dxa"/>
            <w:vAlign w:val="center"/>
          </w:tcPr>
          <w:p w14:paraId="40F59BEC">
            <w:pPr>
              <w:spacing w:line="360" w:lineRule="auto"/>
              <w:jc w:val="right"/>
            </w:pPr>
            <w:r>
              <w:t>3,322,634,500.00</w:t>
            </w:r>
          </w:p>
        </w:tc>
        <w:tc>
          <w:tcPr>
            <w:tcW w:w="1843" w:type="dxa"/>
            <w:vAlign w:val="center"/>
          </w:tcPr>
          <w:p w14:paraId="296B860D">
            <w:pPr>
              <w:spacing w:line="360" w:lineRule="auto"/>
              <w:jc w:val="right"/>
            </w:pPr>
            <w:r>
              <w:t>189,528,358.93</w:t>
            </w:r>
          </w:p>
        </w:tc>
        <w:tc>
          <w:tcPr>
            <w:tcW w:w="2410" w:type="dxa"/>
            <w:vAlign w:val="center"/>
          </w:tcPr>
          <w:p w14:paraId="69BC6E20">
            <w:pPr>
              <w:spacing w:line="360" w:lineRule="auto"/>
              <w:jc w:val="right"/>
            </w:pPr>
            <w:r>
              <w:t>3,133,106,141.07</w:t>
            </w:r>
          </w:p>
        </w:tc>
      </w:tr>
    </w:tbl>
    <w:p w14:paraId="6A2B4528">
      <w:pPr>
        <w:spacing w:line="360" w:lineRule="auto"/>
        <w:outlineLvl w:val="3"/>
        <w:rPr>
          <w:b/>
        </w:rPr>
      </w:pPr>
      <w:r>
        <w:rPr>
          <w:b/>
          <w:kern w:val="0"/>
        </w:rPr>
        <w:t>9.5.16.2.2</w:t>
      </w:r>
      <w:r>
        <w:rPr>
          <w:b/>
        </w:rPr>
        <w:t xml:space="preserve"> 对子公司投资</w:t>
      </w:r>
    </w:p>
    <w:p w14:paraId="19090CF7">
      <w:pPr>
        <w:spacing w:line="360" w:lineRule="auto"/>
        <w:ind w:right="-52"/>
        <w:jc w:val="right"/>
        <w:rPr>
          <w:b/>
        </w:rPr>
      </w:pPr>
      <w:r>
        <w:t>单位：人民币元</w:t>
      </w:r>
    </w:p>
    <w:tbl>
      <w:tblPr>
        <w:tblStyle w:val="40"/>
        <w:tblW w:w="9073" w:type="dxa"/>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96"/>
        <w:gridCol w:w="1634"/>
        <w:gridCol w:w="958"/>
        <w:gridCol w:w="947"/>
        <w:gridCol w:w="1645"/>
        <w:gridCol w:w="1070"/>
        <w:gridCol w:w="1523"/>
      </w:tblGrid>
      <w:tr w14:paraId="08F31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296" w:type="dxa"/>
            <w:tcMar>
              <w:top w:w="15" w:type="dxa"/>
              <w:left w:w="15" w:type="dxa"/>
              <w:bottom w:w="0" w:type="dxa"/>
              <w:right w:w="15" w:type="dxa"/>
            </w:tcMar>
            <w:vAlign w:val="center"/>
          </w:tcPr>
          <w:p w14:paraId="0B4315C2">
            <w:pPr>
              <w:spacing w:line="360" w:lineRule="auto"/>
              <w:jc w:val="left"/>
            </w:pPr>
            <w:r>
              <w:t>被投资单位</w:t>
            </w:r>
          </w:p>
        </w:tc>
        <w:tc>
          <w:tcPr>
            <w:tcW w:w="1634" w:type="dxa"/>
            <w:tcMar>
              <w:top w:w="15" w:type="dxa"/>
              <w:left w:w="15" w:type="dxa"/>
              <w:bottom w:w="0" w:type="dxa"/>
              <w:right w:w="15" w:type="dxa"/>
            </w:tcMar>
            <w:vAlign w:val="center"/>
          </w:tcPr>
          <w:p w14:paraId="27A66588">
            <w:pPr>
              <w:spacing w:line="360" w:lineRule="auto"/>
              <w:jc w:val="left"/>
              <w:rPr>
                <w:kern w:val="0"/>
              </w:rPr>
            </w:pPr>
            <w:r>
              <w:rPr>
                <w:kern w:val="0"/>
              </w:rPr>
              <w:t>期初余额</w:t>
            </w:r>
          </w:p>
        </w:tc>
        <w:tc>
          <w:tcPr>
            <w:tcW w:w="958" w:type="dxa"/>
            <w:tcMar>
              <w:top w:w="15" w:type="dxa"/>
              <w:left w:w="15" w:type="dxa"/>
              <w:bottom w:w="0" w:type="dxa"/>
              <w:right w:w="15" w:type="dxa"/>
            </w:tcMar>
            <w:vAlign w:val="center"/>
          </w:tcPr>
          <w:p w14:paraId="3591D2C5">
            <w:pPr>
              <w:spacing w:line="360" w:lineRule="auto"/>
              <w:jc w:val="left"/>
              <w:rPr>
                <w:kern w:val="0"/>
              </w:rPr>
            </w:pPr>
            <w:r>
              <w:rPr>
                <w:kern w:val="0"/>
              </w:rPr>
              <w:t>本期增加</w:t>
            </w:r>
          </w:p>
        </w:tc>
        <w:tc>
          <w:tcPr>
            <w:tcW w:w="947" w:type="dxa"/>
            <w:tcMar>
              <w:top w:w="15" w:type="dxa"/>
              <w:left w:w="15" w:type="dxa"/>
              <w:bottom w:w="0" w:type="dxa"/>
              <w:right w:w="15" w:type="dxa"/>
            </w:tcMar>
            <w:vAlign w:val="center"/>
          </w:tcPr>
          <w:p w14:paraId="364FAA88">
            <w:pPr>
              <w:spacing w:line="360" w:lineRule="auto"/>
              <w:jc w:val="left"/>
              <w:rPr>
                <w:kern w:val="0"/>
              </w:rPr>
            </w:pPr>
            <w:r>
              <w:rPr>
                <w:kern w:val="0"/>
              </w:rPr>
              <w:t>本期减少</w:t>
            </w:r>
          </w:p>
        </w:tc>
        <w:tc>
          <w:tcPr>
            <w:tcW w:w="1645" w:type="dxa"/>
            <w:tcMar>
              <w:top w:w="15" w:type="dxa"/>
              <w:left w:w="15" w:type="dxa"/>
              <w:bottom w:w="0" w:type="dxa"/>
              <w:right w:w="15" w:type="dxa"/>
            </w:tcMar>
            <w:vAlign w:val="center"/>
          </w:tcPr>
          <w:p w14:paraId="294DEA84">
            <w:pPr>
              <w:spacing w:line="360" w:lineRule="auto"/>
              <w:jc w:val="left"/>
              <w:rPr>
                <w:kern w:val="0"/>
              </w:rPr>
            </w:pPr>
            <w:r>
              <w:rPr>
                <w:kern w:val="0"/>
              </w:rPr>
              <w:t>期末余额</w:t>
            </w:r>
          </w:p>
        </w:tc>
        <w:tc>
          <w:tcPr>
            <w:tcW w:w="1070" w:type="dxa"/>
            <w:tcMar>
              <w:top w:w="15" w:type="dxa"/>
              <w:left w:w="15" w:type="dxa"/>
              <w:bottom w:w="0" w:type="dxa"/>
              <w:right w:w="15" w:type="dxa"/>
            </w:tcMar>
            <w:vAlign w:val="center"/>
          </w:tcPr>
          <w:p w14:paraId="2D2A8BE4">
            <w:pPr>
              <w:spacing w:line="360" w:lineRule="auto"/>
              <w:jc w:val="left"/>
              <w:rPr>
                <w:kern w:val="0"/>
              </w:rPr>
            </w:pPr>
            <w:r>
              <w:rPr>
                <w:kern w:val="0"/>
              </w:rPr>
              <w:t>本期计提减值准备</w:t>
            </w:r>
          </w:p>
        </w:tc>
        <w:tc>
          <w:tcPr>
            <w:tcW w:w="1523" w:type="dxa"/>
            <w:tcMar>
              <w:top w:w="15" w:type="dxa"/>
              <w:left w:w="15" w:type="dxa"/>
              <w:bottom w:w="0" w:type="dxa"/>
              <w:right w:w="15" w:type="dxa"/>
            </w:tcMar>
            <w:vAlign w:val="center"/>
          </w:tcPr>
          <w:p w14:paraId="54457DAC">
            <w:pPr>
              <w:spacing w:line="360" w:lineRule="auto"/>
              <w:jc w:val="left"/>
              <w:rPr>
                <w:kern w:val="0"/>
              </w:rPr>
            </w:pPr>
            <w:r>
              <w:rPr>
                <w:kern w:val="0"/>
              </w:rPr>
              <w:t>减值准备余额</w:t>
            </w:r>
          </w:p>
        </w:tc>
      </w:tr>
      <w:tr w14:paraId="089C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vAlign w:val="center"/>
          </w:tcPr>
          <w:p w14:paraId="02FF5CAA">
            <w:pPr>
              <w:jc w:val="center"/>
            </w:pPr>
            <w:r>
              <w:t>招蛇ABS 1期</w:t>
            </w:r>
          </w:p>
        </w:tc>
        <w:tc>
          <w:tcPr>
            <w:tcW w:w="1634" w:type="dxa"/>
            <w:vAlign w:val="center"/>
          </w:tcPr>
          <w:p w14:paraId="35836401">
            <w:pPr>
              <w:jc w:val="right"/>
            </w:pPr>
            <w:r>
              <w:t>2,078,800,000.00</w:t>
            </w:r>
          </w:p>
        </w:tc>
        <w:tc>
          <w:tcPr>
            <w:tcW w:w="958" w:type="dxa"/>
            <w:vAlign w:val="center"/>
          </w:tcPr>
          <w:p w14:paraId="2AB43932">
            <w:pPr>
              <w:jc w:val="right"/>
            </w:pPr>
            <w:r>
              <w:t>-</w:t>
            </w:r>
          </w:p>
        </w:tc>
        <w:tc>
          <w:tcPr>
            <w:tcW w:w="947" w:type="dxa"/>
            <w:vAlign w:val="center"/>
          </w:tcPr>
          <w:p w14:paraId="3911E7D5">
            <w:pPr>
              <w:jc w:val="right"/>
            </w:pPr>
            <w:r>
              <w:t>-</w:t>
            </w:r>
          </w:p>
        </w:tc>
        <w:tc>
          <w:tcPr>
            <w:tcW w:w="1645" w:type="dxa"/>
            <w:vAlign w:val="center"/>
          </w:tcPr>
          <w:p w14:paraId="03D8DF7F">
            <w:pPr>
              <w:jc w:val="right"/>
            </w:pPr>
            <w:r>
              <w:t>2,078,800,000.00</w:t>
            </w:r>
          </w:p>
        </w:tc>
        <w:tc>
          <w:tcPr>
            <w:tcW w:w="1070" w:type="dxa"/>
            <w:vAlign w:val="center"/>
          </w:tcPr>
          <w:p w14:paraId="365435F2">
            <w:pPr>
              <w:jc w:val="right"/>
            </w:pPr>
            <w:r>
              <w:t>-</w:t>
            </w:r>
          </w:p>
        </w:tc>
        <w:tc>
          <w:tcPr>
            <w:tcW w:w="1523" w:type="dxa"/>
            <w:vAlign w:val="center"/>
          </w:tcPr>
          <w:p w14:paraId="3D0549FF">
            <w:pPr>
              <w:jc w:val="right"/>
            </w:pPr>
            <w:r>
              <w:t>65,707,638.90</w:t>
            </w:r>
          </w:p>
        </w:tc>
      </w:tr>
      <w:tr w14:paraId="3AD2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vAlign w:val="center"/>
          </w:tcPr>
          <w:p w14:paraId="7AA5AFE9">
            <w:pPr>
              <w:jc w:val="center"/>
            </w:pPr>
            <w:r>
              <w:t>招蛇ABS 2期</w:t>
            </w:r>
          </w:p>
        </w:tc>
        <w:tc>
          <w:tcPr>
            <w:tcW w:w="1634" w:type="dxa"/>
            <w:vAlign w:val="center"/>
          </w:tcPr>
          <w:p w14:paraId="1B04A73D">
            <w:pPr>
              <w:jc w:val="right"/>
            </w:pPr>
            <w:r>
              <w:t>1,243,834,500.00</w:t>
            </w:r>
          </w:p>
        </w:tc>
        <w:tc>
          <w:tcPr>
            <w:tcW w:w="958" w:type="dxa"/>
            <w:vAlign w:val="center"/>
          </w:tcPr>
          <w:p w14:paraId="401C30FC">
            <w:pPr>
              <w:jc w:val="right"/>
            </w:pPr>
            <w:r>
              <w:t>-</w:t>
            </w:r>
          </w:p>
        </w:tc>
        <w:tc>
          <w:tcPr>
            <w:tcW w:w="947" w:type="dxa"/>
            <w:vAlign w:val="center"/>
          </w:tcPr>
          <w:p w14:paraId="2F3B0E3A">
            <w:pPr>
              <w:jc w:val="right"/>
            </w:pPr>
            <w:r>
              <w:t>-</w:t>
            </w:r>
          </w:p>
        </w:tc>
        <w:tc>
          <w:tcPr>
            <w:tcW w:w="1645" w:type="dxa"/>
            <w:vAlign w:val="center"/>
          </w:tcPr>
          <w:p w14:paraId="2D5C3E4A">
            <w:pPr>
              <w:jc w:val="right"/>
            </w:pPr>
            <w:r>
              <w:t>1,243,834,500.00</w:t>
            </w:r>
          </w:p>
        </w:tc>
        <w:tc>
          <w:tcPr>
            <w:tcW w:w="1070" w:type="dxa"/>
            <w:vAlign w:val="center"/>
          </w:tcPr>
          <w:p w14:paraId="363CDC90">
            <w:pPr>
              <w:jc w:val="right"/>
            </w:pPr>
            <w:r>
              <w:t>-</w:t>
            </w:r>
          </w:p>
        </w:tc>
        <w:tc>
          <w:tcPr>
            <w:tcW w:w="1523" w:type="dxa"/>
            <w:vAlign w:val="center"/>
          </w:tcPr>
          <w:p w14:paraId="4C6E864C">
            <w:pPr>
              <w:jc w:val="right"/>
            </w:pPr>
            <w:r>
              <w:t>123,820,720.03</w:t>
            </w:r>
          </w:p>
        </w:tc>
      </w:tr>
      <w:tr w14:paraId="3547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296" w:type="dxa"/>
            <w:tcMar>
              <w:top w:w="15" w:type="dxa"/>
              <w:left w:w="15" w:type="dxa"/>
              <w:bottom w:w="0" w:type="dxa"/>
              <w:right w:w="15" w:type="dxa"/>
            </w:tcMar>
          </w:tcPr>
          <w:p w14:paraId="16F2C797">
            <w:pPr>
              <w:spacing w:line="360" w:lineRule="auto"/>
              <w:jc w:val="left"/>
              <w:rPr>
                <w:kern w:val="0"/>
              </w:rPr>
            </w:pPr>
            <w:r>
              <w:rPr>
                <w:kern w:val="0"/>
              </w:rPr>
              <w:t>合计</w:t>
            </w:r>
          </w:p>
        </w:tc>
        <w:tc>
          <w:tcPr>
            <w:tcW w:w="1634" w:type="dxa"/>
            <w:tcMar>
              <w:top w:w="15" w:type="dxa"/>
              <w:left w:w="15" w:type="dxa"/>
              <w:bottom w:w="0" w:type="dxa"/>
              <w:right w:w="15" w:type="dxa"/>
            </w:tcMar>
          </w:tcPr>
          <w:p w14:paraId="7ADFB595">
            <w:pPr>
              <w:spacing w:line="360" w:lineRule="auto"/>
              <w:jc w:val="right"/>
            </w:pPr>
            <w:r>
              <w:rPr>
                <w:kern w:val="0"/>
              </w:rPr>
              <w:t>3,322,634,500.00</w:t>
            </w:r>
          </w:p>
        </w:tc>
        <w:tc>
          <w:tcPr>
            <w:tcW w:w="958" w:type="dxa"/>
            <w:tcMar>
              <w:top w:w="15" w:type="dxa"/>
              <w:left w:w="15" w:type="dxa"/>
              <w:bottom w:w="0" w:type="dxa"/>
              <w:right w:w="15" w:type="dxa"/>
            </w:tcMar>
          </w:tcPr>
          <w:p w14:paraId="73460B23">
            <w:pPr>
              <w:spacing w:line="360" w:lineRule="auto"/>
              <w:jc w:val="right"/>
            </w:pPr>
            <w:r>
              <w:rPr>
                <w:kern w:val="0"/>
              </w:rPr>
              <w:t>-</w:t>
            </w:r>
          </w:p>
        </w:tc>
        <w:tc>
          <w:tcPr>
            <w:tcW w:w="947" w:type="dxa"/>
            <w:tcMar>
              <w:top w:w="15" w:type="dxa"/>
              <w:left w:w="15" w:type="dxa"/>
              <w:bottom w:w="0" w:type="dxa"/>
              <w:right w:w="15" w:type="dxa"/>
            </w:tcMar>
          </w:tcPr>
          <w:p w14:paraId="61264136">
            <w:pPr>
              <w:spacing w:line="360" w:lineRule="auto"/>
              <w:jc w:val="right"/>
            </w:pPr>
            <w:r>
              <w:rPr>
                <w:kern w:val="0"/>
              </w:rPr>
              <w:t>-</w:t>
            </w:r>
          </w:p>
        </w:tc>
        <w:tc>
          <w:tcPr>
            <w:tcW w:w="1645" w:type="dxa"/>
            <w:tcMar>
              <w:top w:w="15" w:type="dxa"/>
              <w:left w:w="15" w:type="dxa"/>
              <w:bottom w:w="0" w:type="dxa"/>
              <w:right w:w="15" w:type="dxa"/>
            </w:tcMar>
          </w:tcPr>
          <w:p w14:paraId="13A0AC6E">
            <w:pPr>
              <w:spacing w:line="360" w:lineRule="auto"/>
              <w:jc w:val="right"/>
            </w:pPr>
            <w:r>
              <w:rPr>
                <w:kern w:val="0"/>
              </w:rPr>
              <w:t>3,322,634,500.00</w:t>
            </w:r>
          </w:p>
        </w:tc>
        <w:tc>
          <w:tcPr>
            <w:tcW w:w="1070" w:type="dxa"/>
            <w:tcMar>
              <w:top w:w="15" w:type="dxa"/>
              <w:left w:w="15" w:type="dxa"/>
              <w:bottom w:w="0" w:type="dxa"/>
              <w:right w:w="15" w:type="dxa"/>
            </w:tcMar>
          </w:tcPr>
          <w:p w14:paraId="1603BC73">
            <w:pPr>
              <w:spacing w:line="360" w:lineRule="auto"/>
              <w:jc w:val="right"/>
            </w:pPr>
            <w:r>
              <w:rPr>
                <w:kern w:val="0"/>
              </w:rPr>
              <w:t>-</w:t>
            </w:r>
          </w:p>
        </w:tc>
        <w:tc>
          <w:tcPr>
            <w:tcW w:w="1523" w:type="dxa"/>
            <w:tcMar>
              <w:top w:w="15" w:type="dxa"/>
              <w:left w:w="15" w:type="dxa"/>
              <w:bottom w:w="0" w:type="dxa"/>
              <w:right w:w="15" w:type="dxa"/>
            </w:tcMar>
          </w:tcPr>
          <w:p w14:paraId="28613C01">
            <w:pPr>
              <w:spacing w:line="360" w:lineRule="auto"/>
              <w:jc w:val="right"/>
            </w:pPr>
            <w:r>
              <w:rPr>
                <w:kern w:val="0"/>
              </w:rPr>
              <w:t>189,528,358.93</w:t>
            </w:r>
          </w:p>
        </w:tc>
      </w:tr>
    </w:tbl>
    <w:p w14:paraId="671601AB">
      <w:pPr>
        <w:pStyle w:val="2"/>
        <w:spacing w:before="312" w:beforeLines="100" w:after="312" w:afterLines="100" w:line="360" w:lineRule="auto"/>
        <w:jc w:val="center"/>
        <w:rPr>
          <w:kern w:val="0"/>
          <w:sz w:val="21"/>
          <w:szCs w:val="21"/>
        </w:rPr>
      </w:pPr>
      <w:bookmarkStart w:id="373" w:name="_Toc194312037"/>
      <w:bookmarkStart w:id="374" w:name="_Toc193947530"/>
      <w:bookmarkStart w:id="375" w:name="_Toc192991016"/>
      <w:bookmarkStart w:id="376" w:name="_Toc98602717"/>
      <w:bookmarkStart w:id="377" w:name="_Toc98601368"/>
      <w:bookmarkStart w:id="378" w:name="_Toc98508999"/>
      <w:bookmarkStart w:id="379" w:name="_Toc28146"/>
      <w:bookmarkStart w:id="380" w:name="_Toc86080622"/>
      <w:bookmarkStart w:id="381" w:name="_Toc98512418"/>
      <w:bookmarkStart w:id="382" w:name="_Toc98511662"/>
      <w:bookmarkStart w:id="383" w:name="_Toc98603027"/>
      <w:r>
        <w:rPr>
          <w:kern w:val="0"/>
          <w:sz w:val="21"/>
          <w:szCs w:val="21"/>
        </w:rPr>
        <w:t>§10  基金份额持有人</w:t>
      </w:r>
      <w:bookmarkEnd w:id="373"/>
      <w:bookmarkEnd w:id="374"/>
      <w:bookmarkEnd w:id="375"/>
      <w:r>
        <w:rPr>
          <w:kern w:val="0"/>
          <w:sz w:val="21"/>
          <w:szCs w:val="21"/>
        </w:rPr>
        <w:t>信息</w:t>
      </w:r>
      <w:bookmarkEnd w:id="376"/>
      <w:bookmarkEnd w:id="377"/>
      <w:bookmarkEnd w:id="378"/>
      <w:bookmarkEnd w:id="379"/>
      <w:bookmarkEnd w:id="380"/>
      <w:bookmarkEnd w:id="381"/>
      <w:bookmarkEnd w:id="382"/>
      <w:bookmarkEnd w:id="383"/>
    </w:p>
    <w:p w14:paraId="630D7C2F">
      <w:pPr>
        <w:pStyle w:val="3"/>
        <w:rPr>
          <w:rFonts w:ascii="Times New Roman" w:hAnsi="Times New Roman" w:cs="Times New Roman"/>
          <w:kern w:val="0"/>
          <w:sz w:val="21"/>
          <w:szCs w:val="21"/>
        </w:rPr>
      </w:pPr>
      <w:bookmarkStart w:id="384" w:name="_Toc98603028"/>
      <w:bookmarkStart w:id="385" w:name="_Toc86080623"/>
      <w:bookmarkStart w:id="386" w:name="_Toc113524096"/>
      <w:bookmarkStart w:id="387" w:name="_Toc98511663"/>
      <w:bookmarkStart w:id="388" w:name="_Toc98602718"/>
      <w:bookmarkStart w:id="389" w:name="_Toc98512419"/>
      <w:bookmarkStart w:id="390" w:name="_Toc22431"/>
      <w:bookmarkStart w:id="391" w:name="_Toc98509000"/>
      <w:bookmarkStart w:id="392" w:name="_Toc98601369"/>
      <w:bookmarkStart w:id="393" w:name="_Toc64625414"/>
      <w:bookmarkStart w:id="394" w:name="_Toc98602721"/>
      <w:bookmarkStart w:id="395" w:name="_Toc98511666"/>
      <w:bookmarkStart w:id="396" w:name="_Toc98509003"/>
      <w:bookmarkStart w:id="397" w:name="_Toc98603031"/>
      <w:bookmarkStart w:id="398" w:name="_Toc98512422"/>
      <w:bookmarkStart w:id="399" w:name="_Toc361324891"/>
      <w:bookmarkStart w:id="400" w:name="_Toc98601372"/>
      <w:bookmarkStart w:id="401" w:name="_Toc30826"/>
      <w:r>
        <w:rPr>
          <w:rFonts w:ascii="Times New Roman" w:hAnsi="Times New Roman" w:cs="Times New Roman"/>
          <w:kern w:val="0"/>
          <w:sz w:val="21"/>
          <w:szCs w:val="21"/>
        </w:rPr>
        <w:t>10.1  基金份额持有人户数及持有人结构</w:t>
      </w:r>
      <w:bookmarkEnd w:id="384"/>
      <w:bookmarkEnd w:id="385"/>
      <w:bookmarkEnd w:id="386"/>
      <w:bookmarkEnd w:id="387"/>
      <w:bookmarkEnd w:id="388"/>
      <w:bookmarkEnd w:id="389"/>
      <w:bookmarkEnd w:id="390"/>
      <w:bookmarkEnd w:id="391"/>
      <w:bookmarkEnd w:id="392"/>
    </w:p>
    <w:p w14:paraId="052F24C0">
      <w:pPr>
        <w:widowControl/>
        <w:spacing w:line="360" w:lineRule="auto"/>
        <w:jc w:val="right"/>
        <w:rPr>
          <w:kern w:val="0"/>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1358"/>
        <w:gridCol w:w="1686"/>
        <w:gridCol w:w="1190"/>
        <w:gridCol w:w="1530"/>
        <w:gridCol w:w="1520"/>
      </w:tblGrid>
      <w:tr w14:paraId="6CB3C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5000" w:type="pct"/>
            <w:gridSpan w:val="6"/>
            <w:vAlign w:val="center"/>
          </w:tcPr>
          <w:p w14:paraId="7CA17FBC">
            <w:pPr>
              <w:widowControl/>
              <w:spacing w:line="360" w:lineRule="auto"/>
              <w:jc w:val="center"/>
              <w:rPr>
                <w:kern w:val="0"/>
              </w:rPr>
            </w:pPr>
            <w:r>
              <w:rPr>
                <w:kern w:val="0"/>
              </w:rPr>
              <w:t>本期末</w:t>
            </w:r>
          </w:p>
          <w:p w14:paraId="5AAE5305">
            <w:pPr>
              <w:tabs>
                <w:tab w:val="left" w:pos="420"/>
              </w:tabs>
              <w:spacing w:line="360" w:lineRule="auto"/>
              <w:jc w:val="center"/>
              <w:rPr>
                <w:kern w:val="0"/>
              </w:rPr>
            </w:pPr>
            <w:r>
              <w:rPr>
                <w:kern w:val="0"/>
              </w:rPr>
              <w:t>2026年6月30日</w:t>
            </w:r>
          </w:p>
        </w:tc>
      </w:tr>
      <w:tr w14:paraId="10B2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91" w:type="pct"/>
            <w:vMerge w:val="restart"/>
            <w:vAlign w:val="center"/>
          </w:tcPr>
          <w:p w14:paraId="48D5A8FA">
            <w:pPr>
              <w:widowControl/>
              <w:spacing w:line="360" w:lineRule="auto"/>
              <w:jc w:val="center"/>
              <w:rPr>
                <w:kern w:val="0"/>
              </w:rPr>
            </w:pPr>
            <w:r>
              <w:rPr>
                <w:kern w:val="0"/>
              </w:rPr>
              <w:t>持有人户数（户）</w:t>
            </w:r>
          </w:p>
        </w:tc>
        <w:tc>
          <w:tcPr>
            <w:tcW w:w="858" w:type="pct"/>
            <w:vMerge w:val="restart"/>
            <w:vAlign w:val="center"/>
          </w:tcPr>
          <w:p w14:paraId="47C05690">
            <w:pPr>
              <w:widowControl/>
              <w:spacing w:line="360" w:lineRule="auto"/>
              <w:jc w:val="center"/>
              <w:rPr>
                <w:kern w:val="0"/>
              </w:rPr>
            </w:pPr>
            <w:r>
              <w:rPr>
                <w:kern w:val="0"/>
              </w:rPr>
              <w:t>户均持有的</w:t>
            </w:r>
            <w:r>
              <w:rPr>
                <w:rFonts w:hint="eastAsia"/>
                <w:kern w:val="0"/>
              </w:rPr>
              <w:t>不动产</w:t>
            </w:r>
            <w:r>
              <w:rPr>
                <w:kern w:val="0"/>
              </w:rPr>
              <w:t>基金份额（份）</w:t>
            </w:r>
          </w:p>
        </w:tc>
        <w:tc>
          <w:tcPr>
            <w:tcW w:w="3351" w:type="pct"/>
            <w:gridSpan w:val="4"/>
            <w:vAlign w:val="center"/>
          </w:tcPr>
          <w:p w14:paraId="38C5A0B0">
            <w:pPr>
              <w:widowControl/>
              <w:spacing w:line="360" w:lineRule="auto"/>
              <w:jc w:val="center"/>
              <w:rPr>
                <w:kern w:val="0"/>
              </w:rPr>
            </w:pPr>
            <w:r>
              <w:rPr>
                <w:kern w:val="0"/>
              </w:rPr>
              <w:t>持有人结构</w:t>
            </w:r>
          </w:p>
        </w:tc>
      </w:tr>
      <w:tr w14:paraId="47DC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91" w:type="pct"/>
            <w:vMerge w:val="continue"/>
            <w:vAlign w:val="center"/>
          </w:tcPr>
          <w:p w14:paraId="2525393A">
            <w:pPr>
              <w:widowControl/>
              <w:spacing w:line="360" w:lineRule="auto"/>
              <w:jc w:val="center"/>
              <w:rPr>
                <w:kern w:val="0"/>
              </w:rPr>
            </w:pPr>
          </w:p>
        </w:tc>
        <w:tc>
          <w:tcPr>
            <w:tcW w:w="858" w:type="pct"/>
            <w:vMerge w:val="continue"/>
            <w:vAlign w:val="center"/>
          </w:tcPr>
          <w:p w14:paraId="20112157">
            <w:pPr>
              <w:widowControl/>
              <w:spacing w:line="360" w:lineRule="auto"/>
              <w:jc w:val="center"/>
              <w:rPr>
                <w:kern w:val="0"/>
              </w:rPr>
            </w:pPr>
          </w:p>
        </w:tc>
        <w:tc>
          <w:tcPr>
            <w:tcW w:w="1666" w:type="pct"/>
            <w:gridSpan w:val="2"/>
            <w:vAlign w:val="center"/>
          </w:tcPr>
          <w:p w14:paraId="4C38D415">
            <w:pPr>
              <w:tabs>
                <w:tab w:val="left" w:pos="420"/>
              </w:tabs>
              <w:spacing w:line="360" w:lineRule="auto"/>
              <w:jc w:val="center"/>
              <w:rPr>
                <w:kern w:val="0"/>
              </w:rPr>
            </w:pPr>
            <w:r>
              <w:rPr>
                <w:kern w:val="0"/>
              </w:rPr>
              <w:t>机构投资者</w:t>
            </w:r>
          </w:p>
        </w:tc>
        <w:tc>
          <w:tcPr>
            <w:tcW w:w="1684" w:type="pct"/>
            <w:gridSpan w:val="2"/>
            <w:vAlign w:val="center"/>
          </w:tcPr>
          <w:p w14:paraId="3B2CFC6D">
            <w:pPr>
              <w:tabs>
                <w:tab w:val="left" w:pos="420"/>
              </w:tabs>
              <w:spacing w:line="360" w:lineRule="auto"/>
              <w:jc w:val="center"/>
              <w:rPr>
                <w:kern w:val="0"/>
              </w:rPr>
            </w:pPr>
            <w:r>
              <w:rPr>
                <w:kern w:val="0"/>
              </w:rPr>
              <w:t>个人投资者</w:t>
            </w:r>
          </w:p>
        </w:tc>
      </w:tr>
      <w:tr w14:paraId="7B76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91" w:type="pct"/>
            <w:vMerge w:val="continue"/>
            <w:vAlign w:val="center"/>
          </w:tcPr>
          <w:p w14:paraId="7868FC5E">
            <w:pPr>
              <w:widowControl/>
              <w:spacing w:line="360" w:lineRule="auto"/>
              <w:jc w:val="center"/>
              <w:rPr>
                <w:kern w:val="0"/>
              </w:rPr>
            </w:pPr>
          </w:p>
        </w:tc>
        <w:tc>
          <w:tcPr>
            <w:tcW w:w="858" w:type="pct"/>
            <w:vMerge w:val="continue"/>
            <w:vAlign w:val="center"/>
          </w:tcPr>
          <w:p w14:paraId="6EA699E2">
            <w:pPr>
              <w:widowControl/>
              <w:spacing w:line="360" w:lineRule="auto"/>
              <w:jc w:val="center"/>
              <w:rPr>
                <w:kern w:val="0"/>
              </w:rPr>
            </w:pPr>
          </w:p>
        </w:tc>
        <w:tc>
          <w:tcPr>
            <w:tcW w:w="908" w:type="pct"/>
            <w:vAlign w:val="center"/>
          </w:tcPr>
          <w:p w14:paraId="086A5722">
            <w:pPr>
              <w:widowControl/>
              <w:spacing w:line="360" w:lineRule="auto"/>
              <w:jc w:val="center"/>
              <w:rPr>
                <w:kern w:val="0"/>
              </w:rPr>
            </w:pPr>
            <w:r>
              <w:rPr>
                <w:kern w:val="0"/>
              </w:rPr>
              <w:t>持有份额（份）</w:t>
            </w:r>
          </w:p>
        </w:tc>
        <w:tc>
          <w:tcPr>
            <w:tcW w:w="759" w:type="pct"/>
            <w:vAlign w:val="center"/>
          </w:tcPr>
          <w:p w14:paraId="729D79B5">
            <w:pPr>
              <w:widowControl/>
              <w:spacing w:line="360" w:lineRule="auto"/>
              <w:jc w:val="center"/>
              <w:rPr>
                <w:kern w:val="0"/>
              </w:rPr>
            </w:pPr>
            <w:r>
              <w:rPr>
                <w:kern w:val="0"/>
              </w:rPr>
              <w:t>占总份额比例（%）</w:t>
            </w:r>
          </w:p>
        </w:tc>
        <w:tc>
          <w:tcPr>
            <w:tcW w:w="732" w:type="pct"/>
            <w:vAlign w:val="center"/>
          </w:tcPr>
          <w:p w14:paraId="1E53041A">
            <w:pPr>
              <w:widowControl/>
              <w:spacing w:line="360" w:lineRule="auto"/>
              <w:jc w:val="center"/>
              <w:rPr>
                <w:kern w:val="0"/>
              </w:rPr>
            </w:pPr>
            <w:r>
              <w:rPr>
                <w:kern w:val="0"/>
              </w:rPr>
              <w:t>持有份额（份）</w:t>
            </w:r>
          </w:p>
        </w:tc>
        <w:tc>
          <w:tcPr>
            <w:tcW w:w="953" w:type="pct"/>
            <w:vAlign w:val="center"/>
          </w:tcPr>
          <w:p w14:paraId="71D109EC">
            <w:pPr>
              <w:widowControl/>
              <w:spacing w:line="360" w:lineRule="auto"/>
              <w:jc w:val="center"/>
              <w:rPr>
                <w:kern w:val="0"/>
              </w:rPr>
            </w:pPr>
            <w:r>
              <w:rPr>
                <w:kern w:val="0"/>
              </w:rPr>
              <w:t>占总份额比例（%）</w:t>
            </w:r>
          </w:p>
        </w:tc>
      </w:tr>
      <w:tr w14:paraId="6782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91" w:type="pct"/>
            <w:vAlign w:val="center"/>
          </w:tcPr>
          <w:p w14:paraId="0E9562B3">
            <w:pPr>
              <w:widowControl/>
              <w:spacing w:line="360" w:lineRule="auto"/>
              <w:jc w:val="right"/>
              <w:rPr>
                <w:kern w:val="0"/>
              </w:rPr>
            </w:pPr>
            <w:r>
              <w:rPr>
                <w:kern w:val="0"/>
              </w:rPr>
              <w:t>72,959</w:t>
            </w:r>
          </w:p>
        </w:tc>
        <w:tc>
          <w:tcPr>
            <w:tcW w:w="858" w:type="pct"/>
            <w:vAlign w:val="center"/>
          </w:tcPr>
          <w:p w14:paraId="13F813EB">
            <w:pPr>
              <w:widowControl/>
              <w:spacing w:line="360" w:lineRule="auto"/>
              <w:jc w:val="right"/>
              <w:rPr>
                <w:kern w:val="0"/>
              </w:rPr>
            </w:pPr>
            <w:r>
              <w:rPr>
                <w:kern w:val="0"/>
              </w:rPr>
              <w:t>19,478.49</w:t>
            </w:r>
          </w:p>
        </w:tc>
        <w:tc>
          <w:tcPr>
            <w:tcW w:w="908" w:type="pct"/>
            <w:vAlign w:val="center"/>
          </w:tcPr>
          <w:p w14:paraId="2F20DC43">
            <w:pPr>
              <w:widowControl/>
              <w:spacing w:line="360" w:lineRule="auto"/>
              <w:jc w:val="right"/>
              <w:rPr>
                <w:kern w:val="0"/>
              </w:rPr>
            </w:pPr>
            <w:r>
              <w:rPr>
                <w:kern w:val="0"/>
              </w:rPr>
              <w:t>1,325,918,870.00</w:t>
            </w:r>
          </w:p>
        </w:tc>
        <w:tc>
          <w:tcPr>
            <w:tcW w:w="759" w:type="pct"/>
            <w:vAlign w:val="center"/>
          </w:tcPr>
          <w:p w14:paraId="1AAED188">
            <w:pPr>
              <w:widowControl/>
              <w:spacing w:line="360" w:lineRule="auto"/>
              <w:jc w:val="right"/>
              <w:rPr>
                <w:kern w:val="0"/>
              </w:rPr>
            </w:pPr>
            <w:r>
              <w:rPr>
                <w:kern w:val="0"/>
              </w:rPr>
              <w:t>93.30</w:t>
            </w:r>
          </w:p>
        </w:tc>
        <w:tc>
          <w:tcPr>
            <w:tcW w:w="732" w:type="pct"/>
            <w:vAlign w:val="center"/>
          </w:tcPr>
          <w:p w14:paraId="3FA9040E">
            <w:pPr>
              <w:widowControl/>
              <w:spacing w:line="360" w:lineRule="auto"/>
              <w:jc w:val="right"/>
              <w:rPr>
                <w:kern w:val="0"/>
              </w:rPr>
            </w:pPr>
            <w:r>
              <w:rPr>
                <w:kern w:val="0"/>
              </w:rPr>
              <w:t>95,211,996.00</w:t>
            </w:r>
          </w:p>
        </w:tc>
        <w:tc>
          <w:tcPr>
            <w:tcW w:w="953" w:type="pct"/>
            <w:vAlign w:val="center"/>
          </w:tcPr>
          <w:p w14:paraId="520D6906">
            <w:pPr>
              <w:widowControl/>
              <w:spacing w:line="360" w:lineRule="auto"/>
              <w:jc w:val="right"/>
              <w:rPr>
                <w:kern w:val="0"/>
              </w:rPr>
            </w:pPr>
            <w:r>
              <w:rPr>
                <w:kern w:val="0"/>
              </w:rPr>
              <w:t>6.70</w:t>
            </w:r>
          </w:p>
        </w:tc>
      </w:tr>
      <w:tr w14:paraId="4766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6"/>
            <w:vAlign w:val="center"/>
          </w:tcPr>
          <w:p w14:paraId="22DDEAE6">
            <w:pPr>
              <w:widowControl/>
              <w:spacing w:line="360" w:lineRule="auto"/>
              <w:jc w:val="center"/>
              <w:rPr>
                <w:kern w:val="0"/>
              </w:rPr>
            </w:pPr>
            <w:r>
              <w:rPr>
                <w:kern w:val="0"/>
              </w:rPr>
              <w:t>上年度末</w:t>
            </w:r>
          </w:p>
          <w:p w14:paraId="36892BE8">
            <w:pPr>
              <w:spacing w:line="360" w:lineRule="auto"/>
              <w:jc w:val="center"/>
              <w:rPr>
                <w:kern w:val="0"/>
              </w:rPr>
            </w:pPr>
            <w:r>
              <w:rPr>
                <w:kern w:val="0"/>
              </w:rPr>
              <w:t>2025年12月31日</w:t>
            </w:r>
          </w:p>
        </w:tc>
      </w:tr>
      <w:tr w14:paraId="7CDE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91" w:type="pct"/>
            <w:vMerge w:val="restart"/>
            <w:vAlign w:val="center"/>
          </w:tcPr>
          <w:p w14:paraId="389F9BCC">
            <w:pPr>
              <w:widowControl/>
              <w:spacing w:line="360" w:lineRule="auto"/>
              <w:jc w:val="center"/>
              <w:rPr>
                <w:kern w:val="0"/>
              </w:rPr>
            </w:pPr>
            <w:r>
              <w:rPr>
                <w:kern w:val="0"/>
              </w:rPr>
              <w:t>持有人户数（户）</w:t>
            </w:r>
          </w:p>
        </w:tc>
        <w:tc>
          <w:tcPr>
            <w:tcW w:w="858" w:type="pct"/>
            <w:vMerge w:val="restart"/>
            <w:vAlign w:val="center"/>
          </w:tcPr>
          <w:p w14:paraId="5E28A9B7">
            <w:pPr>
              <w:widowControl/>
              <w:spacing w:line="360" w:lineRule="auto"/>
              <w:jc w:val="center"/>
              <w:rPr>
                <w:kern w:val="0"/>
              </w:rPr>
            </w:pPr>
            <w:r>
              <w:rPr>
                <w:kern w:val="0"/>
              </w:rPr>
              <w:t>户均持有的</w:t>
            </w:r>
            <w:r>
              <w:rPr>
                <w:rFonts w:hint="eastAsia"/>
                <w:kern w:val="0"/>
              </w:rPr>
              <w:t>不动产</w:t>
            </w:r>
            <w:r>
              <w:rPr>
                <w:kern w:val="0"/>
              </w:rPr>
              <w:t>基金份额（份）</w:t>
            </w:r>
          </w:p>
        </w:tc>
        <w:tc>
          <w:tcPr>
            <w:tcW w:w="3351" w:type="pct"/>
            <w:gridSpan w:val="4"/>
            <w:vAlign w:val="center"/>
          </w:tcPr>
          <w:p w14:paraId="5903ABB1">
            <w:pPr>
              <w:widowControl/>
              <w:spacing w:line="360" w:lineRule="auto"/>
              <w:jc w:val="center"/>
              <w:rPr>
                <w:kern w:val="0"/>
              </w:rPr>
            </w:pPr>
            <w:r>
              <w:rPr>
                <w:kern w:val="0"/>
              </w:rPr>
              <w:t>持有人结构</w:t>
            </w:r>
          </w:p>
        </w:tc>
      </w:tr>
      <w:tr w14:paraId="23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91" w:type="pct"/>
            <w:vMerge w:val="continue"/>
            <w:vAlign w:val="center"/>
          </w:tcPr>
          <w:p w14:paraId="02BFABB7">
            <w:pPr>
              <w:widowControl/>
              <w:spacing w:line="360" w:lineRule="auto"/>
              <w:jc w:val="center"/>
              <w:rPr>
                <w:kern w:val="0"/>
              </w:rPr>
            </w:pPr>
          </w:p>
        </w:tc>
        <w:tc>
          <w:tcPr>
            <w:tcW w:w="858" w:type="pct"/>
            <w:vMerge w:val="continue"/>
            <w:vAlign w:val="center"/>
          </w:tcPr>
          <w:p w14:paraId="0E2B355E">
            <w:pPr>
              <w:widowControl/>
              <w:spacing w:line="360" w:lineRule="auto"/>
              <w:jc w:val="center"/>
              <w:rPr>
                <w:kern w:val="0"/>
              </w:rPr>
            </w:pPr>
          </w:p>
        </w:tc>
        <w:tc>
          <w:tcPr>
            <w:tcW w:w="1666" w:type="pct"/>
            <w:gridSpan w:val="2"/>
            <w:vAlign w:val="center"/>
          </w:tcPr>
          <w:p w14:paraId="2AAB1F3C">
            <w:pPr>
              <w:tabs>
                <w:tab w:val="left" w:pos="420"/>
              </w:tabs>
              <w:spacing w:line="360" w:lineRule="auto"/>
              <w:jc w:val="center"/>
              <w:rPr>
                <w:kern w:val="0"/>
              </w:rPr>
            </w:pPr>
            <w:r>
              <w:rPr>
                <w:kern w:val="0"/>
              </w:rPr>
              <w:t>机构投资者</w:t>
            </w:r>
          </w:p>
        </w:tc>
        <w:tc>
          <w:tcPr>
            <w:tcW w:w="1684" w:type="pct"/>
            <w:gridSpan w:val="2"/>
            <w:vAlign w:val="center"/>
          </w:tcPr>
          <w:p w14:paraId="01DA013D">
            <w:pPr>
              <w:tabs>
                <w:tab w:val="left" w:pos="420"/>
              </w:tabs>
              <w:spacing w:line="360" w:lineRule="auto"/>
              <w:jc w:val="center"/>
              <w:rPr>
                <w:kern w:val="0"/>
              </w:rPr>
            </w:pPr>
            <w:r>
              <w:rPr>
                <w:kern w:val="0"/>
              </w:rPr>
              <w:t>个人投资者</w:t>
            </w:r>
          </w:p>
        </w:tc>
      </w:tr>
      <w:tr w14:paraId="31444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91" w:type="pct"/>
            <w:vMerge w:val="continue"/>
            <w:vAlign w:val="center"/>
          </w:tcPr>
          <w:p w14:paraId="571C94EC">
            <w:pPr>
              <w:widowControl/>
              <w:spacing w:line="360" w:lineRule="auto"/>
              <w:jc w:val="center"/>
              <w:rPr>
                <w:kern w:val="0"/>
              </w:rPr>
            </w:pPr>
          </w:p>
        </w:tc>
        <w:tc>
          <w:tcPr>
            <w:tcW w:w="858" w:type="pct"/>
            <w:vMerge w:val="continue"/>
            <w:vAlign w:val="center"/>
          </w:tcPr>
          <w:p w14:paraId="7E89FB0C">
            <w:pPr>
              <w:widowControl/>
              <w:spacing w:line="360" w:lineRule="auto"/>
              <w:jc w:val="center"/>
              <w:rPr>
                <w:kern w:val="0"/>
              </w:rPr>
            </w:pPr>
          </w:p>
        </w:tc>
        <w:tc>
          <w:tcPr>
            <w:tcW w:w="908" w:type="pct"/>
            <w:vAlign w:val="center"/>
          </w:tcPr>
          <w:p w14:paraId="0E70E8FC">
            <w:pPr>
              <w:widowControl/>
              <w:spacing w:line="360" w:lineRule="auto"/>
              <w:jc w:val="center"/>
              <w:rPr>
                <w:kern w:val="0"/>
              </w:rPr>
            </w:pPr>
            <w:r>
              <w:rPr>
                <w:kern w:val="0"/>
              </w:rPr>
              <w:t>持有份额（份）</w:t>
            </w:r>
          </w:p>
        </w:tc>
        <w:tc>
          <w:tcPr>
            <w:tcW w:w="759" w:type="pct"/>
            <w:vAlign w:val="center"/>
          </w:tcPr>
          <w:p w14:paraId="1CA6B522">
            <w:pPr>
              <w:widowControl/>
              <w:spacing w:line="360" w:lineRule="auto"/>
              <w:jc w:val="center"/>
              <w:rPr>
                <w:kern w:val="0"/>
              </w:rPr>
            </w:pPr>
            <w:r>
              <w:rPr>
                <w:kern w:val="0"/>
              </w:rPr>
              <w:t>占总份额比例（%）</w:t>
            </w:r>
          </w:p>
        </w:tc>
        <w:tc>
          <w:tcPr>
            <w:tcW w:w="732" w:type="pct"/>
            <w:vAlign w:val="center"/>
          </w:tcPr>
          <w:p w14:paraId="427FABEC">
            <w:pPr>
              <w:widowControl/>
              <w:spacing w:line="360" w:lineRule="auto"/>
              <w:jc w:val="center"/>
              <w:rPr>
                <w:kern w:val="0"/>
              </w:rPr>
            </w:pPr>
            <w:r>
              <w:rPr>
                <w:kern w:val="0"/>
              </w:rPr>
              <w:t>持有份额（份）</w:t>
            </w:r>
          </w:p>
        </w:tc>
        <w:tc>
          <w:tcPr>
            <w:tcW w:w="953" w:type="pct"/>
            <w:vAlign w:val="center"/>
          </w:tcPr>
          <w:p w14:paraId="36F35D05">
            <w:pPr>
              <w:widowControl/>
              <w:spacing w:line="360" w:lineRule="auto"/>
              <w:jc w:val="center"/>
              <w:rPr>
                <w:kern w:val="0"/>
              </w:rPr>
            </w:pPr>
            <w:r>
              <w:rPr>
                <w:kern w:val="0"/>
              </w:rPr>
              <w:t>占总份额比例（%）</w:t>
            </w:r>
          </w:p>
        </w:tc>
      </w:tr>
      <w:tr w14:paraId="66E2E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91" w:type="pct"/>
            <w:vAlign w:val="center"/>
          </w:tcPr>
          <w:p w14:paraId="24229FE4">
            <w:pPr>
              <w:widowControl/>
              <w:spacing w:line="360" w:lineRule="auto"/>
              <w:jc w:val="right"/>
              <w:rPr>
                <w:kern w:val="0"/>
              </w:rPr>
            </w:pPr>
            <w:r>
              <w:rPr>
                <w:kern w:val="0"/>
              </w:rPr>
              <w:t>78,888</w:t>
            </w:r>
          </w:p>
        </w:tc>
        <w:tc>
          <w:tcPr>
            <w:tcW w:w="858" w:type="pct"/>
            <w:vAlign w:val="center"/>
          </w:tcPr>
          <w:p w14:paraId="5F5CB5E8">
            <w:pPr>
              <w:widowControl/>
              <w:spacing w:line="360" w:lineRule="auto"/>
              <w:jc w:val="right"/>
              <w:rPr>
                <w:kern w:val="0"/>
              </w:rPr>
            </w:pPr>
            <w:r>
              <w:rPr>
                <w:kern w:val="0"/>
              </w:rPr>
              <w:t>18,014.54</w:t>
            </w:r>
          </w:p>
        </w:tc>
        <w:tc>
          <w:tcPr>
            <w:tcW w:w="908" w:type="pct"/>
            <w:vAlign w:val="center"/>
          </w:tcPr>
          <w:p w14:paraId="02BB7B72">
            <w:pPr>
              <w:widowControl/>
              <w:spacing w:line="360" w:lineRule="auto"/>
              <w:jc w:val="right"/>
              <w:rPr>
                <w:kern w:val="0"/>
              </w:rPr>
            </w:pPr>
            <w:r>
              <w:rPr>
                <w:kern w:val="0"/>
              </w:rPr>
              <w:t>1,320,823,290.00</w:t>
            </w:r>
          </w:p>
        </w:tc>
        <w:tc>
          <w:tcPr>
            <w:tcW w:w="759" w:type="pct"/>
            <w:vAlign w:val="center"/>
          </w:tcPr>
          <w:p w14:paraId="6D7B890C">
            <w:pPr>
              <w:widowControl/>
              <w:spacing w:line="360" w:lineRule="auto"/>
              <w:jc w:val="right"/>
              <w:rPr>
                <w:kern w:val="0"/>
              </w:rPr>
            </w:pPr>
            <w:r>
              <w:rPr>
                <w:kern w:val="0"/>
              </w:rPr>
              <w:t>92.94</w:t>
            </w:r>
          </w:p>
        </w:tc>
        <w:tc>
          <w:tcPr>
            <w:tcW w:w="732" w:type="pct"/>
            <w:vAlign w:val="center"/>
          </w:tcPr>
          <w:p w14:paraId="374579E3">
            <w:pPr>
              <w:widowControl/>
              <w:spacing w:line="360" w:lineRule="auto"/>
              <w:jc w:val="right"/>
              <w:rPr>
                <w:kern w:val="0"/>
              </w:rPr>
            </w:pPr>
            <w:r>
              <w:rPr>
                <w:kern w:val="0"/>
              </w:rPr>
              <w:t>100,307,576.00</w:t>
            </w:r>
          </w:p>
        </w:tc>
        <w:tc>
          <w:tcPr>
            <w:tcW w:w="953" w:type="pct"/>
            <w:vAlign w:val="center"/>
          </w:tcPr>
          <w:p w14:paraId="7F61D2DA">
            <w:pPr>
              <w:widowControl/>
              <w:spacing w:line="360" w:lineRule="auto"/>
              <w:jc w:val="right"/>
              <w:rPr>
                <w:kern w:val="0"/>
              </w:rPr>
            </w:pPr>
            <w:r>
              <w:rPr>
                <w:kern w:val="0"/>
              </w:rPr>
              <w:t>7.06</w:t>
            </w:r>
          </w:p>
        </w:tc>
      </w:tr>
    </w:tbl>
    <w:p w14:paraId="7DAB6AE7">
      <w:pPr>
        <w:pStyle w:val="3"/>
        <w:rPr>
          <w:rFonts w:ascii="Times New Roman" w:hAnsi="Times New Roman" w:cs="Times New Roman"/>
          <w:kern w:val="0"/>
          <w:sz w:val="21"/>
          <w:szCs w:val="21"/>
        </w:rPr>
      </w:pPr>
      <w:bookmarkStart w:id="402" w:name="_Toc6935"/>
      <w:bookmarkStart w:id="403" w:name="_Toc98511664"/>
      <w:bookmarkStart w:id="404" w:name="_Toc86080624"/>
      <w:bookmarkStart w:id="405" w:name="_Toc98601370"/>
      <w:bookmarkStart w:id="406" w:name="_Toc98602719"/>
      <w:bookmarkStart w:id="407" w:name="_Toc98512420"/>
      <w:bookmarkStart w:id="408" w:name="_Toc98603029"/>
      <w:bookmarkStart w:id="409" w:name="_Toc98509001"/>
      <w:bookmarkStart w:id="410" w:name="_Toc113524097"/>
      <w:r>
        <w:rPr>
          <w:rFonts w:ascii="Times New Roman" w:hAnsi="Times New Roman" w:cs="Times New Roman"/>
          <w:kern w:val="0"/>
          <w:sz w:val="21"/>
          <w:szCs w:val="21"/>
        </w:rPr>
        <w:t xml:space="preserve">10.2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基金前十名流通份额持有人</w:t>
      </w:r>
      <w:bookmarkEnd w:id="402"/>
      <w:bookmarkEnd w:id="403"/>
      <w:bookmarkEnd w:id="404"/>
      <w:bookmarkEnd w:id="405"/>
      <w:bookmarkEnd w:id="406"/>
      <w:bookmarkEnd w:id="407"/>
      <w:bookmarkEnd w:id="408"/>
      <w:bookmarkEnd w:id="409"/>
      <w:bookmarkEnd w:id="410"/>
    </w:p>
    <w:p w14:paraId="5025475A">
      <w:pPr>
        <w:widowControl/>
        <w:spacing w:line="360" w:lineRule="auto"/>
        <w:jc w:val="right"/>
        <w:rPr>
          <w:kern w:val="0"/>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515"/>
        <w:gridCol w:w="1951"/>
        <w:gridCol w:w="2050"/>
      </w:tblGrid>
      <w:tr w14:paraId="77D0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4"/>
          </w:tcPr>
          <w:p w14:paraId="412F2787">
            <w:pPr>
              <w:widowControl/>
              <w:spacing w:line="360" w:lineRule="auto"/>
              <w:jc w:val="center"/>
              <w:rPr>
                <w:kern w:val="0"/>
              </w:rPr>
            </w:pPr>
            <w:r>
              <w:rPr>
                <w:kern w:val="0"/>
              </w:rPr>
              <w:t>本期末</w:t>
            </w:r>
          </w:p>
          <w:p w14:paraId="490C4C18">
            <w:pPr>
              <w:spacing w:line="360" w:lineRule="auto"/>
              <w:jc w:val="center"/>
              <w:rPr>
                <w:kern w:val="0"/>
              </w:rPr>
            </w:pPr>
            <w:r>
              <w:rPr>
                <w:kern w:val="0"/>
              </w:rPr>
              <w:t>2026年6月30日</w:t>
            </w:r>
          </w:p>
        </w:tc>
      </w:tr>
      <w:tr w14:paraId="688D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060FFB80">
            <w:pPr>
              <w:widowControl/>
              <w:spacing w:line="360" w:lineRule="auto"/>
              <w:jc w:val="center"/>
              <w:rPr>
                <w:kern w:val="0"/>
              </w:rPr>
            </w:pPr>
            <w:r>
              <w:rPr>
                <w:kern w:val="0"/>
              </w:rPr>
              <w:t>序号</w:t>
            </w:r>
          </w:p>
        </w:tc>
        <w:tc>
          <w:tcPr>
            <w:tcW w:w="2061" w:type="pct"/>
            <w:vAlign w:val="center"/>
          </w:tcPr>
          <w:p w14:paraId="2E301C11">
            <w:pPr>
              <w:widowControl/>
              <w:spacing w:line="360" w:lineRule="auto"/>
              <w:jc w:val="center"/>
              <w:rPr>
                <w:kern w:val="0"/>
              </w:rPr>
            </w:pPr>
            <w:r>
              <w:rPr>
                <w:kern w:val="0"/>
              </w:rPr>
              <w:t>持有人名称</w:t>
            </w:r>
          </w:p>
        </w:tc>
        <w:tc>
          <w:tcPr>
            <w:tcW w:w="1144" w:type="pct"/>
            <w:vAlign w:val="center"/>
          </w:tcPr>
          <w:p w14:paraId="06B1855B">
            <w:pPr>
              <w:widowControl/>
              <w:spacing w:line="360" w:lineRule="auto"/>
              <w:jc w:val="center"/>
              <w:rPr>
                <w:kern w:val="0"/>
              </w:rPr>
            </w:pPr>
            <w:r>
              <w:rPr>
                <w:kern w:val="0"/>
              </w:rPr>
              <w:t>持有份额（份）</w:t>
            </w:r>
          </w:p>
        </w:tc>
        <w:tc>
          <w:tcPr>
            <w:tcW w:w="1202" w:type="pct"/>
            <w:vAlign w:val="center"/>
          </w:tcPr>
          <w:p w14:paraId="6355AAFB">
            <w:pPr>
              <w:widowControl/>
              <w:spacing w:line="360" w:lineRule="auto"/>
              <w:jc w:val="center"/>
              <w:rPr>
                <w:kern w:val="0"/>
              </w:rPr>
            </w:pPr>
            <w:r>
              <w:rPr>
                <w:kern w:val="0"/>
              </w:rPr>
              <w:t>占总份额比例（%）</w:t>
            </w:r>
          </w:p>
        </w:tc>
      </w:tr>
      <w:tr w14:paraId="6F2A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986DF0E">
            <w:pPr>
              <w:jc w:val="center"/>
            </w:pPr>
            <w:r>
              <w:rPr>
                <w:kern w:val="0"/>
              </w:rPr>
              <w:t>1</w:t>
            </w:r>
          </w:p>
        </w:tc>
        <w:tc>
          <w:tcPr>
            <w:vAlign w:val="center"/>
          </w:tcPr>
          <w:p w14:paraId="2B0AE91B">
            <w:pPr>
              <w:jc w:val="left"/>
            </w:pPr>
            <w:r>
              <w:rPr>
                <w:kern w:val="0"/>
              </w:rPr>
              <w:t>招商局蛇口工业区控股股份有限公司</w:t>
            </w:r>
          </w:p>
        </w:tc>
        <w:tc>
          <w:tcPr>
            <w:vAlign w:val="center"/>
          </w:tcPr>
          <w:p w14:paraId="4FA9D884">
            <w:pPr>
              <w:jc w:val="right"/>
            </w:pPr>
            <w:r>
              <w:rPr>
                <w:kern w:val="0"/>
              </w:rPr>
              <w:t>288,000,000.00</w:t>
            </w:r>
          </w:p>
        </w:tc>
        <w:tc>
          <w:tcPr>
            <w:vAlign w:val="center"/>
          </w:tcPr>
          <w:p w14:paraId="0B8CE0FF">
            <w:pPr>
              <w:jc w:val="right"/>
            </w:pPr>
            <w:r>
              <w:rPr>
                <w:kern w:val="0"/>
              </w:rPr>
              <w:t>20.27</w:t>
            </w:r>
          </w:p>
        </w:tc>
      </w:tr>
      <w:tr w14:paraId="7985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40BF0E5">
            <w:pPr>
              <w:jc w:val="center"/>
            </w:pPr>
            <w:r>
              <w:rPr>
                <w:kern w:val="0"/>
              </w:rPr>
              <w:t>2</w:t>
            </w:r>
          </w:p>
        </w:tc>
        <w:tc>
          <w:tcPr>
            <w:vAlign w:val="center"/>
          </w:tcPr>
          <w:p w14:paraId="338CFDD6">
            <w:pPr>
              <w:jc w:val="left"/>
            </w:pPr>
            <w:r>
              <w:rPr>
                <w:kern w:val="0"/>
              </w:rPr>
              <w:t>北京首钢基金有限公司－北京首钢基金有限公司</w:t>
            </w:r>
          </w:p>
        </w:tc>
        <w:tc>
          <w:tcPr>
            <w:vAlign w:val="center"/>
          </w:tcPr>
          <w:p w14:paraId="6752A9D0">
            <w:pPr>
              <w:jc w:val="right"/>
            </w:pPr>
            <w:r>
              <w:rPr>
                <w:kern w:val="0"/>
              </w:rPr>
              <w:t>90,000,000.00</w:t>
            </w:r>
          </w:p>
        </w:tc>
        <w:tc>
          <w:tcPr>
            <w:vAlign w:val="center"/>
          </w:tcPr>
          <w:p w14:paraId="3766A720">
            <w:pPr>
              <w:jc w:val="right"/>
            </w:pPr>
            <w:r>
              <w:rPr>
                <w:kern w:val="0"/>
              </w:rPr>
              <w:t>6.33</w:t>
            </w:r>
          </w:p>
        </w:tc>
      </w:tr>
      <w:tr w14:paraId="2E3E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B23569E">
            <w:pPr>
              <w:jc w:val="center"/>
            </w:pPr>
            <w:r>
              <w:rPr>
                <w:kern w:val="0"/>
              </w:rPr>
              <w:t>3</w:t>
            </w:r>
          </w:p>
        </w:tc>
        <w:tc>
          <w:tcPr>
            <w:vAlign w:val="center"/>
          </w:tcPr>
          <w:p w14:paraId="3519CC65">
            <w:pPr>
              <w:jc w:val="left"/>
            </w:pPr>
            <w:r>
              <w:rPr>
                <w:kern w:val="0"/>
              </w:rPr>
              <w:t>东方证券股份有限公司</w:t>
            </w:r>
          </w:p>
        </w:tc>
        <w:tc>
          <w:tcPr>
            <w:vAlign w:val="center"/>
          </w:tcPr>
          <w:p w14:paraId="6CDC40E3">
            <w:pPr>
              <w:jc w:val="right"/>
            </w:pPr>
            <w:r>
              <w:rPr>
                <w:kern w:val="0"/>
              </w:rPr>
              <w:t>63,025,488.00</w:t>
            </w:r>
          </w:p>
        </w:tc>
        <w:tc>
          <w:tcPr>
            <w:vAlign w:val="center"/>
          </w:tcPr>
          <w:p w14:paraId="68906CDB">
            <w:pPr>
              <w:jc w:val="right"/>
            </w:pPr>
            <w:r>
              <w:rPr>
                <w:kern w:val="0"/>
              </w:rPr>
              <w:t>4.43</w:t>
            </w:r>
          </w:p>
        </w:tc>
      </w:tr>
      <w:tr w14:paraId="37FD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E97DFBF">
            <w:pPr>
              <w:jc w:val="center"/>
            </w:pPr>
            <w:r>
              <w:rPr>
                <w:kern w:val="0"/>
              </w:rPr>
              <w:t>4</w:t>
            </w:r>
          </w:p>
        </w:tc>
        <w:tc>
          <w:tcPr>
            <w:vAlign w:val="center"/>
          </w:tcPr>
          <w:p w14:paraId="20EBC0FA">
            <w:pPr>
              <w:jc w:val="left"/>
            </w:pPr>
            <w:r>
              <w:rPr>
                <w:kern w:val="0"/>
              </w:rPr>
              <w:t>招商局光明科技园有限公司</w:t>
            </w:r>
          </w:p>
        </w:tc>
        <w:tc>
          <w:tcPr>
            <w:vAlign w:val="center"/>
          </w:tcPr>
          <w:p w14:paraId="7E628C98">
            <w:pPr>
              <w:jc w:val="right"/>
            </w:pPr>
            <w:r>
              <w:rPr>
                <w:kern w:val="0"/>
              </w:rPr>
              <w:t>62,535,703.00</w:t>
            </w:r>
          </w:p>
        </w:tc>
        <w:tc>
          <w:tcPr>
            <w:vAlign w:val="center"/>
          </w:tcPr>
          <w:p w14:paraId="5F3A43CA">
            <w:pPr>
              <w:jc w:val="right"/>
            </w:pPr>
            <w:r>
              <w:rPr>
                <w:kern w:val="0"/>
              </w:rPr>
              <w:t>4.40</w:t>
            </w:r>
          </w:p>
        </w:tc>
      </w:tr>
      <w:tr w14:paraId="4E00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E1F1B14">
            <w:pPr>
              <w:jc w:val="center"/>
            </w:pPr>
            <w:r>
              <w:rPr>
                <w:kern w:val="0"/>
              </w:rPr>
              <w:t>5</w:t>
            </w:r>
          </w:p>
        </w:tc>
        <w:tc>
          <w:tcPr>
            <w:vAlign w:val="center"/>
          </w:tcPr>
          <w:p w14:paraId="58EA2F3C">
            <w:pPr>
              <w:jc w:val="left"/>
            </w:pPr>
            <w:r>
              <w:rPr>
                <w:kern w:val="0"/>
              </w:rPr>
              <w:t>中国东方资产管理股份有限公司</w:t>
            </w:r>
          </w:p>
        </w:tc>
        <w:tc>
          <w:tcPr>
            <w:vAlign w:val="center"/>
          </w:tcPr>
          <w:p w14:paraId="19568939">
            <w:pPr>
              <w:jc w:val="right"/>
            </w:pPr>
            <w:r>
              <w:rPr>
                <w:kern w:val="0"/>
              </w:rPr>
              <w:t>56,354,795.00</w:t>
            </w:r>
          </w:p>
        </w:tc>
        <w:tc>
          <w:tcPr>
            <w:vAlign w:val="center"/>
          </w:tcPr>
          <w:p w14:paraId="13E58819">
            <w:pPr>
              <w:jc w:val="right"/>
            </w:pPr>
            <w:r>
              <w:rPr>
                <w:kern w:val="0"/>
              </w:rPr>
              <w:t>3.97</w:t>
            </w:r>
          </w:p>
        </w:tc>
      </w:tr>
      <w:tr w14:paraId="0508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29F3DB5">
            <w:pPr>
              <w:jc w:val="center"/>
            </w:pPr>
            <w:r>
              <w:rPr>
                <w:kern w:val="0"/>
              </w:rPr>
              <w:t>6</w:t>
            </w:r>
          </w:p>
        </w:tc>
        <w:tc>
          <w:tcPr>
            <w:vAlign w:val="center"/>
          </w:tcPr>
          <w:p w14:paraId="3B565182">
            <w:pPr>
              <w:jc w:val="left"/>
            </w:pPr>
            <w:r>
              <w:rPr>
                <w:kern w:val="0"/>
              </w:rPr>
              <w:t>北京首钢基金有限公司</w:t>
            </w:r>
          </w:p>
        </w:tc>
        <w:tc>
          <w:tcPr>
            <w:vAlign w:val="center"/>
          </w:tcPr>
          <w:p w14:paraId="180C4099">
            <w:pPr>
              <w:jc w:val="right"/>
            </w:pPr>
            <w:r>
              <w:rPr>
                <w:kern w:val="0"/>
              </w:rPr>
              <w:t>41,893,590.00</w:t>
            </w:r>
          </w:p>
        </w:tc>
        <w:tc>
          <w:tcPr>
            <w:vAlign w:val="center"/>
          </w:tcPr>
          <w:p w14:paraId="4C7BF0C5">
            <w:pPr>
              <w:jc w:val="right"/>
            </w:pPr>
            <w:r>
              <w:rPr>
                <w:kern w:val="0"/>
              </w:rPr>
              <w:t>2.95</w:t>
            </w:r>
          </w:p>
        </w:tc>
      </w:tr>
      <w:tr w14:paraId="5D3F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3F0D5FA">
            <w:pPr>
              <w:jc w:val="center"/>
            </w:pPr>
            <w:r>
              <w:rPr>
                <w:kern w:val="0"/>
              </w:rPr>
              <w:t>7</w:t>
            </w:r>
          </w:p>
        </w:tc>
        <w:tc>
          <w:tcPr>
            <w:vAlign w:val="center"/>
          </w:tcPr>
          <w:p w14:paraId="55541C8D">
            <w:pPr>
              <w:jc w:val="left"/>
            </w:pPr>
            <w:r>
              <w:rPr>
                <w:kern w:val="0"/>
              </w:rPr>
              <w:t>浙商证券股份有限公司</w:t>
            </w:r>
          </w:p>
        </w:tc>
        <w:tc>
          <w:tcPr>
            <w:vAlign w:val="center"/>
          </w:tcPr>
          <w:p w14:paraId="4B4E939C">
            <w:pPr>
              <w:jc w:val="right"/>
            </w:pPr>
            <w:r>
              <w:rPr>
                <w:kern w:val="0"/>
              </w:rPr>
              <w:t>41,698,544.00</w:t>
            </w:r>
          </w:p>
        </w:tc>
        <w:tc>
          <w:tcPr>
            <w:vAlign w:val="center"/>
          </w:tcPr>
          <w:p w14:paraId="4719E797">
            <w:pPr>
              <w:jc w:val="right"/>
            </w:pPr>
            <w:r>
              <w:rPr>
                <w:kern w:val="0"/>
              </w:rPr>
              <w:t>2.93</w:t>
            </w:r>
          </w:p>
        </w:tc>
      </w:tr>
      <w:tr w14:paraId="2E4A8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26C328A9">
            <w:pPr>
              <w:jc w:val="center"/>
            </w:pPr>
            <w:r>
              <w:rPr>
                <w:kern w:val="0"/>
              </w:rPr>
              <w:t>8</w:t>
            </w:r>
          </w:p>
        </w:tc>
        <w:tc>
          <w:tcPr>
            <w:vAlign w:val="center"/>
          </w:tcPr>
          <w:p w14:paraId="158C2285">
            <w:pPr>
              <w:jc w:val="left"/>
            </w:pPr>
            <w:r>
              <w:rPr>
                <w:kern w:val="0"/>
              </w:rPr>
              <w:t>上海合晟资产管理股份有限公司－合晟同晖7号私募证券投资基金</w:t>
            </w:r>
          </w:p>
        </w:tc>
        <w:tc>
          <w:tcPr>
            <w:vAlign w:val="center"/>
          </w:tcPr>
          <w:p w14:paraId="7CFFEE63">
            <w:pPr>
              <w:jc w:val="right"/>
            </w:pPr>
            <w:r>
              <w:rPr>
                <w:kern w:val="0"/>
              </w:rPr>
              <w:t>31,581,036.00</w:t>
            </w:r>
          </w:p>
        </w:tc>
        <w:tc>
          <w:tcPr>
            <w:vAlign w:val="center"/>
          </w:tcPr>
          <w:p w14:paraId="7ABD693C">
            <w:pPr>
              <w:jc w:val="right"/>
            </w:pPr>
            <w:r>
              <w:rPr>
                <w:kern w:val="0"/>
              </w:rPr>
              <w:t>2.22</w:t>
            </w:r>
          </w:p>
        </w:tc>
      </w:tr>
      <w:tr w14:paraId="2E72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4ECEDB1">
            <w:pPr>
              <w:jc w:val="center"/>
            </w:pPr>
            <w:r>
              <w:rPr>
                <w:kern w:val="0"/>
              </w:rPr>
              <w:t>9</w:t>
            </w:r>
          </w:p>
        </w:tc>
        <w:tc>
          <w:tcPr>
            <w:vAlign w:val="center"/>
          </w:tcPr>
          <w:p w14:paraId="43A617C3">
            <w:pPr>
              <w:jc w:val="left"/>
            </w:pPr>
            <w:r>
              <w:rPr>
                <w:kern w:val="0"/>
              </w:rPr>
              <w:t>鼎和财产保险股份有限公司－自有资金</w:t>
            </w:r>
          </w:p>
        </w:tc>
        <w:tc>
          <w:tcPr>
            <w:vAlign w:val="center"/>
          </w:tcPr>
          <w:p w14:paraId="176572C0">
            <w:pPr>
              <w:jc w:val="right"/>
            </w:pPr>
            <w:r>
              <w:rPr>
                <w:kern w:val="0"/>
              </w:rPr>
              <w:t>25,689,598.00</w:t>
            </w:r>
          </w:p>
        </w:tc>
        <w:tc>
          <w:tcPr>
            <w:vAlign w:val="center"/>
          </w:tcPr>
          <w:p w14:paraId="5AC36E6D">
            <w:pPr>
              <w:jc w:val="right"/>
            </w:pPr>
            <w:r>
              <w:rPr>
                <w:kern w:val="0"/>
              </w:rPr>
              <w:t>1.81</w:t>
            </w:r>
          </w:p>
        </w:tc>
      </w:tr>
      <w:tr w14:paraId="0BAB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7E3508E">
            <w:pPr>
              <w:jc w:val="center"/>
            </w:pPr>
            <w:r>
              <w:rPr>
                <w:kern w:val="0"/>
              </w:rPr>
              <w:t>10</w:t>
            </w:r>
          </w:p>
        </w:tc>
        <w:tc>
          <w:tcPr>
            <w:vAlign w:val="center"/>
          </w:tcPr>
          <w:p w14:paraId="240794C0">
            <w:pPr>
              <w:jc w:val="left"/>
            </w:pPr>
            <w:r>
              <w:rPr>
                <w:kern w:val="0"/>
              </w:rPr>
              <w:t>申万宏源证券有限公司</w:t>
            </w:r>
          </w:p>
        </w:tc>
        <w:tc>
          <w:tcPr>
            <w:vAlign w:val="center"/>
          </w:tcPr>
          <w:p w14:paraId="79F71462">
            <w:pPr>
              <w:jc w:val="right"/>
            </w:pPr>
            <w:r>
              <w:rPr>
                <w:kern w:val="0"/>
              </w:rPr>
              <w:t>25,081,911.00</w:t>
            </w:r>
          </w:p>
        </w:tc>
        <w:tc>
          <w:tcPr>
            <w:vAlign w:val="center"/>
          </w:tcPr>
          <w:p w14:paraId="2667507B">
            <w:pPr>
              <w:jc w:val="right"/>
            </w:pPr>
            <w:r>
              <w:rPr>
                <w:kern w:val="0"/>
              </w:rPr>
              <w:t>1.76</w:t>
            </w:r>
          </w:p>
        </w:tc>
      </w:tr>
      <w:tr w14:paraId="5C5E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4B373BBB">
            <w:pPr>
              <w:spacing w:line="360" w:lineRule="auto"/>
              <w:jc w:val="left"/>
            </w:pPr>
            <w:r>
              <w:t>合计</w:t>
            </w:r>
          </w:p>
        </w:tc>
        <w:tc>
          <w:tcPr>
            <w:tcW w:w="2061" w:type="pct"/>
            <w:vAlign w:val="center"/>
          </w:tcPr>
          <w:p w14:paraId="20FB451C">
            <w:pPr>
              <w:spacing w:line="360" w:lineRule="auto"/>
              <w:jc w:val="center"/>
            </w:pPr>
          </w:p>
        </w:tc>
        <w:tc>
          <w:tcPr>
            <w:tcW w:w="1144" w:type="pct"/>
            <w:vAlign w:val="center"/>
          </w:tcPr>
          <w:p w14:paraId="62970448">
            <w:pPr>
              <w:widowControl/>
              <w:spacing w:line="360" w:lineRule="auto"/>
              <w:jc w:val="right"/>
              <w:rPr>
                <w:kern w:val="0"/>
              </w:rPr>
            </w:pPr>
            <w:r>
              <w:rPr>
                <w:kern w:val="0"/>
              </w:rPr>
              <w:t>725,860,665.00</w:t>
            </w:r>
          </w:p>
        </w:tc>
        <w:tc>
          <w:tcPr>
            <w:tcW w:w="1202" w:type="pct"/>
            <w:vAlign w:val="center"/>
          </w:tcPr>
          <w:p w14:paraId="568C3870">
            <w:pPr>
              <w:widowControl/>
              <w:spacing w:line="360" w:lineRule="auto"/>
              <w:jc w:val="right"/>
              <w:rPr>
                <w:kern w:val="0"/>
              </w:rPr>
            </w:pPr>
            <w:r>
              <w:rPr>
                <w:kern w:val="0"/>
              </w:rPr>
              <w:t>51.07</w:t>
            </w:r>
          </w:p>
        </w:tc>
      </w:tr>
      <w:tr w14:paraId="43C7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4"/>
          </w:tcPr>
          <w:p w14:paraId="1EE4C1C0">
            <w:pPr>
              <w:widowControl/>
              <w:spacing w:line="360" w:lineRule="auto"/>
              <w:jc w:val="center"/>
              <w:rPr>
                <w:kern w:val="0"/>
              </w:rPr>
            </w:pPr>
            <w:r>
              <w:rPr>
                <w:kern w:val="0"/>
              </w:rPr>
              <w:t>上年度末</w:t>
            </w:r>
          </w:p>
          <w:p w14:paraId="48E99361">
            <w:pPr>
              <w:spacing w:line="360" w:lineRule="auto"/>
              <w:jc w:val="center"/>
              <w:rPr>
                <w:kern w:val="0"/>
              </w:rPr>
            </w:pPr>
            <w:r>
              <w:rPr>
                <w:kern w:val="0"/>
              </w:rPr>
              <w:t>2025年12月31日</w:t>
            </w:r>
          </w:p>
        </w:tc>
      </w:tr>
      <w:tr w14:paraId="13BF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61F69A91">
            <w:pPr>
              <w:widowControl/>
              <w:spacing w:line="360" w:lineRule="auto"/>
              <w:jc w:val="center"/>
              <w:rPr>
                <w:kern w:val="0"/>
              </w:rPr>
            </w:pPr>
            <w:r>
              <w:rPr>
                <w:kern w:val="0"/>
              </w:rPr>
              <w:t>序号</w:t>
            </w:r>
          </w:p>
        </w:tc>
        <w:tc>
          <w:tcPr>
            <w:tcW w:w="2061" w:type="pct"/>
            <w:vAlign w:val="center"/>
          </w:tcPr>
          <w:p w14:paraId="4C949307">
            <w:pPr>
              <w:widowControl/>
              <w:spacing w:line="360" w:lineRule="auto"/>
              <w:jc w:val="center"/>
              <w:rPr>
                <w:kern w:val="0"/>
              </w:rPr>
            </w:pPr>
            <w:r>
              <w:rPr>
                <w:kern w:val="0"/>
              </w:rPr>
              <w:t>持有人名称</w:t>
            </w:r>
          </w:p>
        </w:tc>
        <w:tc>
          <w:tcPr>
            <w:tcW w:w="1144" w:type="pct"/>
            <w:vAlign w:val="center"/>
          </w:tcPr>
          <w:p w14:paraId="7AD95206">
            <w:pPr>
              <w:widowControl/>
              <w:spacing w:line="360" w:lineRule="auto"/>
              <w:jc w:val="center"/>
              <w:rPr>
                <w:kern w:val="0"/>
              </w:rPr>
            </w:pPr>
            <w:r>
              <w:rPr>
                <w:kern w:val="0"/>
              </w:rPr>
              <w:t>持有份额（份）</w:t>
            </w:r>
          </w:p>
        </w:tc>
        <w:tc>
          <w:tcPr>
            <w:tcW w:w="1202" w:type="pct"/>
            <w:vAlign w:val="center"/>
          </w:tcPr>
          <w:p w14:paraId="7E2CB240">
            <w:pPr>
              <w:widowControl/>
              <w:spacing w:line="360" w:lineRule="auto"/>
              <w:jc w:val="center"/>
              <w:rPr>
                <w:kern w:val="0"/>
              </w:rPr>
            </w:pPr>
            <w:r>
              <w:rPr>
                <w:kern w:val="0"/>
              </w:rPr>
              <w:t>占总份额比例（%）</w:t>
            </w:r>
          </w:p>
        </w:tc>
      </w:tr>
      <w:tr w14:paraId="0355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7E253C0">
            <w:pPr>
              <w:jc w:val="center"/>
            </w:pPr>
            <w:r>
              <w:rPr>
                <w:kern w:val="0"/>
              </w:rPr>
              <w:t>1</w:t>
            </w:r>
          </w:p>
        </w:tc>
        <w:tc>
          <w:tcPr>
            <w:vAlign w:val="center"/>
          </w:tcPr>
          <w:p w14:paraId="4B969071">
            <w:pPr>
              <w:jc w:val="left"/>
            </w:pPr>
            <w:r>
              <w:rPr>
                <w:kern w:val="0"/>
              </w:rPr>
              <w:t>招商局蛇口工业区控股股份有限公司</w:t>
            </w:r>
          </w:p>
        </w:tc>
        <w:tc>
          <w:tcPr>
            <w:vAlign w:val="center"/>
          </w:tcPr>
          <w:p w14:paraId="0BECC8E7">
            <w:pPr>
              <w:jc w:val="right"/>
            </w:pPr>
            <w:r>
              <w:rPr>
                <w:kern w:val="0"/>
              </w:rPr>
              <w:t>108,000,000.00</w:t>
            </w:r>
          </w:p>
        </w:tc>
        <w:tc>
          <w:tcPr>
            <w:vAlign w:val="center"/>
          </w:tcPr>
          <w:p w14:paraId="3B5AF885">
            <w:pPr>
              <w:jc w:val="right"/>
            </w:pPr>
            <w:r>
              <w:rPr>
                <w:kern w:val="0"/>
              </w:rPr>
              <w:t>7.60</w:t>
            </w:r>
          </w:p>
        </w:tc>
      </w:tr>
      <w:tr w14:paraId="7541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BF58E9D">
            <w:pPr>
              <w:jc w:val="center"/>
            </w:pPr>
            <w:r>
              <w:rPr>
                <w:kern w:val="0"/>
              </w:rPr>
              <w:t>2</w:t>
            </w:r>
          </w:p>
        </w:tc>
        <w:tc>
          <w:tcPr>
            <w:vAlign w:val="center"/>
          </w:tcPr>
          <w:p w14:paraId="720D98C7">
            <w:pPr>
              <w:jc w:val="left"/>
            </w:pPr>
            <w:r>
              <w:rPr>
                <w:kern w:val="0"/>
              </w:rPr>
              <w:t>北京首钢基金有限公司－北京首钢基金有限公司</w:t>
            </w:r>
          </w:p>
        </w:tc>
        <w:tc>
          <w:tcPr>
            <w:vAlign w:val="center"/>
          </w:tcPr>
          <w:p w14:paraId="38027DA0">
            <w:pPr>
              <w:jc w:val="right"/>
            </w:pPr>
            <w:r>
              <w:rPr>
                <w:kern w:val="0"/>
              </w:rPr>
              <w:t>90,000,000.00</w:t>
            </w:r>
          </w:p>
        </w:tc>
        <w:tc>
          <w:tcPr>
            <w:vAlign w:val="center"/>
          </w:tcPr>
          <w:p w14:paraId="359C9335">
            <w:pPr>
              <w:jc w:val="right"/>
            </w:pPr>
            <w:r>
              <w:rPr>
                <w:kern w:val="0"/>
              </w:rPr>
              <w:t>6.33</w:t>
            </w:r>
          </w:p>
        </w:tc>
      </w:tr>
      <w:tr w14:paraId="5142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69CBD143">
            <w:pPr>
              <w:jc w:val="center"/>
            </w:pPr>
            <w:r>
              <w:rPr>
                <w:kern w:val="0"/>
              </w:rPr>
              <w:t>3</w:t>
            </w:r>
          </w:p>
        </w:tc>
        <w:tc>
          <w:tcPr>
            <w:vAlign w:val="center"/>
          </w:tcPr>
          <w:p w14:paraId="0FCE3DEB">
            <w:pPr>
              <w:jc w:val="left"/>
            </w:pPr>
            <w:r>
              <w:rPr>
                <w:kern w:val="0"/>
              </w:rPr>
              <w:t>东方证券股份有限公司</w:t>
            </w:r>
          </w:p>
        </w:tc>
        <w:tc>
          <w:tcPr>
            <w:vAlign w:val="center"/>
          </w:tcPr>
          <w:p w14:paraId="0DEEB391">
            <w:pPr>
              <w:jc w:val="right"/>
            </w:pPr>
            <w:r>
              <w:rPr>
                <w:kern w:val="0"/>
              </w:rPr>
              <w:t>63,025,488.00</w:t>
            </w:r>
          </w:p>
        </w:tc>
        <w:tc>
          <w:tcPr>
            <w:vAlign w:val="center"/>
          </w:tcPr>
          <w:p w14:paraId="4360F126">
            <w:pPr>
              <w:jc w:val="right"/>
            </w:pPr>
            <w:r>
              <w:rPr>
                <w:kern w:val="0"/>
              </w:rPr>
              <w:t>4.43</w:t>
            </w:r>
          </w:p>
        </w:tc>
      </w:tr>
      <w:tr w14:paraId="7E47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30D6CFEA">
            <w:pPr>
              <w:jc w:val="center"/>
            </w:pPr>
            <w:r>
              <w:rPr>
                <w:kern w:val="0"/>
              </w:rPr>
              <w:t>4</w:t>
            </w:r>
          </w:p>
        </w:tc>
        <w:tc>
          <w:tcPr>
            <w:vAlign w:val="center"/>
          </w:tcPr>
          <w:p w14:paraId="2AFFBDB0">
            <w:pPr>
              <w:jc w:val="left"/>
            </w:pPr>
            <w:r>
              <w:rPr>
                <w:kern w:val="0"/>
              </w:rPr>
              <w:t>中国东方资产管理股份有限公司</w:t>
            </w:r>
          </w:p>
        </w:tc>
        <w:tc>
          <w:tcPr>
            <w:vAlign w:val="center"/>
          </w:tcPr>
          <w:p w14:paraId="3AA8EC3B">
            <w:pPr>
              <w:jc w:val="right"/>
            </w:pPr>
            <w:r>
              <w:rPr>
                <w:kern w:val="0"/>
              </w:rPr>
              <w:t>56,354,795.00</w:t>
            </w:r>
          </w:p>
        </w:tc>
        <w:tc>
          <w:tcPr>
            <w:vAlign w:val="center"/>
          </w:tcPr>
          <w:p w14:paraId="104E3C82">
            <w:pPr>
              <w:jc w:val="right"/>
            </w:pPr>
            <w:r>
              <w:rPr>
                <w:kern w:val="0"/>
              </w:rPr>
              <w:t>3.97</w:t>
            </w:r>
          </w:p>
        </w:tc>
      </w:tr>
      <w:tr w14:paraId="0CDFF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7F84FDE">
            <w:pPr>
              <w:jc w:val="center"/>
            </w:pPr>
            <w:r>
              <w:rPr>
                <w:kern w:val="0"/>
              </w:rPr>
              <w:t>5</w:t>
            </w:r>
          </w:p>
        </w:tc>
        <w:tc>
          <w:tcPr>
            <w:vAlign w:val="center"/>
          </w:tcPr>
          <w:p w14:paraId="02CA4190">
            <w:pPr>
              <w:jc w:val="left"/>
            </w:pPr>
            <w:r>
              <w:rPr>
                <w:kern w:val="0"/>
              </w:rPr>
              <w:t>上海合晟资产管理股份有限公司－合晟同晖7号私募证券投资基金</w:t>
            </w:r>
          </w:p>
        </w:tc>
        <w:tc>
          <w:tcPr>
            <w:vAlign w:val="center"/>
          </w:tcPr>
          <w:p w14:paraId="0C8C0362">
            <w:pPr>
              <w:jc w:val="right"/>
            </w:pPr>
            <w:r>
              <w:rPr>
                <w:kern w:val="0"/>
              </w:rPr>
              <w:t>46,047,190.00</w:t>
            </w:r>
          </w:p>
        </w:tc>
        <w:tc>
          <w:tcPr>
            <w:vAlign w:val="center"/>
          </w:tcPr>
          <w:p w14:paraId="0EFE4431">
            <w:pPr>
              <w:jc w:val="right"/>
            </w:pPr>
            <w:r>
              <w:rPr>
                <w:kern w:val="0"/>
              </w:rPr>
              <w:t>3.24</w:t>
            </w:r>
          </w:p>
        </w:tc>
      </w:tr>
      <w:tr w14:paraId="2077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7958050">
            <w:pPr>
              <w:jc w:val="center"/>
            </w:pPr>
            <w:r>
              <w:rPr>
                <w:kern w:val="0"/>
              </w:rPr>
              <w:t>6</w:t>
            </w:r>
          </w:p>
        </w:tc>
        <w:tc>
          <w:tcPr>
            <w:vAlign w:val="center"/>
          </w:tcPr>
          <w:p w14:paraId="36F294D5">
            <w:pPr>
              <w:jc w:val="left"/>
            </w:pPr>
            <w:r>
              <w:rPr>
                <w:kern w:val="0"/>
              </w:rPr>
              <w:t>申万宏源证券有限公司</w:t>
            </w:r>
          </w:p>
        </w:tc>
        <w:tc>
          <w:tcPr>
            <w:vAlign w:val="center"/>
          </w:tcPr>
          <w:p w14:paraId="1CF7121C">
            <w:pPr>
              <w:jc w:val="right"/>
            </w:pPr>
            <w:r>
              <w:rPr>
                <w:kern w:val="0"/>
              </w:rPr>
              <w:t>42,926,469.00</w:t>
            </w:r>
          </w:p>
        </w:tc>
        <w:tc>
          <w:tcPr>
            <w:vAlign w:val="center"/>
          </w:tcPr>
          <w:p w14:paraId="3491BE85">
            <w:pPr>
              <w:jc w:val="right"/>
            </w:pPr>
            <w:r>
              <w:rPr>
                <w:kern w:val="0"/>
              </w:rPr>
              <w:t>3.02</w:t>
            </w:r>
          </w:p>
        </w:tc>
      </w:tr>
      <w:tr w14:paraId="3BD8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E8A1CD1">
            <w:pPr>
              <w:jc w:val="center"/>
            </w:pPr>
            <w:r>
              <w:rPr>
                <w:kern w:val="0"/>
              </w:rPr>
              <w:t>7</w:t>
            </w:r>
          </w:p>
        </w:tc>
        <w:tc>
          <w:tcPr>
            <w:vAlign w:val="center"/>
          </w:tcPr>
          <w:p w14:paraId="15DEC947">
            <w:pPr>
              <w:jc w:val="left"/>
            </w:pPr>
            <w:r>
              <w:rPr>
                <w:kern w:val="0"/>
              </w:rPr>
              <w:t>浙商证券股份有限公司</w:t>
            </w:r>
          </w:p>
        </w:tc>
        <w:tc>
          <w:tcPr>
            <w:vAlign w:val="center"/>
          </w:tcPr>
          <w:p w14:paraId="0CA083AA">
            <w:pPr>
              <w:jc w:val="right"/>
            </w:pPr>
            <w:r>
              <w:rPr>
                <w:kern w:val="0"/>
              </w:rPr>
              <w:t>42,679,083.00</w:t>
            </w:r>
          </w:p>
        </w:tc>
        <w:tc>
          <w:tcPr>
            <w:vAlign w:val="center"/>
          </w:tcPr>
          <w:p w14:paraId="5B7895E1">
            <w:pPr>
              <w:jc w:val="right"/>
            </w:pPr>
            <w:r>
              <w:rPr>
                <w:kern w:val="0"/>
              </w:rPr>
              <w:t>3.00</w:t>
            </w:r>
          </w:p>
        </w:tc>
      </w:tr>
      <w:tr w14:paraId="72C61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05F64228">
            <w:pPr>
              <w:jc w:val="center"/>
            </w:pPr>
            <w:r>
              <w:rPr>
                <w:kern w:val="0"/>
              </w:rPr>
              <w:t>8</w:t>
            </w:r>
          </w:p>
        </w:tc>
        <w:tc>
          <w:tcPr>
            <w:vAlign w:val="center"/>
          </w:tcPr>
          <w:p w14:paraId="2462FEF8">
            <w:pPr>
              <w:jc w:val="left"/>
            </w:pPr>
            <w:r>
              <w:rPr>
                <w:kern w:val="0"/>
              </w:rPr>
              <w:t>北京首钢基金有限公司</w:t>
            </w:r>
          </w:p>
        </w:tc>
        <w:tc>
          <w:tcPr>
            <w:vAlign w:val="center"/>
          </w:tcPr>
          <w:p w14:paraId="06745218">
            <w:pPr>
              <w:jc w:val="right"/>
            </w:pPr>
            <w:r>
              <w:rPr>
                <w:kern w:val="0"/>
              </w:rPr>
              <w:t>41,893,590.00</w:t>
            </w:r>
          </w:p>
        </w:tc>
        <w:tc>
          <w:tcPr>
            <w:vAlign w:val="center"/>
          </w:tcPr>
          <w:p w14:paraId="0164FDCD">
            <w:pPr>
              <w:jc w:val="right"/>
            </w:pPr>
            <w:r>
              <w:rPr>
                <w:kern w:val="0"/>
              </w:rPr>
              <w:t>2.95</w:t>
            </w:r>
          </w:p>
        </w:tc>
      </w:tr>
      <w:tr w14:paraId="29A5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735836B2">
            <w:pPr>
              <w:jc w:val="center"/>
            </w:pPr>
            <w:r>
              <w:rPr>
                <w:kern w:val="0"/>
              </w:rPr>
              <w:t>9</w:t>
            </w:r>
          </w:p>
        </w:tc>
        <w:tc>
          <w:tcPr>
            <w:vAlign w:val="center"/>
          </w:tcPr>
          <w:p w14:paraId="1A567C7B">
            <w:pPr>
              <w:jc w:val="left"/>
            </w:pPr>
            <w:r>
              <w:rPr>
                <w:kern w:val="0"/>
              </w:rPr>
              <w:t>上海金锝私募基金管理有限公司－金锝尧典28号私募证券投资基金</w:t>
            </w:r>
          </w:p>
        </w:tc>
        <w:tc>
          <w:tcPr>
            <w:vAlign w:val="center"/>
          </w:tcPr>
          <w:p w14:paraId="3CCCF893">
            <w:pPr>
              <w:jc w:val="right"/>
            </w:pPr>
            <w:r>
              <w:rPr>
                <w:kern w:val="0"/>
              </w:rPr>
              <w:t>26,052,292.00</w:t>
            </w:r>
          </w:p>
        </w:tc>
        <w:tc>
          <w:tcPr>
            <w:vAlign w:val="center"/>
          </w:tcPr>
          <w:p w14:paraId="1BBA5324">
            <w:pPr>
              <w:jc w:val="right"/>
            </w:pPr>
            <w:r>
              <w:rPr>
                <w:kern w:val="0"/>
              </w:rPr>
              <w:t>1.83</w:t>
            </w:r>
          </w:p>
        </w:tc>
      </w:tr>
      <w:tr w14:paraId="7FAC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D543C81">
            <w:pPr>
              <w:jc w:val="center"/>
            </w:pPr>
            <w:r>
              <w:rPr>
                <w:kern w:val="0"/>
              </w:rPr>
              <w:t>10</w:t>
            </w:r>
          </w:p>
        </w:tc>
        <w:tc>
          <w:tcPr>
            <w:vAlign w:val="center"/>
          </w:tcPr>
          <w:p w14:paraId="2B2D5FCE">
            <w:pPr>
              <w:jc w:val="left"/>
            </w:pPr>
            <w:r>
              <w:rPr>
                <w:kern w:val="0"/>
              </w:rPr>
              <w:t>上海金锝私募基金管理有限公司－金锝诚意精心9号证券投资私募基金</w:t>
            </w:r>
          </w:p>
        </w:tc>
        <w:tc>
          <w:tcPr>
            <w:vAlign w:val="center"/>
          </w:tcPr>
          <w:p w14:paraId="577F34A1">
            <w:pPr>
              <w:jc w:val="right"/>
            </w:pPr>
            <w:r>
              <w:rPr>
                <w:kern w:val="0"/>
              </w:rPr>
              <w:t>25,649,495.00</w:t>
            </w:r>
          </w:p>
        </w:tc>
        <w:tc>
          <w:tcPr>
            <w:vAlign w:val="center"/>
          </w:tcPr>
          <w:p w14:paraId="152A6DE8">
            <w:pPr>
              <w:jc w:val="right"/>
            </w:pPr>
            <w:r>
              <w:rPr>
                <w:kern w:val="0"/>
              </w:rPr>
              <w:t>1.80</w:t>
            </w:r>
          </w:p>
        </w:tc>
      </w:tr>
      <w:tr w14:paraId="2FD79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1411940D">
            <w:pPr>
              <w:spacing w:line="360" w:lineRule="auto"/>
              <w:jc w:val="left"/>
            </w:pPr>
            <w:r>
              <w:t>合计</w:t>
            </w:r>
          </w:p>
        </w:tc>
        <w:tc>
          <w:tcPr>
            <w:tcW w:w="2061" w:type="pct"/>
            <w:vAlign w:val="center"/>
          </w:tcPr>
          <w:p w14:paraId="016981BB">
            <w:pPr>
              <w:spacing w:line="360" w:lineRule="auto"/>
              <w:jc w:val="center"/>
            </w:pPr>
          </w:p>
        </w:tc>
        <w:tc>
          <w:tcPr>
            <w:tcW w:w="1144" w:type="pct"/>
            <w:vAlign w:val="center"/>
          </w:tcPr>
          <w:p w14:paraId="47A28F97">
            <w:pPr>
              <w:widowControl/>
              <w:spacing w:line="360" w:lineRule="auto"/>
              <w:jc w:val="right"/>
              <w:rPr>
                <w:kern w:val="0"/>
              </w:rPr>
            </w:pPr>
            <w:r>
              <w:rPr>
                <w:kern w:val="0"/>
              </w:rPr>
              <w:t>542,628,402.00</w:t>
            </w:r>
          </w:p>
        </w:tc>
        <w:tc>
          <w:tcPr>
            <w:tcW w:w="1202" w:type="pct"/>
            <w:vAlign w:val="center"/>
          </w:tcPr>
          <w:p w14:paraId="426B7796">
            <w:pPr>
              <w:widowControl/>
              <w:spacing w:line="360" w:lineRule="auto"/>
              <w:jc w:val="right"/>
              <w:rPr>
                <w:kern w:val="0"/>
              </w:rPr>
            </w:pPr>
            <w:r>
              <w:rPr>
                <w:kern w:val="0"/>
              </w:rPr>
              <w:t>38.17</w:t>
            </w:r>
          </w:p>
        </w:tc>
      </w:tr>
    </w:tbl>
    <w:p w14:paraId="6D1E141C">
      <w:pPr>
        <w:pStyle w:val="3"/>
        <w:rPr>
          <w:rFonts w:ascii="Times New Roman" w:hAnsi="Times New Roman" w:cs="Times New Roman"/>
          <w:kern w:val="0"/>
          <w:sz w:val="21"/>
          <w:szCs w:val="21"/>
        </w:rPr>
      </w:pPr>
      <w:bookmarkStart w:id="411" w:name="_Toc98512421"/>
      <w:bookmarkStart w:id="412" w:name="_Toc98603030"/>
      <w:bookmarkStart w:id="413" w:name="_Toc98602720"/>
      <w:bookmarkStart w:id="414" w:name="_Toc98601371"/>
      <w:bookmarkStart w:id="415" w:name="_Toc113524098"/>
      <w:bookmarkStart w:id="416" w:name="_Toc86080625"/>
      <w:bookmarkStart w:id="417" w:name="_Toc98509002"/>
      <w:bookmarkStart w:id="418" w:name="_Toc23587"/>
      <w:bookmarkStart w:id="419" w:name="_Toc98511665"/>
      <w:r>
        <w:rPr>
          <w:rFonts w:ascii="Times New Roman" w:hAnsi="Times New Roman" w:cs="Times New Roman"/>
          <w:kern w:val="0"/>
          <w:sz w:val="21"/>
          <w:szCs w:val="21"/>
        </w:rPr>
        <w:t xml:space="preserve">10.3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基金前十名非流通份额持有人</w:t>
      </w:r>
      <w:bookmarkEnd w:id="411"/>
      <w:bookmarkEnd w:id="412"/>
      <w:bookmarkEnd w:id="413"/>
      <w:bookmarkEnd w:id="414"/>
      <w:bookmarkEnd w:id="415"/>
      <w:bookmarkEnd w:id="416"/>
      <w:bookmarkEnd w:id="417"/>
      <w:bookmarkEnd w:id="418"/>
      <w:bookmarkEnd w:id="419"/>
    </w:p>
    <w:p w14:paraId="03EB4880">
      <w:pPr>
        <w:widowControl/>
        <w:spacing w:line="360" w:lineRule="auto"/>
        <w:jc w:val="right"/>
        <w:rPr>
          <w:kern w:val="0"/>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515"/>
        <w:gridCol w:w="1951"/>
        <w:gridCol w:w="2050"/>
      </w:tblGrid>
      <w:tr w14:paraId="6922F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4"/>
          </w:tcPr>
          <w:p w14:paraId="74490374">
            <w:pPr>
              <w:widowControl/>
              <w:spacing w:line="360" w:lineRule="auto"/>
              <w:jc w:val="center"/>
              <w:rPr>
                <w:kern w:val="0"/>
              </w:rPr>
            </w:pPr>
            <w:r>
              <w:rPr>
                <w:kern w:val="0"/>
              </w:rPr>
              <w:t>本期末</w:t>
            </w:r>
          </w:p>
          <w:p w14:paraId="301678BF">
            <w:pPr>
              <w:spacing w:line="360" w:lineRule="auto"/>
              <w:jc w:val="center"/>
              <w:rPr>
                <w:kern w:val="0"/>
              </w:rPr>
            </w:pPr>
            <w:r>
              <w:rPr>
                <w:kern w:val="0"/>
              </w:rPr>
              <w:t>2026年6月30日</w:t>
            </w:r>
          </w:p>
        </w:tc>
      </w:tr>
      <w:tr w14:paraId="295B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7D875BB6">
            <w:pPr>
              <w:widowControl/>
              <w:spacing w:line="360" w:lineRule="auto"/>
              <w:jc w:val="center"/>
              <w:rPr>
                <w:kern w:val="0"/>
              </w:rPr>
            </w:pPr>
            <w:r>
              <w:rPr>
                <w:kern w:val="0"/>
              </w:rPr>
              <w:t>序号</w:t>
            </w:r>
          </w:p>
        </w:tc>
        <w:tc>
          <w:tcPr>
            <w:tcW w:w="2061" w:type="pct"/>
            <w:vAlign w:val="center"/>
          </w:tcPr>
          <w:p w14:paraId="4CD64296">
            <w:pPr>
              <w:widowControl/>
              <w:spacing w:line="360" w:lineRule="auto"/>
              <w:jc w:val="center"/>
              <w:rPr>
                <w:kern w:val="0"/>
              </w:rPr>
            </w:pPr>
            <w:r>
              <w:rPr>
                <w:kern w:val="0"/>
              </w:rPr>
              <w:t>持有人名称</w:t>
            </w:r>
          </w:p>
        </w:tc>
        <w:tc>
          <w:tcPr>
            <w:tcW w:w="1144" w:type="pct"/>
            <w:vAlign w:val="center"/>
          </w:tcPr>
          <w:p w14:paraId="52C55CDE">
            <w:pPr>
              <w:widowControl/>
              <w:spacing w:line="360" w:lineRule="auto"/>
              <w:jc w:val="center"/>
              <w:rPr>
                <w:kern w:val="0"/>
              </w:rPr>
            </w:pPr>
            <w:r>
              <w:rPr>
                <w:kern w:val="0"/>
              </w:rPr>
              <w:t>持有份额（份）</w:t>
            </w:r>
          </w:p>
        </w:tc>
        <w:tc>
          <w:tcPr>
            <w:tcW w:w="1202" w:type="pct"/>
            <w:vAlign w:val="center"/>
          </w:tcPr>
          <w:p w14:paraId="78888B75">
            <w:pPr>
              <w:widowControl/>
              <w:spacing w:line="360" w:lineRule="auto"/>
              <w:jc w:val="center"/>
              <w:rPr>
                <w:kern w:val="0"/>
              </w:rPr>
            </w:pPr>
            <w:r>
              <w:rPr>
                <w:kern w:val="0"/>
              </w:rPr>
              <w:t>占总份额比例（%）</w:t>
            </w:r>
          </w:p>
        </w:tc>
      </w:tr>
      <w:tr w14:paraId="12208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1BC81038">
            <w:pPr>
              <w:jc w:val="center"/>
            </w:pPr>
            <w:r>
              <w:rPr>
                <w:kern w:val="0"/>
              </w:rPr>
              <w:t>1</w:t>
            </w:r>
          </w:p>
        </w:tc>
        <w:tc>
          <w:tcPr>
            <w:vAlign w:val="center"/>
          </w:tcPr>
          <w:p w14:paraId="2185A2DF">
            <w:pPr>
              <w:jc w:val="left"/>
            </w:pPr>
            <w:r>
              <w:rPr>
                <w:kern w:val="0"/>
              </w:rPr>
              <w:t>招商局光明科技园有限公司</w:t>
            </w:r>
          </w:p>
        </w:tc>
        <w:tc>
          <w:tcPr>
            <w:vAlign w:val="center"/>
          </w:tcPr>
          <w:p w14:paraId="356B460C">
            <w:pPr>
              <w:jc w:val="right"/>
            </w:pPr>
            <w:r>
              <w:rPr>
                <w:kern w:val="0"/>
              </w:rPr>
              <w:t>104,226,174.00</w:t>
            </w:r>
          </w:p>
        </w:tc>
        <w:tc>
          <w:tcPr>
            <w:vAlign w:val="center"/>
          </w:tcPr>
          <w:p w14:paraId="4C43F5D5">
            <w:pPr>
              <w:jc w:val="right"/>
            </w:pPr>
            <w:r>
              <w:rPr>
                <w:kern w:val="0"/>
              </w:rPr>
              <w:t>7.33</w:t>
            </w:r>
          </w:p>
        </w:tc>
      </w:tr>
      <w:tr w14:paraId="07CD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374DB7D5">
            <w:pPr>
              <w:spacing w:line="360" w:lineRule="auto"/>
              <w:jc w:val="left"/>
            </w:pPr>
            <w:r>
              <w:t>合计</w:t>
            </w:r>
          </w:p>
        </w:tc>
        <w:tc>
          <w:tcPr>
            <w:tcW w:w="2061" w:type="pct"/>
            <w:vAlign w:val="center"/>
          </w:tcPr>
          <w:p w14:paraId="3B923E92">
            <w:pPr>
              <w:spacing w:line="360" w:lineRule="auto"/>
              <w:jc w:val="center"/>
            </w:pPr>
          </w:p>
        </w:tc>
        <w:tc>
          <w:tcPr>
            <w:tcW w:w="1144" w:type="pct"/>
            <w:vAlign w:val="center"/>
          </w:tcPr>
          <w:p w14:paraId="747738DC">
            <w:pPr>
              <w:widowControl/>
              <w:spacing w:line="360" w:lineRule="auto"/>
              <w:jc w:val="right"/>
              <w:rPr>
                <w:kern w:val="0"/>
              </w:rPr>
            </w:pPr>
            <w:r>
              <w:rPr>
                <w:kern w:val="0"/>
              </w:rPr>
              <w:t>104,226,174.00</w:t>
            </w:r>
          </w:p>
        </w:tc>
        <w:tc>
          <w:tcPr>
            <w:tcW w:w="1202" w:type="pct"/>
            <w:vAlign w:val="center"/>
          </w:tcPr>
          <w:p w14:paraId="1CCD3740">
            <w:pPr>
              <w:widowControl/>
              <w:spacing w:line="360" w:lineRule="auto"/>
              <w:jc w:val="right"/>
              <w:rPr>
                <w:kern w:val="0"/>
              </w:rPr>
            </w:pPr>
            <w:r>
              <w:rPr>
                <w:kern w:val="0"/>
              </w:rPr>
              <w:t>7.33</w:t>
            </w:r>
          </w:p>
        </w:tc>
      </w:tr>
      <w:tr w14:paraId="3DE4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4"/>
          </w:tcPr>
          <w:p w14:paraId="6BC1A22B">
            <w:pPr>
              <w:widowControl/>
              <w:spacing w:line="360" w:lineRule="auto"/>
              <w:jc w:val="center"/>
              <w:rPr>
                <w:kern w:val="0"/>
              </w:rPr>
            </w:pPr>
            <w:r>
              <w:rPr>
                <w:kern w:val="0"/>
              </w:rPr>
              <w:t>上年度末</w:t>
            </w:r>
          </w:p>
          <w:p w14:paraId="7E7732CB">
            <w:pPr>
              <w:spacing w:line="360" w:lineRule="auto"/>
              <w:jc w:val="center"/>
              <w:rPr>
                <w:kern w:val="0"/>
              </w:rPr>
            </w:pPr>
            <w:r>
              <w:rPr>
                <w:kern w:val="0"/>
              </w:rPr>
              <w:t>2025年12月31日</w:t>
            </w:r>
          </w:p>
        </w:tc>
      </w:tr>
      <w:tr w14:paraId="35A8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060B9503">
            <w:pPr>
              <w:widowControl/>
              <w:spacing w:line="360" w:lineRule="auto"/>
              <w:jc w:val="center"/>
              <w:rPr>
                <w:kern w:val="0"/>
              </w:rPr>
            </w:pPr>
            <w:r>
              <w:rPr>
                <w:kern w:val="0"/>
              </w:rPr>
              <w:t>序号</w:t>
            </w:r>
          </w:p>
        </w:tc>
        <w:tc>
          <w:tcPr>
            <w:tcW w:w="2061" w:type="pct"/>
            <w:vAlign w:val="center"/>
          </w:tcPr>
          <w:p w14:paraId="056034C3">
            <w:pPr>
              <w:widowControl/>
              <w:spacing w:line="360" w:lineRule="auto"/>
              <w:jc w:val="center"/>
              <w:rPr>
                <w:kern w:val="0"/>
              </w:rPr>
            </w:pPr>
            <w:r>
              <w:rPr>
                <w:kern w:val="0"/>
              </w:rPr>
              <w:t>持有人名称</w:t>
            </w:r>
          </w:p>
        </w:tc>
        <w:tc>
          <w:tcPr>
            <w:tcW w:w="1144" w:type="pct"/>
            <w:vAlign w:val="center"/>
          </w:tcPr>
          <w:p w14:paraId="56D4D7CF">
            <w:pPr>
              <w:widowControl/>
              <w:spacing w:line="360" w:lineRule="auto"/>
              <w:jc w:val="center"/>
              <w:rPr>
                <w:kern w:val="0"/>
              </w:rPr>
            </w:pPr>
            <w:r>
              <w:rPr>
                <w:kern w:val="0"/>
              </w:rPr>
              <w:t>持有份额（份）</w:t>
            </w:r>
          </w:p>
        </w:tc>
        <w:tc>
          <w:tcPr>
            <w:tcW w:w="1202" w:type="pct"/>
            <w:vAlign w:val="center"/>
          </w:tcPr>
          <w:p w14:paraId="3E67F82A">
            <w:pPr>
              <w:widowControl/>
              <w:spacing w:line="360" w:lineRule="auto"/>
              <w:jc w:val="center"/>
              <w:rPr>
                <w:kern w:val="0"/>
              </w:rPr>
            </w:pPr>
            <w:r>
              <w:rPr>
                <w:kern w:val="0"/>
              </w:rPr>
              <w:t>占总份额比例（%）</w:t>
            </w:r>
          </w:p>
        </w:tc>
      </w:tr>
      <w:tr w14:paraId="51CDF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4D5498E9">
            <w:pPr>
              <w:jc w:val="center"/>
            </w:pPr>
            <w:r>
              <w:rPr>
                <w:kern w:val="0"/>
              </w:rPr>
              <w:t>1</w:t>
            </w:r>
          </w:p>
        </w:tc>
        <w:tc>
          <w:tcPr>
            <w:vAlign w:val="center"/>
          </w:tcPr>
          <w:p w14:paraId="3F92C719">
            <w:pPr>
              <w:jc w:val="left"/>
            </w:pPr>
            <w:r>
              <w:rPr>
                <w:kern w:val="0"/>
              </w:rPr>
              <w:t>招商局蛇口工业区控股股份有限公司</w:t>
            </w:r>
          </w:p>
        </w:tc>
        <w:tc>
          <w:tcPr>
            <w:vAlign w:val="center"/>
          </w:tcPr>
          <w:p w14:paraId="37B89F5F">
            <w:pPr>
              <w:jc w:val="right"/>
            </w:pPr>
            <w:r>
              <w:rPr>
                <w:kern w:val="0"/>
              </w:rPr>
              <w:t>180,000,000.00</w:t>
            </w:r>
          </w:p>
        </w:tc>
        <w:tc>
          <w:tcPr>
            <w:vAlign w:val="center"/>
          </w:tcPr>
          <w:p w14:paraId="6DBD629D">
            <w:pPr>
              <w:jc w:val="right"/>
            </w:pPr>
            <w:r>
              <w:rPr>
                <w:kern w:val="0"/>
              </w:rPr>
              <w:t>12.67</w:t>
            </w:r>
          </w:p>
        </w:tc>
      </w:tr>
      <w:tr w14:paraId="7BA5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vAlign w:val="center"/>
          </w:tcPr>
          <w:p w14:paraId="52984EB7">
            <w:pPr>
              <w:jc w:val="center"/>
            </w:pPr>
            <w:r>
              <w:rPr>
                <w:kern w:val="0"/>
              </w:rPr>
              <w:t>2</w:t>
            </w:r>
          </w:p>
        </w:tc>
        <w:tc>
          <w:tcPr>
            <w:vAlign w:val="center"/>
          </w:tcPr>
          <w:p w14:paraId="7D50950F">
            <w:pPr>
              <w:jc w:val="left"/>
            </w:pPr>
            <w:r>
              <w:rPr>
                <w:kern w:val="0"/>
              </w:rPr>
              <w:t>招商局光明科技园有限公司</w:t>
            </w:r>
          </w:p>
        </w:tc>
        <w:tc>
          <w:tcPr>
            <w:vAlign w:val="center"/>
          </w:tcPr>
          <w:p w14:paraId="61156C01">
            <w:pPr>
              <w:jc w:val="right"/>
            </w:pPr>
            <w:r>
              <w:rPr>
                <w:kern w:val="0"/>
              </w:rPr>
              <w:t>166,761,877.00</w:t>
            </w:r>
          </w:p>
        </w:tc>
        <w:tc>
          <w:tcPr>
            <w:vAlign w:val="center"/>
          </w:tcPr>
          <w:p w14:paraId="3EE81530">
            <w:pPr>
              <w:jc w:val="right"/>
            </w:pPr>
            <w:r>
              <w:rPr>
                <w:kern w:val="0"/>
              </w:rPr>
              <w:t>11.73</w:t>
            </w:r>
          </w:p>
        </w:tc>
      </w:tr>
      <w:tr w14:paraId="762D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93" w:type="pct"/>
            <w:vAlign w:val="center"/>
          </w:tcPr>
          <w:p w14:paraId="194DCF70">
            <w:pPr>
              <w:spacing w:line="360" w:lineRule="auto"/>
              <w:jc w:val="left"/>
            </w:pPr>
            <w:r>
              <w:t>合计</w:t>
            </w:r>
          </w:p>
        </w:tc>
        <w:tc>
          <w:tcPr>
            <w:tcW w:w="2061" w:type="pct"/>
            <w:vAlign w:val="center"/>
          </w:tcPr>
          <w:p w14:paraId="591BC305">
            <w:pPr>
              <w:spacing w:line="360" w:lineRule="auto"/>
              <w:jc w:val="center"/>
            </w:pPr>
          </w:p>
        </w:tc>
        <w:tc>
          <w:tcPr>
            <w:tcW w:w="1144" w:type="pct"/>
            <w:vAlign w:val="center"/>
          </w:tcPr>
          <w:p w14:paraId="19156DA9">
            <w:pPr>
              <w:widowControl/>
              <w:spacing w:line="360" w:lineRule="auto"/>
              <w:jc w:val="right"/>
              <w:rPr>
                <w:kern w:val="0"/>
              </w:rPr>
            </w:pPr>
            <w:r>
              <w:rPr>
                <w:kern w:val="0"/>
              </w:rPr>
              <w:t>346,761,877.00</w:t>
            </w:r>
          </w:p>
        </w:tc>
        <w:tc>
          <w:tcPr>
            <w:tcW w:w="1202" w:type="pct"/>
            <w:vAlign w:val="center"/>
          </w:tcPr>
          <w:p w14:paraId="661CB3E0">
            <w:pPr>
              <w:widowControl/>
              <w:spacing w:line="360" w:lineRule="auto"/>
              <w:jc w:val="right"/>
              <w:rPr>
                <w:kern w:val="0"/>
              </w:rPr>
            </w:pPr>
            <w:r>
              <w:rPr>
                <w:kern w:val="0"/>
              </w:rPr>
              <w:t>24.40</w:t>
            </w:r>
          </w:p>
        </w:tc>
      </w:tr>
    </w:tbl>
    <w:p w14:paraId="7DA5650D">
      <w:pPr>
        <w:pStyle w:val="3"/>
        <w:rPr>
          <w:rFonts w:ascii="Times New Roman" w:hAnsi="Times New Roman" w:cs="Times New Roman"/>
          <w:sz w:val="21"/>
          <w:szCs w:val="21"/>
        </w:rPr>
      </w:pPr>
      <w:bookmarkStart w:id="420" w:name="_Toc4051"/>
      <w:r>
        <w:rPr>
          <w:rFonts w:ascii="Times New Roman" w:hAnsi="Times New Roman" w:cs="Times New Roman"/>
          <w:kern w:val="0"/>
          <w:sz w:val="21"/>
          <w:szCs w:val="21"/>
        </w:rPr>
        <w:t>10.4</w:t>
      </w:r>
      <w:r>
        <w:rPr>
          <w:rFonts w:ascii="Times New Roman" w:hAnsi="Times New Roman" w:cs="Times New Roman"/>
          <w:sz w:val="21"/>
          <w:szCs w:val="21"/>
        </w:rPr>
        <w:t xml:space="preserve"> 期末基金管理人的从业人员持有本</w:t>
      </w:r>
      <w:r>
        <w:rPr>
          <w:rFonts w:hint="eastAsia" w:ascii="Times New Roman" w:hAnsi="Times New Roman" w:cs="Times New Roman"/>
          <w:sz w:val="21"/>
          <w:szCs w:val="21"/>
        </w:rPr>
        <w:t>不动产</w:t>
      </w:r>
      <w:r>
        <w:rPr>
          <w:rFonts w:ascii="Times New Roman" w:hAnsi="Times New Roman" w:cs="Times New Roman"/>
          <w:sz w:val="21"/>
          <w:szCs w:val="21"/>
        </w:rPr>
        <w:t>基金的情况</w:t>
      </w:r>
      <w:bookmarkEnd w:id="393"/>
      <w:bookmarkEnd w:id="394"/>
      <w:bookmarkEnd w:id="395"/>
      <w:bookmarkEnd w:id="396"/>
      <w:bookmarkEnd w:id="397"/>
      <w:bookmarkEnd w:id="398"/>
      <w:bookmarkEnd w:id="399"/>
      <w:bookmarkEnd w:id="400"/>
      <w:bookmarkEnd w:id="401"/>
      <w:bookmarkEnd w:id="420"/>
    </w:p>
    <w:tbl>
      <w:tblPr>
        <w:tblStyle w:val="41"/>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3142"/>
        <w:gridCol w:w="2694"/>
      </w:tblGrid>
      <w:tr w14:paraId="7C5A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37" w:type="dxa"/>
            <w:vAlign w:val="center"/>
          </w:tcPr>
          <w:p w14:paraId="4D229277">
            <w:pPr>
              <w:widowControl/>
              <w:spacing w:line="360" w:lineRule="auto"/>
              <w:jc w:val="center"/>
              <w:rPr>
                <w:kern w:val="0"/>
              </w:rPr>
            </w:pPr>
            <w:r>
              <w:rPr>
                <w:kern w:val="0"/>
              </w:rPr>
              <w:t>项目</w:t>
            </w:r>
          </w:p>
        </w:tc>
        <w:tc>
          <w:tcPr>
            <w:tcW w:w="3142" w:type="dxa"/>
            <w:vAlign w:val="center"/>
          </w:tcPr>
          <w:p w14:paraId="4259CB0D">
            <w:pPr>
              <w:widowControl/>
              <w:spacing w:line="360" w:lineRule="auto"/>
              <w:jc w:val="center"/>
              <w:rPr>
                <w:kern w:val="0"/>
              </w:rPr>
            </w:pPr>
            <w:r>
              <w:rPr>
                <w:kern w:val="0"/>
              </w:rPr>
              <w:t>持有份额总数（份）</w:t>
            </w:r>
          </w:p>
        </w:tc>
        <w:tc>
          <w:tcPr>
            <w:tcW w:w="2694" w:type="dxa"/>
            <w:vAlign w:val="center"/>
          </w:tcPr>
          <w:p w14:paraId="09CF9A2D">
            <w:pPr>
              <w:widowControl/>
              <w:spacing w:line="360" w:lineRule="auto"/>
              <w:jc w:val="center"/>
              <w:rPr>
                <w:kern w:val="0"/>
              </w:rPr>
            </w:pPr>
            <w:r>
              <w:rPr>
                <w:kern w:val="0"/>
              </w:rPr>
              <w:t>占</w:t>
            </w:r>
            <w:r>
              <w:rPr>
                <w:rFonts w:hint="eastAsia"/>
                <w:kern w:val="0"/>
              </w:rPr>
              <w:t>不动产</w:t>
            </w:r>
            <w:r>
              <w:rPr>
                <w:kern w:val="0"/>
              </w:rPr>
              <w:t>基金总份额比例</w:t>
            </w:r>
          </w:p>
        </w:tc>
      </w:tr>
      <w:tr w14:paraId="6EC2E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7" w:type="dxa"/>
            <w:vAlign w:val="center"/>
          </w:tcPr>
          <w:p w14:paraId="33E5199E">
            <w:pPr>
              <w:spacing w:line="360" w:lineRule="auto"/>
              <w:jc w:val="left"/>
            </w:pPr>
            <w:r>
              <w:t>基金管理人所有从业人员持有本</w:t>
            </w:r>
            <w:r>
              <w:rPr>
                <w:rFonts w:hint="eastAsia"/>
              </w:rPr>
              <w:t>不动产</w:t>
            </w:r>
            <w:r>
              <w:t>基金</w:t>
            </w:r>
          </w:p>
        </w:tc>
        <w:tc>
          <w:tcPr>
            <w:tcW w:w="3142" w:type="dxa"/>
            <w:vAlign w:val="center"/>
          </w:tcPr>
          <w:p w14:paraId="77148CF3">
            <w:pPr>
              <w:widowControl/>
              <w:spacing w:line="360" w:lineRule="auto"/>
              <w:jc w:val="right"/>
              <w:rPr>
                <w:kern w:val="0"/>
              </w:rPr>
            </w:pPr>
            <w:r>
              <w:rPr>
                <w:kern w:val="0"/>
              </w:rPr>
              <w:t>33,771.00</w:t>
            </w:r>
          </w:p>
        </w:tc>
        <w:tc>
          <w:tcPr>
            <w:tcW w:w="2694" w:type="dxa"/>
            <w:vAlign w:val="center"/>
          </w:tcPr>
          <w:p w14:paraId="6A703C36">
            <w:pPr>
              <w:widowControl/>
              <w:spacing w:line="360" w:lineRule="auto"/>
              <w:jc w:val="right"/>
              <w:rPr>
                <w:kern w:val="0"/>
              </w:rPr>
            </w:pPr>
            <w:r>
              <w:rPr>
                <w:kern w:val="0"/>
              </w:rPr>
              <w:t>0.00%</w:t>
            </w:r>
          </w:p>
        </w:tc>
      </w:tr>
    </w:tbl>
    <w:p w14:paraId="26041270">
      <w:pPr>
        <w:pStyle w:val="2"/>
        <w:spacing w:before="312" w:beforeLines="100" w:after="312" w:afterLines="100" w:line="360" w:lineRule="auto"/>
        <w:jc w:val="center"/>
        <w:rPr>
          <w:kern w:val="0"/>
          <w:sz w:val="21"/>
          <w:szCs w:val="21"/>
        </w:rPr>
      </w:pPr>
      <w:bookmarkStart w:id="421" w:name="_Toc1212"/>
      <w:bookmarkStart w:id="422" w:name="_Toc98509005"/>
      <w:bookmarkStart w:id="423" w:name="_Toc98512424"/>
      <w:bookmarkStart w:id="424" w:name="_Toc98601374"/>
      <w:bookmarkStart w:id="425" w:name="_Toc98511668"/>
      <w:bookmarkStart w:id="426" w:name="_Toc98602723"/>
      <w:bookmarkStart w:id="427" w:name="_Toc98603033"/>
      <w:r>
        <w:rPr>
          <w:kern w:val="0"/>
          <w:sz w:val="21"/>
          <w:szCs w:val="21"/>
        </w:rPr>
        <w:t xml:space="preserve">§11  </w:t>
      </w:r>
      <w:r>
        <w:rPr>
          <w:rFonts w:hint="eastAsia"/>
          <w:kern w:val="0"/>
          <w:sz w:val="21"/>
          <w:szCs w:val="21"/>
        </w:rPr>
        <w:t>不动产</w:t>
      </w:r>
      <w:r>
        <w:rPr>
          <w:kern w:val="0"/>
          <w:sz w:val="21"/>
          <w:szCs w:val="21"/>
        </w:rPr>
        <w:t>基金份额变动情况</w:t>
      </w:r>
      <w:bookmarkEnd w:id="421"/>
      <w:bookmarkEnd w:id="422"/>
      <w:bookmarkEnd w:id="423"/>
      <w:bookmarkEnd w:id="424"/>
      <w:bookmarkEnd w:id="425"/>
      <w:bookmarkEnd w:id="426"/>
      <w:bookmarkEnd w:id="427"/>
    </w:p>
    <w:p w14:paraId="054416CD">
      <w:pPr>
        <w:autoSpaceDE w:val="0"/>
        <w:autoSpaceDN w:val="0"/>
        <w:adjustRightInd w:val="0"/>
        <w:spacing w:before="29" w:line="360" w:lineRule="auto"/>
        <w:ind w:left="15"/>
        <w:jc w:val="right"/>
        <w:rPr>
          <w:kern w:val="0"/>
        </w:rPr>
      </w:pPr>
      <w:r>
        <w:rPr>
          <w:kern w:val="0"/>
        </w:rPr>
        <w:t>单位：份</w:t>
      </w:r>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7"/>
        <w:gridCol w:w="4536"/>
      </w:tblGrid>
      <w:tr w14:paraId="7E1D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537" w:type="dxa"/>
            <w:vAlign w:val="center"/>
          </w:tcPr>
          <w:p w14:paraId="202B6E39">
            <w:pPr>
              <w:autoSpaceDE w:val="0"/>
              <w:autoSpaceDN w:val="0"/>
              <w:adjustRightInd w:val="0"/>
              <w:spacing w:before="29" w:line="360" w:lineRule="auto"/>
              <w:ind w:left="17"/>
              <w:rPr>
                <w:kern w:val="0"/>
              </w:rPr>
            </w:pPr>
            <w:r>
              <w:rPr>
                <w:rFonts w:hint="eastAsia"/>
                <w:kern w:val="0"/>
              </w:rPr>
              <w:t>不动产</w:t>
            </w:r>
            <w:r>
              <w:rPr>
                <w:kern w:val="0"/>
              </w:rPr>
              <w:t>基金合同生效日(2021年6月7日)基金份额总额</w:t>
            </w:r>
          </w:p>
        </w:tc>
        <w:tc>
          <w:tcPr>
            <w:tcW w:w="4536" w:type="dxa"/>
            <w:vAlign w:val="center"/>
          </w:tcPr>
          <w:p w14:paraId="3D303994">
            <w:pPr>
              <w:autoSpaceDE w:val="0"/>
              <w:autoSpaceDN w:val="0"/>
              <w:adjustRightInd w:val="0"/>
              <w:spacing w:before="29" w:line="360" w:lineRule="auto"/>
              <w:ind w:left="17"/>
              <w:jc w:val="right"/>
            </w:pPr>
            <w:r>
              <w:t>900,000,000.00</w:t>
            </w:r>
          </w:p>
        </w:tc>
      </w:tr>
      <w:tr w14:paraId="5C4D4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7" w:type="dxa"/>
            <w:vAlign w:val="center"/>
          </w:tcPr>
          <w:p w14:paraId="551300E7">
            <w:pPr>
              <w:autoSpaceDE w:val="0"/>
              <w:autoSpaceDN w:val="0"/>
              <w:adjustRightInd w:val="0"/>
              <w:spacing w:before="29" w:line="360" w:lineRule="auto"/>
              <w:ind w:left="17"/>
              <w:rPr>
                <w:kern w:val="0"/>
              </w:rPr>
            </w:pPr>
            <w:r>
              <w:rPr>
                <w:kern w:val="0"/>
              </w:rPr>
              <w:t>报告期期初</w:t>
            </w:r>
            <w:r>
              <w:rPr>
                <w:rFonts w:hint="eastAsia"/>
                <w:kern w:val="0"/>
              </w:rPr>
              <w:t>不动产</w:t>
            </w:r>
            <w:r>
              <w:rPr>
                <w:kern w:val="0"/>
              </w:rPr>
              <w:t>基金份额总额</w:t>
            </w:r>
          </w:p>
        </w:tc>
        <w:tc>
          <w:tcPr>
            <w:tcW w:w="4536" w:type="dxa"/>
            <w:vAlign w:val="center"/>
          </w:tcPr>
          <w:p w14:paraId="55168731">
            <w:pPr>
              <w:autoSpaceDE w:val="0"/>
              <w:autoSpaceDN w:val="0"/>
              <w:adjustRightInd w:val="0"/>
              <w:spacing w:before="29" w:line="360" w:lineRule="auto"/>
              <w:ind w:left="17"/>
              <w:jc w:val="right"/>
            </w:pPr>
            <w:r>
              <w:t>1,421,130,866.00</w:t>
            </w:r>
          </w:p>
        </w:tc>
      </w:tr>
      <w:tr w14:paraId="1F132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7" w:type="dxa"/>
            <w:vAlign w:val="center"/>
          </w:tcPr>
          <w:p w14:paraId="0D412256">
            <w:pPr>
              <w:autoSpaceDE w:val="0"/>
              <w:autoSpaceDN w:val="0"/>
              <w:adjustRightInd w:val="0"/>
              <w:spacing w:before="29" w:line="360" w:lineRule="auto"/>
              <w:ind w:left="17"/>
              <w:rPr>
                <w:kern w:val="0"/>
              </w:rPr>
            </w:pPr>
            <w:r>
              <w:rPr>
                <w:kern w:val="0"/>
              </w:rPr>
              <w:t>本报告期</w:t>
            </w:r>
            <w:r>
              <w:rPr>
                <w:rFonts w:hint="eastAsia"/>
                <w:kern w:val="0"/>
              </w:rPr>
              <w:t>不动产</w:t>
            </w:r>
            <w:r>
              <w:rPr>
                <w:kern w:val="0"/>
              </w:rPr>
              <w:t>基金份额变动情况</w:t>
            </w:r>
          </w:p>
        </w:tc>
        <w:tc>
          <w:tcPr>
            <w:tcW w:w="4536" w:type="dxa"/>
            <w:vAlign w:val="center"/>
          </w:tcPr>
          <w:p w14:paraId="16CF0583">
            <w:pPr>
              <w:autoSpaceDE w:val="0"/>
              <w:autoSpaceDN w:val="0"/>
              <w:adjustRightInd w:val="0"/>
              <w:spacing w:before="29" w:line="360" w:lineRule="auto"/>
              <w:ind w:left="17"/>
              <w:jc w:val="right"/>
            </w:pPr>
            <w:r>
              <w:t>-</w:t>
            </w:r>
          </w:p>
        </w:tc>
      </w:tr>
      <w:tr w14:paraId="3296E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7" w:type="dxa"/>
            <w:vAlign w:val="center"/>
          </w:tcPr>
          <w:p w14:paraId="3D3111AE">
            <w:pPr>
              <w:autoSpaceDE w:val="0"/>
              <w:autoSpaceDN w:val="0"/>
              <w:adjustRightInd w:val="0"/>
              <w:spacing w:before="29" w:line="360" w:lineRule="auto"/>
              <w:ind w:left="17"/>
              <w:rPr>
                <w:kern w:val="0"/>
              </w:rPr>
            </w:pPr>
            <w:r>
              <w:rPr>
                <w:kern w:val="0"/>
              </w:rPr>
              <w:t>报告期期末</w:t>
            </w:r>
            <w:r>
              <w:rPr>
                <w:rFonts w:hint="eastAsia"/>
                <w:kern w:val="0"/>
              </w:rPr>
              <w:t>不动产</w:t>
            </w:r>
            <w:r>
              <w:rPr>
                <w:kern w:val="0"/>
              </w:rPr>
              <w:t>基金份额总额</w:t>
            </w:r>
          </w:p>
        </w:tc>
        <w:tc>
          <w:tcPr>
            <w:tcW w:w="4536" w:type="dxa"/>
            <w:vAlign w:val="center"/>
          </w:tcPr>
          <w:p w14:paraId="1E801448">
            <w:pPr>
              <w:autoSpaceDE w:val="0"/>
              <w:autoSpaceDN w:val="0"/>
              <w:adjustRightInd w:val="0"/>
              <w:spacing w:before="29" w:line="360" w:lineRule="auto"/>
              <w:ind w:left="17"/>
              <w:jc w:val="right"/>
            </w:pPr>
            <w:r>
              <w:t>1,421,130,866.00</w:t>
            </w:r>
          </w:p>
        </w:tc>
      </w:tr>
    </w:tbl>
    <w:p w14:paraId="19CAC63E">
      <w:pPr>
        <w:pStyle w:val="2"/>
        <w:spacing w:before="312" w:beforeLines="100" w:after="312" w:afterLines="100" w:line="360" w:lineRule="auto"/>
        <w:jc w:val="center"/>
        <w:rPr>
          <w:kern w:val="0"/>
          <w:sz w:val="21"/>
          <w:szCs w:val="21"/>
        </w:rPr>
      </w:pPr>
      <w:bookmarkStart w:id="428" w:name="_Toc98512425"/>
      <w:bookmarkStart w:id="429" w:name="_Toc98601375"/>
      <w:bookmarkStart w:id="430" w:name="_Toc98509006"/>
      <w:bookmarkStart w:id="431" w:name="_Toc98511669"/>
      <w:bookmarkStart w:id="432" w:name="_Toc98603034"/>
      <w:bookmarkStart w:id="433" w:name="_Toc22726"/>
      <w:bookmarkStart w:id="434" w:name="_Toc361324893"/>
      <w:bookmarkStart w:id="435" w:name="_Toc225500054"/>
      <w:bookmarkStart w:id="436" w:name="_Toc64625419"/>
      <w:bookmarkStart w:id="437" w:name="_Toc98602724"/>
      <w:bookmarkStart w:id="438" w:name="_Toc86080629"/>
      <w:r>
        <w:rPr>
          <w:kern w:val="0"/>
          <w:sz w:val="21"/>
          <w:szCs w:val="21"/>
        </w:rPr>
        <w:t>§12  重大事件揭示</w:t>
      </w:r>
      <w:bookmarkEnd w:id="428"/>
      <w:bookmarkEnd w:id="429"/>
      <w:bookmarkEnd w:id="430"/>
      <w:bookmarkEnd w:id="431"/>
      <w:bookmarkEnd w:id="432"/>
      <w:bookmarkEnd w:id="433"/>
      <w:bookmarkEnd w:id="434"/>
      <w:bookmarkEnd w:id="435"/>
      <w:bookmarkEnd w:id="436"/>
      <w:bookmarkEnd w:id="437"/>
    </w:p>
    <w:bookmarkEnd w:id="438"/>
    <w:p w14:paraId="132406E7">
      <w:pPr>
        <w:pStyle w:val="3"/>
        <w:spacing w:before="0" w:after="0"/>
        <w:rPr>
          <w:rFonts w:ascii="Times New Roman" w:hAnsi="Times New Roman" w:cs="Times New Roman"/>
          <w:kern w:val="0"/>
          <w:sz w:val="21"/>
          <w:szCs w:val="21"/>
        </w:rPr>
      </w:pPr>
      <w:bookmarkStart w:id="439" w:name="_Toc98603035"/>
      <w:bookmarkStart w:id="440" w:name="_Toc98512426"/>
      <w:bookmarkStart w:id="441" w:name="_Toc98511670"/>
      <w:bookmarkStart w:id="442" w:name="_Toc98601376"/>
      <w:bookmarkStart w:id="443" w:name="_Toc98509007"/>
      <w:bookmarkStart w:id="444" w:name="_Toc64625420"/>
      <w:bookmarkStart w:id="445" w:name="_Toc361324894"/>
      <w:bookmarkStart w:id="446" w:name="_Toc98602725"/>
      <w:bookmarkStart w:id="447" w:name="_Toc23624"/>
      <w:bookmarkStart w:id="448" w:name="_Toc86080630"/>
      <w:r>
        <w:rPr>
          <w:rFonts w:ascii="Times New Roman" w:hAnsi="Times New Roman" w:cs="Times New Roman"/>
          <w:kern w:val="0"/>
          <w:sz w:val="21"/>
          <w:szCs w:val="21"/>
        </w:rPr>
        <w:t>12.1 基金份额持有人大会决议</w:t>
      </w:r>
      <w:bookmarkEnd w:id="439"/>
      <w:bookmarkEnd w:id="440"/>
      <w:bookmarkEnd w:id="441"/>
      <w:bookmarkEnd w:id="442"/>
      <w:bookmarkEnd w:id="443"/>
      <w:bookmarkEnd w:id="444"/>
      <w:bookmarkEnd w:id="445"/>
      <w:bookmarkEnd w:id="446"/>
      <w:bookmarkEnd w:id="447"/>
    </w:p>
    <w:p w14:paraId="68297F3E">
      <w:pPr>
        <w:spacing w:line="360" w:lineRule="auto"/>
        <w:ind w:firstLine="420" w:firstLineChars="200"/>
      </w:pPr>
      <w:r>
        <w:t>本基金报告期内未召开持有人大会。</w:t>
      </w:r>
    </w:p>
    <w:bookmarkEnd w:id="448"/>
    <w:p w14:paraId="1B0357A0">
      <w:pPr>
        <w:pStyle w:val="3"/>
        <w:spacing w:before="0" w:after="0"/>
        <w:rPr>
          <w:rFonts w:ascii="Times New Roman" w:hAnsi="Times New Roman" w:cs="Times New Roman"/>
          <w:kern w:val="0"/>
          <w:sz w:val="21"/>
          <w:szCs w:val="21"/>
        </w:rPr>
      </w:pPr>
      <w:bookmarkStart w:id="449" w:name="_Toc98512427"/>
      <w:bookmarkStart w:id="450" w:name="_Toc98511671"/>
      <w:bookmarkStart w:id="451" w:name="_Toc98509008"/>
      <w:bookmarkStart w:id="452" w:name="_Toc64625421"/>
      <w:bookmarkStart w:id="453" w:name="_Toc19216"/>
      <w:bookmarkStart w:id="454" w:name="_Toc361324895"/>
      <w:bookmarkStart w:id="455" w:name="_Toc98602726"/>
      <w:bookmarkStart w:id="456" w:name="_Toc98603036"/>
      <w:bookmarkStart w:id="457" w:name="_Toc98601377"/>
      <w:bookmarkStart w:id="458" w:name="_Toc86080631"/>
      <w:r>
        <w:rPr>
          <w:rFonts w:ascii="Times New Roman" w:hAnsi="Times New Roman" w:cs="Times New Roman"/>
          <w:kern w:val="0"/>
          <w:sz w:val="21"/>
          <w:szCs w:val="21"/>
        </w:rPr>
        <w:t>12.2 基金管理人、基金托管人的专门</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基金托管部门的重大人事变动</w:t>
      </w:r>
      <w:bookmarkEnd w:id="449"/>
      <w:bookmarkEnd w:id="450"/>
      <w:bookmarkEnd w:id="451"/>
      <w:bookmarkEnd w:id="452"/>
      <w:bookmarkEnd w:id="453"/>
      <w:bookmarkEnd w:id="454"/>
      <w:bookmarkEnd w:id="455"/>
      <w:bookmarkEnd w:id="456"/>
      <w:bookmarkEnd w:id="457"/>
    </w:p>
    <w:p w14:paraId="37A6701C">
      <w:pPr>
        <w:spacing w:line="360" w:lineRule="auto"/>
        <w:ind w:firstLine="420" w:firstLineChars="200"/>
      </w:pPr>
      <w:r>
        <w:t>基金管理人于2026年02月14日发布了《博时基金管理有限公司关于高级管理人员变更的公告》，张东先生代任公司首席信息官，王德英先生离任公司副总经理、公司首席信息官。</w:t>
      </w:r>
    </w:p>
    <w:p w14:paraId="6A455064">
      <w:pPr>
        <w:spacing w:line="360" w:lineRule="auto"/>
        <w:ind w:firstLine="420" w:firstLineChars="200"/>
      </w:pPr>
      <w:r>
        <w:t>本报告期内，基金托管人的专门不动产基金托管部门无重大人事变动。</w:t>
      </w:r>
    </w:p>
    <w:bookmarkEnd w:id="458"/>
    <w:p w14:paraId="7F305916">
      <w:pPr>
        <w:pStyle w:val="3"/>
        <w:spacing w:before="0" w:after="0"/>
        <w:rPr>
          <w:rFonts w:ascii="Times New Roman" w:hAnsi="Times New Roman" w:cs="Times New Roman"/>
          <w:kern w:val="0"/>
          <w:sz w:val="21"/>
          <w:szCs w:val="21"/>
        </w:rPr>
      </w:pPr>
      <w:bookmarkStart w:id="459" w:name="_Toc98512430"/>
      <w:bookmarkStart w:id="460" w:name="_Toc98601380"/>
      <w:bookmarkStart w:id="461" w:name="_Toc64625423"/>
      <w:bookmarkStart w:id="462" w:name="_Toc98511674"/>
      <w:bookmarkStart w:id="463" w:name="_Toc98602729"/>
      <w:bookmarkStart w:id="464" w:name="_Toc27195"/>
      <w:bookmarkStart w:id="465" w:name="_Toc361324897"/>
      <w:bookmarkStart w:id="466" w:name="_Toc98509011"/>
      <w:bookmarkStart w:id="467" w:name="_Toc98603039"/>
      <w:bookmarkStart w:id="468" w:name="_Toc86080634"/>
      <w:r>
        <w:rPr>
          <w:rFonts w:ascii="Times New Roman" w:hAnsi="Times New Roman" w:cs="Times New Roman"/>
          <w:kern w:val="0"/>
          <w:sz w:val="21"/>
          <w:szCs w:val="21"/>
        </w:rPr>
        <w:t xml:space="preserve">12.3 </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基金投资策略的改变</w:t>
      </w:r>
      <w:bookmarkEnd w:id="459"/>
      <w:bookmarkEnd w:id="460"/>
      <w:bookmarkEnd w:id="461"/>
      <w:bookmarkEnd w:id="462"/>
      <w:bookmarkEnd w:id="463"/>
      <w:bookmarkEnd w:id="464"/>
      <w:bookmarkEnd w:id="465"/>
      <w:bookmarkEnd w:id="466"/>
      <w:bookmarkEnd w:id="467"/>
    </w:p>
    <w:p w14:paraId="7CD69A39">
      <w:pPr>
        <w:spacing w:line="360" w:lineRule="auto"/>
        <w:ind w:firstLine="420" w:firstLineChars="200"/>
      </w:pPr>
      <w:r>
        <w:t>报告期内本基金投资策略未改变。</w:t>
      </w:r>
    </w:p>
    <w:bookmarkEnd w:id="468"/>
    <w:p w14:paraId="4FE77903">
      <w:pPr>
        <w:pStyle w:val="3"/>
        <w:spacing w:before="0" w:after="0"/>
        <w:rPr>
          <w:rFonts w:ascii="Times New Roman" w:hAnsi="Times New Roman" w:cs="Times New Roman"/>
          <w:kern w:val="0"/>
          <w:sz w:val="21"/>
          <w:szCs w:val="21"/>
        </w:rPr>
      </w:pPr>
      <w:bookmarkStart w:id="469" w:name="_Toc98512431"/>
      <w:bookmarkStart w:id="470" w:name="_Toc98509012"/>
      <w:bookmarkStart w:id="471" w:name="_Toc64625425"/>
      <w:bookmarkStart w:id="472" w:name="_Toc98601381"/>
      <w:bookmarkStart w:id="473" w:name="_Toc409100103"/>
      <w:bookmarkStart w:id="474" w:name="_Toc409100466"/>
      <w:bookmarkStart w:id="475" w:name="_Toc98602730"/>
      <w:bookmarkStart w:id="476" w:name="_Toc98511675"/>
      <w:bookmarkStart w:id="477" w:name="_Toc993"/>
      <w:bookmarkStart w:id="478" w:name="_Toc98603040"/>
      <w:r>
        <w:rPr>
          <w:rFonts w:ascii="Times New Roman" w:hAnsi="Times New Roman" w:cs="Times New Roman"/>
          <w:kern w:val="0"/>
          <w:sz w:val="21"/>
          <w:szCs w:val="21"/>
        </w:rPr>
        <w:t>12.4 为</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基金进行</w:t>
      </w:r>
      <w:r>
        <w:rPr>
          <w:rFonts w:ascii="Times New Roman" w:hAnsi="Times New Roman" w:cs="Times New Roman"/>
          <w:sz w:val="21"/>
          <w:szCs w:val="21"/>
        </w:rPr>
        <w:t>审计的会计师事务所情况</w:t>
      </w:r>
      <w:bookmarkEnd w:id="469"/>
      <w:bookmarkEnd w:id="470"/>
      <w:bookmarkEnd w:id="471"/>
      <w:bookmarkEnd w:id="472"/>
      <w:bookmarkEnd w:id="473"/>
      <w:bookmarkEnd w:id="474"/>
      <w:bookmarkEnd w:id="475"/>
      <w:bookmarkEnd w:id="476"/>
      <w:bookmarkEnd w:id="477"/>
      <w:bookmarkEnd w:id="478"/>
    </w:p>
    <w:p w14:paraId="7E1A4F1D">
      <w:pPr>
        <w:spacing w:line="360" w:lineRule="auto"/>
        <w:ind w:firstLine="420" w:firstLineChars="200"/>
      </w:pPr>
      <w:r>
        <w:t>本基金自2024年起改聘容诚会计师事务所（特殊普通合伙）为本基金提供审计服务。</w:t>
      </w:r>
    </w:p>
    <w:p w14:paraId="525A025F">
      <w:pPr>
        <w:pStyle w:val="3"/>
        <w:spacing w:before="0" w:after="0"/>
        <w:rPr>
          <w:rFonts w:ascii="Times New Roman" w:hAnsi="Times New Roman" w:cs="Times New Roman"/>
          <w:kern w:val="0"/>
          <w:sz w:val="21"/>
          <w:szCs w:val="21"/>
        </w:rPr>
      </w:pPr>
      <w:bookmarkStart w:id="479" w:name="_Toc98509013"/>
      <w:bookmarkStart w:id="480" w:name="_Toc98512432"/>
      <w:bookmarkStart w:id="481" w:name="_Toc98601382"/>
      <w:bookmarkStart w:id="482" w:name="_Toc98511676"/>
      <w:bookmarkStart w:id="483" w:name="_Toc86080635"/>
      <w:bookmarkStart w:id="484" w:name="_Toc98603041"/>
      <w:bookmarkStart w:id="485" w:name="_Toc25703"/>
      <w:bookmarkStart w:id="486" w:name="_Toc98602731"/>
      <w:bookmarkStart w:id="487" w:name="OLE_LINK3"/>
      <w:r>
        <w:rPr>
          <w:rFonts w:ascii="Times New Roman" w:hAnsi="Times New Roman" w:cs="Times New Roman"/>
          <w:kern w:val="0"/>
          <w:sz w:val="21"/>
          <w:szCs w:val="21"/>
        </w:rPr>
        <w:t>12.5 为</w:t>
      </w:r>
      <w:r>
        <w:rPr>
          <w:rFonts w:hint="eastAsia" w:ascii="Times New Roman" w:hAnsi="Times New Roman" w:cs="Times New Roman"/>
          <w:kern w:val="0"/>
          <w:sz w:val="21"/>
          <w:szCs w:val="21"/>
        </w:rPr>
        <w:t>不动产</w:t>
      </w:r>
      <w:r>
        <w:rPr>
          <w:rFonts w:ascii="Times New Roman" w:hAnsi="Times New Roman" w:cs="Times New Roman"/>
          <w:kern w:val="0"/>
          <w:sz w:val="21"/>
          <w:szCs w:val="21"/>
        </w:rPr>
        <w:t>基金出具评估报告的评估机构情况</w:t>
      </w:r>
      <w:bookmarkEnd w:id="479"/>
      <w:bookmarkEnd w:id="480"/>
      <w:bookmarkEnd w:id="481"/>
      <w:bookmarkEnd w:id="482"/>
      <w:bookmarkEnd w:id="483"/>
      <w:bookmarkEnd w:id="484"/>
      <w:bookmarkEnd w:id="485"/>
      <w:bookmarkEnd w:id="486"/>
    </w:p>
    <w:p w14:paraId="6219D3A5">
      <w:pPr>
        <w:spacing w:line="360" w:lineRule="auto"/>
        <w:ind w:firstLine="420" w:firstLineChars="200"/>
      </w:pPr>
      <w:r>
        <w:t>本报告期内，评估机构未发生改聘，仍为国众联资产评估土地房地产估价有限公司（下称“国众联评估”），本基金按照合同约定向评估机构支付服务费用。国众联评估为本基金首次提供评估服务的报告时点为2023年12月31日，连续服务年限未超过3年。</w:t>
      </w:r>
      <w:bookmarkStart w:id="488" w:name="_Toc86080636"/>
    </w:p>
    <w:bookmarkEnd w:id="487"/>
    <w:bookmarkEnd w:id="488"/>
    <w:p w14:paraId="60536BE3">
      <w:pPr>
        <w:pStyle w:val="3"/>
        <w:spacing w:before="0" w:after="0"/>
        <w:rPr>
          <w:rFonts w:ascii="Times New Roman" w:hAnsi="Times New Roman" w:cs="Times New Roman"/>
          <w:kern w:val="0"/>
          <w:sz w:val="21"/>
          <w:szCs w:val="21"/>
        </w:rPr>
      </w:pPr>
      <w:bookmarkStart w:id="489" w:name="_Toc409100467"/>
      <w:bookmarkStart w:id="490" w:name="_Toc96962452"/>
      <w:bookmarkStart w:id="491" w:name="_Toc361324899"/>
      <w:bookmarkStart w:id="492" w:name="_Toc64625426"/>
      <w:bookmarkStart w:id="493" w:name="_Toc409100104"/>
      <w:bookmarkStart w:id="494" w:name="_Toc16797"/>
      <w:bookmarkStart w:id="495" w:name="_Toc98603043"/>
      <w:bookmarkStart w:id="496" w:name="_Toc98602733"/>
      <w:bookmarkStart w:id="497" w:name="_Toc98601384"/>
      <w:bookmarkStart w:id="498" w:name="_Toc64625428"/>
      <w:bookmarkStart w:id="499" w:name="_Toc98512434"/>
      <w:bookmarkStart w:id="500" w:name="_Toc98509015"/>
      <w:bookmarkStart w:id="501" w:name="_Toc98511678"/>
      <w:r>
        <w:rPr>
          <w:rFonts w:ascii="Times New Roman" w:hAnsi="Times New Roman" w:cs="Times New Roman"/>
          <w:kern w:val="0"/>
          <w:sz w:val="21"/>
          <w:szCs w:val="21"/>
        </w:rPr>
        <w:t>12.6 报告期内信息披露义务人、运营管理机构及其高级管理人员，原始权益人、资产支持证券管理人、资产支持证券托管人、项目公司和专业机构等业务参与人涉及对</w:t>
      </w:r>
      <w:r>
        <w:rPr>
          <w:rFonts w:hint="eastAsia" w:ascii="Times New Roman" w:hAnsi="Times New Roman" w:cs="Times New Roman"/>
          <w:kern w:val="0"/>
          <w:sz w:val="21"/>
          <w:szCs w:val="21"/>
        </w:rPr>
        <w:t>不动产</w:t>
      </w:r>
      <w:r>
        <w:rPr>
          <w:rFonts w:ascii="Times New Roman" w:hAnsi="Times New Roman" w:cs="Times New Roman"/>
          <w:kern w:val="0"/>
          <w:sz w:val="21"/>
          <w:szCs w:val="21"/>
        </w:rPr>
        <w:t>项目运营有重大影响的稽查、处罚、诉讼或者仲裁等情况</w:t>
      </w:r>
      <w:bookmarkEnd w:id="489"/>
      <w:bookmarkEnd w:id="490"/>
      <w:bookmarkEnd w:id="491"/>
      <w:bookmarkEnd w:id="492"/>
      <w:bookmarkEnd w:id="493"/>
      <w:bookmarkEnd w:id="494"/>
    </w:p>
    <w:p w14:paraId="7B5EBFFF">
      <w:pPr>
        <w:spacing w:line="360" w:lineRule="auto"/>
        <w:ind w:firstLine="420" w:firstLineChars="200"/>
      </w:pPr>
      <w:r>
        <w:t>本报告期内，信息披露义务人、运营管理机构及其高级管理人员，原始权益人、资产支持证券管理人、资产支持证券托管人、资产项目公司和专业机构等业务参与人不存在涉及对不动产项目运营有重大影响的稽查、处罚、诉讼或者仲裁等情况。</w:t>
      </w:r>
    </w:p>
    <w:p w14:paraId="6EC06647">
      <w:pPr>
        <w:pStyle w:val="3"/>
        <w:spacing w:before="312" w:beforeLines="100" w:after="0"/>
        <w:rPr>
          <w:rFonts w:ascii="Times New Roman" w:hAnsi="Times New Roman" w:cs="Times New Roman"/>
          <w:kern w:val="0"/>
          <w:sz w:val="21"/>
          <w:szCs w:val="21"/>
        </w:rPr>
      </w:pPr>
      <w:bookmarkStart w:id="502" w:name="_Toc22548"/>
      <w:r>
        <w:rPr>
          <w:rFonts w:ascii="Times New Roman" w:hAnsi="Times New Roman" w:cs="Times New Roman"/>
          <w:kern w:val="0"/>
          <w:sz w:val="21"/>
          <w:szCs w:val="21"/>
        </w:rPr>
        <w:t>12.7 其他重大事件</w:t>
      </w:r>
      <w:bookmarkEnd w:id="495"/>
      <w:bookmarkEnd w:id="496"/>
      <w:bookmarkEnd w:id="497"/>
      <w:bookmarkEnd w:id="498"/>
      <w:bookmarkEnd w:id="499"/>
      <w:bookmarkEnd w:id="500"/>
      <w:bookmarkEnd w:id="501"/>
      <w:bookmarkEnd w:id="502"/>
    </w:p>
    <w:tbl>
      <w:tblPr>
        <w:tblStyle w:val="40"/>
        <w:tblW w:w="907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3"/>
        <w:gridCol w:w="4189"/>
        <w:gridCol w:w="2331"/>
        <w:gridCol w:w="1560"/>
      </w:tblGrid>
      <w:tr w14:paraId="70A08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vAlign w:val="center"/>
          </w:tcPr>
          <w:p w14:paraId="6620A268">
            <w:pPr>
              <w:spacing w:line="360" w:lineRule="auto"/>
              <w:jc w:val="center"/>
            </w:pPr>
            <w:r>
              <w:t>序号</w:t>
            </w:r>
          </w:p>
        </w:tc>
        <w:tc>
          <w:tcPr>
            <w:tcW w:w="4189" w:type="dxa"/>
            <w:vAlign w:val="center"/>
          </w:tcPr>
          <w:p w14:paraId="0D037049">
            <w:pPr>
              <w:spacing w:line="360" w:lineRule="auto"/>
              <w:jc w:val="center"/>
            </w:pPr>
            <w:r>
              <w:t>公告事项</w:t>
            </w:r>
          </w:p>
        </w:tc>
        <w:tc>
          <w:tcPr>
            <w:tcW w:w="2331" w:type="dxa"/>
            <w:vAlign w:val="center"/>
          </w:tcPr>
          <w:p w14:paraId="57F767B3">
            <w:pPr>
              <w:spacing w:line="360" w:lineRule="auto"/>
              <w:jc w:val="center"/>
            </w:pPr>
            <w:r>
              <w:t>法定披露方式</w:t>
            </w:r>
          </w:p>
        </w:tc>
        <w:tc>
          <w:tcPr>
            <w:tcW w:w="1560" w:type="dxa"/>
            <w:vAlign w:val="center"/>
          </w:tcPr>
          <w:p w14:paraId="49522D4C">
            <w:pPr>
              <w:spacing w:line="360" w:lineRule="auto"/>
              <w:jc w:val="center"/>
            </w:pPr>
            <w:r>
              <w:t>法定披露日期</w:t>
            </w:r>
          </w:p>
        </w:tc>
      </w:tr>
      <w:tr w14:paraId="479E3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4D70349D">
            <w:pPr>
              <w:jc w:val="center"/>
            </w:pPr>
            <w:r>
              <w:t>1</w:t>
            </w:r>
          </w:p>
        </w:tc>
        <w:tc>
          <w:tcPr>
            <w:vAlign w:val="center"/>
          </w:tcPr>
          <w:p w14:paraId="003D9CC3">
            <w:pPr>
              <w:jc w:val="left"/>
            </w:pPr>
            <w:r>
              <w:t>关于举办博时招商蛇口产业园封闭式基础设施证券投资基金2026年上半年投资者关系活动的公告</w:t>
            </w:r>
          </w:p>
        </w:tc>
        <w:tc>
          <w:tcPr>
            <w:vAlign w:val="center"/>
          </w:tcPr>
          <w:p w14:paraId="24C2024B">
            <w:pPr>
              <w:jc w:val="center"/>
            </w:pPr>
            <w:r>
              <w:t>中国证券报、基金管理人网站、证监会基金电子披露网站</w:t>
            </w:r>
          </w:p>
        </w:tc>
        <w:tc>
          <w:tcPr>
            <w:vAlign w:val="center"/>
          </w:tcPr>
          <w:p w14:paraId="04F43C2B">
            <w:pPr>
              <w:jc w:val="center"/>
            </w:pPr>
            <w:r>
              <w:t>2026-06-30</w:t>
            </w:r>
          </w:p>
        </w:tc>
      </w:tr>
      <w:tr w14:paraId="0A41F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78C0BA31">
            <w:pPr>
              <w:jc w:val="center"/>
            </w:pPr>
            <w:r>
              <w:t>2</w:t>
            </w:r>
          </w:p>
        </w:tc>
        <w:tc>
          <w:tcPr>
            <w:vAlign w:val="center"/>
          </w:tcPr>
          <w:p w14:paraId="675448DA">
            <w:pPr>
              <w:jc w:val="left"/>
            </w:pPr>
            <w:r>
              <w:t>博时基金管理有限公司关于收到博时招商蛇口产业园封闭式基础设施证券投资基金原始权益人持续支持基金长期健康发展函件的公告</w:t>
            </w:r>
          </w:p>
        </w:tc>
        <w:tc>
          <w:tcPr>
            <w:vAlign w:val="center"/>
          </w:tcPr>
          <w:p w14:paraId="7BFF6C84">
            <w:pPr>
              <w:jc w:val="center"/>
            </w:pPr>
            <w:r>
              <w:t>中国证券报、基金管理人网站、证监会基金电子披露网站</w:t>
            </w:r>
          </w:p>
        </w:tc>
        <w:tc>
          <w:tcPr>
            <w:vAlign w:val="center"/>
          </w:tcPr>
          <w:p w14:paraId="28D64D41">
            <w:pPr>
              <w:jc w:val="center"/>
            </w:pPr>
            <w:r>
              <w:t>2026-06-30</w:t>
            </w:r>
          </w:p>
        </w:tc>
      </w:tr>
      <w:tr w14:paraId="24C52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3F92E87A">
            <w:pPr>
              <w:jc w:val="center"/>
            </w:pPr>
            <w:r>
              <w:t>3</w:t>
            </w:r>
          </w:p>
        </w:tc>
        <w:tc>
          <w:tcPr>
            <w:vAlign w:val="center"/>
          </w:tcPr>
          <w:p w14:paraId="5C2CBF33">
            <w:pPr>
              <w:jc w:val="left"/>
            </w:pPr>
            <w:r>
              <w:t>博时招商蛇口产业园封闭式基础设施证券投资基金基金产品资料概要更新</w:t>
            </w:r>
          </w:p>
        </w:tc>
        <w:tc>
          <w:tcPr>
            <w:vAlign w:val="center"/>
          </w:tcPr>
          <w:p w14:paraId="7333F10C">
            <w:pPr>
              <w:jc w:val="center"/>
            </w:pPr>
            <w:r>
              <w:t>中国证券报、基金管理人网站、证监会基金电子披露网站</w:t>
            </w:r>
          </w:p>
        </w:tc>
        <w:tc>
          <w:tcPr>
            <w:vAlign w:val="center"/>
          </w:tcPr>
          <w:p w14:paraId="64A85DA2">
            <w:pPr>
              <w:jc w:val="center"/>
            </w:pPr>
            <w:r>
              <w:t>2026-06-26</w:t>
            </w:r>
          </w:p>
        </w:tc>
      </w:tr>
      <w:tr w14:paraId="05A2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76B6674">
            <w:pPr>
              <w:jc w:val="center"/>
            </w:pPr>
            <w:r>
              <w:t>4</w:t>
            </w:r>
          </w:p>
        </w:tc>
        <w:tc>
          <w:tcPr>
            <w:vAlign w:val="center"/>
          </w:tcPr>
          <w:p w14:paraId="0A6E18A8">
            <w:pPr>
              <w:jc w:val="left"/>
            </w:pPr>
            <w:r>
              <w:t>博时基金管理有限公司关于博时招商蛇口产业园封闭式基础设施证券投资基金变更及扩募份额上市申请获得受理的公告</w:t>
            </w:r>
          </w:p>
        </w:tc>
        <w:tc>
          <w:tcPr>
            <w:vAlign w:val="center"/>
          </w:tcPr>
          <w:p w14:paraId="7E3C1B50">
            <w:pPr>
              <w:jc w:val="center"/>
            </w:pPr>
            <w:r>
              <w:t>中国证券报、基金管理人网站、证监会基金电子披露网站</w:t>
            </w:r>
          </w:p>
        </w:tc>
        <w:tc>
          <w:tcPr>
            <w:vAlign w:val="center"/>
          </w:tcPr>
          <w:p w14:paraId="78A3AB29">
            <w:pPr>
              <w:jc w:val="center"/>
            </w:pPr>
            <w:r>
              <w:t>2026-06-25</w:t>
            </w:r>
          </w:p>
        </w:tc>
      </w:tr>
      <w:tr w14:paraId="173EC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8EF951E">
            <w:pPr>
              <w:jc w:val="center"/>
            </w:pPr>
            <w:r>
              <w:t>5</w:t>
            </w:r>
          </w:p>
        </w:tc>
        <w:tc>
          <w:tcPr>
            <w:vAlign w:val="center"/>
          </w:tcPr>
          <w:p w14:paraId="649FEDA2">
            <w:pPr>
              <w:jc w:val="left"/>
            </w:pPr>
            <w:r>
              <w:t>博时基金管理有限公司关于博时招商蛇口产业园封闭式基础设施证券投资基金基金份额解除限售的提示性公告</w:t>
            </w:r>
          </w:p>
        </w:tc>
        <w:tc>
          <w:tcPr>
            <w:vAlign w:val="center"/>
          </w:tcPr>
          <w:p w14:paraId="52773009">
            <w:pPr>
              <w:jc w:val="center"/>
            </w:pPr>
            <w:r>
              <w:t>中国证券报、基金管理人网站、证监会基金电子披露网站</w:t>
            </w:r>
          </w:p>
        </w:tc>
        <w:tc>
          <w:tcPr>
            <w:vAlign w:val="center"/>
          </w:tcPr>
          <w:p w14:paraId="1A16DD05">
            <w:pPr>
              <w:jc w:val="center"/>
            </w:pPr>
            <w:r>
              <w:t>2026-06-18</w:t>
            </w:r>
          </w:p>
        </w:tc>
      </w:tr>
      <w:tr w14:paraId="4AF1B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9B602D3">
            <w:pPr>
              <w:jc w:val="center"/>
            </w:pPr>
            <w:r>
              <w:t>6</w:t>
            </w:r>
          </w:p>
        </w:tc>
        <w:tc>
          <w:tcPr>
            <w:vAlign w:val="center"/>
          </w:tcPr>
          <w:p w14:paraId="461846DB">
            <w:pPr>
              <w:jc w:val="left"/>
            </w:pPr>
            <w:r>
              <w:t>博时基金管理有限公司关于博时招商蛇口产业园封闭式基础设施证券投资基金基金份额解除限售的提示性公告</w:t>
            </w:r>
          </w:p>
        </w:tc>
        <w:tc>
          <w:tcPr>
            <w:vAlign w:val="center"/>
          </w:tcPr>
          <w:p w14:paraId="3A5A01C1">
            <w:pPr>
              <w:jc w:val="center"/>
            </w:pPr>
            <w:r>
              <w:t>中国证券报、基金管理人网站、证监会基金电子披露网站</w:t>
            </w:r>
          </w:p>
        </w:tc>
        <w:tc>
          <w:tcPr>
            <w:vAlign w:val="center"/>
          </w:tcPr>
          <w:p w14:paraId="29A8F9F3">
            <w:pPr>
              <w:jc w:val="center"/>
            </w:pPr>
            <w:r>
              <w:t>2026-06-17</w:t>
            </w:r>
          </w:p>
        </w:tc>
      </w:tr>
      <w:tr w14:paraId="39C7B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2A872CD1">
            <w:pPr>
              <w:jc w:val="center"/>
            </w:pPr>
            <w:r>
              <w:t>7</w:t>
            </w:r>
          </w:p>
        </w:tc>
        <w:tc>
          <w:tcPr>
            <w:vAlign w:val="center"/>
          </w:tcPr>
          <w:p w14:paraId="27CAF65F">
            <w:pPr>
              <w:jc w:val="left"/>
            </w:pPr>
            <w:r>
              <w:t>博时基金管理有限公司关于博时招商蛇口产业园封闭式基础设施证券投资基金申请变更的进展公告</w:t>
            </w:r>
          </w:p>
        </w:tc>
        <w:tc>
          <w:tcPr>
            <w:vAlign w:val="center"/>
          </w:tcPr>
          <w:p w14:paraId="684910B3">
            <w:pPr>
              <w:jc w:val="center"/>
            </w:pPr>
            <w:r>
              <w:t>中国证券报、基金管理人网站、证监会基金电子披露网站</w:t>
            </w:r>
          </w:p>
        </w:tc>
        <w:tc>
          <w:tcPr>
            <w:vAlign w:val="center"/>
          </w:tcPr>
          <w:p w14:paraId="4CA85D9F">
            <w:pPr>
              <w:jc w:val="center"/>
            </w:pPr>
            <w:r>
              <w:t>2026-06-16</w:t>
            </w:r>
          </w:p>
        </w:tc>
      </w:tr>
      <w:tr w14:paraId="63A1F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7989917">
            <w:pPr>
              <w:jc w:val="center"/>
            </w:pPr>
            <w:r>
              <w:t>8</w:t>
            </w:r>
          </w:p>
        </w:tc>
        <w:tc>
          <w:tcPr>
            <w:vAlign w:val="center"/>
          </w:tcPr>
          <w:p w14:paraId="3FDD2DC8">
            <w:pPr>
              <w:jc w:val="left"/>
            </w:pPr>
            <w:r>
              <w:t>博时基金管理有限公司关于博时招商蛇口产业园封闭式基础设施证券投资基金份额解除限售的公告</w:t>
            </w:r>
          </w:p>
        </w:tc>
        <w:tc>
          <w:tcPr>
            <w:vAlign w:val="center"/>
          </w:tcPr>
          <w:p w14:paraId="1E91966C">
            <w:pPr>
              <w:jc w:val="center"/>
            </w:pPr>
            <w:r>
              <w:t>中国证券报、基金管理人网站、证监会基金电子披露网站</w:t>
            </w:r>
          </w:p>
        </w:tc>
        <w:tc>
          <w:tcPr>
            <w:vAlign w:val="center"/>
          </w:tcPr>
          <w:p w14:paraId="60D2802E">
            <w:pPr>
              <w:jc w:val="center"/>
            </w:pPr>
            <w:r>
              <w:t>2026-06-12</w:t>
            </w:r>
          </w:p>
        </w:tc>
      </w:tr>
      <w:tr w14:paraId="3D24C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11B3E1D">
            <w:pPr>
              <w:jc w:val="center"/>
            </w:pPr>
            <w:r>
              <w:t>9</w:t>
            </w:r>
          </w:p>
        </w:tc>
        <w:tc>
          <w:tcPr>
            <w:vAlign w:val="center"/>
          </w:tcPr>
          <w:p w14:paraId="22CE1565">
            <w:pPr>
              <w:jc w:val="left"/>
            </w:pPr>
            <w:r>
              <w:t>博时基金管理有限公司关于博时招商蛇口产业园封闭式基础设施证券投资基金基金份额解除限售的提示性公告</w:t>
            </w:r>
          </w:p>
        </w:tc>
        <w:tc>
          <w:tcPr>
            <w:vAlign w:val="center"/>
          </w:tcPr>
          <w:p w14:paraId="38DF9416">
            <w:pPr>
              <w:jc w:val="center"/>
            </w:pPr>
            <w:r>
              <w:t>中国证券报、基金管理人网站、证监会基金电子披露网站</w:t>
            </w:r>
          </w:p>
        </w:tc>
        <w:tc>
          <w:tcPr>
            <w:vAlign w:val="center"/>
          </w:tcPr>
          <w:p w14:paraId="3A12A18D">
            <w:pPr>
              <w:jc w:val="center"/>
            </w:pPr>
            <w:r>
              <w:t>2026-06-12</w:t>
            </w:r>
          </w:p>
        </w:tc>
      </w:tr>
      <w:tr w14:paraId="609A1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6996401">
            <w:pPr>
              <w:jc w:val="center"/>
            </w:pPr>
            <w:r>
              <w:t>10</w:t>
            </w:r>
          </w:p>
        </w:tc>
        <w:tc>
          <w:tcPr>
            <w:vAlign w:val="center"/>
          </w:tcPr>
          <w:p w14:paraId="5A68B13D">
            <w:pPr>
              <w:jc w:val="left"/>
            </w:pPr>
            <w:r>
              <w:t>博时基金管理有限公司关于博时招商蛇口产业园封闭式基础设施证券投资基金基金份额解除限售的提示性公告</w:t>
            </w:r>
          </w:p>
        </w:tc>
        <w:tc>
          <w:tcPr>
            <w:vAlign w:val="center"/>
          </w:tcPr>
          <w:p w14:paraId="2A882780">
            <w:pPr>
              <w:jc w:val="center"/>
            </w:pPr>
            <w:r>
              <w:t>中国证券报、基金管理人网站、证监会基金电子披露网站</w:t>
            </w:r>
          </w:p>
        </w:tc>
        <w:tc>
          <w:tcPr>
            <w:vAlign w:val="center"/>
          </w:tcPr>
          <w:p w14:paraId="12AEA260">
            <w:pPr>
              <w:jc w:val="center"/>
            </w:pPr>
            <w:r>
              <w:t>2026-06-10</w:t>
            </w:r>
          </w:p>
        </w:tc>
      </w:tr>
      <w:tr w14:paraId="0C23A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2D8AB7D">
            <w:pPr>
              <w:jc w:val="center"/>
            </w:pPr>
            <w:r>
              <w:t>11</w:t>
            </w:r>
          </w:p>
        </w:tc>
        <w:tc>
          <w:tcPr>
            <w:vAlign w:val="center"/>
          </w:tcPr>
          <w:p w14:paraId="46447C79">
            <w:pPr>
              <w:jc w:val="left"/>
            </w:pPr>
            <w:r>
              <w:t>博时基金管理有限公司关于博时招商蛇口产业园封闭式基础设施证券投资基金份额解除限售的公告</w:t>
            </w:r>
          </w:p>
        </w:tc>
        <w:tc>
          <w:tcPr>
            <w:vAlign w:val="center"/>
          </w:tcPr>
          <w:p w14:paraId="28144C7A">
            <w:pPr>
              <w:jc w:val="center"/>
            </w:pPr>
            <w:r>
              <w:t>中国证券报、基金管理人网站、证监会基金电子披露网站</w:t>
            </w:r>
          </w:p>
        </w:tc>
        <w:tc>
          <w:tcPr>
            <w:vAlign w:val="center"/>
          </w:tcPr>
          <w:p w14:paraId="2239EA91">
            <w:pPr>
              <w:jc w:val="center"/>
            </w:pPr>
            <w:r>
              <w:t>2026-06-09</w:t>
            </w:r>
          </w:p>
        </w:tc>
      </w:tr>
      <w:tr w14:paraId="734BB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17CBA180">
            <w:pPr>
              <w:jc w:val="center"/>
            </w:pPr>
            <w:r>
              <w:t>12</w:t>
            </w:r>
          </w:p>
        </w:tc>
        <w:tc>
          <w:tcPr>
            <w:vAlign w:val="center"/>
          </w:tcPr>
          <w:p w14:paraId="02F4A84A">
            <w:pPr>
              <w:jc w:val="left"/>
            </w:pPr>
            <w:r>
              <w:t>博时基金管理有限公司关于终止中证金牛（北京）基金销售有限公司办理旗下基金销售业务的公告</w:t>
            </w:r>
          </w:p>
        </w:tc>
        <w:tc>
          <w:tcPr>
            <w:vAlign w:val="center"/>
          </w:tcPr>
          <w:p w14:paraId="01AEB644">
            <w:pPr>
              <w:jc w:val="center"/>
            </w:pPr>
            <w:r>
              <w:t>中国证券报、基金管理人网站、证监会基金电子披露网站</w:t>
            </w:r>
          </w:p>
        </w:tc>
        <w:tc>
          <w:tcPr>
            <w:vAlign w:val="center"/>
          </w:tcPr>
          <w:p w14:paraId="15D0279A">
            <w:pPr>
              <w:jc w:val="center"/>
            </w:pPr>
            <w:r>
              <w:t>2026-05-29</w:t>
            </w:r>
          </w:p>
        </w:tc>
      </w:tr>
      <w:tr w14:paraId="29451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6A035EE">
            <w:pPr>
              <w:jc w:val="center"/>
            </w:pPr>
            <w:r>
              <w:t>13</w:t>
            </w:r>
          </w:p>
        </w:tc>
        <w:tc>
          <w:tcPr>
            <w:vAlign w:val="center"/>
          </w:tcPr>
          <w:p w14:paraId="142B3D22">
            <w:pPr>
              <w:jc w:val="left"/>
            </w:pPr>
            <w:r>
              <w:t>博时招商蛇口产业园封闭式基础设施证券投资基金基金产品资料概要更新</w:t>
            </w:r>
          </w:p>
        </w:tc>
        <w:tc>
          <w:tcPr>
            <w:vAlign w:val="center"/>
          </w:tcPr>
          <w:p w14:paraId="200D050F">
            <w:pPr>
              <w:jc w:val="center"/>
            </w:pPr>
            <w:r>
              <w:t>中国证券报、基金管理人网站、证监会基金电子披露网站</w:t>
            </w:r>
          </w:p>
        </w:tc>
        <w:tc>
          <w:tcPr>
            <w:vAlign w:val="center"/>
          </w:tcPr>
          <w:p w14:paraId="1902E2C5">
            <w:pPr>
              <w:jc w:val="center"/>
            </w:pPr>
            <w:r>
              <w:t>2026-05-27</w:t>
            </w:r>
          </w:p>
        </w:tc>
      </w:tr>
      <w:tr w14:paraId="04849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35E4670">
            <w:pPr>
              <w:jc w:val="center"/>
            </w:pPr>
            <w:r>
              <w:t>14</w:t>
            </w:r>
          </w:p>
        </w:tc>
        <w:tc>
          <w:tcPr>
            <w:vAlign w:val="center"/>
          </w:tcPr>
          <w:p w14:paraId="6A52A522">
            <w:pPr>
              <w:jc w:val="left"/>
            </w:pPr>
            <w:r>
              <w:t>博时基金管理有限公司关于博时招商蛇口产业园封闭式基础设施证券投资基金的基金经理变更的公告</w:t>
            </w:r>
          </w:p>
        </w:tc>
        <w:tc>
          <w:tcPr>
            <w:vAlign w:val="center"/>
          </w:tcPr>
          <w:p w14:paraId="5C406E51">
            <w:pPr>
              <w:jc w:val="center"/>
            </w:pPr>
            <w:r>
              <w:t>中国证券报、基金管理人网站、证监会基金电子披露网站</w:t>
            </w:r>
          </w:p>
        </w:tc>
        <w:tc>
          <w:tcPr>
            <w:vAlign w:val="center"/>
          </w:tcPr>
          <w:p w14:paraId="3C6E0589">
            <w:pPr>
              <w:jc w:val="center"/>
            </w:pPr>
            <w:r>
              <w:t>2026-05-25</w:t>
            </w:r>
          </w:p>
        </w:tc>
      </w:tr>
      <w:tr w14:paraId="1F789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38583565">
            <w:pPr>
              <w:jc w:val="center"/>
            </w:pPr>
            <w:r>
              <w:t>15</w:t>
            </w:r>
          </w:p>
        </w:tc>
        <w:tc>
          <w:tcPr>
            <w:vAlign w:val="center"/>
          </w:tcPr>
          <w:p w14:paraId="778E78C0">
            <w:pPr>
              <w:jc w:val="left"/>
            </w:pPr>
            <w:r>
              <w:t>博时招商蛇口产业园封闭式基础设施证券投资基金2023年度扩募并新购入基础设施项目更新招募说明书</w:t>
            </w:r>
          </w:p>
        </w:tc>
        <w:tc>
          <w:tcPr>
            <w:vAlign w:val="center"/>
          </w:tcPr>
          <w:p w14:paraId="0C2E4ECA">
            <w:pPr>
              <w:jc w:val="center"/>
            </w:pPr>
            <w:r>
              <w:t>中国证券报、基金管理人网站、证监会基金电子披露网站</w:t>
            </w:r>
          </w:p>
        </w:tc>
        <w:tc>
          <w:tcPr>
            <w:vAlign w:val="center"/>
          </w:tcPr>
          <w:p w14:paraId="5C7FB71F">
            <w:pPr>
              <w:jc w:val="center"/>
            </w:pPr>
            <w:r>
              <w:t>2026-05-25</w:t>
            </w:r>
          </w:p>
        </w:tc>
      </w:tr>
      <w:tr w14:paraId="467B9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1EAFB17E">
            <w:pPr>
              <w:jc w:val="center"/>
            </w:pPr>
            <w:r>
              <w:t>16</w:t>
            </w:r>
          </w:p>
        </w:tc>
        <w:tc>
          <w:tcPr>
            <w:vAlign w:val="center"/>
          </w:tcPr>
          <w:p w14:paraId="1E51A620">
            <w:pPr>
              <w:jc w:val="left"/>
            </w:pPr>
            <w:r>
              <w:t>关于调整博时招商蛇口产业园封闭式基础设施证券投资基金主流动性服务商的公告</w:t>
            </w:r>
          </w:p>
        </w:tc>
        <w:tc>
          <w:tcPr>
            <w:vAlign w:val="center"/>
          </w:tcPr>
          <w:p w14:paraId="22C1F4A5">
            <w:pPr>
              <w:jc w:val="center"/>
            </w:pPr>
            <w:r>
              <w:t>中国证券报、基金管理人网站、证监会基金电子披露网站</w:t>
            </w:r>
          </w:p>
        </w:tc>
        <w:tc>
          <w:tcPr>
            <w:vAlign w:val="center"/>
          </w:tcPr>
          <w:p w14:paraId="40D6859C">
            <w:pPr>
              <w:jc w:val="center"/>
            </w:pPr>
            <w:r>
              <w:t>2026-05-22</w:t>
            </w:r>
          </w:p>
        </w:tc>
      </w:tr>
      <w:tr w14:paraId="2AE02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4C85F763">
            <w:pPr>
              <w:jc w:val="center"/>
            </w:pPr>
            <w:r>
              <w:t>17</w:t>
            </w:r>
          </w:p>
        </w:tc>
        <w:tc>
          <w:tcPr>
            <w:vAlign w:val="center"/>
          </w:tcPr>
          <w:p w14:paraId="56123317">
            <w:pPr>
              <w:jc w:val="left"/>
            </w:pPr>
            <w:r>
              <w:t>2025年度博时基金以股东身份（通过公募基金持股）参与股东大会投票信息披露</w:t>
            </w:r>
          </w:p>
        </w:tc>
        <w:tc>
          <w:tcPr>
            <w:vAlign w:val="center"/>
          </w:tcPr>
          <w:p w14:paraId="0859DD4D">
            <w:pPr>
              <w:jc w:val="center"/>
            </w:pPr>
            <w:r>
              <w:t>中国证券报、基金管理人网站、证监会基金电子披露网站</w:t>
            </w:r>
          </w:p>
        </w:tc>
        <w:tc>
          <w:tcPr>
            <w:vAlign w:val="center"/>
          </w:tcPr>
          <w:p w14:paraId="1F5B3296">
            <w:pPr>
              <w:jc w:val="center"/>
            </w:pPr>
            <w:r>
              <w:t>2026-04-30</w:t>
            </w:r>
          </w:p>
        </w:tc>
      </w:tr>
      <w:tr w14:paraId="510C8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CD0B900">
            <w:pPr>
              <w:jc w:val="center"/>
            </w:pPr>
            <w:r>
              <w:t>18</w:t>
            </w:r>
          </w:p>
        </w:tc>
        <w:tc>
          <w:tcPr>
            <w:vAlign w:val="center"/>
          </w:tcPr>
          <w:p w14:paraId="5D2821F7">
            <w:pPr>
              <w:jc w:val="left"/>
            </w:pPr>
            <w:r>
              <w:t>博时招商蛇口产业园封闭式基础设施证券投资基金2026年第1季度报告</w:t>
            </w:r>
          </w:p>
        </w:tc>
        <w:tc>
          <w:tcPr>
            <w:vAlign w:val="center"/>
          </w:tcPr>
          <w:p w14:paraId="0823CC7D">
            <w:pPr>
              <w:jc w:val="center"/>
            </w:pPr>
            <w:r>
              <w:t>中国证券报、基金管理人网站、证监会基金电子披露网站</w:t>
            </w:r>
          </w:p>
        </w:tc>
        <w:tc>
          <w:tcPr>
            <w:vAlign w:val="center"/>
          </w:tcPr>
          <w:p w14:paraId="7B20FA67">
            <w:pPr>
              <w:jc w:val="center"/>
            </w:pPr>
            <w:r>
              <w:t>2026-04-22</w:t>
            </w:r>
          </w:p>
        </w:tc>
      </w:tr>
      <w:tr w14:paraId="79849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72C07069">
            <w:pPr>
              <w:jc w:val="center"/>
            </w:pPr>
            <w:r>
              <w:t>19</w:t>
            </w:r>
          </w:p>
        </w:tc>
        <w:tc>
          <w:tcPr>
            <w:vAlign w:val="center"/>
          </w:tcPr>
          <w:p w14:paraId="35C7FF51">
            <w:pPr>
              <w:jc w:val="left"/>
            </w:pPr>
            <w:r>
              <w:t>博时基金管理有限公司关于博时招商蛇口产业园封闭式基础设施证券投资基金收益分配的公告</w:t>
            </w:r>
          </w:p>
        </w:tc>
        <w:tc>
          <w:tcPr>
            <w:vAlign w:val="center"/>
          </w:tcPr>
          <w:p w14:paraId="785B761C">
            <w:pPr>
              <w:jc w:val="center"/>
            </w:pPr>
            <w:r>
              <w:t>中国证券报、基金管理人网站、证监会基金电子披露网站</w:t>
            </w:r>
          </w:p>
        </w:tc>
        <w:tc>
          <w:tcPr>
            <w:vAlign w:val="center"/>
          </w:tcPr>
          <w:p w14:paraId="55508FE6">
            <w:pPr>
              <w:jc w:val="center"/>
            </w:pPr>
            <w:r>
              <w:t>2026-04-15</w:t>
            </w:r>
          </w:p>
        </w:tc>
      </w:tr>
      <w:tr w14:paraId="4782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4BC50A4B">
            <w:pPr>
              <w:jc w:val="center"/>
            </w:pPr>
            <w:r>
              <w:t>20</w:t>
            </w:r>
          </w:p>
        </w:tc>
        <w:tc>
          <w:tcPr>
            <w:vAlign w:val="center"/>
          </w:tcPr>
          <w:p w14:paraId="30993E4B">
            <w:pPr>
              <w:jc w:val="left"/>
            </w:pPr>
            <w:r>
              <w:t>博时基金管理有限公司旗下公募基金通过证券公司证券交易及佣金支付情况（2025年度）</w:t>
            </w:r>
          </w:p>
        </w:tc>
        <w:tc>
          <w:tcPr>
            <w:vAlign w:val="center"/>
          </w:tcPr>
          <w:p w14:paraId="04EF0944">
            <w:pPr>
              <w:jc w:val="center"/>
            </w:pPr>
            <w:r>
              <w:t>中国证券报、基金管理人网站、证监会基金电子披露网站</w:t>
            </w:r>
          </w:p>
        </w:tc>
        <w:tc>
          <w:tcPr>
            <w:vAlign w:val="center"/>
          </w:tcPr>
          <w:p w14:paraId="7A82D605">
            <w:pPr>
              <w:jc w:val="center"/>
            </w:pPr>
            <w:r>
              <w:t>2026-03-31</w:t>
            </w:r>
          </w:p>
        </w:tc>
      </w:tr>
      <w:tr w14:paraId="66210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AB22A5C">
            <w:pPr>
              <w:jc w:val="center"/>
            </w:pPr>
            <w:r>
              <w:t>21</w:t>
            </w:r>
          </w:p>
        </w:tc>
        <w:tc>
          <w:tcPr>
            <w:vAlign w:val="center"/>
          </w:tcPr>
          <w:p w14:paraId="2FD6EEE1">
            <w:pPr>
              <w:jc w:val="left"/>
            </w:pPr>
            <w:r>
              <w:t>关于召开博时招商蛇口产业园封闭式基础设施证券投资基金2025年业绩发布会的通知</w:t>
            </w:r>
          </w:p>
        </w:tc>
        <w:tc>
          <w:tcPr>
            <w:vAlign w:val="center"/>
          </w:tcPr>
          <w:p w14:paraId="08875E0C">
            <w:pPr>
              <w:jc w:val="center"/>
            </w:pPr>
            <w:r>
              <w:t>中国证券报、基金管理人网站、证监会基金电子披露网站</w:t>
            </w:r>
          </w:p>
        </w:tc>
        <w:tc>
          <w:tcPr>
            <w:vAlign w:val="center"/>
          </w:tcPr>
          <w:p w14:paraId="50FA0172">
            <w:pPr>
              <w:jc w:val="center"/>
            </w:pPr>
            <w:r>
              <w:t>2026-03-25</w:t>
            </w:r>
          </w:p>
        </w:tc>
      </w:tr>
      <w:tr w14:paraId="71309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80402E3">
            <w:pPr>
              <w:jc w:val="center"/>
            </w:pPr>
            <w:r>
              <w:t>22</w:t>
            </w:r>
          </w:p>
        </w:tc>
        <w:tc>
          <w:tcPr>
            <w:vAlign w:val="center"/>
          </w:tcPr>
          <w:p w14:paraId="711BC145">
            <w:pPr>
              <w:jc w:val="left"/>
            </w:pPr>
            <w:r>
              <w:t>博时招商蛇口产业园封闭式基础设施证券投资基金2025年年度报告</w:t>
            </w:r>
          </w:p>
        </w:tc>
        <w:tc>
          <w:tcPr>
            <w:vAlign w:val="center"/>
          </w:tcPr>
          <w:p w14:paraId="50E5B4DC">
            <w:pPr>
              <w:jc w:val="center"/>
            </w:pPr>
            <w:r>
              <w:t>中国证券报、基金管理人网站、证监会基金电子披露网站</w:t>
            </w:r>
          </w:p>
        </w:tc>
        <w:tc>
          <w:tcPr>
            <w:vAlign w:val="center"/>
          </w:tcPr>
          <w:p w14:paraId="00B581C8">
            <w:pPr>
              <w:jc w:val="center"/>
            </w:pPr>
            <w:r>
              <w:t>2026-03-14</w:t>
            </w:r>
          </w:p>
        </w:tc>
      </w:tr>
      <w:tr w14:paraId="7231B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6E7261B">
            <w:pPr>
              <w:jc w:val="center"/>
            </w:pPr>
            <w:r>
              <w:t>23</w:t>
            </w:r>
          </w:p>
        </w:tc>
        <w:tc>
          <w:tcPr>
            <w:vAlign w:val="center"/>
          </w:tcPr>
          <w:p w14:paraId="72209337">
            <w:pPr>
              <w:jc w:val="left"/>
            </w:pPr>
            <w:r>
              <w:t>博时招商蛇口产业园封闭式基础设施证券投资基金2025年房地产评估报告</w:t>
            </w:r>
          </w:p>
        </w:tc>
        <w:tc>
          <w:tcPr>
            <w:vAlign w:val="center"/>
          </w:tcPr>
          <w:p w14:paraId="64A1249E">
            <w:pPr>
              <w:jc w:val="center"/>
            </w:pPr>
            <w:r>
              <w:t>中国证券报、基金管理人网站、证监会基金电子披露网站</w:t>
            </w:r>
          </w:p>
        </w:tc>
        <w:tc>
          <w:tcPr>
            <w:vAlign w:val="center"/>
          </w:tcPr>
          <w:p w14:paraId="56036362">
            <w:pPr>
              <w:jc w:val="center"/>
            </w:pPr>
            <w:r>
              <w:t>2026-03-14</w:t>
            </w:r>
          </w:p>
        </w:tc>
      </w:tr>
      <w:tr w14:paraId="316C6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64F23534">
            <w:pPr>
              <w:jc w:val="center"/>
            </w:pPr>
            <w:r>
              <w:t>24</w:t>
            </w:r>
          </w:p>
        </w:tc>
        <w:tc>
          <w:tcPr>
            <w:vAlign w:val="center"/>
          </w:tcPr>
          <w:p w14:paraId="775FD90C">
            <w:pPr>
              <w:jc w:val="left"/>
            </w:pPr>
            <w:r>
              <w:t>博时招商蛇口产业园封闭式基础设施证券投资基金2025年审计报告</w:t>
            </w:r>
          </w:p>
        </w:tc>
        <w:tc>
          <w:tcPr>
            <w:vAlign w:val="center"/>
          </w:tcPr>
          <w:p w14:paraId="5949FAEC">
            <w:pPr>
              <w:jc w:val="center"/>
            </w:pPr>
            <w:r>
              <w:t>中国证券报、基金管理人网站、证监会基金电子披露网站</w:t>
            </w:r>
          </w:p>
        </w:tc>
        <w:tc>
          <w:tcPr>
            <w:vAlign w:val="center"/>
          </w:tcPr>
          <w:p w14:paraId="1A372202">
            <w:pPr>
              <w:jc w:val="center"/>
            </w:pPr>
            <w:r>
              <w:t>2026-03-14</w:t>
            </w:r>
          </w:p>
        </w:tc>
      </w:tr>
      <w:tr w14:paraId="29956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1269735B">
            <w:pPr>
              <w:jc w:val="center"/>
            </w:pPr>
            <w:r>
              <w:t>25</w:t>
            </w:r>
          </w:p>
        </w:tc>
        <w:tc>
          <w:tcPr>
            <w:vAlign w:val="center"/>
          </w:tcPr>
          <w:p w14:paraId="011C60CE">
            <w:pPr>
              <w:jc w:val="left"/>
            </w:pPr>
            <w:r>
              <w:t>博时基金管理有限公司关于旗下基金持有的长期停牌股票调整估值方法的公告</w:t>
            </w:r>
          </w:p>
        </w:tc>
        <w:tc>
          <w:tcPr>
            <w:vAlign w:val="center"/>
          </w:tcPr>
          <w:p w14:paraId="75347BBB">
            <w:pPr>
              <w:jc w:val="center"/>
            </w:pPr>
            <w:r>
              <w:t>中国证券报、基金管理人网站、证监会基金电子披露网站</w:t>
            </w:r>
          </w:p>
        </w:tc>
        <w:tc>
          <w:tcPr>
            <w:vAlign w:val="center"/>
          </w:tcPr>
          <w:p w14:paraId="66D53C65">
            <w:pPr>
              <w:jc w:val="center"/>
            </w:pPr>
            <w:r>
              <w:t>2026-02-26</w:t>
            </w:r>
          </w:p>
        </w:tc>
      </w:tr>
      <w:tr w14:paraId="61C99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47BF15F5">
            <w:pPr>
              <w:jc w:val="center"/>
            </w:pPr>
            <w:r>
              <w:t>26</w:t>
            </w:r>
          </w:p>
        </w:tc>
        <w:tc>
          <w:tcPr>
            <w:vAlign w:val="center"/>
          </w:tcPr>
          <w:p w14:paraId="2F18E14C">
            <w:pPr>
              <w:jc w:val="left"/>
            </w:pPr>
            <w:r>
              <w:t>博时基金管理有限公司关于高级管理人员变更的公告</w:t>
            </w:r>
          </w:p>
        </w:tc>
        <w:tc>
          <w:tcPr>
            <w:vAlign w:val="center"/>
          </w:tcPr>
          <w:p w14:paraId="3EFC695C">
            <w:pPr>
              <w:jc w:val="center"/>
            </w:pPr>
            <w:r>
              <w:t>中国证券报、基金管理人网站、证监会基金电子披露网站</w:t>
            </w:r>
          </w:p>
        </w:tc>
        <w:tc>
          <w:tcPr>
            <w:vAlign w:val="center"/>
          </w:tcPr>
          <w:p w14:paraId="01F406F0">
            <w:pPr>
              <w:jc w:val="center"/>
            </w:pPr>
            <w:r>
              <w:t>2026-02-14</w:t>
            </w:r>
          </w:p>
        </w:tc>
      </w:tr>
      <w:tr w14:paraId="5A8A3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BF3678F">
            <w:pPr>
              <w:jc w:val="center"/>
            </w:pPr>
            <w:r>
              <w:t>27</w:t>
            </w:r>
          </w:p>
        </w:tc>
        <w:tc>
          <w:tcPr>
            <w:vAlign w:val="center"/>
          </w:tcPr>
          <w:p w14:paraId="46F631A0">
            <w:pPr>
              <w:jc w:val="left"/>
            </w:pPr>
            <w:r>
              <w:t>博时基金管理有限公司关于旗下基金持有的长期停牌股票调整估值方法的公告-20260124</w:t>
            </w:r>
          </w:p>
        </w:tc>
        <w:tc>
          <w:tcPr>
            <w:vAlign w:val="center"/>
          </w:tcPr>
          <w:p w14:paraId="7482949F">
            <w:pPr>
              <w:jc w:val="center"/>
            </w:pPr>
            <w:r>
              <w:t>中国证券报、基金管理人网站、证监会基金电子披露网站</w:t>
            </w:r>
          </w:p>
        </w:tc>
        <w:tc>
          <w:tcPr>
            <w:vAlign w:val="center"/>
          </w:tcPr>
          <w:p w14:paraId="71AD5B21">
            <w:pPr>
              <w:jc w:val="center"/>
            </w:pPr>
            <w:r>
              <w:t>2026-01-24</w:t>
            </w:r>
          </w:p>
        </w:tc>
      </w:tr>
      <w:tr w14:paraId="42810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043439F5">
            <w:pPr>
              <w:jc w:val="center"/>
            </w:pPr>
            <w:r>
              <w:t>28</w:t>
            </w:r>
          </w:p>
        </w:tc>
        <w:tc>
          <w:tcPr>
            <w:vAlign w:val="center"/>
          </w:tcPr>
          <w:p w14:paraId="35D3D93A">
            <w:pPr>
              <w:jc w:val="left"/>
            </w:pPr>
            <w:r>
              <w:t>博时招商蛇口产业园封闭式基础设施证券投资基金2025年第4季度报告</w:t>
            </w:r>
          </w:p>
        </w:tc>
        <w:tc>
          <w:tcPr>
            <w:vAlign w:val="center"/>
          </w:tcPr>
          <w:p w14:paraId="7B5363F6">
            <w:pPr>
              <w:jc w:val="center"/>
            </w:pPr>
            <w:r>
              <w:t>中国证券报、基金管理人网站、证监会基金电子披露网站</w:t>
            </w:r>
          </w:p>
        </w:tc>
        <w:tc>
          <w:tcPr>
            <w:vAlign w:val="center"/>
          </w:tcPr>
          <w:p w14:paraId="0BE715FB">
            <w:pPr>
              <w:jc w:val="center"/>
            </w:pPr>
            <w:r>
              <w:t>2026-01-22</w:t>
            </w:r>
          </w:p>
        </w:tc>
      </w:tr>
      <w:tr w14:paraId="11C26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3AF83281">
            <w:pPr>
              <w:jc w:val="center"/>
            </w:pPr>
            <w:r>
              <w:t>29</w:t>
            </w:r>
          </w:p>
        </w:tc>
        <w:tc>
          <w:tcPr>
            <w:vAlign w:val="center"/>
          </w:tcPr>
          <w:p w14:paraId="675359A2">
            <w:pPr>
              <w:jc w:val="left"/>
            </w:pPr>
            <w:r>
              <w:t>博时招商蛇口产业园封闭式基础设施证券投资基金基金合同</w:t>
            </w:r>
          </w:p>
        </w:tc>
        <w:tc>
          <w:tcPr>
            <w:vAlign w:val="center"/>
          </w:tcPr>
          <w:p w14:paraId="4E5F2FCF">
            <w:pPr>
              <w:jc w:val="center"/>
            </w:pPr>
            <w:r>
              <w:t>中国证券报、基金管理人网站、证监会基金电子披露网站</w:t>
            </w:r>
          </w:p>
        </w:tc>
        <w:tc>
          <w:tcPr>
            <w:vAlign w:val="center"/>
          </w:tcPr>
          <w:p w14:paraId="0F4D889D">
            <w:pPr>
              <w:jc w:val="center"/>
            </w:pPr>
            <w:r>
              <w:t>2026-01-19</w:t>
            </w:r>
          </w:p>
        </w:tc>
      </w:tr>
      <w:tr w14:paraId="274B7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139C198F">
            <w:pPr>
              <w:jc w:val="center"/>
            </w:pPr>
            <w:r>
              <w:t>30</w:t>
            </w:r>
          </w:p>
        </w:tc>
        <w:tc>
          <w:tcPr>
            <w:vAlign w:val="center"/>
          </w:tcPr>
          <w:p w14:paraId="2EA7FD6E">
            <w:pPr>
              <w:jc w:val="left"/>
            </w:pPr>
            <w:r>
              <w:t>博时招商蛇口产业园封闭式基础设施证券投资基金2023年度扩募并新购入基础设施项目更新招募说明书</w:t>
            </w:r>
          </w:p>
        </w:tc>
        <w:tc>
          <w:tcPr>
            <w:vAlign w:val="center"/>
          </w:tcPr>
          <w:p w14:paraId="262C19CB">
            <w:pPr>
              <w:jc w:val="center"/>
            </w:pPr>
            <w:r>
              <w:t>中国证券报、基金管理人网站、证监会基金电子披露网站</w:t>
            </w:r>
          </w:p>
        </w:tc>
        <w:tc>
          <w:tcPr>
            <w:vAlign w:val="center"/>
          </w:tcPr>
          <w:p w14:paraId="59DE1CED">
            <w:pPr>
              <w:jc w:val="center"/>
            </w:pPr>
            <w:r>
              <w:t>2026-01-19</w:t>
            </w:r>
          </w:p>
        </w:tc>
      </w:tr>
      <w:tr w14:paraId="4039E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47BE40E9">
            <w:pPr>
              <w:jc w:val="center"/>
            </w:pPr>
            <w:r>
              <w:t>31</w:t>
            </w:r>
          </w:p>
        </w:tc>
        <w:tc>
          <w:tcPr>
            <w:vAlign w:val="center"/>
          </w:tcPr>
          <w:p w14:paraId="2E6CF51D">
            <w:pPr>
              <w:jc w:val="left"/>
            </w:pPr>
            <w:r>
              <w:t>关于博时招商蛇口产业园封闭式基础设施证券投资基金置换对外借款进展情况的公告</w:t>
            </w:r>
          </w:p>
        </w:tc>
        <w:tc>
          <w:tcPr>
            <w:vAlign w:val="center"/>
          </w:tcPr>
          <w:p w14:paraId="61421346">
            <w:pPr>
              <w:jc w:val="center"/>
            </w:pPr>
            <w:r>
              <w:t>中国证券报、基金管理人网站、证监会基金电子披露网站</w:t>
            </w:r>
          </w:p>
        </w:tc>
        <w:tc>
          <w:tcPr>
            <w:vAlign w:val="center"/>
          </w:tcPr>
          <w:p w14:paraId="2B3EDDE7">
            <w:pPr>
              <w:jc w:val="center"/>
            </w:pPr>
            <w:r>
              <w:t>2026-01-19</w:t>
            </w:r>
          </w:p>
        </w:tc>
      </w:tr>
      <w:tr w14:paraId="3497B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47369EB5">
            <w:pPr>
              <w:jc w:val="center"/>
            </w:pPr>
            <w:r>
              <w:t>32</w:t>
            </w:r>
          </w:p>
        </w:tc>
        <w:tc>
          <w:tcPr>
            <w:vAlign w:val="center"/>
          </w:tcPr>
          <w:p w14:paraId="2A0F32A6">
            <w:pPr>
              <w:jc w:val="left"/>
            </w:pPr>
            <w:r>
              <w:t>关于博时招商蛇口产业园封闭式基础设施证券投资基金置换对外借款进展情况的公告</w:t>
            </w:r>
          </w:p>
        </w:tc>
        <w:tc>
          <w:tcPr>
            <w:vAlign w:val="center"/>
          </w:tcPr>
          <w:p w14:paraId="0A93A9EF">
            <w:pPr>
              <w:jc w:val="center"/>
            </w:pPr>
            <w:r>
              <w:t>中国证券报、基金管理人网站、证监会基金电子披露网站</w:t>
            </w:r>
          </w:p>
        </w:tc>
        <w:tc>
          <w:tcPr>
            <w:vAlign w:val="center"/>
          </w:tcPr>
          <w:p w14:paraId="67A07218">
            <w:pPr>
              <w:jc w:val="center"/>
            </w:pPr>
            <w:r>
              <w:t>2026-01-14</w:t>
            </w:r>
          </w:p>
        </w:tc>
      </w:tr>
      <w:tr w14:paraId="11B0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vAlign w:val="center"/>
          </w:tcPr>
          <w:p w14:paraId="57E82CE2">
            <w:pPr>
              <w:jc w:val="center"/>
            </w:pPr>
            <w:r>
              <w:t>33</w:t>
            </w:r>
          </w:p>
        </w:tc>
        <w:tc>
          <w:tcPr>
            <w:vAlign w:val="center"/>
          </w:tcPr>
          <w:p w14:paraId="591A82C4">
            <w:pPr>
              <w:jc w:val="left"/>
            </w:pPr>
            <w:r>
              <w:t>博时招商蛇口产业园封闭式基础设施证券投资基金关于二零二五年下半年主要运营数据的公告</w:t>
            </w:r>
          </w:p>
        </w:tc>
        <w:tc>
          <w:tcPr>
            <w:vAlign w:val="center"/>
          </w:tcPr>
          <w:p w14:paraId="19BDE448">
            <w:pPr>
              <w:jc w:val="center"/>
            </w:pPr>
            <w:r>
              <w:t>中国证券报、基金管理人网站、证监会基金电子披露网站</w:t>
            </w:r>
          </w:p>
        </w:tc>
        <w:tc>
          <w:tcPr>
            <w:vAlign w:val="center"/>
          </w:tcPr>
          <w:p w14:paraId="6AA2C5AE">
            <w:pPr>
              <w:jc w:val="center"/>
            </w:pPr>
            <w:r>
              <w:t>2026-01-10</w:t>
            </w:r>
          </w:p>
        </w:tc>
      </w:tr>
    </w:tbl>
    <w:p w14:paraId="122DABFF">
      <w:pPr>
        <w:pStyle w:val="2"/>
        <w:spacing w:before="312" w:beforeLines="100" w:after="312" w:afterLines="100" w:line="360" w:lineRule="auto"/>
        <w:jc w:val="center"/>
        <w:rPr>
          <w:kern w:val="0"/>
          <w:sz w:val="21"/>
          <w:szCs w:val="21"/>
        </w:rPr>
      </w:pPr>
      <w:bookmarkStart w:id="503" w:name="_Toc98509016"/>
      <w:bookmarkStart w:id="504" w:name="_Toc361324902"/>
      <w:bookmarkStart w:id="505" w:name="_Toc98601385"/>
      <w:bookmarkStart w:id="506" w:name="_Toc98602734"/>
      <w:bookmarkStart w:id="507" w:name="_Toc64625429"/>
      <w:bookmarkStart w:id="508" w:name="_Toc98603044"/>
      <w:bookmarkStart w:id="509" w:name="_Toc19223"/>
      <w:bookmarkStart w:id="510" w:name="_Toc98511679"/>
      <w:bookmarkStart w:id="511" w:name="_Toc98512435"/>
      <w:r>
        <w:rPr>
          <w:kern w:val="0"/>
          <w:sz w:val="21"/>
          <w:szCs w:val="21"/>
        </w:rPr>
        <w:t>§13  影响投资者决策的其他重要信息</w:t>
      </w:r>
      <w:bookmarkEnd w:id="503"/>
      <w:bookmarkEnd w:id="504"/>
      <w:bookmarkEnd w:id="505"/>
      <w:bookmarkEnd w:id="506"/>
      <w:bookmarkEnd w:id="507"/>
      <w:bookmarkEnd w:id="508"/>
      <w:bookmarkEnd w:id="509"/>
      <w:bookmarkEnd w:id="510"/>
      <w:bookmarkEnd w:id="511"/>
    </w:p>
    <w:p w14:paraId="1F0CFC33">
      <w:pPr>
        <w:spacing w:line="360" w:lineRule="auto"/>
        <w:ind w:firstLine="420" w:firstLineChars="200"/>
      </w:pPr>
      <w:r>
        <w:t>无。</w:t>
      </w:r>
    </w:p>
    <w:p w14:paraId="5033EBA5">
      <w:pPr>
        <w:pStyle w:val="2"/>
        <w:spacing w:before="312" w:beforeLines="100" w:after="312" w:afterLines="100" w:line="360" w:lineRule="auto"/>
        <w:jc w:val="center"/>
        <w:rPr>
          <w:kern w:val="0"/>
          <w:sz w:val="21"/>
          <w:szCs w:val="21"/>
        </w:rPr>
      </w:pPr>
      <w:bookmarkStart w:id="512" w:name="_Toc98603045"/>
      <w:bookmarkStart w:id="513" w:name="_Toc64625432"/>
      <w:bookmarkStart w:id="514" w:name="_Toc19658"/>
      <w:bookmarkStart w:id="515" w:name="_Toc98512436"/>
      <w:bookmarkStart w:id="516" w:name="_Toc98509017"/>
      <w:bookmarkStart w:id="517" w:name="_Toc98511680"/>
      <w:bookmarkStart w:id="518" w:name="_Toc98602735"/>
      <w:bookmarkStart w:id="519" w:name="_Toc98601386"/>
      <w:r>
        <w:rPr>
          <w:kern w:val="0"/>
          <w:sz w:val="21"/>
          <w:szCs w:val="21"/>
        </w:rPr>
        <w:t>§14  备查文件目录</w:t>
      </w:r>
      <w:bookmarkEnd w:id="512"/>
      <w:bookmarkEnd w:id="513"/>
      <w:bookmarkEnd w:id="514"/>
      <w:bookmarkEnd w:id="515"/>
      <w:bookmarkEnd w:id="516"/>
      <w:bookmarkEnd w:id="517"/>
      <w:bookmarkEnd w:id="518"/>
      <w:bookmarkEnd w:id="519"/>
    </w:p>
    <w:p w14:paraId="72E3FED7">
      <w:pPr>
        <w:pStyle w:val="3"/>
        <w:spacing w:before="312" w:beforeLines="100" w:after="0"/>
        <w:rPr>
          <w:rFonts w:ascii="Times New Roman" w:hAnsi="Times New Roman" w:cs="Times New Roman"/>
          <w:kern w:val="0"/>
          <w:sz w:val="21"/>
          <w:szCs w:val="21"/>
        </w:rPr>
      </w:pPr>
      <w:bookmarkStart w:id="520" w:name="_Toc98509018"/>
      <w:bookmarkStart w:id="521" w:name="_Toc361324904"/>
      <w:bookmarkStart w:id="522" w:name="_Toc98512437"/>
      <w:bookmarkStart w:id="523" w:name="_Toc64625433"/>
      <w:bookmarkStart w:id="524" w:name="_Toc98603046"/>
      <w:bookmarkStart w:id="525" w:name="_Toc98601387"/>
      <w:bookmarkStart w:id="526" w:name="_Toc98511681"/>
      <w:bookmarkStart w:id="527" w:name="_Toc98602736"/>
      <w:bookmarkStart w:id="528" w:name="_Toc32174"/>
      <w:r>
        <w:rPr>
          <w:rFonts w:ascii="Times New Roman" w:hAnsi="Times New Roman" w:cs="Times New Roman"/>
          <w:kern w:val="0"/>
          <w:sz w:val="21"/>
          <w:szCs w:val="21"/>
        </w:rPr>
        <w:t>14.1 备查文件目录</w:t>
      </w:r>
      <w:bookmarkEnd w:id="520"/>
      <w:bookmarkEnd w:id="521"/>
      <w:bookmarkEnd w:id="522"/>
      <w:bookmarkEnd w:id="523"/>
      <w:bookmarkEnd w:id="524"/>
      <w:bookmarkEnd w:id="525"/>
      <w:bookmarkEnd w:id="526"/>
      <w:bookmarkEnd w:id="527"/>
      <w:bookmarkEnd w:id="528"/>
    </w:p>
    <w:p w14:paraId="4449B061">
      <w:pPr>
        <w:spacing w:line="360" w:lineRule="auto"/>
        <w:ind w:firstLine="420" w:firstLineChars="200"/>
      </w:pPr>
      <w:r>
        <w:t>1、中国证券监督管理委员会批准博时招商蛇口产业园封闭式基础设施证券投资基金设立的文件</w:t>
      </w:r>
    </w:p>
    <w:p w14:paraId="11FF256A">
      <w:pPr>
        <w:spacing w:line="360" w:lineRule="auto"/>
        <w:ind w:firstLine="420" w:firstLineChars="200"/>
      </w:pPr>
      <w:r>
        <w:t>2、《博时招商蛇口产业园封闭式基础设施证券投资基金基金合同》</w:t>
      </w:r>
    </w:p>
    <w:p w14:paraId="79126C2D">
      <w:pPr>
        <w:spacing w:line="360" w:lineRule="auto"/>
        <w:ind w:firstLine="420" w:firstLineChars="200"/>
      </w:pPr>
      <w:r>
        <w:t>3、《博时招商蛇口产业园封闭式基础设施证券投资基金托管协议》</w:t>
      </w:r>
    </w:p>
    <w:p w14:paraId="1B08359C">
      <w:pPr>
        <w:spacing w:line="360" w:lineRule="auto"/>
        <w:ind w:firstLine="420" w:firstLineChars="200"/>
      </w:pPr>
      <w:r>
        <w:t>4、基金管理人业务资格批件、营业执照和公司章程</w:t>
      </w:r>
    </w:p>
    <w:p w14:paraId="1D725AB0">
      <w:pPr>
        <w:spacing w:line="360" w:lineRule="auto"/>
        <w:ind w:firstLine="420" w:firstLineChars="200"/>
      </w:pPr>
      <w:r>
        <w:t>5、博时招商蛇口产业园封闭式基础设施证券投资基金各年度审计报告正本</w:t>
      </w:r>
    </w:p>
    <w:p w14:paraId="2FB47F82">
      <w:pPr>
        <w:spacing w:line="360" w:lineRule="auto"/>
        <w:ind w:firstLine="420" w:firstLineChars="200"/>
      </w:pPr>
      <w:r>
        <w:t>6、报告期内博时招商蛇口产业园封闭式基础设施证券投资基金在指定报刊上各项公告的原稿</w:t>
      </w:r>
    </w:p>
    <w:p w14:paraId="3A8C6C61">
      <w:pPr>
        <w:pStyle w:val="3"/>
        <w:spacing w:before="312" w:beforeLines="100" w:after="0"/>
        <w:rPr>
          <w:rFonts w:ascii="Times New Roman" w:hAnsi="Times New Roman" w:cs="Times New Roman"/>
          <w:sz w:val="21"/>
          <w:szCs w:val="21"/>
        </w:rPr>
      </w:pPr>
      <w:bookmarkStart w:id="529" w:name="_Toc98603047"/>
      <w:bookmarkStart w:id="530" w:name="_Toc98602737"/>
      <w:bookmarkStart w:id="531" w:name="_Toc98601388"/>
      <w:bookmarkStart w:id="532" w:name="_Toc98511682"/>
      <w:bookmarkStart w:id="533" w:name="_Toc64625434"/>
      <w:bookmarkStart w:id="534" w:name="_Toc361324905"/>
      <w:bookmarkStart w:id="535" w:name="_Toc98509019"/>
      <w:bookmarkStart w:id="536" w:name="_Toc98512438"/>
      <w:bookmarkStart w:id="537" w:name="_Toc13947"/>
      <w:r>
        <w:rPr>
          <w:rFonts w:ascii="Times New Roman" w:hAnsi="Times New Roman" w:cs="Times New Roman"/>
          <w:kern w:val="0"/>
          <w:sz w:val="21"/>
          <w:szCs w:val="21"/>
        </w:rPr>
        <w:t>14.2</w:t>
      </w:r>
      <w:r>
        <w:rPr>
          <w:rFonts w:ascii="Times New Roman" w:hAnsi="Times New Roman" w:cs="Times New Roman"/>
          <w:sz w:val="21"/>
          <w:szCs w:val="21"/>
        </w:rPr>
        <w:t xml:space="preserve"> 存放地点</w:t>
      </w:r>
      <w:bookmarkEnd w:id="529"/>
      <w:bookmarkEnd w:id="530"/>
      <w:bookmarkEnd w:id="531"/>
      <w:bookmarkEnd w:id="532"/>
      <w:bookmarkEnd w:id="533"/>
      <w:bookmarkEnd w:id="534"/>
      <w:bookmarkEnd w:id="535"/>
      <w:bookmarkEnd w:id="536"/>
      <w:bookmarkEnd w:id="537"/>
    </w:p>
    <w:p w14:paraId="38268A06">
      <w:pPr>
        <w:spacing w:line="360" w:lineRule="auto"/>
        <w:ind w:firstLine="420" w:firstLineChars="200"/>
      </w:pPr>
      <w:r>
        <w:t>基金管理人、基金托管人处</w:t>
      </w:r>
    </w:p>
    <w:p w14:paraId="3989D847">
      <w:pPr>
        <w:pStyle w:val="3"/>
        <w:spacing w:before="312" w:beforeLines="100" w:after="0"/>
        <w:rPr>
          <w:rFonts w:ascii="Times New Roman" w:hAnsi="Times New Roman" w:cs="Times New Roman"/>
          <w:kern w:val="0"/>
          <w:sz w:val="21"/>
          <w:szCs w:val="21"/>
        </w:rPr>
      </w:pPr>
      <w:bookmarkStart w:id="538" w:name="_Toc98509020"/>
      <w:bookmarkStart w:id="539" w:name="_Toc98602738"/>
      <w:bookmarkStart w:id="540" w:name="_Toc64625435"/>
      <w:bookmarkStart w:id="541" w:name="_Toc98511683"/>
      <w:bookmarkStart w:id="542" w:name="_Toc8534"/>
      <w:bookmarkStart w:id="543" w:name="_Toc361324906"/>
      <w:bookmarkStart w:id="544" w:name="_Toc98601389"/>
      <w:bookmarkStart w:id="545" w:name="_Toc98603048"/>
      <w:bookmarkStart w:id="546" w:name="_Toc98512439"/>
      <w:r>
        <w:rPr>
          <w:rFonts w:ascii="Times New Roman" w:hAnsi="Times New Roman" w:cs="Times New Roman"/>
          <w:kern w:val="0"/>
          <w:sz w:val="21"/>
          <w:szCs w:val="21"/>
        </w:rPr>
        <w:t>14.3 查阅方式</w:t>
      </w:r>
      <w:bookmarkEnd w:id="538"/>
      <w:bookmarkEnd w:id="539"/>
      <w:bookmarkEnd w:id="540"/>
      <w:bookmarkEnd w:id="541"/>
      <w:bookmarkEnd w:id="542"/>
      <w:bookmarkEnd w:id="543"/>
      <w:bookmarkEnd w:id="544"/>
      <w:bookmarkEnd w:id="545"/>
      <w:bookmarkEnd w:id="546"/>
    </w:p>
    <w:p w14:paraId="5347B7C1">
      <w:pPr>
        <w:spacing w:line="360" w:lineRule="auto"/>
        <w:ind w:firstLine="420" w:firstLineChars="200"/>
      </w:pPr>
      <w:r>
        <w:t>投资者可在营业时间免费查询，也可按工本费购买复印件</w:t>
      </w:r>
    </w:p>
    <w:p w14:paraId="2E3E2094">
      <w:pPr>
        <w:spacing w:line="360" w:lineRule="auto"/>
        <w:ind w:firstLine="420" w:firstLineChars="200"/>
      </w:pPr>
      <w:r>
        <w:t>投资者对本报告书如有疑问，可咨询本基金管理人博时基金管理有限公司</w:t>
      </w:r>
    </w:p>
    <w:p w14:paraId="714B59AE">
      <w:pPr>
        <w:spacing w:line="360" w:lineRule="auto"/>
        <w:ind w:firstLine="420" w:firstLineChars="200"/>
      </w:pPr>
      <w:r>
        <w:t xml:space="preserve">博时一线通：95105568（免长途话费） </w:t>
      </w:r>
    </w:p>
    <w:p w14:paraId="72BC4FAF">
      <w:pPr>
        <w:spacing w:line="360" w:lineRule="auto"/>
        <w:ind w:left="840"/>
        <w:jc w:val="right"/>
      </w:pPr>
    </w:p>
    <w:p w14:paraId="5B8BBBA6">
      <w:pPr>
        <w:spacing w:line="360" w:lineRule="auto"/>
        <w:ind w:left="840"/>
        <w:jc w:val="right"/>
      </w:pPr>
    </w:p>
    <w:p w14:paraId="03FBDE17">
      <w:pPr>
        <w:spacing w:line="360" w:lineRule="auto"/>
        <w:ind w:left="840"/>
        <w:jc w:val="right"/>
      </w:pPr>
    </w:p>
    <w:p w14:paraId="3D49E6EF">
      <w:pPr>
        <w:spacing w:line="360" w:lineRule="auto"/>
        <w:jc w:val="right"/>
        <w:rPr>
          <w:b/>
          <w:bCs/>
        </w:rPr>
      </w:pPr>
      <w:r>
        <w:rPr>
          <w:b/>
          <w:bCs/>
        </w:rPr>
        <w:t>博时基金管理有限公司</w:t>
      </w:r>
    </w:p>
    <w:p w14:paraId="572D2A20">
      <w:pPr>
        <w:spacing w:line="360" w:lineRule="auto"/>
        <w:jc w:val="right"/>
        <w:rPr>
          <w:b/>
          <w:bCs/>
        </w:rPr>
      </w:pPr>
      <w:r>
        <w:rPr>
          <w:b/>
          <w:bCs/>
        </w:rPr>
        <w:t>二〇二六年八月二十七日</w:t>
      </w:r>
    </w:p>
    <w:sectPr>
      <w:headerReference r:id="rId4" w:type="default"/>
      <w:footerReference r:id="rId5" w:type="default"/>
      <w:pgSz w:w="11906" w:h="16838"/>
      <w:pgMar w:top="1440" w:right="1797" w:bottom="1440" w:left="179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6C82A">
    <w:pPr>
      <w:pStyle w:val="25"/>
      <w:framePr w:wrap="around" w:vAnchor="text" w:hAnchor="margin" w:xAlign="center" w:y="1"/>
      <w:rPr>
        <w:rStyle w:val="45"/>
      </w:rPr>
    </w:pPr>
    <w:r>
      <w:rPr>
        <w:rStyle w:val="45"/>
      </w:rPr>
      <w:fldChar w:fldCharType="begin"/>
    </w:r>
    <w:r>
      <w:rPr>
        <w:rStyle w:val="45"/>
      </w:rPr>
      <w:instrText xml:space="preserve">PAGE  </w:instrText>
    </w:r>
    <w:r>
      <w:rPr>
        <w:rStyle w:val="45"/>
      </w:rPr>
      <w:fldChar w:fldCharType="separate"/>
    </w:r>
    <w:r>
      <w:rPr>
        <w:rStyle w:val="45"/>
      </w:rPr>
      <w:t>188</w:t>
    </w:r>
    <w:r>
      <w:rPr>
        <w:rStyle w:val="45"/>
      </w:rPr>
      <w:fldChar w:fldCharType="end"/>
    </w:r>
  </w:p>
  <w:p w14:paraId="4B49FB2D">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B9C">
    <w:pPr>
      <w:pStyle w:val="26"/>
      <w:pBdr>
        <w:bottom w:val="single" w:color="auto" w:sz="6" w:space="0"/>
      </w:pBdr>
      <w:jc w:val="right"/>
    </w:pPr>
    <w:r>
      <w:drawing>
        <wp:anchor distT="0" distB="0" distL="114300" distR="114300" simplePos="0" relativeHeight="251659264" behindDoc="0" locked="0" layoutInCell="1" allowOverlap="1">
          <wp:simplePos x="0" y="0"/>
          <wp:positionH relativeFrom="column">
            <wp:posOffset>12065</wp:posOffset>
          </wp:positionH>
          <wp:positionV relativeFrom="paragraph">
            <wp:posOffset>-252095</wp:posOffset>
          </wp:positionV>
          <wp:extent cx="1257300" cy="314325"/>
          <wp:effectExtent l="0" t="0" r="0" b="0"/>
          <wp:wrapNone/>
          <wp:docPr id="1793395806" name="图片 1793395806"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95806" name="图片 1793395806"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D73">
    <w:pPr>
      <w:pStyle w:val="26"/>
      <w:pBdr>
        <w:bottom w:val="single" w:color="auto" w:sz="6" w:space="0"/>
      </w:pBdr>
      <w:jc w:val="right"/>
    </w:pPr>
    <w:r>
      <w:rPr>
        <w:sz w:val="21"/>
        <w:szCs w:val="21"/>
      </w:rPr>
      <w:t>博时招商蛇口产业园封闭式基础设施证券投资基金2026年中期报告</w:t>
    </w:r>
    <w:r>
      <w:drawing>
        <wp:anchor distT="0" distB="0" distL="114300" distR="114300" simplePos="0" relativeHeight="251660288" behindDoc="0" locked="0" layoutInCell="1" allowOverlap="1">
          <wp:simplePos x="0" y="0"/>
          <wp:positionH relativeFrom="column">
            <wp:posOffset>12065</wp:posOffset>
          </wp:positionH>
          <wp:positionV relativeFrom="paragraph">
            <wp:posOffset>-252095</wp:posOffset>
          </wp:positionV>
          <wp:extent cx="1257300" cy="314325"/>
          <wp:effectExtent l="0" t="0" r="0" b="0"/>
          <wp:wrapNone/>
          <wp:docPr id="413464391" name="图片 413464391"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64391" name="图片 413464391"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108"/>
      <w:lvlText w:val="%1）"/>
      <w:lvlJc w:val="left"/>
      <w:pPr>
        <w:tabs>
          <w:tab w:val="left" w:pos="-2901"/>
        </w:tabs>
        <w:ind w:left="-2901" w:hanging="360"/>
      </w:pPr>
      <w:rPr>
        <w:rFonts w:hint="default"/>
      </w:rPr>
    </w:lvl>
    <w:lvl w:ilvl="1" w:tentative="0">
      <w:start w:val="1"/>
      <w:numFmt w:val="lowerLetter"/>
      <w:pStyle w:val="118"/>
      <w:lvlText w:val="%2)"/>
      <w:lvlJc w:val="left"/>
      <w:pPr>
        <w:tabs>
          <w:tab w:val="left" w:pos="-2421"/>
        </w:tabs>
        <w:ind w:left="-2421" w:hanging="420"/>
      </w:pPr>
    </w:lvl>
    <w:lvl w:ilvl="2" w:tentative="0">
      <w:start w:val="1"/>
      <w:numFmt w:val="lowerRoman"/>
      <w:lvlText w:val="%3."/>
      <w:lvlJc w:val="right"/>
      <w:pPr>
        <w:tabs>
          <w:tab w:val="left" w:pos="-2001"/>
        </w:tabs>
        <w:ind w:left="-2001" w:hanging="420"/>
      </w:pPr>
    </w:lvl>
    <w:lvl w:ilvl="3" w:tentative="0">
      <w:start w:val="1"/>
      <w:numFmt w:val="decimal"/>
      <w:lvlText w:val="%4."/>
      <w:lvlJc w:val="left"/>
      <w:pPr>
        <w:tabs>
          <w:tab w:val="left" w:pos="-1581"/>
        </w:tabs>
        <w:ind w:left="-1581" w:hanging="420"/>
      </w:pPr>
    </w:lvl>
    <w:lvl w:ilvl="4" w:tentative="0">
      <w:start w:val="1"/>
      <w:numFmt w:val="lowerLetter"/>
      <w:lvlText w:val="%5)"/>
      <w:lvlJc w:val="left"/>
      <w:pPr>
        <w:tabs>
          <w:tab w:val="left" w:pos="-1161"/>
        </w:tabs>
        <w:ind w:left="-1161" w:hanging="420"/>
      </w:pPr>
    </w:lvl>
    <w:lvl w:ilvl="5" w:tentative="0">
      <w:start w:val="1"/>
      <w:numFmt w:val="lowerRoman"/>
      <w:lvlText w:val="%6."/>
      <w:lvlJc w:val="right"/>
      <w:pPr>
        <w:tabs>
          <w:tab w:val="left" w:pos="-741"/>
        </w:tabs>
        <w:ind w:left="-741" w:hanging="420"/>
      </w:pPr>
    </w:lvl>
    <w:lvl w:ilvl="6" w:tentative="0">
      <w:start w:val="1"/>
      <w:numFmt w:val="decimal"/>
      <w:lvlText w:val="%7."/>
      <w:lvlJc w:val="left"/>
      <w:pPr>
        <w:tabs>
          <w:tab w:val="left" w:pos="-321"/>
        </w:tabs>
        <w:ind w:left="-321" w:hanging="420"/>
      </w:pPr>
    </w:lvl>
    <w:lvl w:ilvl="7" w:tentative="0">
      <w:start w:val="1"/>
      <w:numFmt w:val="lowerLetter"/>
      <w:lvlText w:val="%8)"/>
      <w:lvlJc w:val="left"/>
      <w:pPr>
        <w:tabs>
          <w:tab w:val="left" w:pos="99"/>
        </w:tabs>
        <w:ind w:left="99" w:hanging="420"/>
      </w:pPr>
    </w:lvl>
    <w:lvl w:ilvl="8" w:tentative="0">
      <w:start w:val="1"/>
      <w:numFmt w:val="lowerRoman"/>
      <w:lvlText w:val="%9."/>
      <w:lvlJc w:val="right"/>
      <w:pPr>
        <w:tabs>
          <w:tab w:val="left" w:pos="519"/>
        </w:tabs>
        <w:ind w:left="519" w:hanging="420"/>
      </w:pPr>
    </w:lvl>
  </w:abstractNum>
  <w:abstractNum w:abstractNumId="1">
    <w:nsid w:val="0000000B"/>
    <w:multiLevelType w:val="multilevel"/>
    <w:tmpl w:val="0000000B"/>
    <w:lvl w:ilvl="0" w:tentative="0">
      <w:start w:val="1"/>
      <w:numFmt w:val="decimal"/>
      <w:pStyle w:val="115"/>
      <w:lvlText w:val="%1、"/>
      <w:lvlJc w:val="left"/>
      <w:pPr>
        <w:tabs>
          <w:tab w:val="left" w:pos="780"/>
        </w:tabs>
        <w:ind w:left="780" w:hanging="360"/>
      </w:pPr>
      <w:rPr>
        <w:rFonts w:hint="default"/>
        <w:color w:val="0000FF"/>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215"/>
    <w:rsid w:val="00000603"/>
    <w:rsid w:val="00000B5B"/>
    <w:rsid w:val="00001D8B"/>
    <w:rsid w:val="00002D39"/>
    <w:rsid w:val="000030EA"/>
    <w:rsid w:val="00003751"/>
    <w:rsid w:val="00004AEE"/>
    <w:rsid w:val="00004BFD"/>
    <w:rsid w:val="000059AA"/>
    <w:rsid w:val="000064F6"/>
    <w:rsid w:val="000066F3"/>
    <w:rsid w:val="00007AB7"/>
    <w:rsid w:val="00007FC9"/>
    <w:rsid w:val="00010011"/>
    <w:rsid w:val="000110B8"/>
    <w:rsid w:val="0001196D"/>
    <w:rsid w:val="00011F6E"/>
    <w:rsid w:val="0001221C"/>
    <w:rsid w:val="00012D7F"/>
    <w:rsid w:val="00013295"/>
    <w:rsid w:val="00014099"/>
    <w:rsid w:val="00014623"/>
    <w:rsid w:val="00015CCF"/>
    <w:rsid w:val="0001604B"/>
    <w:rsid w:val="000160C5"/>
    <w:rsid w:val="0001761E"/>
    <w:rsid w:val="0001775D"/>
    <w:rsid w:val="00017D29"/>
    <w:rsid w:val="000210E7"/>
    <w:rsid w:val="000211DA"/>
    <w:rsid w:val="000219D1"/>
    <w:rsid w:val="00021B02"/>
    <w:rsid w:val="000221D9"/>
    <w:rsid w:val="00022705"/>
    <w:rsid w:val="0002368E"/>
    <w:rsid w:val="0002547E"/>
    <w:rsid w:val="00026571"/>
    <w:rsid w:val="00026ABE"/>
    <w:rsid w:val="00026C63"/>
    <w:rsid w:val="00027082"/>
    <w:rsid w:val="0003067B"/>
    <w:rsid w:val="00031EBB"/>
    <w:rsid w:val="000324D0"/>
    <w:rsid w:val="00032F45"/>
    <w:rsid w:val="00033B8D"/>
    <w:rsid w:val="000342FC"/>
    <w:rsid w:val="000361D3"/>
    <w:rsid w:val="0003673C"/>
    <w:rsid w:val="000368D6"/>
    <w:rsid w:val="00041A0B"/>
    <w:rsid w:val="00043852"/>
    <w:rsid w:val="00043F16"/>
    <w:rsid w:val="000445B3"/>
    <w:rsid w:val="000450DD"/>
    <w:rsid w:val="000456EE"/>
    <w:rsid w:val="00045CB1"/>
    <w:rsid w:val="000463DE"/>
    <w:rsid w:val="00046A58"/>
    <w:rsid w:val="00046AB4"/>
    <w:rsid w:val="00046CAB"/>
    <w:rsid w:val="00046CCD"/>
    <w:rsid w:val="00046F68"/>
    <w:rsid w:val="0004742D"/>
    <w:rsid w:val="00050434"/>
    <w:rsid w:val="00053B2D"/>
    <w:rsid w:val="00054299"/>
    <w:rsid w:val="000558F8"/>
    <w:rsid w:val="00055D5B"/>
    <w:rsid w:val="00056311"/>
    <w:rsid w:val="00056CD6"/>
    <w:rsid w:val="00057F3D"/>
    <w:rsid w:val="000606E3"/>
    <w:rsid w:val="00060CCC"/>
    <w:rsid w:val="00061550"/>
    <w:rsid w:val="000653D9"/>
    <w:rsid w:val="00066257"/>
    <w:rsid w:val="000665A4"/>
    <w:rsid w:val="00070D29"/>
    <w:rsid w:val="00073F72"/>
    <w:rsid w:val="0007445C"/>
    <w:rsid w:val="00075DF2"/>
    <w:rsid w:val="00077320"/>
    <w:rsid w:val="00080D9C"/>
    <w:rsid w:val="00080DE2"/>
    <w:rsid w:val="00081441"/>
    <w:rsid w:val="00081A2A"/>
    <w:rsid w:val="00082FBC"/>
    <w:rsid w:val="0008313A"/>
    <w:rsid w:val="000843F3"/>
    <w:rsid w:val="00085244"/>
    <w:rsid w:val="00085469"/>
    <w:rsid w:val="000854F5"/>
    <w:rsid w:val="00085BB0"/>
    <w:rsid w:val="000866A4"/>
    <w:rsid w:val="00086E01"/>
    <w:rsid w:val="0008740D"/>
    <w:rsid w:val="000879F2"/>
    <w:rsid w:val="000907D2"/>
    <w:rsid w:val="00090A26"/>
    <w:rsid w:val="00091615"/>
    <w:rsid w:val="00091D41"/>
    <w:rsid w:val="00092611"/>
    <w:rsid w:val="0009294E"/>
    <w:rsid w:val="00092B32"/>
    <w:rsid w:val="00092B82"/>
    <w:rsid w:val="00095168"/>
    <w:rsid w:val="00097A20"/>
    <w:rsid w:val="00097B16"/>
    <w:rsid w:val="000A0FC3"/>
    <w:rsid w:val="000A2B53"/>
    <w:rsid w:val="000A31DD"/>
    <w:rsid w:val="000A33BC"/>
    <w:rsid w:val="000A42D6"/>
    <w:rsid w:val="000B0BA1"/>
    <w:rsid w:val="000B0F4A"/>
    <w:rsid w:val="000B1374"/>
    <w:rsid w:val="000B308D"/>
    <w:rsid w:val="000B3F04"/>
    <w:rsid w:val="000B42E2"/>
    <w:rsid w:val="000B44B0"/>
    <w:rsid w:val="000B465E"/>
    <w:rsid w:val="000B54C5"/>
    <w:rsid w:val="000B624F"/>
    <w:rsid w:val="000B6BA8"/>
    <w:rsid w:val="000B73C6"/>
    <w:rsid w:val="000B7A59"/>
    <w:rsid w:val="000C03B7"/>
    <w:rsid w:val="000C190B"/>
    <w:rsid w:val="000C1E17"/>
    <w:rsid w:val="000C1F83"/>
    <w:rsid w:val="000C2B62"/>
    <w:rsid w:val="000C33C2"/>
    <w:rsid w:val="000C41FE"/>
    <w:rsid w:val="000C50EF"/>
    <w:rsid w:val="000C5216"/>
    <w:rsid w:val="000C5B17"/>
    <w:rsid w:val="000C6D58"/>
    <w:rsid w:val="000C7B56"/>
    <w:rsid w:val="000D094E"/>
    <w:rsid w:val="000D0E6C"/>
    <w:rsid w:val="000D1344"/>
    <w:rsid w:val="000D1D34"/>
    <w:rsid w:val="000D2147"/>
    <w:rsid w:val="000D25D1"/>
    <w:rsid w:val="000D3ED4"/>
    <w:rsid w:val="000D409F"/>
    <w:rsid w:val="000D484E"/>
    <w:rsid w:val="000D4E02"/>
    <w:rsid w:val="000D51B9"/>
    <w:rsid w:val="000D64D6"/>
    <w:rsid w:val="000E05FA"/>
    <w:rsid w:val="000E17D9"/>
    <w:rsid w:val="000E24F4"/>
    <w:rsid w:val="000E3607"/>
    <w:rsid w:val="000E444F"/>
    <w:rsid w:val="000E461A"/>
    <w:rsid w:val="000E4E38"/>
    <w:rsid w:val="000E5E61"/>
    <w:rsid w:val="000E6226"/>
    <w:rsid w:val="000E6FD1"/>
    <w:rsid w:val="000E7791"/>
    <w:rsid w:val="000F165F"/>
    <w:rsid w:val="000F25AE"/>
    <w:rsid w:val="000F25F0"/>
    <w:rsid w:val="000F297F"/>
    <w:rsid w:val="000F2D90"/>
    <w:rsid w:val="000F3589"/>
    <w:rsid w:val="000F509A"/>
    <w:rsid w:val="000F59F0"/>
    <w:rsid w:val="000F6CC8"/>
    <w:rsid w:val="000F6EE9"/>
    <w:rsid w:val="00101642"/>
    <w:rsid w:val="0010221B"/>
    <w:rsid w:val="001043C1"/>
    <w:rsid w:val="00104C8A"/>
    <w:rsid w:val="00105425"/>
    <w:rsid w:val="00105E50"/>
    <w:rsid w:val="00105F7E"/>
    <w:rsid w:val="001061EE"/>
    <w:rsid w:val="00107108"/>
    <w:rsid w:val="00107427"/>
    <w:rsid w:val="00107BF0"/>
    <w:rsid w:val="0011010D"/>
    <w:rsid w:val="0011014D"/>
    <w:rsid w:val="00110379"/>
    <w:rsid w:val="00111261"/>
    <w:rsid w:val="00114392"/>
    <w:rsid w:val="00115AE1"/>
    <w:rsid w:val="00115CE1"/>
    <w:rsid w:val="00116644"/>
    <w:rsid w:val="00116CDE"/>
    <w:rsid w:val="00117755"/>
    <w:rsid w:val="0011788D"/>
    <w:rsid w:val="00121118"/>
    <w:rsid w:val="00121C36"/>
    <w:rsid w:val="00122EA0"/>
    <w:rsid w:val="001243B2"/>
    <w:rsid w:val="0012573E"/>
    <w:rsid w:val="0012592B"/>
    <w:rsid w:val="00127AAD"/>
    <w:rsid w:val="00127E62"/>
    <w:rsid w:val="0013013B"/>
    <w:rsid w:val="00131014"/>
    <w:rsid w:val="00131303"/>
    <w:rsid w:val="0013155E"/>
    <w:rsid w:val="00131B49"/>
    <w:rsid w:val="001324C1"/>
    <w:rsid w:val="00132F9C"/>
    <w:rsid w:val="00133B79"/>
    <w:rsid w:val="001341E2"/>
    <w:rsid w:val="001342D8"/>
    <w:rsid w:val="001351EB"/>
    <w:rsid w:val="00135B62"/>
    <w:rsid w:val="00137452"/>
    <w:rsid w:val="00137A9D"/>
    <w:rsid w:val="001402F4"/>
    <w:rsid w:val="00140C4E"/>
    <w:rsid w:val="00141593"/>
    <w:rsid w:val="00141D8A"/>
    <w:rsid w:val="00142298"/>
    <w:rsid w:val="001424F1"/>
    <w:rsid w:val="001442B6"/>
    <w:rsid w:val="00144ED1"/>
    <w:rsid w:val="00144F93"/>
    <w:rsid w:val="00146CFF"/>
    <w:rsid w:val="00146D0A"/>
    <w:rsid w:val="00147376"/>
    <w:rsid w:val="001478AF"/>
    <w:rsid w:val="001503E9"/>
    <w:rsid w:val="00150DAD"/>
    <w:rsid w:val="00150E7E"/>
    <w:rsid w:val="0015191C"/>
    <w:rsid w:val="0015246A"/>
    <w:rsid w:val="00152681"/>
    <w:rsid w:val="00152D26"/>
    <w:rsid w:val="001531DB"/>
    <w:rsid w:val="00154231"/>
    <w:rsid w:val="00154868"/>
    <w:rsid w:val="00154BE1"/>
    <w:rsid w:val="00155D4B"/>
    <w:rsid w:val="00160EDC"/>
    <w:rsid w:val="00160F05"/>
    <w:rsid w:val="001611C5"/>
    <w:rsid w:val="001618B1"/>
    <w:rsid w:val="00161A0C"/>
    <w:rsid w:val="00162ABF"/>
    <w:rsid w:val="00162FA9"/>
    <w:rsid w:val="00164757"/>
    <w:rsid w:val="00165663"/>
    <w:rsid w:val="00166BA7"/>
    <w:rsid w:val="001675CD"/>
    <w:rsid w:val="00171149"/>
    <w:rsid w:val="00171EF0"/>
    <w:rsid w:val="00172A27"/>
    <w:rsid w:val="001741C0"/>
    <w:rsid w:val="00174349"/>
    <w:rsid w:val="00174A45"/>
    <w:rsid w:val="00174C19"/>
    <w:rsid w:val="00174F87"/>
    <w:rsid w:val="00174FDB"/>
    <w:rsid w:val="00175D4F"/>
    <w:rsid w:val="001761D2"/>
    <w:rsid w:val="00176C48"/>
    <w:rsid w:val="00180254"/>
    <w:rsid w:val="00180E27"/>
    <w:rsid w:val="00180F67"/>
    <w:rsid w:val="001830D7"/>
    <w:rsid w:val="00183166"/>
    <w:rsid w:val="001831F3"/>
    <w:rsid w:val="001838BD"/>
    <w:rsid w:val="00183A94"/>
    <w:rsid w:val="00184D77"/>
    <w:rsid w:val="00185816"/>
    <w:rsid w:val="00185916"/>
    <w:rsid w:val="00185A34"/>
    <w:rsid w:val="001863BF"/>
    <w:rsid w:val="00186E95"/>
    <w:rsid w:val="00187430"/>
    <w:rsid w:val="001879AC"/>
    <w:rsid w:val="00190D5F"/>
    <w:rsid w:val="001916FF"/>
    <w:rsid w:val="00192CE2"/>
    <w:rsid w:val="001930FA"/>
    <w:rsid w:val="001942BF"/>
    <w:rsid w:val="001942D7"/>
    <w:rsid w:val="001952A5"/>
    <w:rsid w:val="001956B6"/>
    <w:rsid w:val="001956D3"/>
    <w:rsid w:val="00196E6C"/>
    <w:rsid w:val="00197A90"/>
    <w:rsid w:val="001A059D"/>
    <w:rsid w:val="001A0B05"/>
    <w:rsid w:val="001A0D1C"/>
    <w:rsid w:val="001A2A12"/>
    <w:rsid w:val="001A314E"/>
    <w:rsid w:val="001A356A"/>
    <w:rsid w:val="001A4655"/>
    <w:rsid w:val="001A4F73"/>
    <w:rsid w:val="001A736A"/>
    <w:rsid w:val="001A73E8"/>
    <w:rsid w:val="001A7967"/>
    <w:rsid w:val="001B0A62"/>
    <w:rsid w:val="001B2F35"/>
    <w:rsid w:val="001B3208"/>
    <w:rsid w:val="001B409C"/>
    <w:rsid w:val="001B6DC8"/>
    <w:rsid w:val="001B6F12"/>
    <w:rsid w:val="001B703A"/>
    <w:rsid w:val="001B7D9A"/>
    <w:rsid w:val="001C0993"/>
    <w:rsid w:val="001C1B59"/>
    <w:rsid w:val="001C3378"/>
    <w:rsid w:val="001C5169"/>
    <w:rsid w:val="001C6117"/>
    <w:rsid w:val="001C637F"/>
    <w:rsid w:val="001C6F44"/>
    <w:rsid w:val="001C703D"/>
    <w:rsid w:val="001C7795"/>
    <w:rsid w:val="001C79F2"/>
    <w:rsid w:val="001C7C19"/>
    <w:rsid w:val="001C7CEB"/>
    <w:rsid w:val="001D1447"/>
    <w:rsid w:val="001D168B"/>
    <w:rsid w:val="001D17C1"/>
    <w:rsid w:val="001D1F43"/>
    <w:rsid w:val="001D1F63"/>
    <w:rsid w:val="001D2751"/>
    <w:rsid w:val="001D2754"/>
    <w:rsid w:val="001D3520"/>
    <w:rsid w:val="001D35F6"/>
    <w:rsid w:val="001D4346"/>
    <w:rsid w:val="001D4E71"/>
    <w:rsid w:val="001D6073"/>
    <w:rsid w:val="001D63BB"/>
    <w:rsid w:val="001D67B7"/>
    <w:rsid w:val="001D6A4B"/>
    <w:rsid w:val="001D7339"/>
    <w:rsid w:val="001E0323"/>
    <w:rsid w:val="001E03AF"/>
    <w:rsid w:val="001E157D"/>
    <w:rsid w:val="001E1D4C"/>
    <w:rsid w:val="001E2F2F"/>
    <w:rsid w:val="001E429F"/>
    <w:rsid w:val="001E4630"/>
    <w:rsid w:val="001E4E00"/>
    <w:rsid w:val="001E66FC"/>
    <w:rsid w:val="001E7369"/>
    <w:rsid w:val="001E7758"/>
    <w:rsid w:val="001F02F1"/>
    <w:rsid w:val="001F0643"/>
    <w:rsid w:val="001F0964"/>
    <w:rsid w:val="001F276C"/>
    <w:rsid w:val="001F30DA"/>
    <w:rsid w:val="001F352D"/>
    <w:rsid w:val="001F3A8C"/>
    <w:rsid w:val="001F3F35"/>
    <w:rsid w:val="001F5A90"/>
    <w:rsid w:val="001F5DC5"/>
    <w:rsid w:val="001F6597"/>
    <w:rsid w:val="001F6FDB"/>
    <w:rsid w:val="001F757B"/>
    <w:rsid w:val="002009A6"/>
    <w:rsid w:val="002009C5"/>
    <w:rsid w:val="00200C59"/>
    <w:rsid w:val="00200F4D"/>
    <w:rsid w:val="00200FAB"/>
    <w:rsid w:val="00201202"/>
    <w:rsid w:val="00201501"/>
    <w:rsid w:val="00201E95"/>
    <w:rsid w:val="002035D3"/>
    <w:rsid w:val="00203979"/>
    <w:rsid w:val="0020605C"/>
    <w:rsid w:val="0020619D"/>
    <w:rsid w:val="00207929"/>
    <w:rsid w:val="00207A3E"/>
    <w:rsid w:val="0021047B"/>
    <w:rsid w:val="00210C2B"/>
    <w:rsid w:val="00211095"/>
    <w:rsid w:val="002112DA"/>
    <w:rsid w:val="00212F51"/>
    <w:rsid w:val="00213104"/>
    <w:rsid w:val="00213398"/>
    <w:rsid w:val="00213821"/>
    <w:rsid w:val="00214C6A"/>
    <w:rsid w:val="0021519D"/>
    <w:rsid w:val="00215755"/>
    <w:rsid w:val="0021611D"/>
    <w:rsid w:val="0021702C"/>
    <w:rsid w:val="00217A37"/>
    <w:rsid w:val="00217B92"/>
    <w:rsid w:val="00217C19"/>
    <w:rsid w:val="00217FFA"/>
    <w:rsid w:val="0022007E"/>
    <w:rsid w:val="00220AA0"/>
    <w:rsid w:val="002210B6"/>
    <w:rsid w:val="002214B2"/>
    <w:rsid w:val="002214C0"/>
    <w:rsid w:val="0022154D"/>
    <w:rsid w:val="00222C06"/>
    <w:rsid w:val="0022329B"/>
    <w:rsid w:val="002250FB"/>
    <w:rsid w:val="002254E9"/>
    <w:rsid w:val="0022559B"/>
    <w:rsid w:val="002263EA"/>
    <w:rsid w:val="00226667"/>
    <w:rsid w:val="002279D3"/>
    <w:rsid w:val="00227AA1"/>
    <w:rsid w:val="0023034A"/>
    <w:rsid w:val="00232093"/>
    <w:rsid w:val="00233324"/>
    <w:rsid w:val="00233877"/>
    <w:rsid w:val="00236896"/>
    <w:rsid w:val="00236C90"/>
    <w:rsid w:val="00236E88"/>
    <w:rsid w:val="00237F09"/>
    <w:rsid w:val="00240087"/>
    <w:rsid w:val="00240248"/>
    <w:rsid w:val="00240BDE"/>
    <w:rsid w:val="002418B4"/>
    <w:rsid w:val="00241BBA"/>
    <w:rsid w:val="00241F14"/>
    <w:rsid w:val="0024363B"/>
    <w:rsid w:val="002436D8"/>
    <w:rsid w:val="00243F25"/>
    <w:rsid w:val="00244158"/>
    <w:rsid w:val="00244C28"/>
    <w:rsid w:val="00246345"/>
    <w:rsid w:val="0024641B"/>
    <w:rsid w:val="0024700F"/>
    <w:rsid w:val="002472B2"/>
    <w:rsid w:val="0025281B"/>
    <w:rsid w:val="0025321B"/>
    <w:rsid w:val="00253717"/>
    <w:rsid w:val="00254CBC"/>
    <w:rsid w:val="00254FC1"/>
    <w:rsid w:val="0025549B"/>
    <w:rsid w:val="00255C17"/>
    <w:rsid w:val="00255D2F"/>
    <w:rsid w:val="002566FC"/>
    <w:rsid w:val="00256B74"/>
    <w:rsid w:val="00256D55"/>
    <w:rsid w:val="00261111"/>
    <w:rsid w:val="00262D56"/>
    <w:rsid w:val="0026390B"/>
    <w:rsid w:val="00263980"/>
    <w:rsid w:val="00263BDD"/>
    <w:rsid w:val="002648A0"/>
    <w:rsid w:val="00264E55"/>
    <w:rsid w:val="002651BD"/>
    <w:rsid w:val="00270926"/>
    <w:rsid w:val="002709AD"/>
    <w:rsid w:val="002715B2"/>
    <w:rsid w:val="00271F9E"/>
    <w:rsid w:val="00272832"/>
    <w:rsid w:val="00273E61"/>
    <w:rsid w:val="00275745"/>
    <w:rsid w:val="0027688F"/>
    <w:rsid w:val="00276E44"/>
    <w:rsid w:val="00276F3D"/>
    <w:rsid w:val="002770D2"/>
    <w:rsid w:val="00282295"/>
    <w:rsid w:val="00282D9A"/>
    <w:rsid w:val="002835C9"/>
    <w:rsid w:val="00283C7F"/>
    <w:rsid w:val="00284C9D"/>
    <w:rsid w:val="00284D78"/>
    <w:rsid w:val="00286036"/>
    <w:rsid w:val="002867BD"/>
    <w:rsid w:val="00286834"/>
    <w:rsid w:val="00286BEF"/>
    <w:rsid w:val="00286C7A"/>
    <w:rsid w:val="00286FA2"/>
    <w:rsid w:val="0028790D"/>
    <w:rsid w:val="002918E3"/>
    <w:rsid w:val="00292970"/>
    <w:rsid w:val="00292B40"/>
    <w:rsid w:val="0029459C"/>
    <w:rsid w:val="00295110"/>
    <w:rsid w:val="0029559A"/>
    <w:rsid w:val="00295987"/>
    <w:rsid w:val="00295C8F"/>
    <w:rsid w:val="00296604"/>
    <w:rsid w:val="002973A9"/>
    <w:rsid w:val="0029782C"/>
    <w:rsid w:val="00297E58"/>
    <w:rsid w:val="00297FFA"/>
    <w:rsid w:val="002A0A0E"/>
    <w:rsid w:val="002A1385"/>
    <w:rsid w:val="002A1A63"/>
    <w:rsid w:val="002A2008"/>
    <w:rsid w:val="002A2F54"/>
    <w:rsid w:val="002A40F1"/>
    <w:rsid w:val="002A576B"/>
    <w:rsid w:val="002A6038"/>
    <w:rsid w:val="002A6CD9"/>
    <w:rsid w:val="002A70FB"/>
    <w:rsid w:val="002A7736"/>
    <w:rsid w:val="002B1178"/>
    <w:rsid w:val="002B1D1A"/>
    <w:rsid w:val="002B25CC"/>
    <w:rsid w:val="002B2747"/>
    <w:rsid w:val="002B4789"/>
    <w:rsid w:val="002B5C7F"/>
    <w:rsid w:val="002B5D63"/>
    <w:rsid w:val="002B5ED9"/>
    <w:rsid w:val="002B5F2D"/>
    <w:rsid w:val="002B61EE"/>
    <w:rsid w:val="002B6535"/>
    <w:rsid w:val="002C02CA"/>
    <w:rsid w:val="002C0686"/>
    <w:rsid w:val="002C468A"/>
    <w:rsid w:val="002C5E79"/>
    <w:rsid w:val="002C653A"/>
    <w:rsid w:val="002C65A6"/>
    <w:rsid w:val="002C6F2F"/>
    <w:rsid w:val="002C7628"/>
    <w:rsid w:val="002C7E63"/>
    <w:rsid w:val="002D0EF8"/>
    <w:rsid w:val="002D1769"/>
    <w:rsid w:val="002D3B30"/>
    <w:rsid w:val="002D3B71"/>
    <w:rsid w:val="002D64E5"/>
    <w:rsid w:val="002D653D"/>
    <w:rsid w:val="002D6FB6"/>
    <w:rsid w:val="002E0384"/>
    <w:rsid w:val="002E0536"/>
    <w:rsid w:val="002E1B9F"/>
    <w:rsid w:val="002E20E8"/>
    <w:rsid w:val="002E2A40"/>
    <w:rsid w:val="002E39D3"/>
    <w:rsid w:val="002E3B09"/>
    <w:rsid w:val="002E52B3"/>
    <w:rsid w:val="002E55A8"/>
    <w:rsid w:val="002E7262"/>
    <w:rsid w:val="002E7362"/>
    <w:rsid w:val="002F0879"/>
    <w:rsid w:val="002F1ADC"/>
    <w:rsid w:val="002F1FEF"/>
    <w:rsid w:val="002F26D4"/>
    <w:rsid w:val="002F365C"/>
    <w:rsid w:val="002F4AF2"/>
    <w:rsid w:val="002F562D"/>
    <w:rsid w:val="002F5697"/>
    <w:rsid w:val="002F6B54"/>
    <w:rsid w:val="00300D3B"/>
    <w:rsid w:val="0030128A"/>
    <w:rsid w:val="00302E80"/>
    <w:rsid w:val="0030323E"/>
    <w:rsid w:val="0030342D"/>
    <w:rsid w:val="00303E71"/>
    <w:rsid w:val="00304A12"/>
    <w:rsid w:val="00305636"/>
    <w:rsid w:val="00305A8B"/>
    <w:rsid w:val="00305C7F"/>
    <w:rsid w:val="003074E7"/>
    <w:rsid w:val="0030765F"/>
    <w:rsid w:val="00307BC6"/>
    <w:rsid w:val="0031036B"/>
    <w:rsid w:val="00310D6B"/>
    <w:rsid w:val="0031134B"/>
    <w:rsid w:val="00311662"/>
    <w:rsid w:val="00311A88"/>
    <w:rsid w:val="00312A9F"/>
    <w:rsid w:val="00312C91"/>
    <w:rsid w:val="00313214"/>
    <w:rsid w:val="00313301"/>
    <w:rsid w:val="00313B1D"/>
    <w:rsid w:val="00313C64"/>
    <w:rsid w:val="00313F74"/>
    <w:rsid w:val="003141BD"/>
    <w:rsid w:val="003142DB"/>
    <w:rsid w:val="00314A9D"/>
    <w:rsid w:val="00315474"/>
    <w:rsid w:val="003157EC"/>
    <w:rsid w:val="00315D5D"/>
    <w:rsid w:val="00316484"/>
    <w:rsid w:val="00316E01"/>
    <w:rsid w:val="00320300"/>
    <w:rsid w:val="00320319"/>
    <w:rsid w:val="0032225F"/>
    <w:rsid w:val="003228A2"/>
    <w:rsid w:val="00322AE1"/>
    <w:rsid w:val="00323373"/>
    <w:rsid w:val="0032429B"/>
    <w:rsid w:val="00324508"/>
    <w:rsid w:val="00325301"/>
    <w:rsid w:val="003259C8"/>
    <w:rsid w:val="00326274"/>
    <w:rsid w:val="0032799D"/>
    <w:rsid w:val="003307FE"/>
    <w:rsid w:val="00331154"/>
    <w:rsid w:val="003311CA"/>
    <w:rsid w:val="0033126D"/>
    <w:rsid w:val="00331E8C"/>
    <w:rsid w:val="003321C6"/>
    <w:rsid w:val="003326F1"/>
    <w:rsid w:val="00334CF4"/>
    <w:rsid w:val="00334E9D"/>
    <w:rsid w:val="003358F1"/>
    <w:rsid w:val="003415DC"/>
    <w:rsid w:val="003417A2"/>
    <w:rsid w:val="00341C64"/>
    <w:rsid w:val="003421DE"/>
    <w:rsid w:val="003431DF"/>
    <w:rsid w:val="00343559"/>
    <w:rsid w:val="00343996"/>
    <w:rsid w:val="003464F5"/>
    <w:rsid w:val="003468A4"/>
    <w:rsid w:val="003470E2"/>
    <w:rsid w:val="00347E02"/>
    <w:rsid w:val="00352719"/>
    <w:rsid w:val="003527FD"/>
    <w:rsid w:val="00353807"/>
    <w:rsid w:val="00353BB3"/>
    <w:rsid w:val="0035422F"/>
    <w:rsid w:val="00355364"/>
    <w:rsid w:val="00355CD4"/>
    <w:rsid w:val="00356C2A"/>
    <w:rsid w:val="00357B7B"/>
    <w:rsid w:val="003612DD"/>
    <w:rsid w:val="00361C86"/>
    <w:rsid w:val="00362355"/>
    <w:rsid w:val="00362CC9"/>
    <w:rsid w:val="00364CCB"/>
    <w:rsid w:val="00364F78"/>
    <w:rsid w:val="00365FA1"/>
    <w:rsid w:val="00366048"/>
    <w:rsid w:val="00366F4A"/>
    <w:rsid w:val="003676AB"/>
    <w:rsid w:val="0036798D"/>
    <w:rsid w:val="00367A24"/>
    <w:rsid w:val="00367D3B"/>
    <w:rsid w:val="00370B55"/>
    <w:rsid w:val="00371DD6"/>
    <w:rsid w:val="00372338"/>
    <w:rsid w:val="00374488"/>
    <w:rsid w:val="0037568E"/>
    <w:rsid w:val="00375C69"/>
    <w:rsid w:val="0037664F"/>
    <w:rsid w:val="003771C5"/>
    <w:rsid w:val="003802BD"/>
    <w:rsid w:val="00380AC8"/>
    <w:rsid w:val="003829AE"/>
    <w:rsid w:val="00382F3C"/>
    <w:rsid w:val="00386FB8"/>
    <w:rsid w:val="00387166"/>
    <w:rsid w:val="003902DE"/>
    <w:rsid w:val="003905D4"/>
    <w:rsid w:val="0039085F"/>
    <w:rsid w:val="00390AEB"/>
    <w:rsid w:val="00392E34"/>
    <w:rsid w:val="003930E2"/>
    <w:rsid w:val="00393CF9"/>
    <w:rsid w:val="00394069"/>
    <w:rsid w:val="003943CB"/>
    <w:rsid w:val="00394631"/>
    <w:rsid w:val="00394DC4"/>
    <w:rsid w:val="00396627"/>
    <w:rsid w:val="00396B33"/>
    <w:rsid w:val="003974A5"/>
    <w:rsid w:val="00397FC7"/>
    <w:rsid w:val="003A0E9B"/>
    <w:rsid w:val="003A180C"/>
    <w:rsid w:val="003A1AE6"/>
    <w:rsid w:val="003A1E52"/>
    <w:rsid w:val="003A27A3"/>
    <w:rsid w:val="003A5D6A"/>
    <w:rsid w:val="003A6061"/>
    <w:rsid w:val="003A619F"/>
    <w:rsid w:val="003A6476"/>
    <w:rsid w:val="003A66B2"/>
    <w:rsid w:val="003A677E"/>
    <w:rsid w:val="003A679F"/>
    <w:rsid w:val="003A75F7"/>
    <w:rsid w:val="003B3C1B"/>
    <w:rsid w:val="003B43ED"/>
    <w:rsid w:val="003B470C"/>
    <w:rsid w:val="003B4911"/>
    <w:rsid w:val="003B49D2"/>
    <w:rsid w:val="003B5B32"/>
    <w:rsid w:val="003B6259"/>
    <w:rsid w:val="003B6FBC"/>
    <w:rsid w:val="003B7ADF"/>
    <w:rsid w:val="003B7E66"/>
    <w:rsid w:val="003C0325"/>
    <w:rsid w:val="003C2932"/>
    <w:rsid w:val="003C2B68"/>
    <w:rsid w:val="003C3062"/>
    <w:rsid w:val="003C3139"/>
    <w:rsid w:val="003C37C7"/>
    <w:rsid w:val="003C3C64"/>
    <w:rsid w:val="003C58B4"/>
    <w:rsid w:val="003C791A"/>
    <w:rsid w:val="003C7E41"/>
    <w:rsid w:val="003D0403"/>
    <w:rsid w:val="003D0876"/>
    <w:rsid w:val="003D0F5C"/>
    <w:rsid w:val="003D23C5"/>
    <w:rsid w:val="003D2568"/>
    <w:rsid w:val="003D558D"/>
    <w:rsid w:val="003D62C8"/>
    <w:rsid w:val="003D6EFE"/>
    <w:rsid w:val="003D74CD"/>
    <w:rsid w:val="003E02F1"/>
    <w:rsid w:val="003E0A5D"/>
    <w:rsid w:val="003E2240"/>
    <w:rsid w:val="003E22F8"/>
    <w:rsid w:val="003E26E2"/>
    <w:rsid w:val="003E32D4"/>
    <w:rsid w:val="003E34AB"/>
    <w:rsid w:val="003E3E44"/>
    <w:rsid w:val="003E5AA5"/>
    <w:rsid w:val="003E5B79"/>
    <w:rsid w:val="003E62FB"/>
    <w:rsid w:val="003E717C"/>
    <w:rsid w:val="003F05DA"/>
    <w:rsid w:val="003F0C93"/>
    <w:rsid w:val="003F226A"/>
    <w:rsid w:val="003F260E"/>
    <w:rsid w:val="003F39DF"/>
    <w:rsid w:val="003F4302"/>
    <w:rsid w:val="003F45B5"/>
    <w:rsid w:val="003F4601"/>
    <w:rsid w:val="003F63B5"/>
    <w:rsid w:val="003F63BE"/>
    <w:rsid w:val="003F7AC5"/>
    <w:rsid w:val="004007AB"/>
    <w:rsid w:val="004008D3"/>
    <w:rsid w:val="00401264"/>
    <w:rsid w:val="00403392"/>
    <w:rsid w:val="004038FE"/>
    <w:rsid w:val="00403911"/>
    <w:rsid w:val="00404A27"/>
    <w:rsid w:val="00405124"/>
    <w:rsid w:val="0040559A"/>
    <w:rsid w:val="00405748"/>
    <w:rsid w:val="004060ED"/>
    <w:rsid w:val="004061AC"/>
    <w:rsid w:val="00407566"/>
    <w:rsid w:val="00407614"/>
    <w:rsid w:val="00410DB5"/>
    <w:rsid w:val="00412769"/>
    <w:rsid w:val="00412AAB"/>
    <w:rsid w:val="004149AC"/>
    <w:rsid w:val="00414C9C"/>
    <w:rsid w:val="00416A9D"/>
    <w:rsid w:val="00416F1B"/>
    <w:rsid w:val="00417489"/>
    <w:rsid w:val="0042009D"/>
    <w:rsid w:val="0042043E"/>
    <w:rsid w:val="00420C99"/>
    <w:rsid w:val="00420DBB"/>
    <w:rsid w:val="00420EB7"/>
    <w:rsid w:val="0042113D"/>
    <w:rsid w:val="00421388"/>
    <w:rsid w:val="00422C39"/>
    <w:rsid w:val="004234D6"/>
    <w:rsid w:val="00425A74"/>
    <w:rsid w:val="00425C94"/>
    <w:rsid w:val="00425DA5"/>
    <w:rsid w:val="00425ED7"/>
    <w:rsid w:val="004266B0"/>
    <w:rsid w:val="00427036"/>
    <w:rsid w:val="00427CF2"/>
    <w:rsid w:val="00427F58"/>
    <w:rsid w:val="0043079D"/>
    <w:rsid w:val="00431280"/>
    <w:rsid w:val="00431D6E"/>
    <w:rsid w:val="0043289F"/>
    <w:rsid w:val="00433266"/>
    <w:rsid w:val="00433805"/>
    <w:rsid w:val="004346D7"/>
    <w:rsid w:val="00435C64"/>
    <w:rsid w:val="00437829"/>
    <w:rsid w:val="00437AC1"/>
    <w:rsid w:val="00440116"/>
    <w:rsid w:val="00440772"/>
    <w:rsid w:val="0044330C"/>
    <w:rsid w:val="0044431D"/>
    <w:rsid w:val="00446791"/>
    <w:rsid w:val="004468E0"/>
    <w:rsid w:val="00446BE4"/>
    <w:rsid w:val="004471C2"/>
    <w:rsid w:val="00447A8F"/>
    <w:rsid w:val="00450D77"/>
    <w:rsid w:val="00451CB4"/>
    <w:rsid w:val="00451E32"/>
    <w:rsid w:val="00452411"/>
    <w:rsid w:val="0045244D"/>
    <w:rsid w:val="0045262D"/>
    <w:rsid w:val="00452804"/>
    <w:rsid w:val="004549C3"/>
    <w:rsid w:val="00456052"/>
    <w:rsid w:val="00456F6E"/>
    <w:rsid w:val="00460D3F"/>
    <w:rsid w:val="00460DD1"/>
    <w:rsid w:val="00460F0A"/>
    <w:rsid w:val="0046487D"/>
    <w:rsid w:val="004648C2"/>
    <w:rsid w:val="0046527E"/>
    <w:rsid w:val="004659D4"/>
    <w:rsid w:val="00466F66"/>
    <w:rsid w:val="004670A5"/>
    <w:rsid w:val="00467362"/>
    <w:rsid w:val="00467526"/>
    <w:rsid w:val="00470550"/>
    <w:rsid w:val="00470B8E"/>
    <w:rsid w:val="00470E01"/>
    <w:rsid w:val="00471408"/>
    <w:rsid w:val="004729E9"/>
    <w:rsid w:val="004730F6"/>
    <w:rsid w:val="00473331"/>
    <w:rsid w:val="00474479"/>
    <w:rsid w:val="0047485E"/>
    <w:rsid w:val="00475141"/>
    <w:rsid w:val="004754F8"/>
    <w:rsid w:val="00475853"/>
    <w:rsid w:val="0047774F"/>
    <w:rsid w:val="00480788"/>
    <w:rsid w:val="004810CB"/>
    <w:rsid w:val="004825B3"/>
    <w:rsid w:val="004827BC"/>
    <w:rsid w:val="00482A4B"/>
    <w:rsid w:val="00482FCC"/>
    <w:rsid w:val="00483392"/>
    <w:rsid w:val="0048388D"/>
    <w:rsid w:val="004845F1"/>
    <w:rsid w:val="00485214"/>
    <w:rsid w:val="004858E0"/>
    <w:rsid w:val="004860B1"/>
    <w:rsid w:val="00487605"/>
    <w:rsid w:val="0049051B"/>
    <w:rsid w:val="004923FE"/>
    <w:rsid w:val="004934E9"/>
    <w:rsid w:val="00493D71"/>
    <w:rsid w:val="004943C2"/>
    <w:rsid w:val="00494CD1"/>
    <w:rsid w:val="00496483"/>
    <w:rsid w:val="004A009B"/>
    <w:rsid w:val="004A11A7"/>
    <w:rsid w:val="004A1C96"/>
    <w:rsid w:val="004A2514"/>
    <w:rsid w:val="004A2993"/>
    <w:rsid w:val="004A5197"/>
    <w:rsid w:val="004A5C98"/>
    <w:rsid w:val="004A5F8E"/>
    <w:rsid w:val="004B01F9"/>
    <w:rsid w:val="004B0661"/>
    <w:rsid w:val="004B0DEB"/>
    <w:rsid w:val="004B1856"/>
    <w:rsid w:val="004B2503"/>
    <w:rsid w:val="004B292B"/>
    <w:rsid w:val="004B3520"/>
    <w:rsid w:val="004B384A"/>
    <w:rsid w:val="004B38D2"/>
    <w:rsid w:val="004C0DF0"/>
    <w:rsid w:val="004C0E97"/>
    <w:rsid w:val="004C3C04"/>
    <w:rsid w:val="004C43DE"/>
    <w:rsid w:val="004C672E"/>
    <w:rsid w:val="004C702F"/>
    <w:rsid w:val="004C7F00"/>
    <w:rsid w:val="004D2301"/>
    <w:rsid w:val="004D34A1"/>
    <w:rsid w:val="004D39BA"/>
    <w:rsid w:val="004D3C96"/>
    <w:rsid w:val="004D46F9"/>
    <w:rsid w:val="004D495A"/>
    <w:rsid w:val="004D58D2"/>
    <w:rsid w:val="004D59A3"/>
    <w:rsid w:val="004D6491"/>
    <w:rsid w:val="004E3932"/>
    <w:rsid w:val="004E3C57"/>
    <w:rsid w:val="004E443D"/>
    <w:rsid w:val="004E4EF2"/>
    <w:rsid w:val="004E5975"/>
    <w:rsid w:val="004E5AFE"/>
    <w:rsid w:val="004E790A"/>
    <w:rsid w:val="004F1426"/>
    <w:rsid w:val="004F244A"/>
    <w:rsid w:val="004F4C19"/>
    <w:rsid w:val="004F4D28"/>
    <w:rsid w:val="004F50FD"/>
    <w:rsid w:val="004F6FE1"/>
    <w:rsid w:val="004F7076"/>
    <w:rsid w:val="004F78AF"/>
    <w:rsid w:val="00500A03"/>
    <w:rsid w:val="00501BCA"/>
    <w:rsid w:val="0050201B"/>
    <w:rsid w:val="0050374A"/>
    <w:rsid w:val="00503EF3"/>
    <w:rsid w:val="0050560D"/>
    <w:rsid w:val="00505C7D"/>
    <w:rsid w:val="00506AAD"/>
    <w:rsid w:val="00506CA1"/>
    <w:rsid w:val="00507A2F"/>
    <w:rsid w:val="0051054B"/>
    <w:rsid w:val="005114B0"/>
    <w:rsid w:val="00511C4F"/>
    <w:rsid w:val="00512200"/>
    <w:rsid w:val="005122E0"/>
    <w:rsid w:val="00512F1D"/>
    <w:rsid w:val="00512F55"/>
    <w:rsid w:val="0051381D"/>
    <w:rsid w:val="00513A9E"/>
    <w:rsid w:val="005143CD"/>
    <w:rsid w:val="005144F2"/>
    <w:rsid w:val="00515099"/>
    <w:rsid w:val="0051613B"/>
    <w:rsid w:val="0051651E"/>
    <w:rsid w:val="0051790A"/>
    <w:rsid w:val="00517BC3"/>
    <w:rsid w:val="00520743"/>
    <w:rsid w:val="00522811"/>
    <w:rsid w:val="00523E2D"/>
    <w:rsid w:val="0052402B"/>
    <w:rsid w:val="005242A5"/>
    <w:rsid w:val="00524662"/>
    <w:rsid w:val="0052476E"/>
    <w:rsid w:val="005249DD"/>
    <w:rsid w:val="005265A4"/>
    <w:rsid w:val="00531713"/>
    <w:rsid w:val="00531BA5"/>
    <w:rsid w:val="00531F10"/>
    <w:rsid w:val="00532816"/>
    <w:rsid w:val="00532E86"/>
    <w:rsid w:val="00533346"/>
    <w:rsid w:val="005335CF"/>
    <w:rsid w:val="00533631"/>
    <w:rsid w:val="00533727"/>
    <w:rsid w:val="00533DBC"/>
    <w:rsid w:val="005341F9"/>
    <w:rsid w:val="00534C3D"/>
    <w:rsid w:val="00535AD7"/>
    <w:rsid w:val="00535D8A"/>
    <w:rsid w:val="00537B20"/>
    <w:rsid w:val="0054236E"/>
    <w:rsid w:val="00542434"/>
    <w:rsid w:val="00542470"/>
    <w:rsid w:val="00542546"/>
    <w:rsid w:val="005436EF"/>
    <w:rsid w:val="00543FE3"/>
    <w:rsid w:val="0054450E"/>
    <w:rsid w:val="00544604"/>
    <w:rsid w:val="005454FB"/>
    <w:rsid w:val="00546B05"/>
    <w:rsid w:val="00551104"/>
    <w:rsid w:val="005513FA"/>
    <w:rsid w:val="00551661"/>
    <w:rsid w:val="00553A1B"/>
    <w:rsid w:val="00554958"/>
    <w:rsid w:val="00556067"/>
    <w:rsid w:val="00556372"/>
    <w:rsid w:val="0056019F"/>
    <w:rsid w:val="005603B7"/>
    <w:rsid w:val="0056051B"/>
    <w:rsid w:val="0056092B"/>
    <w:rsid w:val="00560C58"/>
    <w:rsid w:val="005627A4"/>
    <w:rsid w:val="0056393C"/>
    <w:rsid w:val="005659E4"/>
    <w:rsid w:val="005662F1"/>
    <w:rsid w:val="0057133C"/>
    <w:rsid w:val="00571778"/>
    <w:rsid w:val="00573281"/>
    <w:rsid w:val="00573A7F"/>
    <w:rsid w:val="00574295"/>
    <w:rsid w:val="005761EE"/>
    <w:rsid w:val="005771B5"/>
    <w:rsid w:val="005772A8"/>
    <w:rsid w:val="005808F6"/>
    <w:rsid w:val="005809DC"/>
    <w:rsid w:val="00580F09"/>
    <w:rsid w:val="00582D99"/>
    <w:rsid w:val="00583669"/>
    <w:rsid w:val="00583D57"/>
    <w:rsid w:val="0058417A"/>
    <w:rsid w:val="0058551C"/>
    <w:rsid w:val="00586466"/>
    <w:rsid w:val="00587426"/>
    <w:rsid w:val="00587769"/>
    <w:rsid w:val="00587968"/>
    <w:rsid w:val="00587B95"/>
    <w:rsid w:val="0059076B"/>
    <w:rsid w:val="00591952"/>
    <w:rsid w:val="0059281B"/>
    <w:rsid w:val="00593365"/>
    <w:rsid w:val="0059351D"/>
    <w:rsid w:val="00593FE5"/>
    <w:rsid w:val="00594498"/>
    <w:rsid w:val="0059459B"/>
    <w:rsid w:val="00597730"/>
    <w:rsid w:val="005A0C9C"/>
    <w:rsid w:val="005A0F1F"/>
    <w:rsid w:val="005A106D"/>
    <w:rsid w:val="005A1F32"/>
    <w:rsid w:val="005A4642"/>
    <w:rsid w:val="005A4B80"/>
    <w:rsid w:val="005A5A39"/>
    <w:rsid w:val="005A612C"/>
    <w:rsid w:val="005A6675"/>
    <w:rsid w:val="005A6D49"/>
    <w:rsid w:val="005A7005"/>
    <w:rsid w:val="005A788E"/>
    <w:rsid w:val="005B15BD"/>
    <w:rsid w:val="005B17D8"/>
    <w:rsid w:val="005B19C0"/>
    <w:rsid w:val="005B2D3C"/>
    <w:rsid w:val="005B2E9C"/>
    <w:rsid w:val="005B4F93"/>
    <w:rsid w:val="005B5FF3"/>
    <w:rsid w:val="005B6216"/>
    <w:rsid w:val="005B73D2"/>
    <w:rsid w:val="005C01D5"/>
    <w:rsid w:val="005C07D6"/>
    <w:rsid w:val="005C0C8D"/>
    <w:rsid w:val="005C1D96"/>
    <w:rsid w:val="005C424F"/>
    <w:rsid w:val="005C4A5F"/>
    <w:rsid w:val="005C54D0"/>
    <w:rsid w:val="005C5834"/>
    <w:rsid w:val="005C5874"/>
    <w:rsid w:val="005C5E5B"/>
    <w:rsid w:val="005C691D"/>
    <w:rsid w:val="005C7848"/>
    <w:rsid w:val="005C7F6B"/>
    <w:rsid w:val="005D1279"/>
    <w:rsid w:val="005D1F9C"/>
    <w:rsid w:val="005D2B36"/>
    <w:rsid w:val="005D552B"/>
    <w:rsid w:val="005D75B7"/>
    <w:rsid w:val="005E06B5"/>
    <w:rsid w:val="005E07A4"/>
    <w:rsid w:val="005E1093"/>
    <w:rsid w:val="005E1AB1"/>
    <w:rsid w:val="005E1ED3"/>
    <w:rsid w:val="005E2C44"/>
    <w:rsid w:val="005E475E"/>
    <w:rsid w:val="005E4EA2"/>
    <w:rsid w:val="005E53FB"/>
    <w:rsid w:val="005E596C"/>
    <w:rsid w:val="005E6F29"/>
    <w:rsid w:val="005E7379"/>
    <w:rsid w:val="005E7BD5"/>
    <w:rsid w:val="005E7DC8"/>
    <w:rsid w:val="005F1137"/>
    <w:rsid w:val="005F2CAE"/>
    <w:rsid w:val="005F3996"/>
    <w:rsid w:val="005F4F8F"/>
    <w:rsid w:val="005F6AF6"/>
    <w:rsid w:val="005F7292"/>
    <w:rsid w:val="006000F7"/>
    <w:rsid w:val="0060088B"/>
    <w:rsid w:val="0060115C"/>
    <w:rsid w:val="00601B5B"/>
    <w:rsid w:val="00602FC8"/>
    <w:rsid w:val="006066D2"/>
    <w:rsid w:val="006105EB"/>
    <w:rsid w:val="00610906"/>
    <w:rsid w:val="006109D9"/>
    <w:rsid w:val="006119A9"/>
    <w:rsid w:val="0061286A"/>
    <w:rsid w:val="00613CA1"/>
    <w:rsid w:val="00614605"/>
    <w:rsid w:val="00614CC4"/>
    <w:rsid w:val="00617244"/>
    <w:rsid w:val="006201D8"/>
    <w:rsid w:val="0062025E"/>
    <w:rsid w:val="006204A2"/>
    <w:rsid w:val="0062085B"/>
    <w:rsid w:val="00622856"/>
    <w:rsid w:val="00622E5B"/>
    <w:rsid w:val="00624304"/>
    <w:rsid w:val="00624DA9"/>
    <w:rsid w:val="00626134"/>
    <w:rsid w:val="0062698F"/>
    <w:rsid w:val="00626998"/>
    <w:rsid w:val="006269FB"/>
    <w:rsid w:val="00626C5A"/>
    <w:rsid w:val="006272A7"/>
    <w:rsid w:val="00630356"/>
    <w:rsid w:val="0063175F"/>
    <w:rsid w:val="00631ED8"/>
    <w:rsid w:val="0063297F"/>
    <w:rsid w:val="0063338B"/>
    <w:rsid w:val="00633CC2"/>
    <w:rsid w:val="0063447B"/>
    <w:rsid w:val="00634765"/>
    <w:rsid w:val="00636DB7"/>
    <w:rsid w:val="0063783A"/>
    <w:rsid w:val="00640959"/>
    <w:rsid w:val="0064113D"/>
    <w:rsid w:val="006423B9"/>
    <w:rsid w:val="00642461"/>
    <w:rsid w:val="006431A4"/>
    <w:rsid w:val="00643559"/>
    <w:rsid w:val="00643ADD"/>
    <w:rsid w:val="00643C93"/>
    <w:rsid w:val="00645B72"/>
    <w:rsid w:val="0064694F"/>
    <w:rsid w:val="00646AD7"/>
    <w:rsid w:val="00646F26"/>
    <w:rsid w:val="006509BF"/>
    <w:rsid w:val="00650A17"/>
    <w:rsid w:val="00651164"/>
    <w:rsid w:val="00651A09"/>
    <w:rsid w:val="00651E03"/>
    <w:rsid w:val="00651F3B"/>
    <w:rsid w:val="0065239F"/>
    <w:rsid w:val="00654270"/>
    <w:rsid w:val="00654B0D"/>
    <w:rsid w:val="00654CE0"/>
    <w:rsid w:val="00655CD8"/>
    <w:rsid w:val="00656213"/>
    <w:rsid w:val="006569BA"/>
    <w:rsid w:val="00656B61"/>
    <w:rsid w:val="006571DC"/>
    <w:rsid w:val="00660BB5"/>
    <w:rsid w:val="00660D4B"/>
    <w:rsid w:val="006613B9"/>
    <w:rsid w:val="006616B0"/>
    <w:rsid w:val="006622B8"/>
    <w:rsid w:val="006629EB"/>
    <w:rsid w:val="00664043"/>
    <w:rsid w:val="00664ECC"/>
    <w:rsid w:val="00665F9F"/>
    <w:rsid w:val="00667C87"/>
    <w:rsid w:val="00670989"/>
    <w:rsid w:val="006717E4"/>
    <w:rsid w:val="006717F2"/>
    <w:rsid w:val="0067184D"/>
    <w:rsid w:val="0067226C"/>
    <w:rsid w:val="00672DE2"/>
    <w:rsid w:val="0067308B"/>
    <w:rsid w:val="0067372D"/>
    <w:rsid w:val="00674D1C"/>
    <w:rsid w:val="006757DC"/>
    <w:rsid w:val="00676095"/>
    <w:rsid w:val="00676FB8"/>
    <w:rsid w:val="00677592"/>
    <w:rsid w:val="00680529"/>
    <w:rsid w:val="00680963"/>
    <w:rsid w:val="0068228D"/>
    <w:rsid w:val="00683614"/>
    <w:rsid w:val="00683D5C"/>
    <w:rsid w:val="00683FBA"/>
    <w:rsid w:val="00685189"/>
    <w:rsid w:val="006853FE"/>
    <w:rsid w:val="0068745C"/>
    <w:rsid w:val="00687797"/>
    <w:rsid w:val="0068787D"/>
    <w:rsid w:val="00687B11"/>
    <w:rsid w:val="00687F1A"/>
    <w:rsid w:val="0069139C"/>
    <w:rsid w:val="0069197B"/>
    <w:rsid w:val="00693843"/>
    <w:rsid w:val="0069426C"/>
    <w:rsid w:val="0069467D"/>
    <w:rsid w:val="00694DFB"/>
    <w:rsid w:val="0069775E"/>
    <w:rsid w:val="006A0F3D"/>
    <w:rsid w:val="006A1C62"/>
    <w:rsid w:val="006A48FD"/>
    <w:rsid w:val="006A58B4"/>
    <w:rsid w:val="006A67F8"/>
    <w:rsid w:val="006A7454"/>
    <w:rsid w:val="006A7AF1"/>
    <w:rsid w:val="006A7D32"/>
    <w:rsid w:val="006A7EA8"/>
    <w:rsid w:val="006B04F6"/>
    <w:rsid w:val="006B11BB"/>
    <w:rsid w:val="006B1F7D"/>
    <w:rsid w:val="006B2066"/>
    <w:rsid w:val="006B28EA"/>
    <w:rsid w:val="006B2C5B"/>
    <w:rsid w:val="006B4378"/>
    <w:rsid w:val="006B44AF"/>
    <w:rsid w:val="006B58DB"/>
    <w:rsid w:val="006B72F7"/>
    <w:rsid w:val="006B76D8"/>
    <w:rsid w:val="006B7B1D"/>
    <w:rsid w:val="006C0DA6"/>
    <w:rsid w:val="006C12B8"/>
    <w:rsid w:val="006C18E4"/>
    <w:rsid w:val="006C1FB4"/>
    <w:rsid w:val="006C24A6"/>
    <w:rsid w:val="006C37FC"/>
    <w:rsid w:val="006C3CB5"/>
    <w:rsid w:val="006C6635"/>
    <w:rsid w:val="006C7B77"/>
    <w:rsid w:val="006C7B91"/>
    <w:rsid w:val="006C7C27"/>
    <w:rsid w:val="006C7EA3"/>
    <w:rsid w:val="006D04D8"/>
    <w:rsid w:val="006D063A"/>
    <w:rsid w:val="006D0BBE"/>
    <w:rsid w:val="006D158F"/>
    <w:rsid w:val="006D20BF"/>
    <w:rsid w:val="006D21B0"/>
    <w:rsid w:val="006D2C44"/>
    <w:rsid w:val="006D39E9"/>
    <w:rsid w:val="006D3BE3"/>
    <w:rsid w:val="006D417E"/>
    <w:rsid w:val="006D4D0D"/>
    <w:rsid w:val="006D5232"/>
    <w:rsid w:val="006D5311"/>
    <w:rsid w:val="006D6591"/>
    <w:rsid w:val="006D7004"/>
    <w:rsid w:val="006D737B"/>
    <w:rsid w:val="006D789D"/>
    <w:rsid w:val="006D7FF8"/>
    <w:rsid w:val="006E040C"/>
    <w:rsid w:val="006E042A"/>
    <w:rsid w:val="006E16DD"/>
    <w:rsid w:val="006E190B"/>
    <w:rsid w:val="006E23DB"/>
    <w:rsid w:val="006E2738"/>
    <w:rsid w:val="006E2D28"/>
    <w:rsid w:val="006E3C81"/>
    <w:rsid w:val="006E3F1F"/>
    <w:rsid w:val="006E4568"/>
    <w:rsid w:val="006E48F5"/>
    <w:rsid w:val="006E652F"/>
    <w:rsid w:val="006E715E"/>
    <w:rsid w:val="006E7E55"/>
    <w:rsid w:val="006F0AB4"/>
    <w:rsid w:val="006F106C"/>
    <w:rsid w:val="006F2C2F"/>
    <w:rsid w:val="006F4282"/>
    <w:rsid w:val="006F478F"/>
    <w:rsid w:val="006F52E4"/>
    <w:rsid w:val="006F5A95"/>
    <w:rsid w:val="006F5E68"/>
    <w:rsid w:val="00702376"/>
    <w:rsid w:val="0070285F"/>
    <w:rsid w:val="0070286E"/>
    <w:rsid w:val="00703401"/>
    <w:rsid w:val="0070412A"/>
    <w:rsid w:val="007043EB"/>
    <w:rsid w:val="007045AE"/>
    <w:rsid w:val="00704A52"/>
    <w:rsid w:val="00704C97"/>
    <w:rsid w:val="00704DD6"/>
    <w:rsid w:val="00705B7D"/>
    <w:rsid w:val="00705FEE"/>
    <w:rsid w:val="00706D60"/>
    <w:rsid w:val="007070CA"/>
    <w:rsid w:val="007075E3"/>
    <w:rsid w:val="00707D95"/>
    <w:rsid w:val="00707F66"/>
    <w:rsid w:val="00710274"/>
    <w:rsid w:val="007120CC"/>
    <w:rsid w:val="0071217C"/>
    <w:rsid w:val="0071364E"/>
    <w:rsid w:val="00713C86"/>
    <w:rsid w:val="007142B8"/>
    <w:rsid w:val="00714338"/>
    <w:rsid w:val="00714CC4"/>
    <w:rsid w:val="00714FFC"/>
    <w:rsid w:val="007156E4"/>
    <w:rsid w:val="00717128"/>
    <w:rsid w:val="00720D28"/>
    <w:rsid w:val="00721C70"/>
    <w:rsid w:val="00721F4A"/>
    <w:rsid w:val="007221B5"/>
    <w:rsid w:val="00722509"/>
    <w:rsid w:val="00723625"/>
    <w:rsid w:val="00723CD9"/>
    <w:rsid w:val="00723CEE"/>
    <w:rsid w:val="007266A5"/>
    <w:rsid w:val="00726836"/>
    <w:rsid w:val="00727633"/>
    <w:rsid w:val="00727FCD"/>
    <w:rsid w:val="00731ECE"/>
    <w:rsid w:val="00732933"/>
    <w:rsid w:val="00733359"/>
    <w:rsid w:val="00733A62"/>
    <w:rsid w:val="00733D54"/>
    <w:rsid w:val="00733DDD"/>
    <w:rsid w:val="007350F7"/>
    <w:rsid w:val="007358B1"/>
    <w:rsid w:val="00735BE3"/>
    <w:rsid w:val="00735F0F"/>
    <w:rsid w:val="00740105"/>
    <w:rsid w:val="00740CF8"/>
    <w:rsid w:val="00741104"/>
    <w:rsid w:val="00743065"/>
    <w:rsid w:val="007443EE"/>
    <w:rsid w:val="0074465F"/>
    <w:rsid w:val="00744844"/>
    <w:rsid w:val="00744D1A"/>
    <w:rsid w:val="0074566E"/>
    <w:rsid w:val="00750016"/>
    <w:rsid w:val="007500B5"/>
    <w:rsid w:val="007503FC"/>
    <w:rsid w:val="00750B14"/>
    <w:rsid w:val="00750CDF"/>
    <w:rsid w:val="00752BA5"/>
    <w:rsid w:val="00753A7D"/>
    <w:rsid w:val="00755299"/>
    <w:rsid w:val="0075576D"/>
    <w:rsid w:val="00755D86"/>
    <w:rsid w:val="00756A6D"/>
    <w:rsid w:val="00756BF1"/>
    <w:rsid w:val="00757A40"/>
    <w:rsid w:val="00760526"/>
    <w:rsid w:val="00762E0E"/>
    <w:rsid w:val="00764686"/>
    <w:rsid w:val="007650D9"/>
    <w:rsid w:val="007673AD"/>
    <w:rsid w:val="007674F0"/>
    <w:rsid w:val="00767C98"/>
    <w:rsid w:val="0077095D"/>
    <w:rsid w:val="00770971"/>
    <w:rsid w:val="00771F0F"/>
    <w:rsid w:val="00775104"/>
    <w:rsid w:val="007752F7"/>
    <w:rsid w:val="00775976"/>
    <w:rsid w:val="0077633F"/>
    <w:rsid w:val="0077653E"/>
    <w:rsid w:val="007766E6"/>
    <w:rsid w:val="00776FAF"/>
    <w:rsid w:val="00777937"/>
    <w:rsid w:val="00780F3B"/>
    <w:rsid w:val="00781F93"/>
    <w:rsid w:val="00782BB3"/>
    <w:rsid w:val="007838A9"/>
    <w:rsid w:val="00783942"/>
    <w:rsid w:val="0078397B"/>
    <w:rsid w:val="0078699B"/>
    <w:rsid w:val="00786E54"/>
    <w:rsid w:val="007872D4"/>
    <w:rsid w:val="0078752B"/>
    <w:rsid w:val="00787BB3"/>
    <w:rsid w:val="00791180"/>
    <w:rsid w:val="0079131B"/>
    <w:rsid w:val="007914CF"/>
    <w:rsid w:val="007937E8"/>
    <w:rsid w:val="0079459C"/>
    <w:rsid w:val="0079538F"/>
    <w:rsid w:val="007957E6"/>
    <w:rsid w:val="0079666D"/>
    <w:rsid w:val="00796A8B"/>
    <w:rsid w:val="00796CA8"/>
    <w:rsid w:val="00797305"/>
    <w:rsid w:val="007A117C"/>
    <w:rsid w:val="007A1C3E"/>
    <w:rsid w:val="007A39F3"/>
    <w:rsid w:val="007A4B76"/>
    <w:rsid w:val="007A4FB9"/>
    <w:rsid w:val="007A508F"/>
    <w:rsid w:val="007A59CD"/>
    <w:rsid w:val="007A5B18"/>
    <w:rsid w:val="007A5C72"/>
    <w:rsid w:val="007A7212"/>
    <w:rsid w:val="007A75FD"/>
    <w:rsid w:val="007B035B"/>
    <w:rsid w:val="007B0CC6"/>
    <w:rsid w:val="007B110C"/>
    <w:rsid w:val="007B291D"/>
    <w:rsid w:val="007B3910"/>
    <w:rsid w:val="007B3EB1"/>
    <w:rsid w:val="007B4092"/>
    <w:rsid w:val="007B41A7"/>
    <w:rsid w:val="007B488A"/>
    <w:rsid w:val="007B4BB7"/>
    <w:rsid w:val="007B4C04"/>
    <w:rsid w:val="007B5AFB"/>
    <w:rsid w:val="007B5CD6"/>
    <w:rsid w:val="007B5EA0"/>
    <w:rsid w:val="007B6939"/>
    <w:rsid w:val="007B70FC"/>
    <w:rsid w:val="007B7248"/>
    <w:rsid w:val="007B76CE"/>
    <w:rsid w:val="007B7897"/>
    <w:rsid w:val="007C040C"/>
    <w:rsid w:val="007C0BB5"/>
    <w:rsid w:val="007C1307"/>
    <w:rsid w:val="007C14CF"/>
    <w:rsid w:val="007C1B95"/>
    <w:rsid w:val="007C2667"/>
    <w:rsid w:val="007C2EF6"/>
    <w:rsid w:val="007C3E65"/>
    <w:rsid w:val="007C3ED2"/>
    <w:rsid w:val="007C4344"/>
    <w:rsid w:val="007C4708"/>
    <w:rsid w:val="007C4E2C"/>
    <w:rsid w:val="007C55C8"/>
    <w:rsid w:val="007C5862"/>
    <w:rsid w:val="007C59B0"/>
    <w:rsid w:val="007C6356"/>
    <w:rsid w:val="007D084E"/>
    <w:rsid w:val="007D0FAB"/>
    <w:rsid w:val="007D1658"/>
    <w:rsid w:val="007D2B40"/>
    <w:rsid w:val="007D34A6"/>
    <w:rsid w:val="007D4CB1"/>
    <w:rsid w:val="007D519A"/>
    <w:rsid w:val="007D60AE"/>
    <w:rsid w:val="007E0E63"/>
    <w:rsid w:val="007E1024"/>
    <w:rsid w:val="007E2C5A"/>
    <w:rsid w:val="007E3C09"/>
    <w:rsid w:val="007E3F3B"/>
    <w:rsid w:val="007E45FE"/>
    <w:rsid w:val="007E52FA"/>
    <w:rsid w:val="007E55C2"/>
    <w:rsid w:val="007E611B"/>
    <w:rsid w:val="007E6716"/>
    <w:rsid w:val="007F1021"/>
    <w:rsid w:val="007F1287"/>
    <w:rsid w:val="007F172B"/>
    <w:rsid w:val="007F232A"/>
    <w:rsid w:val="007F3946"/>
    <w:rsid w:val="007F4698"/>
    <w:rsid w:val="007F4D06"/>
    <w:rsid w:val="007F5C97"/>
    <w:rsid w:val="007F623A"/>
    <w:rsid w:val="007F64C8"/>
    <w:rsid w:val="007F6C7F"/>
    <w:rsid w:val="00800B24"/>
    <w:rsid w:val="00800E77"/>
    <w:rsid w:val="0080134F"/>
    <w:rsid w:val="00801458"/>
    <w:rsid w:val="008014F9"/>
    <w:rsid w:val="00801511"/>
    <w:rsid w:val="008021D0"/>
    <w:rsid w:val="00802C33"/>
    <w:rsid w:val="00802E56"/>
    <w:rsid w:val="0080358B"/>
    <w:rsid w:val="0080411B"/>
    <w:rsid w:val="00804A58"/>
    <w:rsid w:val="00804BBC"/>
    <w:rsid w:val="00805817"/>
    <w:rsid w:val="008059BD"/>
    <w:rsid w:val="0080629C"/>
    <w:rsid w:val="00806BAC"/>
    <w:rsid w:val="0081091B"/>
    <w:rsid w:val="00811FC6"/>
    <w:rsid w:val="0081221D"/>
    <w:rsid w:val="008124F0"/>
    <w:rsid w:val="008127C2"/>
    <w:rsid w:val="00812D46"/>
    <w:rsid w:val="00813429"/>
    <w:rsid w:val="008142E0"/>
    <w:rsid w:val="00814F55"/>
    <w:rsid w:val="0081593D"/>
    <w:rsid w:val="008159C3"/>
    <w:rsid w:val="00815A38"/>
    <w:rsid w:val="0081640F"/>
    <w:rsid w:val="00820CDE"/>
    <w:rsid w:val="0082103F"/>
    <w:rsid w:val="00826534"/>
    <w:rsid w:val="00826635"/>
    <w:rsid w:val="00826639"/>
    <w:rsid w:val="0082720F"/>
    <w:rsid w:val="008279FE"/>
    <w:rsid w:val="00827A93"/>
    <w:rsid w:val="0083059C"/>
    <w:rsid w:val="00830F78"/>
    <w:rsid w:val="00831259"/>
    <w:rsid w:val="0083137A"/>
    <w:rsid w:val="0083208A"/>
    <w:rsid w:val="0083218A"/>
    <w:rsid w:val="008322EC"/>
    <w:rsid w:val="0083280E"/>
    <w:rsid w:val="00832A00"/>
    <w:rsid w:val="00833A57"/>
    <w:rsid w:val="00834002"/>
    <w:rsid w:val="00834375"/>
    <w:rsid w:val="00834F37"/>
    <w:rsid w:val="00836873"/>
    <w:rsid w:val="00836BF3"/>
    <w:rsid w:val="0083701A"/>
    <w:rsid w:val="00837845"/>
    <w:rsid w:val="00837C9B"/>
    <w:rsid w:val="00840425"/>
    <w:rsid w:val="00840870"/>
    <w:rsid w:val="0084116A"/>
    <w:rsid w:val="008425F1"/>
    <w:rsid w:val="00842A53"/>
    <w:rsid w:val="008438FB"/>
    <w:rsid w:val="00843AE3"/>
    <w:rsid w:val="00843C52"/>
    <w:rsid w:val="008442C4"/>
    <w:rsid w:val="008449FE"/>
    <w:rsid w:val="00845057"/>
    <w:rsid w:val="0084529A"/>
    <w:rsid w:val="008457E6"/>
    <w:rsid w:val="00846442"/>
    <w:rsid w:val="00846739"/>
    <w:rsid w:val="008470F4"/>
    <w:rsid w:val="00847569"/>
    <w:rsid w:val="00851EE5"/>
    <w:rsid w:val="00852727"/>
    <w:rsid w:val="00853140"/>
    <w:rsid w:val="00854537"/>
    <w:rsid w:val="008579BB"/>
    <w:rsid w:val="008606B6"/>
    <w:rsid w:val="00860D80"/>
    <w:rsid w:val="00860E7D"/>
    <w:rsid w:val="00861D9E"/>
    <w:rsid w:val="00862B4E"/>
    <w:rsid w:val="00863B43"/>
    <w:rsid w:val="0086566D"/>
    <w:rsid w:val="00866CF2"/>
    <w:rsid w:val="00866FF9"/>
    <w:rsid w:val="00867881"/>
    <w:rsid w:val="008700EC"/>
    <w:rsid w:val="00870FAD"/>
    <w:rsid w:val="008710A1"/>
    <w:rsid w:val="00872474"/>
    <w:rsid w:val="00872676"/>
    <w:rsid w:val="00872DF3"/>
    <w:rsid w:val="008745F6"/>
    <w:rsid w:val="00876D65"/>
    <w:rsid w:val="00880389"/>
    <w:rsid w:val="0088125A"/>
    <w:rsid w:val="008815E8"/>
    <w:rsid w:val="00881F1A"/>
    <w:rsid w:val="00882665"/>
    <w:rsid w:val="008829AB"/>
    <w:rsid w:val="00882ABB"/>
    <w:rsid w:val="00883849"/>
    <w:rsid w:val="00883856"/>
    <w:rsid w:val="00883FB6"/>
    <w:rsid w:val="008840B3"/>
    <w:rsid w:val="0088423E"/>
    <w:rsid w:val="0088670C"/>
    <w:rsid w:val="00886F6B"/>
    <w:rsid w:val="00887D6F"/>
    <w:rsid w:val="00890165"/>
    <w:rsid w:val="0089068C"/>
    <w:rsid w:val="00891261"/>
    <w:rsid w:val="00892942"/>
    <w:rsid w:val="00892A44"/>
    <w:rsid w:val="008930CF"/>
    <w:rsid w:val="00893C50"/>
    <w:rsid w:val="008943EC"/>
    <w:rsid w:val="00894D04"/>
    <w:rsid w:val="00895A24"/>
    <w:rsid w:val="00895AAE"/>
    <w:rsid w:val="00897858"/>
    <w:rsid w:val="00897F43"/>
    <w:rsid w:val="008A0365"/>
    <w:rsid w:val="008A1D62"/>
    <w:rsid w:val="008A21B2"/>
    <w:rsid w:val="008A3FEE"/>
    <w:rsid w:val="008A59CB"/>
    <w:rsid w:val="008B1C6A"/>
    <w:rsid w:val="008B1DDE"/>
    <w:rsid w:val="008B2FDD"/>
    <w:rsid w:val="008B5EBD"/>
    <w:rsid w:val="008B65DF"/>
    <w:rsid w:val="008B6A21"/>
    <w:rsid w:val="008B6FC7"/>
    <w:rsid w:val="008B7B82"/>
    <w:rsid w:val="008C2020"/>
    <w:rsid w:val="008C25CB"/>
    <w:rsid w:val="008C3EF7"/>
    <w:rsid w:val="008C5F65"/>
    <w:rsid w:val="008C66A4"/>
    <w:rsid w:val="008C75E7"/>
    <w:rsid w:val="008C7CA8"/>
    <w:rsid w:val="008D02A8"/>
    <w:rsid w:val="008D0637"/>
    <w:rsid w:val="008D09EC"/>
    <w:rsid w:val="008D1CC2"/>
    <w:rsid w:val="008D1E8B"/>
    <w:rsid w:val="008D32C5"/>
    <w:rsid w:val="008D344B"/>
    <w:rsid w:val="008D4310"/>
    <w:rsid w:val="008D4C9A"/>
    <w:rsid w:val="008D4FD0"/>
    <w:rsid w:val="008D5CC7"/>
    <w:rsid w:val="008D5EF1"/>
    <w:rsid w:val="008D6B37"/>
    <w:rsid w:val="008D770C"/>
    <w:rsid w:val="008E07EB"/>
    <w:rsid w:val="008E089F"/>
    <w:rsid w:val="008E17B0"/>
    <w:rsid w:val="008E2410"/>
    <w:rsid w:val="008E2DCB"/>
    <w:rsid w:val="008E326D"/>
    <w:rsid w:val="008E38EF"/>
    <w:rsid w:val="008E3CCF"/>
    <w:rsid w:val="008E4027"/>
    <w:rsid w:val="008E42A0"/>
    <w:rsid w:val="008E4612"/>
    <w:rsid w:val="008E6450"/>
    <w:rsid w:val="008E6509"/>
    <w:rsid w:val="008E69E1"/>
    <w:rsid w:val="008E6CCA"/>
    <w:rsid w:val="008E7072"/>
    <w:rsid w:val="008E7438"/>
    <w:rsid w:val="008E7B4A"/>
    <w:rsid w:val="008F016F"/>
    <w:rsid w:val="008F044C"/>
    <w:rsid w:val="008F1F57"/>
    <w:rsid w:val="008F2FBA"/>
    <w:rsid w:val="008F3098"/>
    <w:rsid w:val="008F3189"/>
    <w:rsid w:val="008F3DC7"/>
    <w:rsid w:val="008F4DE5"/>
    <w:rsid w:val="008F537E"/>
    <w:rsid w:val="008F5F67"/>
    <w:rsid w:val="008F60F2"/>
    <w:rsid w:val="008F6847"/>
    <w:rsid w:val="008F6C8B"/>
    <w:rsid w:val="008F6D54"/>
    <w:rsid w:val="008F707F"/>
    <w:rsid w:val="008F79F1"/>
    <w:rsid w:val="008F7EE4"/>
    <w:rsid w:val="00901A9A"/>
    <w:rsid w:val="0090217D"/>
    <w:rsid w:val="00902421"/>
    <w:rsid w:val="009029C1"/>
    <w:rsid w:val="00903220"/>
    <w:rsid w:val="00904781"/>
    <w:rsid w:val="00905632"/>
    <w:rsid w:val="00905C5E"/>
    <w:rsid w:val="0090602F"/>
    <w:rsid w:val="00906804"/>
    <w:rsid w:val="00906FF9"/>
    <w:rsid w:val="0090717E"/>
    <w:rsid w:val="009078DC"/>
    <w:rsid w:val="00911307"/>
    <w:rsid w:val="00911E30"/>
    <w:rsid w:val="009140B9"/>
    <w:rsid w:val="0091506E"/>
    <w:rsid w:val="00916DD4"/>
    <w:rsid w:val="0091729D"/>
    <w:rsid w:val="00917E0A"/>
    <w:rsid w:val="00921AC7"/>
    <w:rsid w:val="00921DE2"/>
    <w:rsid w:val="009225C4"/>
    <w:rsid w:val="00922F2D"/>
    <w:rsid w:val="00923514"/>
    <w:rsid w:val="0092372D"/>
    <w:rsid w:val="00923AA5"/>
    <w:rsid w:val="00924582"/>
    <w:rsid w:val="00924789"/>
    <w:rsid w:val="009247C6"/>
    <w:rsid w:val="009248BF"/>
    <w:rsid w:val="00924DDB"/>
    <w:rsid w:val="00926655"/>
    <w:rsid w:val="00926B05"/>
    <w:rsid w:val="0092733C"/>
    <w:rsid w:val="009279F5"/>
    <w:rsid w:val="00931291"/>
    <w:rsid w:val="00932106"/>
    <w:rsid w:val="009334DD"/>
    <w:rsid w:val="0093367D"/>
    <w:rsid w:val="00933C9D"/>
    <w:rsid w:val="00934310"/>
    <w:rsid w:val="00934DA0"/>
    <w:rsid w:val="00936196"/>
    <w:rsid w:val="00936462"/>
    <w:rsid w:val="0093667D"/>
    <w:rsid w:val="00940D0F"/>
    <w:rsid w:val="00940E62"/>
    <w:rsid w:val="009422BD"/>
    <w:rsid w:val="009423ED"/>
    <w:rsid w:val="009425F1"/>
    <w:rsid w:val="009431FA"/>
    <w:rsid w:val="00943588"/>
    <w:rsid w:val="009438FE"/>
    <w:rsid w:val="00943D4E"/>
    <w:rsid w:val="00943D9A"/>
    <w:rsid w:val="00944319"/>
    <w:rsid w:val="0094432B"/>
    <w:rsid w:val="00945387"/>
    <w:rsid w:val="0094538A"/>
    <w:rsid w:val="0094562C"/>
    <w:rsid w:val="00945AF6"/>
    <w:rsid w:val="00945F16"/>
    <w:rsid w:val="00946E6E"/>
    <w:rsid w:val="009501F8"/>
    <w:rsid w:val="00950790"/>
    <w:rsid w:val="0095385A"/>
    <w:rsid w:val="009550BE"/>
    <w:rsid w:val="00955296"/>
    <w:rsid w:val="00955531"/>
    <w:rsid w:val="00955BE8"/>
    <w:rsid w:val="009567F7"/>
    <w:rsid w:val="00957594"/>
    <w:rsid w:val="00957E14"/>
    <w:rsid w:val="00960429"/>
    <w:rsid w:val="0096311A"/>
    <w:rsid w:val="00963D96"/>
    <w:rsid w:val="00963F40"/>
    <w:rsid w:val="00965245"/>
    <w:rsid w:val="00966147"/>
    <w:rsid w:val="009673C2"/>
    <w:rsid w:val="00967D0D"/>
    <w:rsid w:val="009702AA"/>
    <w:rsid w:val="0097098C"/>
    <w:rsid w:val="00970A9D"/>
    <w:rsid w:val="00970BAE"/>
    <w:rsid w:val="00970CA8"/>
    <w:rsid w:val="0097154E"/>
    <w:rsid w:val="009724FA"/>
    <w:rsid w:val="00972A75"/>
    <w:rsid w:val="00973F87"/>
    <w:rsid w:val="009742C3"/>
    <w:rsid w:val="00974381"/>
    <w:rsid w:val="00974465"/>
    <w:rsid w:val="009746E1"/>
    <w:rsid w:val="00975862"/>
    <w:rsid w:val="0098122D"/>
    <w:rsid w:val="00981BA9"/>
    <w:rsid w:val="00982AF9"/>
    <w:rsid w:val="00983255"/>
    <w:rsid w:val="0098332F"/>
    <w:rsid w:val="00983FDD"/>
    <w:rsid w:val="009841EC"/>
    <w:rsid w:val="00984634"/>
    <w:rsid w:val="009847DB"/>
    <w:rsid w:val="009849FF"/>
    <w:rsid w:val="00985D73"/>
    <w:rsid w:val="00986324"/>
    <w:rsid w:val="00986348"/>
    <w:rsid w:val="009864D0"/>
    <w:rsid w:val="00986596"/>
    <w:rsid w:val="00987BD9"/>
    <w:rsid w:val="00990685"/>
    <w:rsid w:val="0099094E"/>
    <w:rsid w:val="00990B1A"/>
    <w:rsid w:val="00990FFF"/>
    <w:rsid w:val="00991080"/>
    <w:rsid w:val="00991E10"/>
    <w:rsid w:val="0099216B"/>
    <w:rsid w:val="00992FE6"/>
    <w:rsid w:val="00994024"/>
    <w:rsid w:val="0099405D"/>
    <w:rsid w:val="0099479B"/>
    <w:rsid w:val="00994CAA"/>
    <w:rsid w:val="00995280"/>
    <w:rsid w:val="00996FEF"/>
    <w:rsid w:val="009972B0"/>
    <w:rsid w:val="009A048E"/>
    <w:rsid w:val="009A0ABE"/>
    <w:rsid w:val="009A0EB4"/>
    <w:rsid w:val="009A2033"/>
    <w:rsid w:val="009A34C8"/>
    <w:rsid w:val="009A37CF"/>
    <w:rsid w:val="009A4526"/>
    <w:rsid w:val="009A628A"/>
    <w:rsid w:val="009B0D85"/>
    <w:rsid w:val="009B1336"/>
    <w:rsid w:val="009B1E65"/>
    <w:rsid w:val="009B1FA4"/>
    <w:rsid w:val="009B2CC0"/>
    <w:rsid w:val="009B2D4B"/>
    <w:rsid w:val="009B3925"/>
    <w:rsid w:val="009B40F3"/>
    <w:rsid w:val="009B5A2D"/>
    <w:rsid w:val="009B6E8A"/>
    <w:rsid w:val="009B72C5"/>
    <w:rsid w:val="009B72E4"/>
    <w:rsid w:val="009C0430"/>
    <w:rsid w:val="009C298B"/>
    <w:rsid w:val="009C2E29"/>
    <w:rsid w:val="009C3AC5"/>
    <w:rsid w:val="009C45FE"/>
    <w:rsid w:val="009C4E99"/>
    <w:rsid w:val="009C5186"/>
    <w:rsid w:val="009C53AE"/>
    <w:rsid w:val="009C60F7"/>
    <w:rsid w:val="009C6A51"/>
    <w:rsid w:val="009C76B1"/>
    <w:rsid w:val="009D0311"/>
    <w:rsid w:val="009D06D8"/>
    <w:rsid w:val="009D08B3"/>
    <w:rsid w:val="009D0952"/>
    <w:rsid w:val="009D25E5"/>
    <w:rsid w:val="009D3E55"/>
    <w:rsid w:val="009D7ACB"/>
    <w:rsid w:val="009E1116"/>
    <w:rsid w:val="009E13AA"/>
    <w:rsid w:val="009E18E7"/>
    <w:rsid w:val="009E1C08"/>
    <w:rsid w:val="009E1D7F"/>
    <w:rsid w:val="009E31DA"/>
    <w:rsid w:val="009E402C"/>
    <w:rsid w:val="009E4E67"/>
    <w:rsid w:val="009E7C6A"/>
    <w:rsid w:val="009F132F"/>
    <w:rsid w:val="009F2E14"/>
    <w:rsid w:val="009F7587"/>
    <w:rsid w:val="009F7ED4"/>
    <w:rsid w:val="00A006B0"/>
    <w:rsid w:val="00A006D9"/>
    <w:rsid w:val="00A00C98"/>
    <w:rsid w:val="00A027F7"/>
    <w:rsid w:val="00A02EF0"/>
    <w:rsid w:val="00A03AAC"/>
    <w:rsid w:val="00A03D8A"/>
    <w:rsid w:val="00A047D1"/>
    <w:rsid w:val="00A05512"/>
    <w:rsid w:val="00A062FD"/>
    <w:rsid w:val="00A06C07"/>
    <w:rsid w:val="00A06DA4"/>
    <w:rsid w:val="00A0779B"/>
    <w:rsid w:val="00A07C9E"/>
    <w:rsid w:val="00A11EE2"/>
    <w:rsid w:val="00A1287D"/>
    <w:rsid w:val="00A137A6"/>
    <w:rsid w:val="00A1449F"/>
    <w:rsid w:val="00A14CC0"/>
    <w:rsid w:val="00A15EB8"/>
    <w:rsid w:val="00A161C8"/>
    <w:rsid w:val="00A1628D"/>
    <w:rsid w:val="00A20742"/>
    <w:rsid w:val="00A21919"/>
    <w:rsid w:val="00A22377"/>
    <w:rsid w:val="00A22AD0"/>
    <w:rsid w:val="00A22DA8"/>
    <w:rsid w:val="00A23ED6"/>
    <w:rsid w:val="00A24FB8"/>
    <w:rsid w:val="00A24FCE"/>
    <w:rsid w:val="00A251EB"/>
    <w:rsid w:val="00A261E4"/>
    <w:rsid w:val="00A273AC"/>
    <w:rsid w:val="00A30C1B"/>
    <w:rsid w:val="00A30D12"/>
    <w:rsid w:val="00A31671"/>
    <w:rsid w:val="00A31BDC"/>
    <w:rsid w:val="00A31D5C"/>
    <w:rsid w:val="00A31ED0"/>
    <w:rsid w:val="00A33650"/>
    <w:rsid w:val="00A33989"/>
    <w:rsid w:val="00A33A73"/>
    <w:rsid w:val="00A341F9"/>
    <w:rsid w:val="00A35AB0"/>
    <w:rsid w:val="00A35FC8"/>
    <w:rsid w:val="00A371CE"/>
    <w:rsid w:val="00A40C3B"/>
    <w:rsid w:val="00A40F7C"/>
    <w:rsid w:val="00A415F5"/>
    <w:rsid w:val="00A42598"/>
    <w:rsid w:val="00A42903"/>
    <w:rsid w:val="00A43097"/>
    <w:rsid w:val="00A43BCF"/>
    <w:rsid w:val="00A45320"/>
    <w:rsid w:val="00A45512"/>
    <w:rsid w:val="00A45D39"/>
    <w:rsid w:val="00A479A4"/>
    <w:rsid w:val="00A47DFF"/>
    <w:rsid w:val="00A50AFC"/>
    <w:rsid w:val="00A51675"/>
    <w:rsid w:val="00A528D0"/>
    <w:rsid w:val="00A52F8F"/>
    <w:rsid w:val="00A53932"/>
    <w:rsid w:val="00A540AF"/>
    <w:rsid w:val="00A544C9"/>
    <w:rsid w:val="00A54760"/>
    <w:rsid w:val="00A5612C"/>
    <w:rsid w:val="00A5689C"/>
    <w:rsid w:val="00A57AE4"/>
    <w:rsid w:val="00A60DD2"/>
    <w:rsid w:val="00A622E0"/>
    <w:rsid w:val="00A63F19"/>
    <w:rsid w:val="00A65052"/>
    <w:rsid w:val="00A666D3"/>
    <w:rsid w:val="00A66F42"/>
    <w:rsid w:val="00A70DB4"/>
    <w:rsid w:val="00A71882"/>
    <w:rsid w:val="00A71A0D"/>
    <w:rsid w:val="00A71FF4"/>
    <w:rsid w:val="00A723D5"/>
    <w:rsid w:val="00A72622"/>
    <w:rsid w:val="00A74140"/>
    <w:rsid w:val="00A752C9"/>
    <w:rsid w:val="00A7570F"/>
    <w:rsid w:val="00A75717"/>
    <w:rsid w:val="00A758B3"/>
    <w:rsid w:val="00A75CD7"/>
    <w:rsid w:val="00A7653F"/>
    <w:rsid w:val="00A76625"/>
    <w:rsid w:val="00A77351"/>
    <w:rsid w:val="00A8154D"/>
    <w:rsid w:val="00A82506"/>
    <w:rsid w:val="00A83500"/>
    <w:rsid w:val="00A83528"/>
    <w:rsid w:val="00A83842"/>
    <w:rsid w:val="00A84433"/>
    <w:rsid w:val="00A84587"/>
    <w:rsid w:val="00A84D1D"/>
    <w:rsid w:val="00A84F55"/>
    <w:rsid w:val="00A85439"/>
    <w:rsid w:val="00A86D94"/>
    <w:rsid w:val="00A90049"/>
    <w:rsid w:val="00A903AB"/>
    <w:rsid w:val="00A906B5"/>
    <w:rsid w:val="00A917BF"/>
    <w:rsid w:val="00A91CD8"/>
    <w:rsid w:val="00A91D46"/>
    <w:rsid w:val="00A91DBD"/>
    <w:rsid w:val="00A91FF5"/>
    <w:rsid w:val="00A9305E"/>
    <w:rsid w:val="00A95366"/>
    <w:rsid w:val="00A954B4"/>
    <w:rsid w:val="00A9583A"/>
    <w:rsid w:val="00A95CD7"/>
    <w:rsid w:val="00A96A94"/>
    <w:rsid w:val="00A96D4F"/>
    <w:rsid w:val="00A973E1"/>
    <w:rsid w:val="00AA08DD"/>
    <w:rsid w:val="00AA22CA"/>
    <w:rsid w:val="00AA2E29"/>
    <w:rsid w:val="00AA34DD"/>
    <w:rsid w:val="00AA3A38"/>
    <w:rsid w:val="00AA40DC"/>
    <w:rsid w:val="00AA4F94"/>
    <w:rsid w:val="00AA5B91"/>
    <w:rsid w:val="00AA6834"/>
    <w:rsid w:val="00AA6C91"/>
    <w:rsid w:val="00AB0126"/>
    <w:rsid w:val="00AB047E"/>
    <w:rsid w:val="00AB054A"/>
    <w:rsid w:val="00AB0CC1"/>
    <w:rsid w:val="00AB0DFE"/>
    <w:rsid w:val="00AB44E0"/>
    <w:rsid w:val="00AB72B0"/>
    <w:rsid w:val="00AC1076"/>
    <w:rsid w:val="00AC1210"/>
    <w:rsid w:val="00AC24DE"/>
    <w:rsid w:val="00AC3182"/>
    <w:rsid w:val="00AC3711"/>
    <w:rsid w:val="00AC3CB8"/>
    <w:rsid w:val="00AC40D5"/>
    <w:rsid w:val="00AC44CC"/>
    <w:rsid w:val="00AC5768"/>
    <w:rsid w:val="00AC592E"/>
    <w:rsid w:val="00AC5C9E"/>
    <w:rsid w:val="00AC5FD2"/>
    <w:rsid w:val="00AC6907"/>
    <w:rsid w:val="00AC6C10"/>
    <w:rsid w:val="00AC7BC6"/>
    <w:rsid w:val="00AD0ED3"/>
    <w:rsid w:val="00AD239E"/>
    <w:rsid w:val="00AD24AA"/>
    <w:rsid w:val="00AD26D9"/>
    <w:rsid w:val="00AD3310"/>
    <w:rsid w:val="00AD6161"/>
    <w:rsid w:val="00AD6279"/>
    <w:rsid w:val="00AD643F"/>
    <w:rsid w:val="00AD68DD"/>
    <w:rsid w:val="00AD792F"/>
    <w:rsid w:val="00AD7A19"/>
    <w:rsid w:val="00AE1A8C"/>
    <w:rsid w:val="00AE1C56"/>
    <w:rsid w:val="00AE28C7"/>
    <w:rsid w:val="00AE2D34"/>
    <w:rsid w:val="00AE2E66"/>
    <w:rsid w:val="00AE3617"/>
    <w:rsid w:val="00AE49C2"/>
    <w:rsid w:val="00AE49C6"/>
    <w:rsid w:val="00AE52BC"/>
    <w:rsid w:val="00AE65BD"/>
    <w:rsid w:val="00AE76D2"/>
    <w:rsid w:val="00AE7962"/>
    <w:rsid w:val="00AE7B95"/>
    <w:rsid w:val="00AF092B"/>
    <w:rsid w:val="00AF1576"/>
    <w:rsid w:val="00AF29E4"/>
    <w:rsid w:val="00AF372C"/>
    <w:rsid w:val="00AF4644"/>
    <w:rsid w:val="00AF6769"/>
    <w:rsid w:val="00AF734B"/>
    <w:rsid w:val="00AF7676"/>
    <w:rsid w:val="00B0022C"/>
    <w:rsid w:val="00B00583"/>
    <w:rsid w:val="00B00651"/>
    <w:rsid w:val="00B01F00"/>
    <w:rsid w:val="00B033C2"/>
    <w:rsid w:val="00B050DF"/>
    <w:rsid w:val="00B063D5"/>
    <w:rsid w:val="00B06499"/>
    <w:rsid w:val="00B07306"/>
    <w:rsid w:val="00B10BC9"/>
    <w:rsid w:val="00B11196"/>
    <w:rsid w:val="00B112BD"/>
    <w:rsid w:val="00B123B8"/>
    <w:rsid w:val="00B127F1"/>
    <w:rsid w:val="00B12B7D"/>
    <w:rsid w:val="00B139AF"/>
    <w:rsid w:val="00B14CCA"/>
    <w:rsid w:val="00B15D2E"/>
    <w:rsid w:val="00B16985"/>
    <w:rsid w:val="00B17726"/>
    <w:rsid w:val="00B20C2C"/>
    <w:rsid w:val="00B21959"/>
    <w:rsid w:val="00B2211D"/>
    <w:rsid w:val="00B221B8"/>
    <w:rsid w:val="00B221D3"/>
    <w:rsid w:val="00B226BA"/>
    <w:rsid w:val="00B22866"/>
    <w:rsid w:val="00B22869"/>
    <w:rsid w:val="00B23CE5"/>
    <w:rsid w:val="00B243DA"/>
    <w:rsid w:val="00B24F57"/>
    <w:rsid w:val="00B25008"/>
    <w:rsid w:val="00B266DF"/>
    <w:rsid w:val="00B26AEA"/>
    <w:rsid w:val="00B27195"/>
    <w:rsid w:val="00B27206"/>
    <w:rsid w:val="00B27C4B"/>
    <w:rsid w:val="00B3064E"/>
    <w:rsid w:val="00B30AFA"/>
    <w:rsid w:val="00B311B5"/>
    <w:rsid w:val="00B32169"/>
    <w:rsid w:val="00B32AA7"/>
    <w:rsid w:val="00B3456A"/>
    <w:rsid w:val="00B3463F"/>
    <w:rsid w:val="00B3465B"/>
    <w:rsid w:val="00B4012D"/>
    <w:rsid w:val="00B40A61"/>
    <w:rsid w:val="00B40F64"/>
    <w:rsid w:val="00B41767"/>
    <w:rsid w:val="00B41D71"/>
    <w:rsid w:val="00B421B9"/>
    <w:rsid w:val="00B42306"/>
    <w:rsid w:val="00B42A76"/>
    <w:rsid w:val="00B42B47"/>
    <w:rsid w:val="00B42F67"/>
    <w:rsid w:val="00B4381A"/>
    <w:rsid w:val="00B43AE0"/>
    <w:rsid w:val="00B44387"/>
    <w:rsid w:val="00B447F0"/>
    <w:rsid w:val="00B44A8A"/>
    <w:rsid w:val="00B467FC"/>
    <w:rsid w:val="00B4742D"/>
    <w:rsid w:val="00B47888"/>
    <w:rsid w:val="00B47E2F"/>
    <w:rsid w:val="00B51652"/>
    <w:rsid w:val="00B51697"/>
    <w:rsid w:val="00B538D5"/>
    <w:rsid w:val="00B54C53"/>
    <w:rsid w:val="00B54D52"/>
    <w:rsid w:val="00B559F1"/>
    <w:rsid w:val="00B56A40"/>
    <w:rsid w:val="00B61967"/>
    <w:rsid w:val="00B61A50"/>
    <w:rsid w:val="00B61B33"/>
    <w:rsid w:val="00B61D35"/>
    <w:rsid w:val="00B636B1"/>
    <w:rsid w:val="00B64C63"/>
    <w:rsid w:val="00B6676A"/>
    <w:rsid w:val="00B6717F"/>
    <w:rsid w:val="00B705F4"/>
    <w:rsid w:val="00B71BD3"/>
    <w:rsid w:val="00B7314F"/>
    <w:rsid w:val="00B7378D"/>
    <w:rsid w:val="00B73C03"/>
    <w:rsid w:val="00B75800"/>
    <w:rsid w:val="00B759FC"/>
    <w:rsid w:val="00B76B96"/>
    <w:rsid w:val="00B82091"/>
    <w:rsid w:val="00B82413"/>
    <w:rsid w:val="00B83953"/>
    <w:rsid w:val="00B839ED"/>
    <w:rsid w:val="00B84314"/>
    <w:rsid w:val="00B84785"/>
    <w:rsid w:val="00B84944"/>
    <w:rsid w:val="00B85352"/>
    <w:rsid w:val="00B86BBE"/>
    <w:rsid w:val="00B87214"/>
    <w:rsid w:val="00B87CC9"/>
    <w:rsid w:val="00B87CD6"/>
    <w:rsid w:val="00B90285"/>
    <w:rsid w:val="00B91232"/>
    <w:rsid w:val="00B916AB"/>
    <w:rsid w:val="00B92490"/>
    <w:rsid w:val="00B92FF5"/>
    <w:rsid w:val="00B939EF"/>
    <w:rsid w:val="00B93F49"/>
    <w:rsid w:val="00B94381"/>
    <w:rsid w:val="00B95479"/>
    <w:rsid w:val="00B959E6"/>
    <w:rsid w:val="00B96643"/>
    <w:rsid w:val="00B97F33"/>
    <w:rsid w:val="00BA0129"/>
    <w:rsid w:val="00BA11E7"/>
    <w:rsid w:val="00BA1FFF"/>
    <w:rsid w:val="00BA3AC5"/>
    <w:rsid w:val="00BA3DC9"/>
    <w:rsid w:val="00BA4F48"/>
    <w:rsid w:val="00BA5EE6"/>
    <w:rsid w:val="00BA5F0F"/>
    <w:rsid w:val="00BA604D"/>
    <w:rsid w:val="00BA67B9"/>
    <w:rsid w:val="00BB093D"/>
    <w:rsid w:val="00BB0CCA"/>
    <w:rsid w:val="00BB0FF3"/>
    <w:rsid w:val="00BB1035"/>
    <w:rsid w:val="00BB1DA7"/>
    <w:rsid w:val="00BB47C8"/>
    <w:rsid w:val="00BB4BFC"/>
    <w:rsid w:val="00BC25D8"/>
    <w:rsid w:val="00BC2A48"/>
    <w:rsid w:val="00BC37E3"/>
    <w:rsid w:val="00BC4585"/>
    <w:rsid w:val="00BC483D"/>
    <w:rsid w:val="00BC4C75"/>
    <w:rsid w:val="00BC5024"/>
    <w:rsid w:val="00BC50F1"/>
    <w:rsid w:val="00BC5307"/>
    <w:rsid w:val="00BC5C87"/>
    <w:rsid w:val="00BC73E5"/>
    <w:rsid w:val="00BC7C5F"/>
    <w:rsid w:val="00BD03A7"/>
    <w:rsid w:val="00BD0542"/>
    <w:rsid w:val="00BD26BC"/>
    <w:rsid w:val="00BD2C86"/>
    <w:rsid w:val="00BD39D5"/>
    <w:rsid w:val="00BD4162"/>
    <w:rsid w:val="00BD4C3F"/>
    <w:rsid w:val="00BD6DA9"/>
    <w:rsid w:val="00BD7105"/>
    <w:rsid w:val="00BD7473"/>
    <w:rsid w:val="00BD7703"/>
    <w:rsid w:val="00BE1700"/>
    <w:rsid w:val="00BE1C59"/>
    <w:rsid w:val="00BE21B8"/>
    <w:rsid w:val="00BE345A"/>
    <w:rsid w:val="00BE3AAF"/>
    <w:rsid w:val="00BE3C80"/>
    <w:rsid w:val="00BE420D"/>
    <w:rsid w:val="00BE57CC"/>
    <w:rsid w:val="00BE5AA4"/>
    <w:rsid w:val="00BE5E4D"/>
    <w:rsid w:val="00BE7E85"/>
    <w:rsid w:val="00BF1712"/>
    <w:rsid w:val="00BF20A0"/>
    <w:rsid w:val="00BF2436"/>
    <w:rsid w:val="00BF2A4A"/>
    <w:rsid w:val="00BF2B40"/>
    <w:rsid w:val="00BF2D9D"/>
    <w:rsid w:val="00BF2F79"/>
    <w:rsid w:val="00BF30E3"/>
    <w:rsid w:val="00BF3CD6"/>
    <w:rsid w:val="00BF48B1"/>
    <w:rsid w:val="00BF4D9C"/>
    <w:rsid w:val="00BF58AF"/>
    <w:rsid w:val="00BF6314"/>
    <w:rsid w:val="00BF64FE"/>
    <w:rsid w:val="00C00271"/>
    <w:rsid w:val="00C0145E"/>
    <w:rsid w:val="00C01993"/>
    <w:rsid w:val="00C01BBC"/>
    <w:rsid w:val="00C02F2A"/>
    <w:rsid w:val="00C03C6F"/>
    <w:rsid w:val="00C041E1"/>
    <w:rsid w:val="00C055E2"/>
    <w:rsid w:val="00C05AF0"/>
    <w:rsid w:val="00C06C45"/>
    <w:rsid w:val="00C073E9"/>
    <w:rsid w:val="00C10AC8"/>
    <w:rsid w:val="00C12ABA"/>
    <w:rsid w:val="00C15297"/>
    <w:rsid w:val="00C17598"/>
    <w:rsid w:val="00C178D9"/>
    <w:rsid w:val="00C21520"/>
    <w:rsid w:val="00C21567"/>
    <w:rsid w:val="00C219BE"/>
    <w:rsid w:val="00C21FD7"/>
    <w:rsid w:val="00C222B2"/>
    <w:rsid w:val="00C225FB"/>
    <w:rsid w:val="00C23029"/>
    <w:rsid w:val="00C23346"/>
    <w:rsid w:val="00C2446B"/>
    <w:rsid w:val="00C259A5"/>
    <w:rsid w:val="00C268C4"/>
    <w:rsid w:val="00C27F90"/>
    <w:rsid w:val="00C30A02"/>
    <w:rsid w:val="00C30F72"/>
    <w:rsid w:val="00C319A6"/>
    <w:rsid w:val="00C31D22"/>
    <w:rsid w:val="00C320A2"/>
    <w:rsid w:val="00C332E8"/>
    <w:rsid w:val="00C33A1F"/>
    <w:rsid w:val="00C3655D"/>
    <w:rsid w:val="00C37530"/>
    <w:rsid w:val="00C4002E"/>
    <w:rsid w:val="00C413AB"/>
    <w:rsid w:val="00C43284"/>
    <w:rsid w:val="00C43465"/>
    <w:rsid w:val="00C43767"/>
    <w:rsid w:val="00C43927"/>
    <w:rsid w:val="00C4461F"/>
    <w:rsid w:val="00C45595"/>
    <w:rsid w:val="00C45C52"/>
    <w:rsid w:val="00C46952"/>
    <w:rsid w:val="00C469BC"/>
    <w:rsid w:val="00C46B88"/>
    <w:rsid w:val="00C50108"/>
    <w:rsid w:val="00C510FE"/>
    <w:rsid w:val="00C5218C"/>
    <w:rsid w:val="00C52191"/>
    <w:rsid w:val="00C52C66"/>
    <w:rsid w:val="00C554D4"/>
    <w:rsid w:val="00C5642F"/>
    <w:rsid w:val="00C569F4"/>
    <w:rsid w:val="00C577CE"/>
    <w:rsid w:val="00C600FC"/>
    <w:rsid w:val="00C60D76"/>
    <w:rsid w:val="00C6133B"/>
    <w:rsid w:val="00C62A38"/>
    <w:rsid w:val="00C62CD8"/>
    <w:rsid w:val="00C62EC7"/>
    <w:rsid w:val="00C63554"/>
    <w:rsid w:val="00C63AA9"/>
    <w:rsid w:val="00C640A3"/>
    <w:rsid w:val="00C64124"/>
    <w:rsid w:val="00C64BE9"/>
    <w:rsid w:val="00C65429"/>
    <w:rsid w:val="00C659A3"/>
    <w:rsid w:val="00C65BEB"/>
    <w:rsid w:val="00C65E54"/>
    <w:rsid w:val="00C66073"/>
    <w:rsid w:val="00C66DD9"/>
    <w:rsid w:val="00C70266"/>
    <w:rsid w:val="00C70480"/>
    <w:rsid w:val="00C70CD1"/>
    <w:rsid w:val="00C71489"/>
    <w:rsid w:val="00C71497"/>
    <w:rsid w:val="00C71AA8"/>
    <w:rsid w:val="00C724C1"/>
    <w:rsid w:val="00C724CB"/>
    <w:rsid w:val="00C72AA9"/>
    <w:rsid w:val="00C72AFC"/>
    <w:rsid w:val="00C72D0B"/>
    <w:rsid w:val="00C72F5B"/>
    <w:rsid w:val="00C73BCD"/>
    <w:rsid w:val="00C73E9B"/>
    <w:rsid w:val="00C7446E"/>
    <w:rsid w:val="00C77216"/>
    <w:rsid w:val="00C77AEF"/>
    <w:rsid w:val="00C802C9"/>
    <w:rsid w:val="00C80E01"/>
    <w:rsid w:val="00C82292"/>
    <w:rsid w:val="00C824EE"/>
    <w:rsid w:val="00C829A9"/>
    <w:rsid w:val="00C83C12"/>
    <w:rsid w:val="00C83DB6"/>
    <w:rsid w:val="00C844A5"/>
    <w:rsid w:val="00C849CF"/>
    <w:rsid w:val="00C85108"/>
    <w:rsid w:val="00C856F4"/>
    <w:rsid w:val="00C86AC0"/>
    <w:rsid w:val="00C87129"/>
    <w:rsid w:val="00C91E1B"/>
    <w:rsid w:val="00C92177"/>
    <w:rsid w:val="00C92DF2"/>
    <w:rsid w:val="00C945CA"/>
    <w:rsid w:val="00C9479F"/>
    <w:rsid w:val="00C94E38"/>
    <w:rsid w:val="00C9505B"/>
    <w:rsid w:val="00C953A5"/>
    <w:rsid w:val="00C9580F"/>
    <w:rsid w:val="00C97DD1"/>
    <w:rsid w:val="00CA2D1D"/>
    <w:rsid w:val="00CA471F"/>
    <w:rsid w:val="00CA58F5"/>
    <w:rsid w:val="00CA5FD5"/>
    <w:rsid w:val="00CA6411"/>
    <w:rsid w:val="00CA6D45"/>
    <w:rsid w:val="00CA720C"/>
    <w:rsid w:val="00CA7703"/>
    <w:rsid w:val="00CA7A57"/>
    <w:rsid w:val="00CB0F92"/>
    <w:rsid w:val="00CB1606"/>
    <w:rsid w:val="00CB1AE5"/>
    <w:rsid w:val="00CB1B8C"/>
    <w:rsid w:val="00CB3273"/>
    <w:rsid w:val="00CB4A50"/>
    <w:rsid w:val="00CB5030"/>
    <w:rsid w:val="00CC0479"/>
    <w:rsid w:val="00CC133E"/>
    <w:rsid w:val="00CC2639"/>
    <w:rsid w:val="00CC4EDA"/>
    <w:rsid w:val="00CC5035"/>
    <w:rsid w:val="00CC5393"/>
    <w:rsid w:val="00CC54A6"/>
    <w:rsid w:val="00CC5C3D"/>
    <w:rsid w:val="00CD1087"/>
    <w:rsid w:val="00CD2418"/>
    <w:rsid w:val="00CD2DB1"/>
    <w:rsid w:val="00CD330A"/>
    <w:rsid w:val="00CD35D4"/>
    <w:rsid w:val="00CD36BA"/>
    <w:rsid w:val="00CD4248"/>
    <w:rsid w:val="00CD461D"/>
    <w:rsid w:val="00CD4AF5"/>
    <w:rsid w:val="00CD4E6D"/>
    <w:rsid w:val="00CD523A"/>
    <w:rsid w:val="00CD5707"/>
    <w:rsid w:val="00CD7702"/>
    <w:rsid w:val="00CD7A40"/>
    <w:rsid w:val="00CD7DCE"/>
    <w:rsid w:val="00CE2536"/>
    <w:rsid w:val="00CE257A"/>
    <w:rsid w:val="00CE29EA"/>
    <w:rsid w:val="00CE33D6"/>
    <w:rsid w:val="00CE3657"/>
    <w:rsid w:val="00CE52A8"/>
    <w:rsid w:val="00CE54C0"/>
    <w:rsid w:val="00CE562F"/>
    <w:rsid w:val="00CE5653"/>
    <w:rsid w:val="00CE6A8A"/>
    <w:rsid w:val="00CE733F"/>
    <w:rsid w:val="00CE7609"/>
    <w:rsid w:val="00CE77E8"/>
    <w:rsid w:val="00CF0802"/>
    <w:rsid w:val="00CF0F4D"/>
    <w:rsid w:val="00CF1F15"/>
    <w:rsid w:val="00CF2BC5"/>
    <w:rsid w:val="00CF2D43"/>
    <w:rsid w:val="00CF40E0"/>
    <w:rsid w:val="00CF4F22"/>
    <w:rsid w:val="00CF57CA"/>
    <w:rsid w:val="00CF6519"/>
    <w:rsid w:val="00CF6572"/>
    <w:rsid w:val="00CF7230"/>
    <w:rsid w:val="00CF765B"/>
    <w:rsid w:val="00D00ADB"/>
    <w:rsid w:val="00D00E34"/>
    <w:rsid w:val="00D01F6A"/>
    <w:rsid w:val="00D02347"/>
    <w:rsid w:val="00D03E77"/>
    <w:rsid w:val="00D04587"/>
    <w:rsid w:val="00D04680"/>
    <w:rsid w:val="00D04755"/>
    <w:rsid w:val="00D05651"/>
    <w:rsid w:val="00D06166"/>
    <w:rsid w:val="00D0766D"/>
    <w:rsid w:val="00D13737"/>
    <w:rsid w:val="00D16039"/>
    <w:rsid w:val="00D1638E"/>
    <w:rsid w:val="00D16D30"/>
    <w:rsid w:val="00D1760B"/>
    <w:rsid w:val="00D179E7"/>
    <w:rsid w:val="00D20DAA"/>
    <w:rsid w:val="00D21594"/>
    <w:rsid w:val="00D21EE4"/>
    <w:rsid w:val="00D21FFF"/>
    <w:rsid w:val="00D225CF"/>
    <w:rsid w:val="00D22633"/>
    <w:rsid w:val="00D22F26"/>
    <w:rsid w:val="00D231B3"/>
    <w:rsid w:val="00D23708"/>
    <w:rsid w:val="00D2385A"/>
    <w:rsid w:val="00D23862"/>
    <w:rsid w:val="00D24E17"/>
    <w:rsid w:val="00D26DF7"/>
    <w:rsid w:val="00D272A5"/>
    <w:rsid w:val="00D27571"/>
    <w:rsid w:val="00D30510"/>
    <w:rsid w:val="00D3051C"/>
    <w:rsid w:val="00D305E9"/>
    <w:rsid w:val="00D32F74"/>
    <w:rsid w:val="00D3337B"/>
    <w:rsid w:val="00D333EF"/>
    <w:rsid w:val="00D3469C"/>
    <w:rsid w:val="00D3490C"/>
    <w:rsid w:val="00D3492B"/>
    <w:rsid w:val="00D3505A"/>
    <w:rsid w:val="00D3558D"/>
    <w:rsid w:val="00D366CB"/>
    <w:rsid w:val="00D367EA"/>
    <w:rsid w:val="00D37B38"/>
    <w:rsid w:val="00D40016"/>
    <w:rsid w:val="00D41796"/>
    <w:rsid w:val="00D41B38"/>
    <w:rsid w:val="00D4220B"/>
    <w:rsid w:val="00D430DA"/>
    <w:rsid w:val="00D43A67"/>
    <w:rsid w:val="00D43AFB"/>
    <w:rsid w:val="00D44EF9"/>
    <w:rsid w:val="00D452C6"/>
    <w:rsid w:val="00D46402"/>
    <w:rsid w:val="00D472D3"/>
    <w:rsid w:val="00D473D0"/>
    <w:rsid w:val="00D5149A"/>
    <w:rsid w:val="00D51CC3"/>
    <w:rsid w:val="00D51F56"/>
    <w:rsid w:val="00D522B2"/>
    <w:rsid w:val="00D52682"/>
    <w:rsid w:val="00D5434B"/>
    <w:rsid w:val="00D5536F"/>
    <w:rsid w:val="00D558A0"/>
    <w:rsid w:val="00D57B7C"/>
    <w:rsid w:val="00D60A2D"/>
    <w:rsid w:val="00D60F4F"/>
    <w:rsid w:val="00D61C2B"/>
    <w:rsid w:val="00D61FE5"/>
    <w:rsid w:val="00D624E5"/>
    <w:rsid w:val="00D62B69"/>
    <w:rsid w:val="00D63FC8"/>
    <w:rsid w:val="00D647AF"/>
    <w:rsid w:val="00D65B44"/>
    <w:rsid w:val="00D71E11"/>
    <w:rsid w:val="00D73733"/>
    <w:rsid w:val="00D73E9C"/>
    <w:rsid w:val="00D75FB0"/>
    <w:rsid w:val="00D7633D"/>
    <w:rsid w:val="00D77E9B"/>
    <w:rsid w:val="00D802C1"/>
    <w:rsid w:val="00D8050D"/>
    <w:rsid w:val="00D8099B"/>
    <w:rsid w:val="00D809EB"/>
    <w:rsid w:val="00D8196D"/>
    <w:rsid w:val="00D8215D"/>
    <w:rsid w:val="00D843BB"/>
    <w:rsid w:val="00D84D54"/>
    <w:rsid w:val="00D85233"/>
    <w:rsid w:val="00D866A8"/>
    <w:rsid w:val="00D86763"/>
    <w:rsid w:val="00D87C88"/>
    <w:rsid w:val="00D9298B"/>
    <w:rsid w:val="00D92F47"/>
    <w:rsid w:val="00D93BAA"/>
    <w:rsid w:val="00D93EF7"/>
    <w:rsid w:val="00D94B8D"/>
    <w:rsid w:val="00D963F3"/>
    <w:rsid w:val="00D96946"/>
    <w:rsid w:val="00D96C8D"/>
    <w:rsid w:val="00D96ECA"/>
    <w:rsid w:val="00D971C6"/>
    <w:rsid w:val="00DA095C"/>
    <w:rsid w:val="00DA2876"/>
    <w:rsid w:val="00DA28C0"/>
    <w:rsid w:val="00DA37BE"/>
    <w:rsid w:val="00DA4CDE"/>
    <w:rsid w:val="00DA562B"/>
    <w:rsid w:val="00DA5E4C"/>
    <w:rsid w:val="00DA68CB"/>
    <w:rsid w:val="00DA6E46"/>
    <w:rsid w:val="00DA7F0B"/>
    <w:rsid w:val="00DB2421"/>
    <w:rsid w:val="00DB24C4"/>
    <w:rsid w:val="00DB4219"/>
    <w:rsid w:val="00DB4891"/>
    <w:rsid w:val="00DB5251"/>
    <w:rsid w:val="00DB73DF"/>
    <w:rsid w:val="00DC0B51"/>
    <w:rsid w:val="00DC3B52"/>
    <w:rsid w:val="00DC7608"/>
    <w:rsid w:val="00DC7961"/>
    <w:rsid w:val="00DC7AA4"/>
    <w:rsid w:val="00DC7B85"/>
    <w:rsid w:val="00DD06BC"/>
    <w:rsid w:val="00DD094C"/>
    <w:rsid w:val="00DD1389"/>
    <w:rsid w:val="00DD16D5"/>
    <w:rsid w:val="00DD3421"/>
    <w:rsid w:val="00DD356A"/>
    <w:rsid w:val="00DD432F"/>
    <w:rsid w:val="00DD496E"/>
    <w:rsid w:val="00DD55C0"/>
    <w:rsid w:val="00DD566B"/>
    <w:rsid w:val="00DD5B90"/>
    <w:rsid w:val="00DD5CC0"/>
    <w:rsid w:val="00DD6EDB"/>
    <w:rsid w:val="00DD7238"/>
    <w:rsid w:val="00DD7888"/>
    <w:rsid w:val="00DE00BF"/>
    <w:rsid w:val="00DE1897"/>
    <w:rsid w:val="00DE27F7"/>
    <w:rsid w:val="00DE3283"/>
    <w:rsid w:val="00DE42F9"/>
    <w:rsid w:val="00DE4418"/>
    <w:rsid w:val="00DE480B"/>
    <w:rsid w:val="00DE7C99"/>
    <w:rsid w:val="00DF0B6D"/>
    <w:rsid w:val="00DF124B"/>
    <w:rsid w:val="00DF241F"/>
    <w:rsid w:val="00DF268E"/>
    <w:rsid w:val="00DF27BE"/>
    <w:rsid w:val="00DF3F2A"/>
    <w:rsid w:val="00E01309"/>
    <w:rsid w:val="00E01D4A"/>
    <w:rsid w:val="00E02337"/>
    <w:rsid w:val="00E03524"/>
    <w:rsid w:val="00E043A9"/>
    <w:rsid w:val="00E04B2D"/>
    <w:rsid w:val="00E05722"/>
    <w:rsid w:val="00E066EF"/>
    <w:rsid w:val="00E067BF"/>
    <w:rsid w:val="00E0687F"/>
    <w:rsid w:val="00E07D2C"/>
    <w:rsid w:val="00E10766"/>
    <w:rsid w:val="00E10C64"/>
    <w:rsid w:val="00E10E8D"/>
    <w:rsid w:val="00E11EF5"/>
    <w:rsid w:val="00E13477"/>
    <w:rsid w:val="00E1352A"/>
    <w:rsid w:val="00E1358C"/>
    <w:rsid w:val="00E14638"/>
    <w:rsid w:val="00E14BD5"/>
    <w:rsid w:val="00E1521D"/>
    <w:rsid w:val="00E15884"/>
    <w:rsid w:val="00E15FF1"/>
    <w:rsid w:val="00E160B8"/>
    <w:rsid w:val="00E1626C"/>
    <w:rsid w:val="00E168AB"/>
    <w:rsid w:val="00E16A16"/>
    <w:rsid w:val="00E20024"/>
    <w:rsid w:val="00E212D4"/>
    <w:rsid w:val="00E21763"/>
    <w:rsid w:val="00E21E76"/>
    <w:rsid w:val="00E22E5F"/>
    <w:rsid w:val="00E23376"/>
    <w:rsid w:val="00E23CF1"/>
    <w:rsid w:val="00E244A0"/>
    <w:rsid w:val="00E25131"/>
    <w:rsid w:val="00E26851"/>
    <w:rsid w:val="00E3031C"/>
    <w:rsid w:val="00E32715"/>
    <w:rsid w:val="00E32CC6"/>
    <w:rsid w:val="00E33D97"/>
    <w:rsid w:val="00E34E53"/>
    <w:rsid w:val="00E35EFB"/>
    <w:rsid w:val="00E36134"/>
    <w:rsid w:val="00E37F35"/>
    <w:rsid w:val="00E40802"/>
    <w:rsid w:val="00E419F2"/>
    <w:rsid w:val="00E41C03"/>
    <w:rsid w:val="00E42E2F"/>
    <w:rsid w:val="00E43B5B"/>
    <w:rsid w:val="00E44580"/>
    <w:rsid w:val="00E44B78"/>
    <w:rsid w:val="00E44E18"/>
    <w:rsid w:val="00E50C08"/>
    <w:rsid w:val="00E5127B"/>
    <w:rsid w:val="00E5179C"/>
    <w:rsid w:val="00E527FB"/>
    <w:rsid w:val="00E52822"/>
    <w:rsid w:val="00E52D11"/>
    <w:rsid w:val="00E532E5"/>
    <w:rsid w:val="00E53A98"/>
    <w:rsid w:val="00E5416B"/>
    <w:rsid w:val="00E54301"/>
    <w:rsid w:val="00E55A18"/>
    <w:rsid w:val="00E55ABD"/>
    <w:rsid w:val="00E56BE6"/>
    <w:rsid w:val="00E57533"/>
    <w:rsid w:val="00E60431"/>
    <w:rsid w:val="00E6065C"/>
    <w:rsid w:val="00E6080D"/>
    <w:rsid w:val="00E60817"/>
    <w:rsid w:val="00E60CF6"/>
    <w:rsid w:val="00E61A0D"/>
    <w:rsid w:val="00E61FDA"/>
    <w:rsid w:val="00E638A1"/>
    <w:rsid w:val="00E63A05"/>
    <w:rsid w:val="00E645ED"/>
    <w:rsid w:val="00E6737F"/>
    <w:rsid w:val="00E677CE"/>
    <w:rsid w:val="00E70DA7"/>
    <w:rsid w:val="00E71F80"/>
    <w:rsid w:val="00E737E5"/>
    <w:rsid w:val="00E74AEC"/>
    <w:rsid w:val="00E77349"/>
    <w:rsid w:val="00E80441"/>
    <w:rsid w:val="00E80984"/>
    <w:rsid w:val="00E82341"/>
    <w:rsid w:val="00E8496D"/>
    <w:rsid w:val="00E85334"/>
    <w:rsid w:val="00E8540D"/>
    <w:rsid w:val="00E85CFC"/>
    <w:rsid w:val="00E86ACE"/>
    <w:rsid w:val="00E90957"/>
    <w:rsid w:val="00E90C35"/>
    <w:rsid w:val="00E91020"/>
    <w:rsid w:val="00E919A7"/>
    <w:rsid w:val="00E91BB2"/>
    <w:rsid w:val="00E91C45"/>
    <w:rsid w:val="00E91DB4"/>
    <w:rsid w:val="00E93A7C"/>
    <w:rsid w:val="00E965EB"/>
    <w:rsid w:val="00EA286F"/>
    <w:rsid w:val="00EA34C6"/>
    <w:rsid w:val="00EA49E9"/>
    <w:rsid w:val="00EA63F7"/>
    <w:rsid w:val="00EA6F6D"/>
    <w:rsid w:val="00EA70F1"/>
    <w:rsid w:val="00EA747E"/>
    <w:rsid w:val="00EB2516"/>
    <w:rsid w:val="00EB28F0"/>
    <w:rsid w:val="00EB2C07"/>
    <w:rsid w:val="00EB374A"/>
    <w:rsid w:val="00EB620B"/>
    <w:rsid w:val="00EB6879"/>
    <w:rsid w:val="00EB6ABB"/>
    <w:rsid w:val="00EC0D1D"/>
    <w:rsid w:val="00EC0F75"/>
    <w:rsid w:val="00EC15A8"/>
    <w:rsid w:val="00EC282D"/>
    <w:rsid w:val="00EC364A"/>
    <w:rsid w:val="00EC367C"/>
    <w:rsid w:val="00EC37AF"/>
    <w:rsid w:val="00EC4D91"/>
    <w:rsid w:val="00EC59D3"/>
    <w:rsid w:val="00EC63B6"/>
    <w:rsid w:val="00EC69DA"/>
    <w:rsid w:val="00EC7A4F"/>
    <w:rsid w:val="00ED1CF1"/>
    <w:rsid w:val="00ED2930"/>
    <w:rsid w:val="00ED48F7"/>
    <w:rsid w:val="00ED520E"/>
    <w:rsid w:val="00ED57B9"/>
    <w:rsid w:val="00ED62BE"/>
    <w:rsid w:val="00ED74AD"/>
    <w:rsid w:val="00ED777A"/>
    <w:rsid w:val="00EE0693"/>
    <w:rsid w:val="00EE146B"/>
    <w:rsid w:val="00EE1D34"/>
    <w:rsid w:val="00EE2421"/>
    <w:rsid w:val="00EE2B72"/>
    <w:rsid w:val="00EE2CD0"/>
    <w:rsid w:val="00EE2E32"/>
    <w:rsid w:val="00EE467E"/>
    <w:rsid w:val="00EE4C47"/>
    <w:rsid w:val="00EE4CAF"/>
    <w:rsid w:val="00EE4E0C"/>
    <w:rsid w:val="00EE54BE"/>
    <w:rsid w:val="00EE64CF"/>
    <w:rsid w:val="00EE69F5"/>
    <w:rsid w:val="00EE6F61"/>
    <w:rsid w:val="00EE73F5"/>
    <w:rsid w:val="00EE7D8C"/>
    <w:rsid w:val="00EF0C2B"/>
    <w:rsid w:val="00EF1081"/>
    <w:rsid w:val="00EF10FF"/>
    <w:rsid w:val="00EF14F9"/>
    <w:rsid w:val="00EF17AB"/>
    <w:rsid w:val="00EF17E8"/>
    <w:rsid w:val="00EF1CCB"/>
    <w:rsid w:val="00EF21BA"/>
    <w:rsid w:val="00EF2649"/>
    <w:rsid w:val="00EF38E8"/>
    <w:rsid w:val="00EF41AC"/>
    <w:rsid w:val="00EF4E06"/>
    <w:rsid w:val="00EF4FA8"/>
    <w:rsid w:val="00EF55E5"/>
    <w:rsid w:val="00EF6FA5"/>
    <w:rsid w:val="00EF7364"/>
    <w:rsid w:val="00EF7A08"/>
    <w:rsid w:val="00F0197E"/>
    <w:rsid w:val="00F023A0"/>
    <w:rsid w:val="00F023C6"/>
    <w:rsid w:val="00F02C2A"/>
    <w:rsid w:val="00F04899"/>
    <w:rsid w:val="00F04B2B"/>
    <w:rsid w:val="00F04C00"/>
    <w:rsid w:val="00F04CB8"/>
    <w:rsid w:val="00F056BD"/>
    <w:rsid w:val="00F0608C"/>
    <w:rsid w:val="00F063EC"/>
    <w:rsid w:val="00F06C54"/>
    <w:rsid w:val="00F07819"/>
    <w:rsid w:val="00F07824"/>
    <w:rsid w:val="00F11104"/>
    <w:rsid w:val="00F1143F"/>
    <w:rsid w:val="00F1260D"/>
    <w:rsid w:val="00F12BFC"/>
    <w:rsid w:val="00F12D1D"/>
    <w:rsid w:val="00F13122"/>
    <w:rsid w:val="00F132C2"/>
    <w:rsid w:val="00F14CC6"/>
    <w:rsid w:val="00F16E3F"/>
    <w:rsid w:val="00F2026A"/>
    <w:rsid w:val="00F20288"/>
    <w:rsid w:val="00F20F49"/>
    <w:rsid w:val="00F2138F"/>
    <w:rsid w:val="00F21783"/>
    <w:rsid w:val="00F21C12"/>
    <w:rsid w:val="00F2246A"/>
    <w:rsid w:val="00F22499"/>
    <w:rsid w:val="00F22B0F"/>
    <w:rsid w:val="00F246CB"/>
    <w:rsid w:val="00F24B42"/>
    <w:rsid w:val="00F24F73"/>
    <w:rsid w:val="00F2681F"/>
    <w:rsid w:val="00F26D80"/>
    <w:rsid w:val="00F27299"/>
    <w:rsid w:val="00F27A6B"/>
    <w:rsid w:val="00F30A8B"/>
    <w:rsid w:val="00F314FF"/>
    <w:rsid w:val="00F317C5"/>
    <w:rsid w:val="00F31F6E"/>
    <w:rsid w:val="00F3341E"/>
    <w:rsid w:val="00F33456"/>
    <w:rsid w:val="00F335B1"/>
    <w:rsid w:val="00F3389C"/>
    <w:rsid w:val="00F360C9"/>
    <w:rsid w:val="00F36E69"/>
    <w:rsid w:val="00F375F2"/>
    <w:rsid w:val="00F37F90"/>
    <w:rsid w:val="00F40638"/>
    <w:rsid w:val="00F418DD"/>
    <w:rsid w:val="00F43FFA"/>
    <w:rsid w:val="00F44191"/>
    <w:rsid w:val="00F44C36"/>
    <w:rsid w:val="00F46A9A"/>
    <w:rsid w:val="00F4718C"/>
    <w:rsid w:val="00F474F0"/>
    <w:rsid w:val="00F479F5"/>
    <w:rsid w:val="00F52166"/>
    <w:rsid w:val="00F532CB"/>
    <w:rsid w:val="00F5477B"/>
    <w:rsid w:val="00F54EAE"/>
    <w:rsid w:val="00F551DB"/>
    <w:rsid w:val="00F56C58"/>
    <w:rsid w:val="00F575A8"/>
    <w:rsid w:val="00F5796A"/>
    <w:rsid w:val="00F606DF"/>
    <w:rsid w:val="00F610C3"/>
    <w:rsid w:val="00F61E73"/>
    <w:rsid w:val="00F634BE"/>
    <w:rsid w:val="00F64AF0"/>
    <w:rsid w:val="00F65334"/>
    <w:rsid w:val="00F65CC2"/>
    <w:rsid w:val="00F66067"/>
    <w:rsid w:val="00F668DF"/>
    <w:rsid w:val="00F66A51"/>
    <w:rsid w:val="00F70E1B"/>
    <w:rsid w:val="00F70FB9"/>
    <w:rsid w:val="00F71057"/>
    <w:rsid w:val="00F710D8"/>
    <w:rsid w:val="00F714AC"/>
    <w:rsid w:val="00F71A4B"/>
    <w:rsid w:val="00F728CF"/>
    <w:rsid w:val="00F72BE2"/>
    <w:rsid w:val="00F72D09"/>
    <w:rsid w:val="00F72D42"/>
    <w:rsid w:val="00F737E4"/>
    <w:rsid w:val="00F7389C"/>
    <w:rsid w:val="00F743D4"/>
    <w:rsid w:val="00F75526"/>
    <w:rsid w:val="00F75D3B"/>
    <w:rsid w:val="00F764BB"/>
    <w:rsid w:val="00F80E99"/>
    <w:rsid w:val="00F8138E"/>
    <w:rsid w:val="00F830CD"/>
    <w:rsid w:val="00F83B17"/>
    <w:rsid w:val="00F83E2E"/>
    <w:rsid w:val="00F85421"/>
    <w:rsid w:val="00F86A52"/>
    <w:rsid w:val="00F87EDA"/>
    <w:rsid w:val="00F905D2"/>
    <w:rsid w:val="00F907E9"/>
    <w:rsid w:val="00F90F85"/>
    <w:rsid w:val="00F916D1"/>
    <w:rsid w:val="00F92507"/>
    <w:rsid w:val="00F9321D"/>
    <w:rsid w:val="00F94113"/>
    <w:rsid w:val="00F94A05"/>
    <w:rsid w:val="00F94FB0"/>
    <w:rsid w:val="00F95C95"/>
    <w:rsid w:val="00F970EE"/>
    <w:rsid w:val="00F97F0E"/>
    <w:rsid w:val="00FA4A3F"/>
    <w:rsid w:val="00FA52D7"/>
    <w:rsid w:val="00FA54B6"/>
    <w:rsid w:val="00FA56A9"/>
    <w:rsid w:val="00FA7B58"/>
    <w:rsid w:val="00FB06DA"/>
    <w:rsid w:val="00FB0BC9"/>
    <w:rsid w:val="00FB25AB"/>
    <w:rsid w:val="00FB3CF8"/>
    <w:rsid w:val="00FB41D3"/>
    <w:rsid w:val="00FB4D7D"/>
    <w:rsid w:val="00FB4F70"/>
    <w:rsid w:val="00FB5EFC"/>
    <w:rsid w:val="00FB6B2A"/>
    <w:rsid w:val="00FB77BB"/>
    <w:rsid w:val="00FB7999"/>
    <w:rsid w:val="00FC15AA"/>
    <w:rsid w:val="00FC1AD4"/>
    <w:rsid w:val="00FC2786"/>
    <w:rsid w:val="00FC6C07"/>
    <w:rsid w:val="00FC720D"/>
    <w:rsid w:val="00FD1375"/>
    <w:rsid w:val="00FD14FD"/>
    <w:rsid w:val="00FD211F"/>
    <w:rsid w:val="00FD3433"/>
    <w:rsid w:val="00FD359E"/>
    <w:rsid w:val="00FD38F9"/>
    <w:rsid w:val="00FD416F"/>
    <w:rsid w:val="00FD5F37"/>
    <w:rsid w:val="00FD6A17"/>
    <w:rsid w:val="00FD762C"/>
    <w:rsid w:val="00FD7A66"/>
    <w:rsid w:val="00FE0A17"/>
    <w:rsid w:val="00FE1108"/>
    <w:rsid w:val="00FE179F"/>
    <w:rsid w:val="00FE1DFB"/>
    <w:rsid w:val="00FE30EC"/>
    <w:rsid w:val="00FE4064"/>
    <w:rsid w:val="00FE4A44"/>
    <w:rsid w:val="00FE4B16"/>
    <w:rsid w:val="00FE5738"/>
    <w:rsid w:val="00FE5D33"/>
    <w:rsid w:val="00FE5D8B"/>
    <w:rsid w:val="00FE5D8C"/>
    <w:rsid w:val="00FE640E"/>
    <w:rsid w:val="00FE6F3D"/>
    <w:rsid w:val="00FF213A"/>
    <w:rsid w:val="00FF44A6"/>
    <w:rsid w:val="00FF5F5B"/>
    <w:rsid w:val="00FF670D"/>
    <w:rsid w:val="00FF6E8F"/>
    <w:rsid w:val="00FF7CE5"/>
    <w:rsid w:val="018846CB"/>
    <w:rsid w:val="03E275F1"/>
    <w:rsid w:val="08324162"/>
    <w:rsid w:val="08D13D16"/>
    <w:rsid w:val="0A7D5E9E"/>
    <w:rsid w:val="11EA3102"/>
    <w:rsid w:val="12BD0A7A"/>
    <w:rsid w:val="186D7926"/>
    <w:rsid w:val="1C254430"/>
    <w:rsid w:val="1DBD4283"/>
    <w:rsid w:val="1E030E7F"/>
    <w:rsid w:val="1FE65609"/>
    <w:rsid w:val="2181238F"/>
    <w:rsid w:val="2B4020D6"/>
    <w:rsid w:val="2B521D0D"/>
    <w:rsid w:val="2B660A58"/>
    <w:rsid w:val="353C1CE1"/>
    <w:rsid w:val="3E060A74"/>
    <w:rsid w:val="3EAD56D4"/>
    <w:rsid w:val="412A0C66"/>
    <w:rsid w:val="42BE70F8"/>
    <w:rsid w:val="43333E94"/>
    <w:rsid w:val="448A628B"/>
    <w:rsid w:val="46444268"/>
    <w:rsid w:val="464E39C2"/>
    <w:rsid w:val="47A443F0"/>
    <w:rsid w:val="49A24393"/>
    <w:rsid w:val="4B3A5715"/>
    <w:rsid w:val="4BF56965"/>
    <w:rsid w:val="4C432996"/>
    <w:rsid w:val="4C8D12AC"/>
    <w:rsid w:val="4CC437CD"/>
    <w:rsid w:val="4CDF5D90"/>
    <w:rsid w:val="4E605C1C"/>
    <w:rsid w:val="4F436586"/>
    <w:rsid w:val="534B7496"/>
    <w:rsid w:val="545E7558"/>
    <w:rsid w:val="57F44930"/>
    <w:rsid w:val="5A1E35A3"/>
    <w:rsid w:val="5ED3029E"/>
    <w:rsid w:val="5EE070CC"/>
    <w:rsid w:val="615109B8"/>
    <w:rsid w:val="63053881"/>
    <w:rsid w:val="67A03787"/>
    <w:rsid w:val="6BF11539"/>
    <w:rsid w:val="6D0C0020"/>
    <w:rsid w:val="6E295B58"/>
    <w:rsid w:val="70D9160C"/>
    <w:rsid w:val="768A3309"/>
    <w:rsid w:val="784105E2"/>
    <w:rsid w:val="79E82172"/>
    <w:rsid w:val="7AB65CAD"/>
    <w:rsid w:val="7B745FBE"/>
    <w:rsid w:val="7CD77C7F"/>
    <w:rsid w:val="7D9C308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0"/>
    <w:qFormat/>
    <w:uiPriority w:val="99"/>
    <w:pPr>
      <w:keepNext/>
      <w:keepLines/>
      <w:spacing w:before="340" w:after="330" w:line="578" w:lineRule="auto"/>
      <w:outlineLvl w:val="0"/>
    </w:pPr>
    <w:rPr>
      <w:b/>
      <w:bCs/>
      <w:kern w:val="44"/>
      <w:sz w:val="44"/>
      <w:szCs w:val="44"/>
    </w:rPr>
  </w:style>
  <w:style w:type="paragraph" w:styleId="3">
    <w:name w:val="heading 2"/>
    <w:basedOn w:val="1"/>
    <w:next w:val="4"/>
    <w:link w:val="51"/>
    <w:qFormat/>
    <w:uiPriority w:val="0"/>
    <w:pPr>
      <w:keepNext/>
      <w:keepLines/>
      <w:spacing w:before="260" w:after="260" w:line="360" w:lineRule="auto"/>
      <w:outlineLvl w:val="1"/>
    </w:pPr>
    <w:rPr>
      <w:rFonts w:ascii="Arial" w:hAnsi="Arial" w:cs="Arial"/>
      <w:b/>
      <w:bCs/>
      <w:sz w:val="24"/>
      <w:szCs w:val="24"/>
    </w:rPr>
  </w:style>
  <w:style w:type="paragraph" w:styleId="5">
    <w:name w:val="heading 3"/>
    <w:basedOn w:val="1"/>
    <w:next w:val="1"/>
    <w:link w:val="52"/>
    <w:qFormat/>
    <w:uiPriority w:val="9"/>
    <w:pPr>
      <w:keepNext/>
      <w:keepLines/>
      <w:spacing w:before="260" w:after="260" w:line="416" w:lineRule="auto"/>
      <w:outlineLvl w:val="2"/>
    </w:pPr>
    <w:rPr>
      <w:b/>
      <w:bCs/>
      <w:sz w:val="32"/>
      <w:szCs w:val="32"/>
    </w:rPr>
  </w:style>
  <w:style w:type="paragraph" w:styleId="6">
    <w:name w:val="heading 4"/>
    <w:basedOn w:val="1"/>
    <w:next w:val="1"/>
    <w:link w:val="97"/>
    <w:qFormat/>
    <w:uiPriority w:val="9"/>
    <w:pPr>
      <w:keepNext/>
      <w:keepLines/>
      <w:spacing w:before="280" w:after="290" w:line="372" w:lineRule="auto"/>
      <w:outlineLvl w:val="3"/>
    </w:pPr>
    <w:rPr>
      <w:rFonts w:ascii="Arial" w:hAnsi="Arial" w:eastAsia="黑体"/>
      <w:b/>
      <w:sz w:val="28"/>
      <w:szCs w:val="20"/>
    </w:rPr>
  </w:style>
  <w:style w:type="paragraph" w:styleId="7">
    <w:name w:val="heading 5"/>
    <w:basedOn w:val="1"/>
    <w:next w:val="1"/>
    <w:link w:val="98"/>
    <w:qFormat/>
    <w:uiPriority w:val="9"/>
    <w:pPr>
      <w:keepNext/>
      <w:keepLines/>
      <w:spacing w:before="280" w:after="290" w:line="372" w:lineRule="auto"/>
      <w:outlineLvl w:val="4"/>
    </w:pPr>
    <w:rPr>
      <w:b/>
      <w:sz w:val="28"/>
      <w:szCs w:val="20"/>
    </w:rPr>
  </w:style>
  <w:style w:type="paragraph" w:styleId="8">
    <w:name w:val="heading 6"/>
    <w:basedOn w:val="1"/>
    <w:next w:val="1"/>
    <w:link w:val="99"/>
    <w:qFormat/>
    <w:uiPriority w:val="9"/>
    <w:pPr>
      <w:keepNext/>
      <w:keepLines/>
      <w:spacing w:before="240" w:after="64" w:line="317" w:lineRule="auto"/>
      <w:ind w:left="851" w:firstLine="200" w:firstLineChars="200"/>
      <w:outlineLvl w:val="5"/>
    </w:pPr>
    <w:rPr>
      <w:rFonts w:ascii="Arial" w:hAnsi="Arial" w:eastAsia="黑体"/>
      <w:b/>
      <w:sz w:val="24"/>
      <w:szCs w:val="20"/>
    </w:rPr>
  </w:style>
  <w:style w:type="paragraph" w:styleId="9">
    <w:name w:val="heading 7"/>
    <w:basedOn w:val="1"/>
    <w:next w:val="1"/>
    <w:link w:val="100"/>
    <w:qFormat/>
    <w:uiPriority w:val="9"/>
    <w:pPr>
      <w:keepNext/>
      <w:keepLines/>
      <w:spacing w:before="240" w:after="64" w:line="317" w:lineRule="auto"/>
      <w:ind w:left="851" w:firstLine="200" w:firstLineChars="200"/>
      <w:outlineLvl w:val="6"/>
    </w:pPr>
    <w:rPr>
      <w:b/>
      <w:sz w:val="24"/>
      <w:szCs w:val="20"/>
    </w:rPr>
  </w:style>
  <w:style w:type="paragraph" w:styleId="10">
    <w:name w:val="heading 8"/>
    <w:basedOn w:val="1"/>
    <w:next w:val="1"/>
    <w:link w:val="101"/>
    <w:qFormat/>
    <w:uiPriority w:val="9"/>
    <w:pPr>
      <w:keepNext/>
      <w:keepLines/>
      <w:spacing w:before="240" w:after="64" w:line="317" w:lineRule="auto"/>
      <w:ind w:left="851" w:firstLine="200" w:firstLineChars="200"/>
      <w:outlineLvl w:val="7"/>
    </w:pPr>
    <w:rPr>
      <w:rFonts w:ascii="Arial" w:hAnsi="Arial" w:eastAsia="黑体"/>
      <w:sz w:val="24"/>
      <w:szCs w:val="20"/>
    </w:rPr>
  </w:style>
  <w:style w:type="paragraph" w:styleId="11">
    <w:name w:val="heading 9"/>
    <w:basedOn w:val="1"/>
    <w:next w:val="1"/>
    <w:link w:val="102"/>
    <w:qFormat/>
    <w:uiPriority w:val="9"/>
    <w:pPr>
      <w:keepNext/>
      <w:keepLines/>
      <w:spacing w:before="240" w:after="64" w:line="317" w:lineRule="auto"/>
      <w:ind w:left="851" w:firstLine="200" w:firstLineChars="200"/>
      <w:outlineLvl w:val="8"/>
    </w:pPr>
    <w:rPr>
      <w:rFonts w:ascii="Arial" w:hAnsi="Arial" w:eastAsia="黑体"/>
      <w:sz w:val="24"/>
      <w:szCs w:val="20"/>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firstLineChars="200"/>
    </w:pPr>
  </w:style>
  <w:style w:type="paragraph" w:styleId="12">
    <w:name w:val="toc 7"/>
    <w:basedOn w:val="1"/>
    <w:next w:val="1"/>
    <w:unhideWhenUsed/>
    <w:qFormat/>
    <w:uiPriority w:val="39"/>
    <w:pPr>
      <w:ind w:left="2520" w:leftChars="1200"/>
    </w:pPr>
    <w:rPr>
      <w:rFonts w:ascii="等线" w:hAnsi="等线" w:eastAsia="等线"/>
      <w:szCs w:val="22"/>
    </w:rPr>
  </w:style>
  <w:style w:type="paragraph" w:styleId="13">
    <w:name w:val="Document Map"/>
    <w:basedOn w:val="1"/>
    <w:link w:val="82"/>
    <w:qFormat/>
    <w:uiPriority w:val="99"/>
    <w:pPr>
      <w:shd w:val="clear" w:color="auto" w:fill="000080"/>
    </w:pPr>
  </w:style>
  <w:style w:type="paragraph" w:styleId="14">
    <w:name w:val="annotation text"/>
    <w:basedOn w:val="1"/>
    <w:link w:val="79"/>
    <w:qFormat/>
    <w:uiPriority w:val="0"/>
    <w:pPr>
      <w:jc w:val="left"/>
    </w:pPr>
  </w:style>
  <w:style w:type="paragraph" w:styleId="15">
    <w:name w:val="Body Text"/>
    <w:basedOn w:val="1"/>
    <w:link w:val="59"/>
    <w:qFormat/>
    <w:uiPriority w:val="99"/>
    <w:pPr>
      <w:spacing w:after="120"/>
    </w:pPr>
  </w:style>
  <w:style w:type="paragraph" w:styleId="16">
    <w:name w:val="Body Text Indent"/>
    <w:basedOn w:val="1"/>
    <w:link w:val="53"/>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7">
    <w:name w:val="toc 5"/>
    <w:basedOn w:val="1"/>
    <w:next w:val="1"/>
    <w:unhideWhenUsed/>
    <w:qFormat/>
    <w:uiPriority w:val="39"/>
    <w:pPr>
      <w:ind w:left="1680" w:leftChars="800"/>
    </w:pPr>
    <w:rPr>
      <w:rFonts w:ascii="等线" w:hAnsi="等线" w:eastAsia="等线"/>
      <w:szCs w:val="22"/>
    </w:rPr>
  </w:style>
  <w:style w:type="paragraph" w:styleId="18">
    <w:name w:val="toc 3"/>
    <w:basedOn w:val="1"/>
    <w:next w:val="1"/>
    <w:unhideWhenUsed/>
    <w:qFormat/>
    <w:uiPriority w:val="39"/>
    <w:pPr>
      <w:ind w:left="840" w:leftChars="400"/>
    </w:pPr>
    <w:rPr>
      <w:rFonts w:ascii="等线" w:hAnsi="等线" w:eastAsia="等线"/>
      <w:szCs w:val="22"/>
    </w:rPr>
  </w:style>
  <w:style w:type="paragraph" w:styleId="19">
    <w:name w:val="Plain Text"/>
    <w:basedOn w:val="1"/>
    <w:link w:val="54"/>
    <w:qFormat/>
    <w:uiPriority w:val="99"/>
    <w:rPr>
      <w:rFonts w:ascii="宋体" w:hAnsi="Courier New" w:cs="宋体"/>
    </w:rPr>
  </w:style>
  <w:style w:type="paragraph" w:styleId="20">
    <w:name w:val="toc 8"/>
    <w:basedOn w:val="1"/>
    <w:next w:val="1"/>
    <w:unhideWhenUsed/>
    <w:qFormat/>
    <w:uiPriority w:val="39"/>
    <w:pPr>
      <w:ind w:left="2940" w:leftChars="1400"/>
    </w:pPr>
    <w:rPr>
      <w:rFonts w:ascii="等线" w:hAnsi="等线" w:eastAsia="等线"/>
      <w:szCs w:val="22"/>
    </w:rPr>
  </w:style>
  <w:style w:type="paragraph" w:styleId="21">
    <w:name w:val="Date"/>
    <w:basedOn w:val="1"/>
    <w:next w:val="1"/>
    <w:link w:val="60"/>
    <w:qFormat/>
    <w:uiPriority w:val="99"/>
    <w:rPr>
      <w:sz w:val="24"/>
      <w:szCs w:val="24"/>
    </w:rPr>
  </w:style>
  <w:style w:type="paragraph" w:styleId="22">
    <w:name w:val="Body Text Indent 2"/>
    <w:basedOn w:val="1"/>
    <w:link w:val="55"/>
    <w:qFormat/>
    <w:uiPriority w:val="99"/>
    <w:pPr>
      <w:spacing w:line="560" w:lineRule="exact"/>
      <w:ind w:firstLine="480" w:firstLineChars="200"/>
    </w:pPr>
    <w:rPr>
      <w:rFonts w:ascii="宋体" w:hAnsi="宋体" w:cs="宋体"/>
      <w:color w:val="FF0000"/>
      <w:sz w:val="24"/>
      <w:szCs w:val="24"/>
    </w:rPr>
  </w:style>
  <w:style w:type="paragraph" w:styleId="23">
    <w:name w:val="endnote text"/>
    <w:basedOn w:val="1"/>
    <w:link w:val="129"/>
    <w:unhideWhenUsed/>
    <w:qFormat/>
    <w:uiPriority w:val="99"/>
    <w:pPr>
      <w:snapToGrid w:val="0"/>
      <w:jc w:val="left"/>
    </w:pPr>
    <w:rPr>
      <w:szCs w:val="20"/>
    </w:rPr>
  </w:style>
  <w:style w:type="paragraph" w:styleId="24">
    <w:name w:val="Balloon Text"/>
    <w:basedOn w:val="1"/>
    <w:link w:val="78"/>
    <w:qFormat/>
    <w:uiPriority w:val="99"/>
    <w:rPr>
      <w:sz w:val="18"/>
      <w:szCs w:val="18"/>
    </w:rPr>
  </w:style>
  <w:style w:type="paragraph" w:styleId="25">
    <w:name w:val="footer"/>
    <w:basedOn w:val="1"/>
    <w:link w:val="56"/>
    <w:qFormat/>
    <w:uiPriority w:val="99"/>
    <w:pPr>
      <w:tabs>
        <w:tab w:val="center" w:pos="4153"/>
        <w:tab w:val="right" w:pos="8306"/>
      </w:tabs>
      <w:snapToGrid w:val="0"/>
      <w:jc w:val="left"/>
    </w:pPr>
    <w:rPr>
      <w:sz w:val="18"/>
      <w:szCs w:val="18"/>
    </w:rPr>
  </w:style>
  <w:style w:type="paragraph" w:styleId="26">
    <w:name w:val="header"/>
    <w:basedOn w:val="1"/>
    <w:link w:val="58"/>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72"/>
      </w:tabs>
    </w:pPr>
    <w:rPr>
      <w:szCs w:val="24"/>
    </w:rPr>
  </w:style>
  <w:style w:type="paragraph" w:styleId="28">
    <w:name w:val="toc 4"/>
    <w:basedOn w:val="1"/>
    <w:next w:val="1"/>
    <w:unhideWhenUsed/>
    <w:qFormat/>
    <w:uiPriority w:val="39"/>
    <w:pPr>
      <w:ind w:left="1260" w:leftChars="600"/>
    </w:pPr>
    <w:rPr>
      <w:rFonts w:ascii="等线" w:hAnsi="等线" w:eastAsia="等线"/>
      <w:szCs w:val="22"/>
    </w:rPr>
  </w:style>
  <w:style w:type="paragraph" w:styleId="29">
    <w:name w:val="List"/>
    <w:basedOn w:val="15"/>
    <w:qFormat/>
    <w:uiPriority w:val="99"/>
    <w:pPr>
      <w:spacing w:after="220" w:line="220" w:lineRule="atLeast"/>
      <w:ind w:left="1440" w:hanging="360"/>
    </w:pPr>
  </w:style>
  <w:style w:type="paragraph" w:styleId="30">
    <w:name w:val="footnote text"/>
    <w:basedOn w:val="1"/>
    <w:link w:val="84"/>
    <w:qFormat/>
    <w:uiPriority w:val="99"/>
    <w:pPr>
      <w:snapToGrid w:val="0"/>
      <w:jc w:val="left"/>
    </w:pPr>
    <w:rPr>
      <w:sz w:val="18"/>
      <w:szCs w:val="18"/>
    </w:rPr>
  </w:style>
  <w:style w:type="paragraph" w:styleId="31">
    <w:name w:val="toc 6"/>
    <w:basedOn w:val="1"/>
    <w:next w:val="1"/>
    <w:unhideWhenUsed/>
    <w:qFormat/>
    <w:uiPriority w:val="39"/>
    <w:pPr>
      <w:ind w:left="2100" w:leftChars="1000"/>
    </w:pPr>
    <w:rPr>
      <w:rFonts w:ascii="等线" w:hAnsi="等线" w:eastAsia="等线"/>
      <w:szCs w:val="22"/>
    </w:rPr>
  </w:style>
  <w:style w:type="paragraph" w:styleId="32">
    <w:name w:val="Body Text Indent 3"/>
    <w:basedOn w:val="1"/>
    <w:link w:val="57"/>
    <w:qFormat/>
    <w:uiPriority w:val="99"/>
    <w:pPr>
      <w:spacing w:line="560" w:lineRule="exact"/>
      <w:ind w:firstLine="420" w:firstLineChars="200"/>
    </w:pPr>
    <w:rPr>
      <w:rFonts w:ascii="Arial" w:hAnsi="Arial" w:cs="Arial"/>
      <w:color w:val="FF0000"/>
    </w:rPr>
  </w:style>
  <w:style w:type="paragraph" w:styleId="33">
    <w:name w:val="toc 2"/>
    <w:basedOn w:val="1"/>
    <w:next w:val="1"/>
    <w:qFormat/>
    <w:uiPriority w:val="39"/>
    <w:pPr>
      <w:tabs>
        <w:tab w:val="right" w:leader="dot" w:pos="9072"/>
      </w:tabs>
      <w:ind w:left="420" w:leftChars="200"/>
    </w:pPr>
    <w:rPr>
      <w:kern w:val="0"/>
    </w:rPr>
  </w:style>
  <w:style w:type="paragraph" w:styleId="34">
    <w:name w:val="toc 9"/>
    <w:basedOn w:val="1"/>
    <w:next w:val="1"/>
    <w:unhideWhenUsed/>
    <w:qFormat/>
    <w:uiPriority w:val="39"/>
    <w:pPr>
      <w:ind w:left="3360" w:leftChars="1600"/>
    </w:pPr>
    <w:rPr>
      <w:rFonts w:ascii="等线" w:hAnsi="等线" w:eastAsia="等线"/>
      <w:szCs w:val="22"/>
    </w:rPr>
  </w:style>
  <w:style w:type="paragraph" w:styleId="35">
    <w:name w:val="Body Text 2"/>
    <w:basedOn w:val="1"/>
    <w:link w:val="117"/>
    <w:qFormat/>
    <w:uiPriority w:val="99"/>
    <w:pPr>
      <w:spacing w:after="120" w:line="480" w:lineRule="auto"/>
    </w:pPr>
    <w:rPr>
      <w:szCs w:val="20"/>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7">
    <w:name w:val="index 1"/>
    <w:basedOn w:val="1"/>
    <w:next w:val="1"/>
    <w:semiHidden/>
    <w:qFormat/>
    <w:uiPriority w:val="99"/>
    <w:pPr>
      <w:jc w:val="right"/>
    </w:pPr>
    <w:rPr>
      <w:color w:val="008000"/>
    </w:rPr>
  </w:style>
  <w:style w:type="paragraph" w:styleId="38">
    <w:name w:val="Title"/>
    <w:basedOn w:val="1"/>
    <w:next w:val="1"/>
    <w:link w:val="88"/>
    <w:qFormat/>
    <w:uiPriority w:val="99"/>
    <w:pPr>
      <w:spacing w:before="240" w:after="60"/>
      <w:jc w:val="center"/>
      <w:outlineLvl w:val="0"/>
    </w:pPr>
    <w:rPr>
      <w:rFonts w:ascii="Cambria" w:hAnsi="Cambria" w:cs="Cambria"/>
      <w:b/>
      <w:bCs/>
      <w:sz w:val="32"/>
      <w:szCs w:val="32"/>
    </w:rPr>
  </w:style>
  <w:style w:type="paragraph" w:styleId="39">
    <w:name w:val="annotation subject"/>
    <w:basedOn w:val="14"/>
    <w:next w:val="14"/>
    <w:link w:val="80"/>
    <w:qFormat/>
    <w:uiPriority w:val="99"/>
    <w:rPr>
      <w:b/>
      <w:bCs/>
    </w:rPr>
  </w:style>
  <w:style w:type="table" w:styleId="41">
    <w:name w:val="Table Grid"/>
    <w:basedOn w:val="40"/>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22"/>
    <w:rPr>
      <w:b/>
    </w:rPr>
  </w:style>
  <w:style w:type="character" w:styleId="44">
    <w:name w:val="endnote reference"/>
    <w:basedOn w:val="42"/>
    <w:unhideWhenUsed/>
    <w:qFormat/>
    <w:uiPriority w:val="99"/>
    <w:rPr>
      <w:vertAlign w:val="superscript"/>
    </w:rPr>
  </w:style>
  <w:style w:type="character" w:styleId="45">
    <w:name w:val="page number"/>
    <w:basedOn w:val="42"/>
    <w:qFormat/>
    <w:uiPriority w:val="99"/>
  </w:style>
  <w:style w:type="character" w:styleId="46">
    <w:name w:val="FollowedHyperlink"/>
    <w:basedOn w:val="42"/>
    <w:qFormat/>
    <w:uiPriority w:val="99"/>
    <w:rPr>
      <w:color w:val="800080"/>
      <w:u w:val="single"/>
    </w:rPr>
  </w:style>
  <w:style w:type="character" w:styleId="47">
    <w:name w:val="Hyperlink"/>
    <w:basedOn w:val="42"/>
    <w:qFormat/>
    <w:uiPriority w:val="99"/>
    <w:rPr>
      <w:color w:val="0000FF"/>
      <w:u w:val="single"/>
    </w:rPr>
  </w:style>
  <w:style w:type="character" w:styleId="48">
    <w:name w:val="annotation reference"/>
    <w:basedOn w:val="42"/>
    <w:qFormat/>
    <w:uiPriority w:val="0"/>
    <w:rPr>
      <w:sz w:val="21"/>
      <w:szCs w:val="21"/>
    </w:rPr>
  </w:style>
  <w:style w:type="character" w:styleId="49">
    <w:name w:val="footnote reference"/>
    <w:basedOn w:val="42"/>
    <w:qFormat/>
    <w:uiPriority w:val="99"/>
    <w:rPr>
      <w:vertAlign w:val="superscript"/>
    </w:rPr>
  </w:style>
  <w:style w:type="character" w:customStyle="1" w:styleId="50">
    <w:name w:val="标题 1 字符1"/>
    <w:basedOn w:val="42"/>
    <w:link w:val="2"/>
    <w:qFormat/>
    <w:uiPriority w:val="99"/>
    <w:rPr>
      <w:rFonts w:ascii="Times New Roman" w:hAnsi="Times New Roman" w:eastAsia="宋体" w:cs="Times New Roman"/>
      <w:b/>
      <w:bCs/>
      <w:kern w:val="44"/>
      <w:sz w:val="44"/>
      <w:szCs w:val="44"/>
    </w:rPr>
  </w:style>
  <w:style w:type="character" w:customStyle="1" w:styleId="51">
    <w:name w:val="标题 2 字符1"/>
    <w:basedOn w:val="42"/>
    <w:link w:val="3"/>
    <w:qFormat/>
    <w:uiPriority w:val="0"/>
    <w:rPr>
      <w:rFonts w:ascii="Arial" w:hAnsi="Arial" w:eastAsia="宋体" w:cs="Arial"/>
      <w:b/>
      <w:bCs/>
      <w:sz w:val="24"/>
      <w:szCs w:val="24"/>
    </w:rPr>
  </w:style>
  <w:style w:type="character" w:customStyle="1" w:styleId="52">
    <w:name w:val="标题 3 字符1"/>
    <w:basedOn w:val="42"/>
    <w:link w:val="5"/>
    <w:qFormat/>
    <w:uiPriority w:val="9"/>
    <w:rPr>
      <w:rFonts w:ascii="Times New Roman" w:hAnsi="Times New Roman" w:eastAsia="宋体" w:cs="Times New Roman"/>
      <w:b/>
      <w:bCs/>
      <w:sz w:val="32"/>
      <w:szCs w:val="32"/>
    </w:rPr>
  </w:style>
  <w:style w:type="character" w:customStyle="1" w:styleId="53">
    <w:name w:val="正文文本缩进 字符1"/>
    <w:basedOn w:val="42"/>
    <w:link w:val="16"/>
    <w:qFormat/>
    <w:uiPriority w:val="99"/>
    <w:rPr>
      <w:rFonts w:ascii="Arial Unicode MS" w:hAnsi="Arial Unicode MS" w:eastAsia="Arial Unicode MS" w:cs="Arial Unicode MS"/>
      <w:kern w:val="0"/>
      <w:sz w:val="24"/>
      <w:szCs w:val="24"/>
    </w:rPr>
  </w:style>
  <w:style w:type="character" w:customStyle="1" w:styleId="54">
    <w:name w:val="纯文本 字符1"/>
    <w:basedOn w:val="42"/>
    <w:link w:val="19"/>
    <w:qFormat/>
    <w:uiPriority w:val="99"/>
    <w:rPr>
      <w:rFonts w:ascii="宋体" w:hAnsi="Courier New" w:eastAsia="宋体" w:cs="宋体"/>
      <w:szCs w:val="21"/>
    </w:rPr>
  </w:style>
  <w:style w:type="character" w:customStyle="1" w:styleId="55">
    <w:name w:val="正文文本缩进 2 字符"/>
    <w:basedOn w:val="42"/>
    <w:link w:val="22"/>
    <w:qFormat/>
    <w:uiPriority w:val="99"/>
    <w:rPr>
      <w:rFonts w:ascii="宋体" w:hAnsi="宋体" w:eastAsia="宋体" w:cs="宋体"/>
      <w:color w:val="FF0000"/>
      <w:sz w:val="24"/>
      <w:szCs w:val="24"/>
    </w:rPr>
  </w:style>
  <w:style w:type="character" w:customStyle="1" w:styleId="56">
    <w:name w:val="页脚 字符1"/>
    <w:basedOn w:val="42"/>
    <w:link w:val="25"/>
    <w:qFormat/>
    <w:uiPriority w:val="99"/>
    <w:rPr>
      <w:rFonts w:ascii="Times New Roman" w:hAnsi="Times New Roman" w:eastAsia="宋体" w:cs="Times New Roman"/>
      <w:sz w:val="18"/>
      <w:szCs w:val="18"/>
    </w:rPr>
  </w:style>
  <w:style w:type="character" w:customStyle="1" w:styleId="57">
    <w:name w:val="正文文本缩进 3 字符"/>
    <w:basedOn w:val="42"/>
    <w:link w:val="32"/>
    <w:qFormat/>
    <w:uiPriority w:val="99"/>
    <w:rPr>
      <w:rFonts w:ascii="Arial" w:hAnsi="Arial" w:eastAsia="宋体" w:cs="Arial"/>
      <w:color w:val="FF0000"/>
      <w:szCs w:val="21"/>
    </w:rPr>
  </w:style>
  <w:style w:type="character" w:customStyle="1" w:styleId="58">
    <w:name w:val="页眉 字符1"/>
    <w:basedOn w:val="42"/>
    <w:link w:val="26"/>
    <w:qFormat/>
    <w:uiPriority w:val="99"/>
    <w:rPr>
      <w:rFonts w:ascii="Times New Roman" w:hAnsi="Times New Roman" w:eastAsia="宋体" w:cs="Times New Roman"/>
      <w:sz w:val="18"/>
      <w:szCs w:val="18"/>
    </w:rPr>
  </w:style>
  <w:style w:type="character" w:customStyle="1" w:styleId="59">
    <w:name w:val="正文文本 字符2"/>
    <w:basedOn w:val="42"/>
    <w:link w:val="15"/>
    <w:qFormat/>
    <w:uiPriority w:val="99"/>
    <w:rPr>
      <w:rFonts w:ascii="Times New Roman" w:hAnsi="Times New Roman" w:eastAsia="宋体" w:cs="Times New Roman"/>
      <w:szCs w:val="21"/>
    </w:rPr>
  </w:style>
  <w:style w:type="character" w:customStyle="1" w:styleId="60">
    <w:name w:val="日期 字符1"/>
    <w:basedOn w:val="42"/>
    <w:link w:val="21"/>
    <w:qFormat/>
    <w:uiPriority w:val="99"/>
    <w:rPr>
      <w:rFonts w:ascii="Times New Roman" w:hAnsi="Times New Roman" w:eastAsia="宋体" w:cs="Times New Roman"/>
      <w:sz w:val="24"/>
      <w:szCs w:val="24"/>
    </w:rPr>
  </w:style>
  <w:style w:type="character" w:customStyle="1" w:styleId="61">
    <w:name w:val="c1"/>
    <w:basedOn w:val="42"/>
    <w:qFormat/>
    <w:uiPriority w:val="99"/>
    <w:rPr>
      <w:color w:val="000000"/>
      <w:sz w:val="18"/>
      <w:szCs w:val="18"/>
    </w:rPr>
  </w:style>
  <w:style w:type="paragraph" w:customStyle="1" w:styleId="62">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3">
    <w:name w:val="xl24"/>
    <w:basedOn w:val="1"/>
    <w:qFormat/>
    <w:uiPriority w:val="99"/>
    <w:pPr>
      <w:widowControl/>
      <w:pBdr>
        <w:top w:val="double" w:color="000000" w:sz="6" w:space="0"/>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cs="Arial Unicode MS"/>
      <w:b/>
      <w:bCs/>
      <w:color w:val="0000FF"/>
      <w:kern w:val="0"/>
      <w:sz w:val="29"/>
      <w:szCs w:val="29"/>
    </w:rPr>
  </w:style>
  <w:style w:type="paragraph" w:customStyle="1" w:styleId="64">
    <w:name w:val="xl25"/>
    <w:basedOn w:val="1"/>
    <w:qFormat/>
    <w:uiPriority w:val="99"/>
    <w:pPr>
      <w:widowControl/>
      <w:pBdr>
        <w:top w:val="single" w:color="000000" w:sz="4" w:space="0"/>
        <w:left w:val="double" w:color="000000" w:sz="6"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kern w:val="0"/>
      <w:sz w:val="24"/>
      <w:szCs w:val="24"/>
    </w:rPr>
  </w:style>
  <w:style w:type="paragraph" w:customStyle="1" w:styleId="65">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66">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12"/>
      <w:szCs w:val="12"/>
    </w:rPr>
  </w:style>
  <w:style w:type="paragraph" w:customStyle="1" w:styleId="67">
    <w:name w:val="xl28"/>
    <w:basedOn w:val="1"/>
    <w:qFormat/>
    <w:uiPriority w:val="99"/>
    <w:pPr>
      <w:widowControl/>
      <w:pBdr>
        <w:top w:val="single" w:color="000000" w:sz="4" w:space="0"/>
        <w:left w:val="single" w:color="000000" w:sz="4" w:space="0"/>
        <w:bottom w:val="single" w:color="000000" w:sz="4" w:space="0"/>
        <w:right w:val="double" w:color="000000" w:sz="6"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68">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6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24"/>
      <w:szCs w:val="24"/>
    </w:rPr>
  </w:style>
  <w:style w:type="paragraph" w:customStyle="1" w:styleId="70">
    <w:name w:val="xl31"/>
    <w:basedOn w:val="1"/>
    <w:qFormat/>
    <w:uiPriority w:val="0"/>
    <w:pPr>
      <w:widowControl/>
      <w:pBdr>
        <w:top w:val="single" w:color="000000" w:sz="4" w:space="0"/>
        <w:left w:val="double" w:color="000000" w:sz="6"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71">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7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color w:val="000000"/>
      <w:kern w:val="0"/>
      <w:sz w:val="22"/>
      <w:szCs w:val="22"/>
    </w:rPr>
  </w:style>
  <w:style w:type="paragraph" w:customStyle="1" w:styleId="73">
    <w:name w:val="xl34"/>
    <w:basedOn w:val="1"/>
    <w:qFormat/>
    <w:uiPriority w:val="99"/>
    <w:pPr>
      <w:widowControl/>
      <w:pBdr>
        <w:top w:val="single" w:color="000000" w:sz="4" w:space="0"/>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74">
    <w:name w:val="xl35"/>
    <w:basedOn w:val="1"/>
    <w:qFormat/>
    <w:uiPriority w:val="99"/>
    <w:pPr>
      <w:widowControl/>
      <w:pBdr>
        <w:top w:val="single" w:color="000000" w:sz="4" w:space="0"/>
        <w:left w:val="double" w:color="000000" w:sz="6"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kern w:val="0"/>
      <w:sz w:val="23"/>
      <w:szCs w:val="23"/>
    </w:rPr>
  </w:style>
  <w:style w:type="paragraph" w:customStyle="1" w:styleId="75">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FF0000"/>
      <w:kern w:val="0"/>
      <w:sz w:val="23"/>
      <w:szCs w:val="23"/>
    </w:rPr>
  </w:style>
  <w:style w:type="paragraph" w:customStyle="1" w:styleId="76">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FF0000"/>
      <w:kern w:val="0"/>
      <w:sz w:val="23"/>
      <w:szCs w:val="23"/>
    </w:rPr>
  </w:style>
  <w:style w:type="paragraph" w:customStyle="1" w:styleId="77">
    <w:name w:val="xl38"/>
    <w:basedOn w:val="1"/>
    <w:qFormat/>
    <w:uiPriority w:val="99"/>
    <w:pPr>
      <w:widowControl/>
      <w:pBdr>
        <w:top w:val="single" w:color="000000" w:sz="4" w:space="0"/>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cs="Arial Unicode MS"/>
      <w:b/>
      <w:bCs/>
      <w:color w:val="FF0000"/>
      <w:kern w:val="0"/>
      <w:sz w:val="23"/>
      <w:szCs w:val="23"/>
    </w:rPr>
  </w:style>
  <w:style w:type="character" w:customStyle="1" w:styleId="78">
    <w:name w:val="批注框文本 字符1"/>
    <w:basedOn w:val="42"/>
    <w:link w:val="24"/>
    <w:qFormat/>
    <w:uiPriority w:val="99"/>
    <w:rPr>
      <w:rFonts w:ascii="Times New Roman" w:hAnsi="Times New Roman" w:eastAsia="宋体" w:cs="Times New Roman"/>
      <w:sz w:val="18"/>
      <w:szCs w:val="18"/>
    </w:rPr>
  </w:style>
  <w:style w:type="character" w:customStyle="1" w:styleId="79">
    <w:name w:val="批注文字 字符2"/>
    <w:basedOn w:val="42"/>
    <w:link w:val="14"/>
    <w:qFormat/>
    <w:uiPriority w:val="0"/>
    <w:rPr>
      <w:rFonts w:ascii="Times New Roman" w:hAnsi="Times New Roman" w:eastAsia="宋体" w:cs="Times New Roman"/>
      <w:szCs w:val="21"/>
    </w:rPr>
  </w:style>
  <w:style w:type="character" w:customStyle="1" w:styleId="80">
    <w:name w:val="批注主题 字符1"/>
    <w:basedOn w:val="79"/>
    <w:link w:val="39"/>
    <w:qFormat/>
    <w:uiPriority w:val="99"/>
    <w:rPr>
      <w:rFonts w:ascii="Times New Roman" w:hAnsi="Times New Roman" w:eastAsia="宋体" w:cs="Times New Roman"/>
      <w:b/>
      <w:bCs/>
      <w:szCs w:val="21"/>
    </w:rPr>
  </w:style>
  <w:style w:type="paragraph" w:customStyle="1" w:styleId="81">
    <w:name w:val="Char"/>
    <w:basedOn w:val="1"/>
    <w:link w:val="105"/>
    <w:qFormat/>
    <w:uiPriority w:val="0"/>
  </w:style>
  <w:style w:type="character" w:customStyle="1" w:styleId="82">
    <w:name w:val="文档结构图 字符1"/>
    <w:basedOn w:val="42"/>
    <w:link w:val="13"/>
    <w:qFormat/>
    <w:uiPriority w:val="99"/>
    <w:rPr>
      <w:rFonts w:ascii="Times New Roman" w:hAnsi="Times New Roman" w:eastAsia="宋体" w:cs="Times New Roman"/>
      <w:szCs w:val="21"/>
      <w:shd w:val="clear" w:color="auto" w:fill="000080"/>
    </w:rPr>
  </w:style>
  <w:style w:type="paragraph" w:customStyle="1" w:styleId="83">
    <w:name w:val="正文 + (符号) 宋体"/>
    <w:basedOn w:val="1"/>
    <w:qFormat/>
    <w:uiPriority w:val="99"/>
    <w:pPr>
      <w:autoSpaceDE w:val="0"/>
      <w:autoSpaceDN w:val="0"/>
      <w:adjustRightInd w:val="0"/>
      <w:ind w:right="1409" w:rightChars="671" w:firstLine="1229" w:firstLineChars="512"/>
      <w:jc w:val="distribute"/>
    </w:pPr>
    <w:rPr>
      <w:sz w:val="24"/>
      <w:szCs w:val="24"/>
    </w:rPr>
  </w:style>
  <w:style w:type="character" w:customStyle="1" w:styleId="84">
    <w:name w:val="脚注文本 字符2"/>
    <w:basedOn w:val="42"/>
    <w:link w:val="30"/>
    <w:qFormat/>
    <w:uiPriority w:val="99"/>
    <w:rPr>
      <w:rFonts w:ascii="Times New Roman" w:hAnsi="Times New Roman" w:eastAsia="宋体" w:cs="Times New Roman"/>
      <w:sz w:val="18"/>
      <w:szCs w:val="18"/>
    </w:rPr>
  </w:style>
  <w:style w:type="paragraph" w:customStyle="1" w:styleId="85">
    <w:name w:val="Char1"/>
    <w:basedOn w:val="1"/>
    <w:qFormat/>
    <w:uiPriority w:val="99"/>
  </w:style>
  <w:style w:type="paragraph" w:customStyle="1" w:styleId="86">
    <w:name w:val="Char Char Char Char Char Char1 Char Char Char"/>
    <w:basedOn w:val="1"/>
    <w:qFormat/>
    <w:uiPriority w:val="0"/>
    <w:pPr>
      <w:autoSpaceDE w:val="0"/>
      <w:autoSpaceDN w:val="0"/>
      <w:adjustRightInd w:val="0"/>
      <w:jc w:val="left"/>
      <w:textAlignment w:val="baseline"/>
    </w:pPr>
    <w:rPr>
      <w:rFonts w:ascii="宋体" w:cs="宋体"/>
      <w:kern w:val="0"/>
      <w:sz w:val="34"/>
      <w:szCs w:val="34"/>
    </w:rPr>
  </w:style>
  <w:style w:type="paragraph" w:customStyle="1" w:styleId="87">
    <w:name w:val="Char Char Char Char Char Char1 Char Char Char2"/>
    <w:basedOn w:val="1"/>
    <w:qFormat/>
    <w:uiPriority w:val="99"/>
    <w:pPr>
      <w:autoSpaceDE w:val="0"/>
      <w:autoSpaceDN w:val="0"/>
      <w:adjustRightInd w:val="0"/>
      <w:jc w:val="left"/>
      <w:textAlignment w:val="baseline"/>
    </w:pPr>
    <w:rPr>
      <w:rFonts w:ascii="宋体" w:cs="宋体"/>
      <w:kern w:val="0"/>
      <w:sz w:val="34"/>
      <w:szCs w:val="34"/>
    </w:rPr>
  </w:style>
  <w:style w:type="character" w:customStyle="1" w:styleId="88">
    <w:name w:val="标题 字符"/>
    <w:basedOn w:val="42"/>
    <w:link w:val="38"/>
    <w:qFormat/>
    <w:uiPriority w:val="99"/>
    <w:rPr>
      <w:rFonts w:ascii="Cambria" w:hAnsi="Cambria" w:eastAsia="宋体" w:cs="Cambria"/>
      <w:b/>
      <w:bCs/>
      <w:sz w:val="32"/>
      <w:szCs w:val="32"/>
    </w:rPr>
  </w:style>
  <w:style w:type="paragraph" w:customStyle="1" w:styleId="89">
    <w:name w:val="Char Char Char Char Char Char1 Char Char Char1"/>
    <w:basedOn w:val="1"/>
    <w:qFormat/>
    <w:uiPriority w:val="99"/>
    <w:pPr>
      <w:autoSpaceDE w:val="0"/>
      <w:autoSpaceDN w:val="0"/>
      <w:adjustRightInd w:val="0"/>
      <w:jc w:val="left"/>
      <w:textAlignment w:val="baseline"/>
    </w:pPr>
    <w:rPr>
      <w:rFonts w:ascii="宋体" w:cs="宋体"/>
      <w:kern w:val="0"/>
      <w:sz w:val="34"/>
      <w:szCs w:val="34"/>
    </w:rPr>
  </w:style>
  <w:style w:type="paragraph" w:styleId="90">
    <w:name w:val="No Spacing"/>
    <w:link w:val="91"/>
    <w:qFormat/>
    <w:uiPriority w:val="1"/>
    <w:rPr>
      <w:rFonts w:ascii="Calibri" w:hAnsi="Calibri" w:eastAsia="宋体" w:cs="Calibri"/>
      <w:sz w:val="22"/>
      <w:szCs w:val="22"/>
      <w:lang w:val="en-US" w:eastAsia="zh-CN" w:bidi="ar-SA"/>
    </w:rPr>
  </w:style>
  <w:style w:type="character" w:customStyle="1" w:styleId="91">
    <w:name w:val="无间隔 字符"/>
    <w:basedOn w:val="42"/>
    <w:link w:val="90"/>
    <w:qFormat/>
    <w:locked/>
    <w:uiPriority w:val="1"/>
    <w:rPr>
      <w:rFonts w:ascii="Calibri" w:hAnsi="Calibri" w:eastAsia="宋体" w:cs="Calibri"/>
      <w:kern w:val="0"/>
      <w:sz w:val="22"/>
    </w:rPr>
  </w:style>
  <w:style w:type="character" w:customStyle="1" w:styleId="92">
    <w:name w:val="t1"/>
    <w:basedOn w:val="42"/>
    <w:qFormat/>
    <w:uiPriority w:val="99"/>
    <w:rPr>
      <w:color w:val="auto"/>
    </w:rPr>
  </w:style>
  <w:style w:type="paragraph" w:styleId="93">
    <w:name w:val="List Paragraph"/>
    <w:basedOn w:val="1"/>
    <w:qFormat/>
    <w:uiPriority w:val="34"/>
    <w:pPr>
      <w:ind w:firstLine="420" w:firstLineChars="200"/>
    </w:pPr>
  </w:style>
  <w:style w:type="paragraph" w:customStyle="1" w:styleId="9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95">
    <w:name w:val="标题 21"/>
    <w:basedOn w:val="1"/>
    <w:next w:val="4"/>
    <w:link w:val="96"/>
    <w:unhideWhenUsed/>
    <w:qFormat/>
    <w:uiPriority w:val="0"/>
    <w:pPr>
      <w:keepNext/>
      <w:keepLines/>
      <w:spacing w:before="260" w:after="260" w:line="360" w:lineRule="auto"/>
      <w:outlineLvl w:val="1"/>
    </w:pPr>
    <w:rPr>
      <w:rFonts w:hint="eastAsia" w:ascii="Arial" w:hAnsi="Arial"/>
      <w:b/>
      <w:sz w:val="24"/>
    </w:rPr>
  </w:style>
  <w:style w:type="character" w:customStyle="1" w:styleId="96">
    <w:name w:val="标题 2 Char1"/>
    <w:basedOn w:val="42"/>
    <w:link w:val="95"/>
    <w:unhideWhenUsed/>
    <w:qFormat/>
    <w:uiPriority w:val="0"/>
    <w:rPr>
      <w:rFonts w:hint="eastAsia" w:ascii="Arial" w:hAnsi="Arial" w:eastAsia="宋体"/>
      <w:b/>
      <w:sz w:val="24"/>
    </w:rPr>
  </w:style>
  <w:style w:type="character" w:customStyle="1" w:styleId="97">
    <w:name w:val="标题 4 字符1"/>
    <w:basedOn w:val="42"/>
    <w:link w:val="6"/>
    <w:qFormat/>
    <w:uiPriority w:val="9"/>
    <w:rPr>
      <w:rFonts w:ascii="Arial" w:hAnsi="Arial" w:eastAsia="黑体" w:cs="Times New Roman"/>
      <w:b/>
      <w:kern w:val="2"/>
      <w:sz w:val="28"/>
    </w:rPr>
  </w:style>
  <w:style w:type="character" w:customStyle="1" w:styleId="98">
    <w:name w:val="标题 5 字符1"/>
    <w:basedOn w:val="42"/>
    <w:link w:val="7"/>
    <w:qFormat/>
    <w:uiPriority w:val="9"/>
    <w:rPr>
      <w:rFonts w:ascii="Times New Roman" w:hAnsi="Times New Roman" w:eastAsia="宋体" w:cs="Times New Roman"/>
      <w:b/>
      <w:kern w:val="2"/>
      <w:sz w:val="28"/>
    </w:rPr>
  </w:style>
  <w:style w:type="character" w:customStyle="1" w:styleId="99">
    <w:name w:val="标题 6 字符1"/>
    <w:basedOn w:val="42"/>
    <w:link w:val="8"/>
    <w:qFormat/>
    <w:uiPriority w:val="9"/>
    <w:rPr>
      <w:rFonts w:ascii="Arial" w:hAnsi="Arial" w:eastAsia="黑体" w:cs="Times New Roman"/>
      <w:b/>
      <w:kern w:val="2"/>
      <w:sz w:val="24"/>
    </w:rPr>
  </w:style>
  <w:style w:type="character" w:customStyle="1" w:styleId="100">
    <w:name w:val="标题 7 字符1"/>
    <w:basedOn w:val="42"/>
    <w:link w:val="9"/>
    <w:qFormat/>
    <w:uiPriority w:val="9"/>
    <w:rPr>
      <w:rFonts w:ascii="Times New Roman" w:hAnsi="Times New Roman" w:eastAsia="宋体" w:cs="Times New Roman"/>
      <w:b/>
      <w:kern w:val="2"/>
      <w:sz w:val="24"/>
    </w:rPr>
  </w:style>
  <w:style w:type="character" w:customStyle="1" w:styleId="101">
    <w:name w:val="标题 8 字符1"/>
    <w:basedOn w:val="42"/>
    <w:link w:val="10"/>
    <w:qFormat/>
    <w:uiPriority w:val="9"/>
    <w:rPr>
      <w:rFonts w:ascii="Arial" w:hAnsi="Arial" w:eastAsia="黑体" w:cs="Times New Roman"/>
      <w:kern w:val="2"/>
      <w:sz w:val="24"/>
    </w:rPr>
  </w:style>
  <w:style w:type="character" w:customStyle="1" w:styleId="102">
    <w:name w:val="标题 9 字符1"/>
    <w:basedOn w:val="42"/>
    <w:link w:val="11"/>
    <w:qFormat/>
    <w:uiPriority w:val="9"/>
    <w:rPr>
      <w:rFonts w:ascii="Arial" w:hAnsi="Arial" w:eastAsia="黑体" w:cs="Times New Roman"/>
      <w:kern w:val="2"/>
      <w:sz w:val="24"/>
    </w:rPr>
  </w:style>
  <w:style w:type="character" w:customStyle="1" w:styleId="103">
    <w:name w:val="标题 1 Char1"/>
    <w:basedOn w:val="42"/>
    <w:qFormat/>
    <w:uiPriority w:val="9"/>
    <w:rPr>
      <w:rFonts w:ascii="Times New Roman" w:hAnsi="Times New Roman" w:eastAsia="宋体" w:cs="Times New Roman"/>
      <w:b/>
      <w:kern w:val="44"/>
      <w:sz w:val="44"/>
      <w:szCs w:val="20"/>
    </w:rPr>
  </w:style>
  <w:style w:type="character" w:customStyle="1" w:styleId="104">
    <w:name w:val="标题 2 Char Char Char"/>
    <w:basedOn w:val="42"/>
    <w:qFormat/>
    <w:uiPriority w:val="0"/>
    <w:rPr>
      <w:rFonts w:ascii="Arial" w:hAnsi="Arial" w:eastAsia="宋体"/>
      <w:b/>
      <w:kern w:val="2"/>
      <w:sz w:val="28"/>
      <w:lang w:val="en-US" w:eastAsia="zh-CN"/>
    </w:rPr>
  </w:style>
  <w:style w:type="character" w:customStyle="1" w:styleId="105">
    <w:name w:val="批注文字 字符"/>
    <w:basedOn w:val="42"/>
    <w:link w:val="81"/>
    <w:qFormat/>
    <w:uiPriority w:val="0"/>
    <w:rPr>
      <w:rFonts w:ascii="Times New Roman" w:hAnsi="Times New Roman" w:eastAsia="宋体" w:cs="Times New Roman"/>
      <w:kern w:val="2"/>
      <w:sz w:val="21"/>
      <w:szCs w:val="21"/>
    </w:rPr>
  </w:style>
  <w:style w:type="character" w:customStyle="1" w:styleId="106">
    <w:name w:val="afont1"/>
    <w:basedOn w:val="42"/>
    <w:qFormat/>
    <w:uiPriority w:val="0"/>
    <w:rPr>
      <w:rFonts w:hint="default" w:ascii="Arial Narrow" w:hAnsi="Arial Narrow"/>
      <w:sz w:val="21"/>
    </w:rPr>
  </w:style>
  <w:style w:type="character" w:customStyle="1" w:styleId="107">
    <w:name w:val="正文文字 Char Char Char Char Char Char Char Char"/>
    <w:basedOn w:val="42"/>
    <w:qFormat/>
    <w:uiPriority w:val="0"/>
    <w:rPr>
      <w:rFonts w:ascii="仿宋_GB2312" w:eastAsia="仿宋_GB2312"/>
      <w:sz w:val="28"/>
      <w:lang w:val="en-US" w:eastAsia="zh-CN"/>
    </w:rPr>
  </w:style>
  <w:style w:type="paragraph" w:customStyle="1" w:styleId="108">
    <w:name w:val="样式 标题 1 + 段前: 1.5 行"/>
    <w:basedOn w:val="1"/>
    <w:qFormat/>
    <w:uiPriority w:val="0"/>
    <w:pPr>
      <w:numPr>
        <w:ilvl w:val="0"/>
        <w:numId w:val="1"/>
      </w:numPr>
      <w:tabs>
        <w:tab w:val="left" w:pos="360"/>
      </w:tabs>
    </w:pPr>
    <w:rPr>
      <w:sz w:val="24"/>
      <w:szCs w:val="20"/>
    </w:rPr>
  </w:style>
  <w:style w:type="paragraph" w:customStyle="1" w:styleId="109">
    <w:name w:val="Char Char2"/>
    <w:basedOn w:val="1"/>
    <w:qFormat/>
    <w:uiPriority w:val="0"/>
    <w:pPr>
      <w:autoSpaceDE w:val="0"/>
      <w:autoSpaceDN w:val="0"/>
      <w:adjustRightInd w:val="0"/>
      <w:jc w:val="left"/>
      <w:textAlignment w:val="baseline"/>
    </w:pPr>
    <w:rPr>
      <w:rFonts w:ascii="宋体"/>
      <w:kern w:val="0"/>
      <w:sz w:val="34"/>
      <w:szCs w:val="20"/>
    </w:rPr>
  </w:style>
  <w:style w:type="paragraph" w:customStyle="1" w:styleId="110">
    <w:name w:val="简单回函地址"/>
    <w:basedOn w:val="1"/>
    <w:qFormat/>
    <w:uiPriority w:val="0"/>
    <w:rPr>
      <w:szCs w:val="20"/>
    </w:rPr>
  </w:style>
  <w:style w:type="paragraph" w:customStyle="1" w:styleId="111">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Times New Roman"/>
      <w:kern w:val="0"/>
      <w:sz w:val="20"/>
      <w:szCs w:val="20"/>
      <w:lang w:eastAsia="en-US"/>
    </w:rPr>
  </w:style>
  <w:style w:type="paragraph" w:customStyle="1" w:styleId="112">
    <w:name w:val="Char Char Char Char"/>
    <w:basedOn w:val="1"/>
    <w:qFormat/>
    <w:uiPriority w:val="0"/>
    <w:pPr>
      <w:tabs>
        <w:tab w:val="left" w:pos="840"/>
      </w:tabs>
      <w:adjustRightInd w:val="0"/>
      <w:spacing w:line="360" w:lineRule="atLeast"/>
      <w:ind w:left="840" w:hanging="360"/>
      <w:textAlignment w:val="baseline"/>
    </w:pPr>
    <w:rPr>
      <w:sz w:val="24"/>
      <w:szCs w:val="20"/>
    </w:rPr>
  </w:style>
  <w:style w:type="paragraph" w:customStyle="1" w:styleId="113">
    <w:name w:val="_Style 22"/>
    <w:basedOn w:val="1"/>
    <w:qFormat/>
    <w:uiPriority w:val="0"/>
    <w:pPr>
      <w:autoSpaceDE w:val="0"/>
      <w:autoSpaceDN w:val="0"/>
      <w:adjustRightInd w:val="0"/>
      <w:jc w:val="left"/>
      <w:textAlignment w:val="baseline"/>
    </w:pPr>
    <w:rPr>
      <w:szCs w:val="20"/>
    </w:rPr>
  </w:style>
  <w:style w:type="paragraph" w:customStyle="1" w:styleId="114">
    <w:name w:val="Form Label"/>
    <w:basedOn w:val="1"/>
    <w:qFormat/>
    <w:uiPriority w:val="0"/>
    <w:pPr>
      <w:widowControl/>
      <w:spacing w:line="280" w:lineRule="exact"/>
      <w:jc w:val="left"/>
    </w:pPr>
    <w:rPr>
      <w:kern w:val="0"/>
      <w:sz w:val="18"/>
      <w:szCs w:val="20"/>
      <w:lang w:val="en-GB" w:eastAsia="en-US"/>
    </w:rPr>
  </w:style>
  <w:style w:type="paragraph" w:customStyle="1" w:styleId="115">
    <w:name w:val="Char Char Char Char Char Char Char Char Char"/>
    <w:basedOn w:val="1"/>
    <w:qFormat/>
    <w:uiPriority w:val="0"/>
    <w:pPr>
      <w:numPr>
        <w:ilvl w:val="0"/>
        <w:numId w:val="2"/>
      </w:numPr>
    </w:pPr>
    <w:rPr>
      <w:sz w:val="24"/>
      <w:szCs w:val="20"/>
    </w:rPr>
  </w:style>
  <w:style w:type="paragraph" w:customStyle="1" w:styleId="116">
    <w:name w:val="Char1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117">
    <w:name w:val="正文文本 2 字符1"/>
    <w:basedOn w:val="42"/>
    <w:link w:val="35"/>
    <w:qFormat/>
    <w:uiPriority w:val="99"/>
    <w:rPr>
      <w:rFonts w:ascii="Times New Roman" w:hAnsi="Times New Roman" w:eastAsia="宋体" w:cs="Times New Roman"/>
      <w:kern w:val="2"/>
      <w:sz w:val="21"/>
    </w:rPr>
  </w:style>
  <w:style w:type="paragraph" w:customStyle="1" w:styleId="118">
    <w:name w:val="样式 样式 样式 标题 2 + 段前: 1 行 段后: 1 行1 + 段前: 1 行 段后: 1 行 + 段前: 1 行 段后..."/>
    <w:basedOn w:val="1"/>
    <w:qFormat/>
    <w:uiPriority w:val="0"/>
    <w:pPr>
      <w:keepNext/>
      <w:keepLines/>
      <w:numPr>
        <w:ilvl w:val="1"/>
        <w:numId w:val="1"/>
      </w:numPr>
      <w:tabs>
        <w:tab w:val="left" w:pos="840"/>
      </w:tabs>
      <w:spacing w:before="447" w:after="447"/>
      <w:outlineLvl w:val="1"/>
    </w:pPr>
    <w:rPr>
      <w:rFonts w:ascii="Arial" w:hAnsi="Arial"/>
      <w:b/>
      <w:sz w:val="28"/>
      <w:szCs w:val="20"/>
    </w:rPr>
  </w:style>
  <w:style w:type="character" w:customStyle="1" w:styleId="119">
    <w:name w:val="正文文本 字符1"/>
    <w:basedOn w:val="42"/>
    <w:semiHidden/>
    <w:qFormat/>
    <w:uiPriority w:val="99"/>
    <w:rPr>
      <w:rFonts w:ascii="Times New Roman" w:hAnsi="Times New Roman" w:eastAsia="宋体" w:cs="Times New Roman"/>
      <w:szCs w:val="20"/>
    </w:rPr>
  </w:style>
  <w:style w:type="paragraph" w:customStyle="1" w:styleId="120">
    <w:name w:val="附注三级"/>
    <w:basedOn w:val="1"/>
    <w:qFormat/>
    <w:uiPriority w:val="0"/>
    <w:pPr>
      <w:widowControl/>
      <w:tabs>
        <w:tab w:val="left" w:pos="1273"/>
      </w:tabs>
      <w:adjustRightInd w:val="0"/>
      <w:snapToGrid w:val="0"/>
      <w:spacing w:line="400" w:lineRule="atLeast"/>
      <w:ind w:left="1256" w:leftChars="342" w:hanging="538" w:hangingChars="255"/>
      <w:jc w:val="left"/>
    </w:pPr>
    <w:rPr>
      <w:rFonts w:ascii="宋体" w:hAnsi="宋体"/>
      <w:b/>
      <w:bCs/>
    </w:rPr>
  </w:style>
  <w:style w:type="paragraph" w:customStyle="1" w:styleId="121">
    <w:name w:val="附注二级正文"/>
    <w:basedOn w:val="1"/>
    <w:qFormat/>
    <w:uiPriority w:val="0"/>
    <w:pPr>
      <w:widowControl/>
      <w:adjustRightInd w:val="0"/>
      <w:snapToGrid w:val="0"/>
      <w:spacing w:line="400" w:lineRule="atLeast"/>
      <w:ind w:left="718" w:leftChars="342"/>
      <w:jc w:val="left"/>
    </w:pPr>
    <w:rPr>
      <w:rFonts w:ascii="宋体" w:hAnsi="宋体"/>
    </w:rPr>
  </w:style>
  <w:style w:type="paragraph" w:customStyle="1" w:styleId="122">
    <w:name w:val="附注三级正文"/>
    <w:basedOn w:val="1"/>
    <w:qFormat/>
    <w:uiPriority w:val="0"/>
    <w:pPr>
      <w:widowControl/>
      <w:tabs>
        <w:tab w:val="left" w:pos="630"/>
      </w:tabs>
      <w:adjustRightInd w:val="0"/>
      <w:snapToGrid w:val="0"/>
      <w:spacing w:line="400" w:lineRule="atLeast"/>
      <w:ind w:left="1260" w:leftChars="600"/>
      <w:jc w:val="left"/>
    </w:pPr>
    <w:rPr>
      <w:rFonts w:ascii="宋体" w:hAnsi="宋体"/>
    </w:rPr>
  </w:style>
  <w:style w:type="paragraph" w:customStyle="1" w:styleId="123">
    <w:name w:val="附注二级"/>
    <w:basedOn w:val="1"/>
    <w:qFormat/>
    <w:uiPriority w:val="0"/>
    <w:pPr>
      <w:widowControl/>
      <w:tabs>
        <w:tab w:val="left" w:pos="714"/>
      </w:tabs>
      <w:adjustRightInd w:val="0"/>
      <w:snapToGrid w:val="0"/>
      <w:spacing w:line="400" w:lineRule="atLeast"/>
      <w:ind w:left="756" w:hanging="770"/>
      <w:jc w:val="left"/>
      <w:outlineLvl w:val="0"/>
    </w:pPr>
    <w:rPr>
      <w:rFonts w:ascii="宋体" w:hAnsi="宋体"/>
      <w:b/>
    </w:rPr>
  </w:style>
  <w:style w:type="character" w:customStyle="1" w:styleId="124">
    <w:name w:val="font51"/>
    <w:basedOn w:val="42"/>
    <w:qFormat/>
    <w:uiPriority w:val="0"/>
    <w:rPr>
      <w:rFonts w:hint="eastAsia" w:ascii="宋体" w:hAnsi="宋体" w:eastAsia="宋体" w:cs="宋体"/>
      <w:color w:val="000000"/>
      <w:sz w:val="20"/>
      <w:szCs w:val="20"/>
      <w:u w:val="none"/>
    </w:rPr>
  </w:style>
  <w:style w:type="character" w:customStyle="1" w:styleId="125">
    <w:name w:val="font31"/>
    <w:basedOn w:val="42"/>
    <w:qFormat/>
    <w:uiPriority w:val="0"/>
    <w:rPr>
      <w:rFonts w:hint="eastAsia" w:ascii="宋体" w:hAnsi="宋体" w:eastAsia="宋体" w:cs="宋体"/>
      <w:color w:val="000000"/>
      <w:sz w:val="20"/>
      <w:szCs w:val="20"/>
      <w:u w:val="none"/>
    </w:rPr>
  </w:style>
  <w:style w:type="paragraph" w:customStyle="1" w:styleId="126">
    <w:name w:val="附注一级"/>
    <w:basedOn w:val="1"/>
    <w:qFormat/>
    <w:uiPriority w:val="0"/>
    <w:pPr>
      <w:widowControl/>
      <w:tabs>
        <w:tab w:val="left" w:pos="714"/>
      </w:tabs>
      <w:adjustRightInd w:val="0"/>
      <w:snapToGrid w:val="0"/>
      <w:spacing w:line="400" w:lineRule="atLeast"/>
      <w:ind w:left="720" w:hanging="734"/>
      <w:jc w:val="left"/>
      <w:outlineLvl w:val="0"/>
    </w:pPr>
    <w:rPr>
      <w:rFonts w:ascii="宋体" w:hAnsi="宋体"/>
      <w:b/>
      <w:szCs w:val="24"/>
    </w:rPr>
  </w:style>
  <w:style w:type="paragraph" w:customStyle="1" w:styleId="127">
    <w:name w:val="附注－正文"/>
    <w:basedOn w:val="16"/>
    <w:qFormat/>
    <w:uiPriority w:val="0"/>
    <w:pPr>
      <w:adjustRightInd w:val="0"/>
      <w:snapToGrid w:val="0"/>
      <w:spacing w:before="0" w:beforeAutospacing="0" w:after="120" w:afterLines="50" w:afterAutospacing="0" w:line="360" w:lineRule="auto"/>
      <w:ind w:firstLine="200" w:firstLineChars="200"/>
    </w:pPr>
    <w:rPr>
      <w:rFonts w:ascii="Times New Roman" w:hAnsi="Times New Roman" w:eastAsia="宋体" w:cs="Times New Roman"/>
      <w:kern w:val="2"/>
      <w:sz w:val="21"/>
      <w:szCs w:val="20"/>
    </w:rPr>
  </w:style>
  <w:style w:type="paragraph" w:customStyle="1" w:styleId="128">
    <w:name w:val="Revision"/>
    <w:hidden/>
    <w:qFormat/>
    <w:uiPriority w:val="99"/>
    <w:rPr>
      <w:rFonts w:ascii="Times New Roman" w:hAnsi="Times New Roman" w:eastAsia="宋体" w:cs="Times New Roman"/>
      <w:kern w:val="2"/>
      <w:sz w:val="21"/>
      <w:lang w:val="en-US" w:eastAsia="zh-CN" w:bidi="ar-SA"/>
    </w:rPr>
  </w:style>
  <w:style w:type="character" w:customStyle="1" w:styleId="129">
    <w:name w:val="尾注文本 字符1"/>
    <w:basedOn w:val="42"/>
    <w:link w:val="23"/>
    <w:qFormat/>
    <w:uiPriority w:val="99"/>
    <w:rPr>
      <w:rFonts w:ascii="Times New Roman" w:hAnsi="Times New Roman" w:eastAsia="宋体" w:cs="Times New Roman"/>
      <w:kern w:val="2"/>
      <w:sz w:val="21"/>
    </w:rPr>
  </w:style>
  <w:style w:type="character" w:customStyle="1" w:styleId="130">
    <w:name w:val="脚注文本 字符1"/>
    <w:qFormat/>
    <w:uiPriority w:val="0"/>
    <w:rPr>
      <w:sz w:val="18"/>
    </w:rPr>
  </w:style>
  <w:style w:type="character" w:customStyle="1" w:styleId="131">
    <w:name w:val="脚注文本 字符"/>
    <w:qFormat/>
    <w:uiPriority w:val="0"/>
    <w:rPr>
      <w:rFonts w:ascii="Times New Roman" w:hAnsi="Times New Roman" w:eastAsia="宋体" w:cs="Times New Roman"/>
      <w:sz w:val="18"/>
      <w:szCs w:val="20"/>
    </w:rPr>
  </w:style>
  <w:style w:type="character" w:customStyle="1" w:styleId="132">
    <w:name w:val="纯文本 字符"/>
    <w:qFormat/>
    <w:uiPriority w:val="99"/>
    <w:rPr>
      <w:rFonts w:ascii="宋体" w:hAnsi="Courier New" w:eastAsia="宋体" w:cs="宋体"/>
      <w:szCs w:val="21"/>
    </w:rPr>
  </w:style>
  <w:style w:type="character" w:customStyle="1" w:styleId="133">
    <w:name w:val="标题 1 字符"/>
    <w:qFormat/>
    <w:uiPriority w:val="0"/>
    <w:rPr>
      <w:rFonts w:ascii="Times New Roman" w:hAnsi="Times New Roman" w:eastAsia="宋体" w:cs="Times New Roman"/>
      <w:b/>
      <w:kern w:val="44"/>
      <w:sz w:val="44"/>
      <w:szCs w:val="20"/>
    </w:rPr>
  </w:style>
  <w:style w:type="character" w:customStyle="1" w:styleId="134">
    <w:name w:val="标题 2 字符"/>
    <w:qFormat/>
    <w:uiPriority w:val="0"/>
    <w:rPr>
      <w:rFonts w:ascii="Arial" w:hAnsi="Arial" w:eastAsia="黑体" w:cs="Times New Roman"/>
      <w:b/>
      <w:sz w:val="32"/>
      <w:szCs w:val="20"/>
    </w:rPr>
  </w:style>
  <w:style w:type="character" w:customStyle="1" w:styleId="135">
    <w:name w:val="标题 3 字符"/>
    <w:qFormat/>
    <w:uiPriority w:val="0"/>
    <w:rPr>
      <w:rFonts w:ascii="Times New Roman" w:hAnsi="Times New Roman" w:eastAsia="宋体" w:cs="Times New Roman"/>
      <w:b/>
      <w:sz w:val="32"/>
      <w:szCs w:val="20"/>
    </w:rPr>
  </w:style>
  <w:style w:type="character" w:customStyle="1" w:styleId="136">
    <w:name w:val="标题 4 字符"/>
    <w:qFormat/>
    <w:uiPriority w:val="0"/>
    <w:rPr>
      <w:rFonts w:ascii="Arial" w:hAnsi="Arial" w:eastAsia="黑体" w:cs="Times New Roman"/>
      <w:b/>
      <w:sz w:val="28"/>
      <w:szCs w:val="20"/>
    </w:rPr>
  </w:style>
  <w:style w:type="character" w:customStyle="1" w:styleId="137">
    <w:name w:val="标题 5 字符"/>
    <w:qFormat/>
    <w:uiPriority w:val="0"/>
    <w:rPr>
      <w:rFonts w:ascii="Times New Roman" w:hAnsi="Times New Roman" w:eastAsia="宋体" w:cs="Times New Roman"/>
      <w:b/>
      <w:sz w:val="28"/>
      <w:szCs w:val="20"/>
    </w:rPr>
  </w:style>
  <w:style w:type="character" w:customStyle="1" w:styleId="138">
    <w:name w:val="标题 6 字符"/>
    <w:qFormat/>
    <w:uiPriority w:val="0"/>
    <w:rPr>
      <w:rFonts w:ascii="Arial" w:hAnsi="Arial" w:eastAsia="黑体" w:cs="Times New Roman"/>
      <w:b/>
      <w:sz w:val="24"/>
      <w:szCs w:val="20"/>
    </w:rPr>
  </w:style>
  <w:style w:type="character" w:customStyle="1" w:styleId="139">
    <w:name w:val="标题 7 字符"/>
    <w:qFormat/>
    <w:uiPriority w:val="0"/>
    <w:rPr>
      <w:rFonts w:ascii="Times New Roman" w:hAnsi="Times New Roman" w:eastAsia="宋体" w:cs="Times New Roman"/>
      <w:b/>
      <w:sz w:val="24"/>
      <w:szCs w:val="20"/>
    </w:rPr>
  </w:style>
  <w:style w:type="character" w:customStyle="1" w:styleId="140">
    <w:name w:val="标题 8 字符"/>
    <w:qFormat/>
    <w:uiPriority w:val="0"/>
    <w:rPr>
      <w:rFonts w:ascii="Arial" w:hAnsi="Arial" w:eastAsia="黑体" w:cs="Times New Roman"/>
      <w:sz w:val="24"/>
      <w:szCs w:val="20"/>
    </w:rPr>
  </w:style>
  <w:style w:type="character" w:customStyle="1" w:styleId="141">
    <w:name w:val="标题 9 字符"/>
    <w:qFormat/>
    <w:uiPriority w:val="0"/>
    <w:rPr>
      <w:rFonts w:ascii="Arial" w:hAnsi="Arial" w:eastAsia="黑体" w:cs="Times New Roman"/>
      <w:sz w:val="24"/>
      <w:szCs w:val="20"/>
    </w:rPr>
  </w:style>
  <w:style w:type="paragraph" w:customStyle="1" w:styleId="142">
    <w:name w:val="_Style 141"/>
    <w:basedOn w:val="1"/>
    <w:next w:val="93"/>
    <w:qFormat/>
    <w:uiPriority w:val="34"/>
    <w:pPr>
      <w:ind w:firstLine="420" w:firstLineChars="200"/>
    </w:pPr>
    <w:rPr>
      <w:szCs w:val="20"/>
    </w:rPr>
  </w:style>
  <w:style w:type="character" w:customStyle="1" w:styleId="143">
    <w:name w:val="文档结构图 字符"/>
    <w:qFormat/>
    <w:uiPriority w:val="0"/>
    <w:rPr>
      <w:rFonts w:ascii="Times New Roman" w:hAnsi="Times New Roman" w:eastAsia="宋体" w:cs="Times New Roman"/>
      <w:szCs w:val="20"/>
      <w:shd w:val="clear" w:color="auto" w:fill="000080"/>
    </w:rPr>
  </w:style>
  <w:style w:type="character" w:customStyle="1" w:styleId="144">
    <w:name w:val="批注文字 字符1"/>
    <w:qFormat/>
    <w:uiPriority w:val="0"/>
    <w:rPr>
      <w:rFonts w:ascii="Times New Roman" w:hAnsi="Times New Roman" w:eastAsia="宋体" w:cs="Times New Roman"/>
      <w:szCs w:val="20"/>
    </w:rPr>
  </w:style>
  <w:style w:type="character" w:customStyle="1" w:styleId="145">
    <w:name w:val="正文文本 字符"/>
    <w:qFormat/>
    <w:uiPriority w:val="0"/>
    <w:rPr>
      <w:rFonts w:ascii="仿宋_GB2312" w:eastAsia="仿宋_GB2312"/>
      <w:sz w:val="28"/>
    </w:rPr>
  </w:style>
  <w:style w:type="character" w:customStyle="1" w:styleId="146">
    <w:name w:val="正文文本缩进 字符"/>
    <w:semiHidden/>
    <w:qFormat/>
    <w:uiPriority w:val="99"/>
    <w:rPr>
      <w:rFonts w:ascii="Times New Roman" w:hAnsi="Times New Roman" w:eastAsia="宋体" w:cs="Times New Roman"/>
      <w:szCs w:val="20"/>
    </w:rPr>
  </w:style>
  <w:style w:type="character" w:customStyle="1" w:styleId="147">
    <w:name w:val="日期 字符"/>
    <w:qFormat/>
    <w:uiPriority w:val="0"/>
    <w:rPr>
      <w:rFonts w:ascii="Times New Roman" w:hAnsi="Times New Roman" w:eastAsia="宋体" w:cs="Times New Roman"/>
      <w:sz w:val="24"/>
      <w:szCs w:val="20"/>
    </w:rPr>
  </w:style>
  <w:style w:type="character" w:customStyle="1" w:styleId="148">
    <w:name w:val="尾注文本 字符"/>
    <w:semiHidden/>
    <w:qFormat/>
    <w:uiPriority w:val="99"/>
    <w:rPr>
      <w:rFonts w:ascii="Times New Roman" w:hAnsi="Times New Roman" w:eastAsia="宋体" w:cs="Times New Roman"/>
      <w:szCs w:val="20"/>
    </w:rPr>
  </w:style>
  <w:style w:type="character" w:customStyle="1" w:styleId="149">
    <w:name w:val="批注框文本 字符"/>
    <w:qFormat/>
    <w:uiPriority w:val="0"/>
    <w:rPr>
      <w:rFonts w:ascii="Times New Roman" w:hAnsi="Times New Roman" w:eastAsia="宋体" w:cs="Times New Roman"/>
      <w:sz w:val="18"/>
      <w:szCs w:val="20"/>
    </w:rPr>
  </w:style>
  <w:style w:type="character" w:customStyle="1" w:styleId="150">
    <w:name w:val="页脚 字符"/>
    <w:qFormat/>
    <w:uiPriority w:val="99"/>
    <w:rPr>
      <w:rFonts w:ascii="Times New Roman" w:hAnsi="Times New Roman" w:eastAsia="宋体" w:cs="Times New Roman"/>
      <w:sz w:val="18"/>
      <w:szCs w:val="20"/>
    </w:rPr>
  </w:style>
  <w:style w:type="character" w:customStyle="1" w:styleId="151">
    <w:name w:val="页眉 字符"/>
    <w:qFormat/>
    <w:uiPriority w:val="99"/>
    <w:rPr>
      <w:rFonts w:ascii="Times New Roman" w:hAnsi="Times New Roman" w:eastAsia="宋体" w:cs="Times New Roman"/>
      <w:sz w:val="18"/>
      <w:szCs w:val="20"/>
    </w:rPr>
  </w:style>
  <w:style w:type="character" w:customStyle="1" w:styleId="152">
    <w:name w:val="正文文本 2 字符"/>
    <w:qFormat/>
    <w:uiPriority w:val="0"/>
    <w:rPr>
      <w:rFonts w:ascii="Times New Roman" w:hAnsi="Times New Roman" w:eastAsia="宋体" w:cs="Times New Roman"/>
      <w:szCs w:val="20"/>
    </w:rPr>
  </w:style>
  <w:style w:type="character" w:customStyle="1" w:styleId="153">
    <w:name w:val="批注主题 字符"/>
    <w:qFormat/>
    <w:uiPriority w:val="0"/>
    <w:rPr>
      <w:rFonts w:ascii="Times New Roman" w:hAnsi="Times New Roman" w:eastAsia="宋体" w:cs="Times New Roman"/>
      <w:b/>
      <w:szCs w:val="20"/>
    </w:rPr>
  </w:style>
  <w:style w:type="paragraph" w:customStyle="1" w:styleId="154">
    <w:name w:val="修订1"/>
    <w:qFormat/>
    <w:uiPriority w:val="0"/>
    <w:rPr>
      <w:rFonts w:ascii="Times New Roman" w:hAnsi="Times New Roman" w:eastAsia="宋体" w:cs="Times New Roman"/>
      <w:kern w:val="2"/>
      <w:sz w:val="21"/>
      <w:lang w:val="en-US" w:eastAsia="zh-CN" w:bidi="ar-SA"/>
    </w:rPr>
  </w:style>
  <w:style w:type="paragraph" w:customStyle="1" w:styleId="155">
    <w:name w:val="_Style 154"/>
    <w:basedOn w:val="1"/>
    <w:next w:val="93"/>
    <w:qFormat/>
    <w:uiPriority w:val="34"/>
    <w:pPr>
      <w:ind w:firstLine="420" w:firstLineChars="200"/>
    </w:pPr>
    <w:rPr>
      <w:szCs w:val="20"/>
    </w:rPr>
  </w:style>
  <w:style w:type="paragraph" w:customStyle="1" w:styleId="156">
    <w:name w:val="修订2"/>
    <w:qFormat/>
    <w:uiPriority w:val="0"/>
    <w:rPr>
      <w:rFonts w:ascii="Times New Roman" w:hAnsi="Times New Roman" w:eastAsia="宋体" w:cs="Times New Roman"/>
      <w:kern w:val="2"/>
      <w:sz w:val="21"/>
      <w:lang w:val="en-US" w:eastAsia="zh-CN" w:bidi="ar-SA"/>
    </w:rPr>
  </w:style>
  <w:style w:type="paragraph" w:customStyle="1" w:styleId="157">
    <w:name w:val="_Style 156"/>
    <w:basedOn w:val="1"/>
    <w:next w:val="93"/>
    <w:qFormat/>
    <w:uiPriority w:val="34"/>
    <w:pPr>
      <w:ind w:firstLine="420" w:firstLineChars="200"/>
    </w:pPr>
    <w:rPr>
      <w:szCs w:val="20"/>
    </w:rPr>
  </w:style>
  <w:style w:type="paragraph" w:customStyle="1" w:styleId="158">
    <w:name w:val="修订3"/>
    <w:qFormat/>
    <w:uiPriority w:val="0"/>
    <w:rPr>
      <w:rFonts w:ascii="Times New Roman" w:hAnsi="Times New Roman" w:eastAsia="宋体" w:cs="Times New Roman"/>
      <w:kern w:val="2"/>
      <w:sz w:val="21"/>
      <w:lang w:val="en-US" w:eastAsia="zh-CN" w:bidi="ar-SA"/>
    </w:rPr>
  </w:style>
  <w:style w:type="paragraph" w:customStyle="1" w:styleId="159">
    <w:name w:val="_Style 158"/>
    <w:basedOn w:val="1"/>
    <w:next w:val="93"/>
    <w:qFormat/>
    <w:uiPriority w:val="34"/>
    <w:pPr>
      <w:ind w:firstLine="420" w:firstLineChars="200"/>
    </w:pPr>
    <w:rPr>
      <w:szCs w:val="20"/>
    </w:rPr>
  </w:style>
  <w:style w:type="paragraph" w:customStyle="1" w:styleId="160">
    <w:name w:val="修订4"/>
    <w:qFormat/>
    <w:uiPriority w:val="0"/>
    <w:rPr>
      <w:rFonts w:ascii="Times New Roman" w:hAnsi="Times New Roman" w:eastAsia="宋体" w:cs="Times New Roman"/>
      <w:kern w:val="2"/>
      <w:sz w:val="21"/>
      <w:lang w:val="en-US" w:eastAsia="zh-CN" w:bidi="ar-SA"/>
    </w:rPr>
  </w:style>
  <w:style w:type="paragraph" w:customStyle="1" w:styleId="161">
    <w:name w:val="表格新"/>
    <w:basedOn w:val="1"/>
    <w:qFormat/>
    <w:uiPriority w:val="0"/>
    <w:pPr>
      <w:adjustRightInd w:val="0"/>
      <w:spacing w:before="29" w:line="360" w:lineRule="auto"/>
      <w:ind w:left="17"/>
    </w:pPr>
    <w:rPr>
      <w:rFonts w:asciiTheme="minorEastAsia" w:hAnsiTheme="minorEastAsia" w:eastAsiaTheme="minorEastAsia"/>
      <w:color w:val="000000" w:themeColor="text1"/>
      <w:kern w:val="0"/>
    </w:rPr>
  </w:style>
  <w:style w:type="paragraph" w:customStyle="1" w:styleId="162">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 w:val="32"/>
      <w:szCs w:val="32"/>
    </w:rPr>
  </w:style>
  <w:style w:type="character" w:customStyle="1" w:styleId="163">
    <w:name w:val="未处理的提及1"/>
    <w:basedOn w:val="42"/>
    <w:semiHidden/>
    <w:unhideWhenUsed/>
    <w:qFormat/>
    <w:uiPriority w:val="99"/>
    <w:rPr>
      <w:color w:val="605E5C"/>
      <w:shd w:val="clear" w:color="auto" w:fill="E1DFDD"/>
    </w:rPr>
  </w:style>
  <w:style w:type="paragraph" w:customStyle="1" w:styleId="16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65">
    <w:name w:val="正文2"/>
    <w:qFormat/>
    <w:uiPriority w:val="0"/>
    <w:pPr>
      <w:jc w:val="both"/>
    </w:pPr>
    <w:rPr>
      <w:rFonts w:ascii="Times New Roman" w:hAnsi="Times New Roman" w:eastAsia="宋体" w:cs="Times New Roman"/>
      <w:kern w:val="2"/>
      <w:sz w:val="21"/>
      <w:szCs w:val="21"/>
      <w:lang w:val="en-US" w:eastAsia="zh-CN" w:bidi="ar-SA"/>
    </w:rPr>
  </w:style>
  <w:style w:type="paragraph" w:customStyle="1" w:styleId="166">
    <w:name w:val="普通(网站)_0"/>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67">
    <w:name w:val="无缩进备注"/>
    <w:basedOn w:val="168"/>
    <w:qFormat/>
    <w:uiPriority w:val="0"/>
    <w:pPr>
      <w:tabs>
        <w:tab w:val="left" w:pos="426"/>
      </w:tabs>
      <w:ind w:firstLine="0" w:firstLineChars="0"/>
    </w:pPr>
  </w:style>
  <w:style w:type="paragraph" w:customStyle="1" w:styleId="168">
    <w:name w:val="有缩进备注"/>
    <w:basedOn w:val="1"/>
    <w:qFormat/>
    <w:uiPriority w:val="0"/>
    <w:pPr>
      <w:tabs>
        <w:tab w:val="left" w:pos="426"/>
      </w:tabs>
      <w:ind w:firstLine="420" w:firstLineChars="200"/>
      <w:jc w:val="left"/>
    </w:pPr>
    <w:rPr>
      <w:rFonts w:ascii="宋体" w:hAnsi="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EEEAF-17F6-4F18-9FD3-201A7043E0CA}">
  <ds:schemaRefs/>
</ds:datastoreItem>
</file>

<file path=docProps/app.xml><?xml version="1.0" encoding="utf-8"?>
<Properties xmlns="http://schemas.openxmlformats.org/officeDocument/2006/extended-properties" xmlns:vt="http://schemas.openxmlformats.org/officeDocument/2006/docPropsVTypes">
  <Template>Normal.dotm</Template>
  <Pages>96</Pages>
  <Words>50732</Words>
  <Characters>289176</Characters>
  <Lines>2409</Lines>
  <Paragraphs>678</Paragraphs>
  <TotalTime>204</TotalTime>
  <ScaleCrop>false</ScaleCrop>
  <LinksUpToDate>false</LinksUpToDate>
  <CharactersWithSpaces>339230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2012-10-16T06:07:00Z</dcterms:created>
  <dc:creator>Administrator</dc:creator>
  <cp:lastModifiedBy>zhanglp</cp:lastModifiedBy>
  <dcterms:modified xsi:type="dcterms:W3CDTF">2026-08-26T06:36:39Z</dcterms:modified>
  <cp:revision>2337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74A6D73674FD422C9F1656AFFDACE885_13</vt:lpwstr>
  </property>
</Properties>
</file>