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76858">
      <w:pPr>
        <w:adjustRightInd w:val="0"/>
        <w:snapToGrid w:val="0"/>
        <w:spacing w:line="360" w:lineRule="auto"/>
        <w:rPr>
          <w:rFonts w:cs="Arial" w:asciiTheme="minorEastAsia" w:hAnsiTheme="minorEastAsia" w:eastAsiaTheme="minorEastAsia"/>
          <w:szCs w:val="21"/>
        </w:rPr>
      </w:pPr>
      <w:bookmarkStart w:id="0" w:name="CTS_cdd89a7b283b42fd88a9e56994a98097"/>
      <w:bookmarkEnd w:id="0"/>
      <w:bookmarkStart w:id="1" w:name="CLAUSE_cdd89a7b283b42fd88a9e56994a98097"/>
    </w:p>
    <w:p w14:paraId="21DD8A55">
      <w:pPr>
        <w:adjustRightInd w:val="0"/>
        <w:snapToGrid w:val="0"/>
        <w:spacing w:line="360" w:lineRule="auto"/>
        <w:rPr>
          <w:rFonts w:cs="Arial" w:asciiTheme="minorEastAsia" w:hAnsiTheme="minorEastAsia" w:eastAsiaTheme="minorEastAsia"/>
          <w:szCs w:val="21"/>
        </w:rPr>
      </w:pPr>
    </w:p>
    <w:p w14:paraId="397C5438">
      <w:pPr>
        <w:adjustRightInd w:val="0"/>
        <w:snapToGrid w:val="0"/>
        <w:spacing w:line="360" w:lineRule="auto"/>
        <w:rPr>
          <w:rFonts w:cs="Arial" w:asciiTheme="minorEastAsia" w:hAnsiTheme="minorEastAsia" w:eastAsiaTheme="minorEastAsia"/>
          <w:szCs w:val="21"/>
        </w:rPr>
      </w:pPr>
    </w:p>
    <w:p w14:paraId="497850F0">
      <w:pPr>
        <w:adjustRightInd w:val="0"/>
        <w:snapToGrid w:val="0"/>
        <w:spacing w:line="360" w:lineRule="auto"/>
        <w:rPr>
          <w:rFonts w:cs="Arial" w:asciiTheme="minorEastAsia" w:hAnsiTheme="minorEastAsia" w:eastAsiaTheme="minorEastAsia"/>
          <w:szCs w:val="21"/>
        </w:rPr>
      </w:pPr>
    </w:p>
    <w:p w14:paraId="77CD0162">
      <w:pPr>
        <w:adjustRightInd w:val="0"/>
        <w:snapToGrid w:val="0"/>
        <w:spacing w:line="360" w:lineRule="auto"/>
        <w:rPr>
          <w:rFonts w:cs="Arial" w:asciiTheme="minorEastAsia" w:hAnsiTheme="minorEastAsia" w:eastAsiaTheme="minorEastAsia"/>
          <w:szCs w:val="21"/>
        </w:rPr>
      </w:pPr>
    </w:p>
    <w:p w14:paraId="338E096F">
      <w:pPr>
        <w:adjustRightInd w:val="0"/>
        <w:snapToGrid w:val="0"/>
        <w:spacing w:line="360" w:lineRule="auto"/>
        <w:rPr>
          <w:rFonts w:cs="Arial" w:asciiTheme="minorEastAsia" w:hAnsiTheme="minorEastAsia" w:eastAsiaTheme="minorEastAsia"/>
          <w:szCs w:val="21"/>
        </w:rPr>
      </w:pPr>
    </w:p>
    <w:p w14:paraId="18D0C063">
      <w:pPr>
        <w:adjustRightInd w:val="0"/>
        <w:snapToGrid w:val="0"/>
        <w:spacing w:line="360" w:lineRule="auto"/>
        <w:jc w:val="center"/>
        <w:rPr>
          <w:rFonts w:cs="Arial" w:asciiTheme="minorEastAsia" w:hAnsiTheme="minorEastAsia" w:eastAsiaTheme="minorEastAsia"/>
          <w:b/>
          <w:bCs/>
          <w:sz w:val="36"/>
          <w:szCs w:val="36"/>
        </w:rPr>
      </w:pPr>
      <w:r>
        <w:rPr>
          <w:rFonts w:cs="Arial" w:asciiTheme="minorEastAsia" w:hAnsiTheme="minorEastAsia" w:eastAsiaTheme="minorEastAsia"/>
          <w:b/>
          <w:bCs/>
          <w:sz w:val="36"/>
          <w:szCs w:val="36"/>
        </w:rPr>
        <w:t>博时</w:t>
      </w:r>
      <w:r>
        <w:rPr>
          <w:rFonts w:hint="eastAsia" w:cs="Arial" w:asciiTheme="minorEastAsia" w:hAnsiTheme="minorEastAsia" w:eastAsiaTheme="minorEastAsia"/>
          <w:b/>
          <w:bCs/>
          <w:sz w:val="36"/>
          <w:szCs w:val="36"/>
        </w:rPr>
        <w:t>恒生港股通红利</w:t>
      </w:r>
      <w:r>
        <w:rPr>
          <w:rFonts w:cs="Arial" w:asciiTheme="minorEastAsia" w:hAnsiTheme="minorEastAsia" w:eastAsiaTheme="minorEastAsia"/>
          <w:b/>
          <w:bCs/>
          <w:sz w:val="36"/>
          <w:szCs w:val="36"/>
        </w:rPr>
        <w:t>交易型开放式指数</w:t>
      </w:r>
    </w:p>
    <w:p w14:paraId="00215E2E">
      <w:pPr>
        <w:adjustRightInd w:val="0"/>
        <w:snapToGrid w:val="0"/>
        <w:spacing w:line="360" w:lineRule="auto"/>
        <w:jc w:val="center"/>
        <w:rPr>
          <w:rFonts w:asciiTheme="minorEastAsia" w:hAnsiTheme="minorEastAsia" w:eastAsiaTheme="minorEastAsia"/>
          <w:b/>
          <w:sz w:val="36"/>
        </w:rPr>
      </w:pPr>
      <w:r>
        <w:rPr>
          <w:rFonts w:hint="eastAsia" w:asciiTheme="minorEastAsia" w:hAnsiTheme="minorEastAsia" w:eastAsiaTheme="minorEastAsia"/>
          <w:b/>
          <w:sz w:val="36"/>
        </w:rPr>
        <w:t>证券投资基金发起式</w:t>
      </w:r>
      <w:r>
        <w:rPr>
          <w:rFonts w:cs="Arial" w:asciiTheme="minorEastAsia" w:hAnsiTheme="minorEastAsia" w:eastAsiaTheme="minorEastAsia"/>
          <w:b/>
          <w:bCs/>
          <w:sz w:val="36"/>
          <w:szCs w:val="36"/>
        </w:rPr>
        <w:t>联接基金</w:t>
      </w:r>
      <w:r>
        <w:rPr>
          <w:rFonts w:hint="eastAsia" w:asciiTheme="minorEastAsia" w:hAnsiTheme="minorEastAsia" w:eastAsiaTheme="minorEastAsia"/>
          <w:b/>
          <w:sz w:val="36"/>
        </w:rPr>
        <w:t>基金合同</w:t>
      </w:r>
    </w:p>
    <w:p w14:paraId="74FA4A12">
      <w:pPr>
        <w:adjustRightInd w:val="0"/>
        <w:snapToGrid w:val="0"/>
        <w:spacing w:line="360" w:lineRule="auto"/>
        <w:jc w:val="center"/>
        <w:rPr>
          <w:rFonts w:cs="Arial" w:asciiTheme="minorEastAsia" w:hAnsiTheme="minorEastAsia" w:eastAsiaTheme="minorEastAsia"/>
          <w:b/>
          <w:bCs/>
          <w:sz w:val="36"/>
          <w:szCs w:val="36"/>
        </w:rPr>
      </w:pPr>
    </w:p>
    <w:p w14:paraId="3CD409AB">
      <w:pPr>
        <w:adjustRightInd w:val="0"/>
        <w:snapToGrid w:val="0"/>
        <w:spacing w:line="360" w:lineRule="auto"/>
        <w:jc w:val="center"/>
        <w:rPr>
          <w:rFonts w:cs="Arial" w:asciiTheme="minorEastAsia" w:hAnsiTheme="minorEastAsia" w:eastAsiaTheme="minorEastAsia"/>
          <w:b/>
          <w:bCs/>
          <w:sz w:val="36"/>
          <w:szCs w:val="36"/>
        </w:rPr>
      </w:pPr>
    </w:p>
    <w:p w14:paraId="11CF0878">
      <w:pPr>
        <w:adjustRightInd w:val="0"/>
        <w:snapToGrid w:val="0"/>
        <w:spacing w:line="360" w:lineRule="auto"/>
        <w:jc w:val="center"/>
        <w:rPr>
          <w:rFonts w:cs="Arial" w:asciiTheme="minorEastAsia" w:hAnsiTheme="minorEastAsia" w:eastAsiaTheme="minorEastAsia"/>
          <w:b/>
          <w:bCs/>
          <w:sz w:val="36"/>
          <w:szCs w:val="36"/>
        </w:rPr>
      </w:pPr>
    </w:p>
    <w:p w14:paraId="2ADECC78">
      <w:pPr>
        <w:adjustRightInd w:val="0"/>
        <w:snapToGrid w:val="0"/>
        <w:spacing w:line="360" w:lineRule="auto"/>
        <w:jc w:val="center"/>
        <w:rPr>
          <w:rFonts w:cs="Arial" w:asciiTheme="minorEastAsia" w:hAnsiTheme="minorEastAsia" w:eastAsiaTheme="minorEastAsia"/>
          <w:b/>
          <w:bCs/>
          <w:sz w:val="36"/>
          <w:szCs w:val="36"/>
        </w:rPr>
      </w:pPr>
    </w:p>
    <w:p w14:paraId="053905CD">
      <w:pPr>
        <w:adjustRightInd w:val="0"/>
        <w:snapToGrid w:val="0"/>
        <w:spacing w:line="360" w:lineRule="auto"/>
        <w:jc w:val="center"/>
        <w:rPr>
          <w:rFonts w:cs="Arial" w:asciiTheme="minorEastAsia" w:hAnsiTheme="minorEastAsia" w:eastAsiaTheme="minorEastAsia"/>
          <w:b/>
          <w:bCs/>
          <w:sz w:val="36"/>
          <w:szCs w:val="36"/>
        </w:rPr>
      </w:pPr>
    </w:p>
    <w:p w14:paraId="608F23EC">
      <w:pPr>
        <w:adjustRightInd w:val="0"/>
        <w:snapToGrid w:val="0"/>
        <w:spacing w:line="360" w:lineRule="auto"/>
        <w:rPr>
          <w:rFonts w:cs="Arial" w:asciiTheme="minorEastAsia" w:hAnsiTheme="minorEastAsia" w:eastAsiaTheme="minorEastAsia"/>
          <w:szCs w:val="21"/>
        </w:rPr>
      </w:pPr>
    </w:p>
    <w:p w14:paraId="1F897552">
      <w:pPr>
        <w:adjustRightInd w:val="0"/>
        <w:snapToGrid w:val="0"/>
        <w:spacing w:line="360" w:lineRule="auto"/>
        <w:rPr>
          <w:rFonts w:asciiTheme="minorEastAsia" w:hAnsiTheme="minorEastAsia" w:eastAsiaTheme="minorEastAsia"/>
        </w:rPr>
      </w:pPr>
    </w:p>
    <w:p w14:paraId="37029B67">
      <w:pPr>
        <w:adjustRightInd w:val="0"/>
        <w:snapToGrid w:val="0"/>
        <w:spacing w:line="360" w:lineRule="auto"/>
        <w:rPr>
          <w:rFonts w:asciiTheme="minorEastAsia" w:hAnsiTheme="minorEastAsia" w:eastAsiaTheme="minorEastAsia"/>
        </w:rPr>
      </w:pPr>
    </w:p>
    <w:p w14:paraId="097C7201">
      <w:pPr>
        <w:adjustRightInd w:val="0"/>
        <w:snapToGrid w:val="0"/>
        <w:spacing w:line="360" w:lineRule="auto"/>
        <w:rPr>
          <w:rFonts w:asciiTheme="minorEastAsia" w:hAnsiTheme="minorEastAsia" w:eastAsiaTheme="minorEastAsia"/>
        </w:rPr>
      </w:pPr>
    </w:p>
    <w:p w14:paraId="338729C5">
      <w:pPr>
        <w:adjustRightInd w:val="0"/>
        <w:snapToGrid w:val="0"/>
        <w:spacing w:line="360" w:lineRule="auto"/>
        <w:rPr>
          <w:rFonts w:asciiTheme="minorEastAsia" w:hAnsiTheme="minorEastAsia" w:eastAsiaTheme="minorEastAsia"/>
        </w:rPr>
      </w:pPr>
    </w:p>
    <w:p w14:paraId="4DCDC053">
      <w:pPr>
        <w:adjustRightInd w:val="0"/>
        <w:snapToGrid w:val="0"/>
        <w:spacing w:line="360" w:lineRule="auto"/>
        <w:rPr>
          <w:rFonts w:asciiTheme="minorEastAsia" w:hAnsiTheme="minorEastAsia" w:eastAsiaTheme="minorEastAsia"/>
        </w:rPr>
      </w:pPr>
    </w:p>
    <w:p w14:paraId="1A0B0265">
      <w:pPr>
        <w:adjustRightInd w:val="0"/>
        <w:snapToGrid w:val="0"/>
        <w:spacing w:line="360" w:lineRule="auto"/>
        <w:ind w:firstLine="1506" w:firstLineChars="500"/>
        <w:rPr>
          <w:rFonts w:asciiTheme="minorEastAsia" w:hAnsiTheme="minorEastAsia" w:eastAsiaTheme="minorEastAsia"/>
          <w:b/>
          <w:sz w:val="30"/>
        </w:rPr>
      </w:pPr>
      <w:bookmarkStart w:id="2" w:name="_Toc123112263"/>
      <w:bookmarkStart w:id="3" w:name="_Toc139991726"/>
      <w:bookmarkStart w:id="4" w:name="_Toc123112224"/>
      <w:bookmarkStart w:id="5" w:name="_Toc139992301"/>
      <w:bookmarkStart w:id="6" w:name="_Toc123701383"/>
      <w:r>
        <w:rPr>
          <w:rFonts w:hint="eastAsia" w:asciiTheme="minorEastAsia" w:hAnsiTheme="minorEastAsia" w:eastAsiaTheme="minorEastAsia"/>
          <w:b/>
          <w:sz w:val="30"/>
        </w:rPr>
        <w:t>基金管理人：</w:t>
      </w:r>
      <w:bookmarkEnd w:id="2"/>
      <w:bookmarkEnd w:id="3"/>
      <w:bookmarkEnd w:id="4"/>
      <w:bookmarkEnd w:id="5"/>
      <w:bookmarkEnd w:id="6"/>
      <w:r>
        <w:rPr>
          <w:rFonts w:cs="Arial" w:asciiTheme="minorEastAsia" w:hAnsiTheme="minorEastAsia" w:eastAsiaTheme="minorEastAsia"/>
          <w:b/>
          <w:bCs/>
          <w:sz w:val="30"/>
          <w:szCs w:val="30"/>
        </w:rPr>
        <w:t>博时基金管理有限公司</w:t>
      </w:r>
    </w:p>
    <w:p w14:paraId="1FF47D35">
      <w:pPr>
        <w:adjustRightInd w:val="0"/>
        <w:snapToGrid w:val="0"/>
        <w:spacing w:line="360" w:lineRule="auto"/>
        <w:ind w:firstLine="1506" w:firstLineChars="500"/>
        <w:rPr>
          <w:rFonts w:asciiTheme="minorEastAsia" w:hAnsiTheme="minorEastAsia" w:eastAsiaTheme="minorEastAsia"/>
          <w:b/>
          <w:sz w:val="30"/>
        </w:rPr>
      </w:pPr>
      <w:bookmarkStart w:id="7" w:name="_Toc123112225"/>
      <w:bookmarkStart w:id="8" w:name="_Toc123701384"/>
      <w:bookmarkStart w:id="9" w:name="_Toc139992302"/>
      <w:bookmarkStart w:id="10" w:name="_Toc123112264"/>
      <w:bookmarkStart w:id="11" w:name="_Toc139991727"/>
      <w:r>
        <w:rPr>
          <w:rFonts w:hint="eastAsia" w:asciiTheme="minorEastAsia" w:hAnsiTheme="minorEastAsia" w:eastAsiaTheme="minorEastAsia"/>
          <w:b/>
          <w:sz w:val="30"/>
        </w:rPr>
        <w:t>基金托管人：</w:t>
      </w:r>
      <w:bookmarkEnd w:id="7"/>
      <w:bookmarkEnd w:id="8"/>
      <w:bookmarkEnd w:id="9"/>
      <w:bookmarkEnd w:id="10"/>
      <w:bookmarkEnd w:id="11"/>
      <w:r>
        <w:rPr>
          <w:rFonts w:cs="Arial" w:asciiTheme="minorEastAsia" w:hAnsiTheme="minorEastAsia" w:eastAsiaTheme="minorEastAsia"/>
          <w:b/>
          <w:bCs/>
          <w:sz w:val="30"/>
          <w:szCs w:val="30"/>
        </w:rPr>
        <w:t>中国国际金融股份有限公司</w:t>
      </w:r>
    </w:p>
    <w:p w14:paraId="7F88E47C">
      <w:pPr>
        <w:adjustRightInd w:val="0"/>
        <w:snapToGrid w:val="0"/>
        <w:spacing w:line="360" w:lineRule="auto"/>
        <w:rPr>
          <w:rFonts w:asciiTheme="minorEastAsia" w:hAnsiTheme="minorEastAsia" w:eastAsiaTheme="minorEastAsia"/>
          <w:sz w:val="30"/>
        </w:rPr>
      </w:pPr>
      <w:bookmarkStart w:id="12" w:name="_Toc123701386"/>
      <w:bookmarkStart w:id="13" w:name="_Toc123112266"/>
      <w:bookmarkStart w:id="14" w:name="_Toc123112227"/>
      <w:bookmarkStart w:id="15" w:name="_Toc139991729"/>
    </w:p>
    <w:p w14:paraId="3183D459">
      <w:pPr>
        <w:adjustRightInd w:val="0"/>
        <w:snapToGrid w:val="0"/>
        <w:spacing w:line="360" w:lineRule="auto"/>
        <w:jc w:val="center"/>
        <w:rPr>
          <w:rFonts w:asciiTheme="minorEastAsia" w:hAnsiTheme="minorEastAsia" w:eastAsiaTheme="minorEastAsia"/>
          <w:sz w:val="30"/>
        </w:rPr>
      </w:pPr>
      <w:r>
        <w:rPr>
          <w:rFonts w:hint="eastAsia" w:asciiTheme="minorEastAsia" w:hAnsiTheme="minorEastAsia" w:eastAsiaTheme="minorEastAsia"/>
          <w:sz w:val="30"/>
        </w:rPr>
        <w:t>二零二六年九月</w:t>
      </w:r>
    </w:p>
    <w:bookmarkEnd w:id="1"/>
    <w:p w14:paraId="1F9DE3B7">
      <w:pPr>
        <w:adjustRightInd w:val="0"/>
        <w:snapToGrid w:val="0"/>
        <w:spacing w:line="360" w:lineRule="auto"/>
        <w:rPr>
          <w:rFonts w:asciiTheme="minorEastAsia" w:hAnsiTheme="minorEastAsia" w:eastAsiaTheme="minorEastAsia"/>
        </w:rPr>
        <w:sectPr>
          <w:headerReference r:id="rId3" w:type="default"/>
          <w:pgSz w:w="11906" w:h="16838"/>
          <w:pgMar w:top="1418" w:right="1701" w:bottom="1418" w:left="1701" w:header="851" w:footer="992" w:gutter="0"/>
          <w:pgNumType w:start="1"/>
          <w:cols w:space="425" w:num="1"/>
          <w:docGrid w:type="lines" w:linePitch="312" w:charSpace="0"/>
        </w:sectPr>
      </w:pPr>
      <w:bookmarkStart w:id="16" w:name="CTS_6645ea258fd14927a3fd8ea662dec2ba"/>
      <w:bookmarkEnd w:id="16"/>
      <w:bookmarkStart w:id="17" w:name="CLAUSE_21105264e81f4656ae208a8b58f62d4d"/>
      <w:r>
        <w:rPr>
          <w:rFonts w:asciiTheme="minorEastAsia" w:hAnsiTheme="minorEastAsia" w:eastAsiaTheme="minorEastAsia"/>
        </w:rPr>
        <w:t xml:space="preserve"> </w:t>
      </w:r>
      <w:bookmarkStart w:id="18" w:name="CTS_21105264e81f4656ae208a8b58f62d4d"/>
      <w:bookmarkEnd w:id="18"/>
    </w:p>
    <w:p w14:paraId="12FDBD7B">
      <w:pPr>
        <w:adjustRightInd w:val="0"/>
        <w:snapToGrid w:val="0"/>
        <w:spacing w:line="360" w:lineRule="auto"/>
        <w:rPr>
          <w:rFonts w:cs="Arial" w:asciiTheme="minorEastAsia" w:hAnsiTheme="minorEastAsia" w:eastAsiaTheme="minorEastAsia"/>
          <w:szCs w:val="21"/>
        </w:rPr>
      </w:pPr>
    </w:p>
    <w:p w14:paraId="031DB1B1">
      <w:pPr>
        <w:adjustRightInd w:val="0"/>
        <w:snapToGrid w:val="0"/>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目</w:t>
      </w:r>
      <w:r>
        <w:rPr>
          <w:rFonts w:asciiTheme="minorEastAsia" w:hAnsiTheme="minorEastAsia" w:eastAsiaTheme="minorEastAsia"/>
          <w:b/>
          <w:sz w:val="24"/>
        </w:rPr>
        <w:t xml:space="preserve">  </w:t>
      </w:r>
      <w:r>
        <w:rPr>
          <w:rFonts w:hint="eastAsia" w:asciiTheme="minorEastAsia" w:hAnsiTheme="minorEastAsia" w:eastAsiaTheme="minorEastAsia"/>
          <w:b/>
          <w:sz w:val="24"/>
        </w:rPr>
        <w:t>录</w:t>
      </w:r>
      <w:bookmarkEnd w:id="12"/>
      <w:bookmarkEnd w:id="13"/>
      <w:bookmarkEnd w:id="14"/>
      <w:bookmarkEnd w:id="15"/>
    </w:p>
    <w:p w14:paraId="70B40CB1">
      <w:pPr>
        <w:adjustRightInd w:val="0"/>
        <w:snapToGrid w:val="0"/>
        <w:spacing w:line="360" w:lineRule="auto"/>
        <w:jc w:val="center"/>
        <w:rPr>
          <w:rFonts w:cs="Arial" w:asciiTheme="minorEastAsia" w:hAnsiTheme="minorEastAsia" w:eastAsiaTheme="minorEastAsia"/>
          <w:szCs w:val="21"/>
        </w:rPr>
      </w:pPr>
      <w:bookmarkStart w:id="19" w:name="_Toc23386"/>
      <w:bookmarkStart w:id="20" w:name="_Toc30935"/>
      <w:bookmarkStart w:id="21" w:name="_Toc141703880"/>
      <w:bookmarkStart w:id="22" w:name="_Toc4867"/>
      <w:bookmarkStart w:id="23" w:name="_Toc11660"/>
      <w:bookmarkStart w:id="24" w:name="_Toc26897"/>
      <w:bookmarkStart w:id="25" w:name="_Toc8727"/>
      <w:bookmarkStart w:id="26" w:name="_Toc6306"/>
      <w:bookmarkStart w:id="27" w:name="_Toc32639"/>
      <w:bookmarkStart w:id="28" w:name="_Toc29629"/>
      <w:bookmarkStart w:id="29" w:name="_Toc4966"/>
      <w:bookmarkStart w:id="30" w:name="_Toc139991730"/>
      <w:bookmarkStart w:id="31" w:name="_Toc15517"/>
      <w:bookmarkStart w:id="32" w:name="_Toc123701389"/>
      <w:bookmarkStart w:id="33" w:name="_Toc123112229"/>
      <w:bookmarkStart w:id="34" w:name="_Toc123112268"/>
      <w:bookmarkStart w:id="35" w:name="_Toc233456271"/>
    </w:p>
    <w:p w14:paraId="7DEB287C">
      <w:pPr>
        <w:pStyle w:val="26"/>
        <w:tabs>
          <w:tab w:val="right" w:leader="dot" w:pos="8494"/>
        </w:tabs>
        <w:spacing w:line="360" w:lineRule="auto"/>
        <w:rPr>
          <w:rFonts w:asciiTheme="minorEastAsia" w:hAnsiTheme="minorEastAsia" w:eastAsiaTheme="minorEastAsia" w:cstheme="minorBidi"/>
          <w:szCs w:val="21"/>
        </w:rPr>
      </w:pP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TOC \o "1-1" \h \z </w:instrText>
      </w:r>
      <w:r>
        <w:rPr>
          <w:rFonts w:asciiTheme="minorEastAsia" w:hAnsiTheme="minorEastAsia" w:eastAsiaTheme="minorEastAsia"/>
          <w:szCs w:val="21"/>
        </w:rPr>
        <w:fldChar w:fldCharType="separate"/>
      </w:r>
      <w:r>
        <w:fldChar w:fldCharType="begin"/>
      </w:r>
      <w:r>
        <w:instrText xml:space="preserve"> HYPERLINK \l "_Toc16237226" </w:instrText>
      </w:r>
      <w:r>
        <w:fldChar w:fldCharType="separate"/>
      </w:r>
      <w:r>
        <w:rPr>
          <w:rStyle w:val="42"/>
          <w:rFonts w:hint="eastAsia" w:cs="Arial" w:asciiTheme="minorEastAsia" w:hAnsiTheme="minorEastAsia" w:eastAsiaTheme="minorEastAsia"/>
          <w:szCs w:val="21"/>
        </w:rPr>
        <w:t>第一部分</w:t>
      </w:r>
      <w:r>
        <w:rPr>
          <w:rStyle w:val="42"/>
          <w:rFonts w:cs="Arial" w:asciiTheme="minorEastAsia" w:hAnsiTheme="minorEastAsia" w:eastAsiaTheme="minorEastAsia"/>
          <w:szCs w:val="21"/>
        </w:rPr>
        <w:t xml:space="preserve"> </w:t>
      </w:r>
      <w:r>
        <w:rPr>
          <w:rStyle w:val="42"/>
          <w:rFonts w:hint="eastAsia" w:cs="Arial" w:asciiTheme="minorEastAsia" w:hAnsiTheme="minorEastAsia" w:eastAsiaTheme="minorEastAsia"/>
          <w:szCs w:val="21"/>
        </w:rPr>
        <w:t>前言</w:t>
      </w:r>
      <w:r>
        <w:rPr>
          <w:rFonts w:asciiTheme="minorEastAsia" w:hAnsiTheme="minorEastAsia" w:eastAsiaTheme="minorEastAsia"/>
          <w:szCs w:val="21"/>
        </w:rPr>
        <w:tab/>
      </w:r>
      <w:r>
        <w:rPr>
          <w:rFonts w:hint="eastAsia" w:asciiTheme="minorEastAsia" w:hAnsiTheme="minorEastAsia" w:eastAsiaTheme="minorEastAsia"/>
          <w:szCs w:val="21"/>
        </w:rPr>
        <w:t>1-</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_Toc16237226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607474C7">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"_Toc16237227" </w:instrText>
      </w:r>
      <w:r>
        <w:fldChar w:fldCharType="separate"/>
      </w:r>
      <w:r>
        <w:rPr>
          <w:rStyle w:val="42"/>
          <w:rFonts w:hint="eastAsia" w:cs="Arial" w:asciiTheme="minorEastAsia" w:hAnsiTheme="minorEastAsia" w:eastAsiaTheme="minorEastAsia"/>
          <w:szCs w:val="21"/>
        </w:rPr>
        <w:t>第二部分</w:t>
      </w:r>
      <w:r>
        <w:rPr>
          <w:rStyle w:val="42"/>
          <w:rFonts w:cs="Arial" w:asciiTheme="minorEastAsia" w:hAnsiTheme="minorEastAsia" w:eastAsiaTheme="minorEastAsia"/>
          <w:szCs w:val="21"/>
        </w:rPr>
        <w:t xml:space="preserve"> </w:t>
      </w:r>
      <w:r>
        <w:rPr>
          <w:rStyle w:val="42"/>
          <w:rFonts w:hint="eastAsia" w:cs="Arial" w:asciiTheme="minorEastAsia" w:hAnsiTheme="minorEastAsia" w:eastAsiaTheme="minorEastAsia"/>
          <w:szCs w:val="21"/>
        </w:rPr>
        <w:t>释义</w:t>
      </w:r>
      <w:r>
        <w:rPr>
          <w:rFonts w:asciiTheme="minorEastAsia" w:hAnsiTheme="minorEastAsia" w:eastAsiaTheme="minorEastAsia"/>
          <w:szCs w:val="21"/>
        </w:rPr>
        <w:tab/>
      </w:r>
      <w:r>
        <w:rPr>
          <w:rFonts w:hint="eastAsia" w:asciiTheme="minorEastAsia" w:hAnsiTheme="minorEastAsia" w:eastAsiaTheme="minorEastAsia"/>
          <w:szCs w:val="21"/>
        </w:rPr>
        <w:t>2-</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_Toc16237227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1549F614">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"_Toc16237228" </w:instrText>
      </w:r>
      <w:r>
        <w:fldChar w:fldCharType="separate"/>
      </w:r>
      <w:r>
        <w:rPr>
          <w:rStyle w:val="42"/>
          <w:rFonts w:hint="eastAsia" w:cs="Arial" w:asciiTheme="minorEastAsia" w:hAnsiTheme="minorEastAsia" w:eastAsiaTheme="minorEastAsia"/>
          <w:szCs w:val="21"/>
        </w:rPr>
        <w:t>第三部分</w:t>
      </w:r>
      <w:r>
        <w:rPr>
          <w:rStyle w:val="42"/>
          <w:rFonts w:cs="Arial" w:asciiTheme="minorEastAsia" w:hAnsiTheme="minorEastAsia" w:eastAsiaTheme="minorEastAsia"/>
          <w:szCs w:val="21"/>
        </w:rPr>
        <w:t xml:space="preserve"> </w:t>
      </w:r>
      <w:r>
        <w:rPr>
          <w:rStyle w:val="42"/>
          <w:rFonts w:hint="eastAsia" w:cs="Arial" w:asciiTheme="minorEastAsia" w:hAnsiTheme="minorEastAsia" w:eastAsiaTheme="minorEastAsia"/>
          <w:szCs w:val="21"/>
        </w:rPr>
        <w:t>基金的基本情况</w:t>
      </w:r>
      <w:r>
        <w:rPr>
          <w:rFonts w:asciiTheme="minorEastAsia" w:hAnsiTheme="minorEastAsia" w:eastAsiaTheme="minorEastAsia"/>
          <w:szCs w:val="21"/>
        </w:rPr>
        <w:tab/>
      </w:r>
      <w:r>
        <w:rPr>
          <w:rFonts w:hint="eastAsia" w:asciiTheme="minorEastAsia" w:hAnsiTheme="minorEastAsia" w:eastAsiaTheme="minorEastAsia"/>
          <w:szCs w:val="21"/>
        </w:rPr>
        <w:t>3-</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_Toc16237228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01835B05">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"_Toc16237229" </w:instrText>
      </w:r>
      <w:r>
        <w:fldChar w:fldCharType="separate"/>
      </w:r>
      <w:r>
        <w:rPr>
          <w:rStyle w:val="42"/>
          <w:rFonts w:hint="eastAsia" w:cs="Arial" w:asciiTheme="minorEastAsia" w:hAnsiTheme="minorEastAsia" w:eastAsiaTheme="minorEastAsia"/>
          <w:szCs w:val="21"/>
        </w:rPr>
        <w:t>第四部分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基金份额的发售</w:t>
      </w:r>
      <w:r>
        <w:rPr>
          <w:rFonts w:asciiTheme="minorEastAsia" w:hAnsiTheme="minorEastAsia" w:eastAsiaTheme="minorEastAsia"/>
          <w:szCs w:val="21"/>
        </w:rPr>
        <w:tab/>
      </w:r>
      <w:r>
        <w:rPr>
          <w:rFonts w:hint="eastAsia" w:asciiTheme="minorEastAsia" w:hAnsiTheme="minorEastAsia" w:eastAsiaTheme="minorEastAsia"/>
          <w:szCs w:val="21"/>
        </w:rPr>
        <w:t>4-</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_Toc16237229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60BA54C2">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"_Toc16237230" </w:instrText>
      </w:r>
      <w:r>
        <w:fldChar w:fldCharType="separate"/>
      </w:r>
      <w:r>
        <w:rPr>
          <w:rStyle w:val="42"/>
          <w:rFonts w:hint="eastAsia" w:cs="Arial" w:asciiTheme="minorEastAsia" w:hAnsiTheme="minorEastAsia" w:eastAsiaTheme="minorEastAsia"/>
          <w:szCs w:val="21"/>
        </w:rPr>
        <w:t>第五部分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基金备案</w:t>
      </w:r>
      <w:r>
        <w:rPr>
          <w:rFonts w:asciiTheme="minorEastAsia" w:hAnsiTheme="minorEastAsia" w:eastAsiaTheme="minorEastAsia"/>
          <w:szCs w:val="21"/>
        </w:rPr>
        <w:tab/>
      </w:r>
      <w:r>
        <w:rPr>
          <w:rFonts w:hint="eastAsia" w:asciiTheme="minorEastAsia" w:hAnsiTheme="minorEastAsia" w:eastAsiaTheme="minorEastAsia"/>
          <w:szCs w:val="21"/>
        </w:rPr>
        <w:t>5-</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_Toc16237230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531B6005">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"_Toc16237231" </w:instrText>
      </w:r>
      <w:r>
        <w:fldChar w:fldCharType="separate"/>
      </w:r>
      <w:r>
        <w:rPr>
          <w:rStyle w:val="42"/>
          <w:rFonts w:hint="eastAsia" w:cs="Arial" w:asciiTheme="minorEastAsia" w:hAnsiTheme="minorEastAsia" w:eastAsiaTheme="minorEastAsia"/>
          <w:szCs w:val="21"/>
        </w:rPr>
        <w:t>第六部分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基金份额的申购与赎回</w:t>
      </w:r>
      <w:r>
        <w:rPr>
          <w:rFonts w:asciiTheme="minorEastAsia" w:hAnsiTheme="minorEastAsia" w:eastAsiaTheme="minorEastAsia"/>
          <w:szCs w:val="21"/>
        </w:rPr>
        <w:tab/>
      </w:r>
      <w:r>
        <w:rPr>
          <w:rFonts w:hint="eastAsia" w:asciiTheme="minorEastAsia" w:hAnsiTheme="minorEastAsia" w:eastAsiaTheme="minorEastAsia"/>
          <w:szCs w:val="21"/>
        </w:rPr>
        <w:t>6-</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_Toc16237231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287BBC0C">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"_Toc16237232" </w:instrText>
      </w:r>
      <w:r>
        <w:fldChar w:fldCharType="separate"/>
      </w:r>
      <w:r>
        <w:rPr>
          <w:rStyle w:val="42"/>
          <w:rFonts w:hint="eastAsia" w:cs="Arial" w:asciiTheme="minorEastAsia" w:hAnsiTheme="minorEastAsia" w:eastAsiaTheme="minorEastAsia"/>
          <w:szCs w:val="21"/>
        </w:rPr>
        <w:t>第七部分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基金合同当事人及权利义务</w:t>
      </w:r>
      <w:r>
        <w:rPr>
          <w:rFonts w:asciiTheme="minorEastAsia" w:hAnsiTheme="minorEastAsia" w:eastAsiaTheme="minorEastAsia"/>
          <w:szCs w:val="21"/>
        </w:rPr>
        <w:tab/>
      </w:r>
      <w:r>
        <w:rPr>
          <w:rFonts w:hint="eastAsia" w:asciiTheme="minorEastAsia" w:hAnsiTheme="minorEastAsia" w:eastAsiaTheme="minorEastAsia"/>
          <w:szCs w:val="21"/>
        </w:rPr>
        <w:t>7-</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_Toc16237232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79984A6B">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"_Toc16237233" </w:instrText>
      </w:r>
      <w:r>
        <w:fldChar w:fldCharType="separate"/>
      </w:r>
      <w:r>
        <w:rPr>
          <w:rStyle w:val="42"/>
          <w:rFonts w:hint="eastAsia" w:cs="Arial" w:asciiTheme="minorEastAsia" w:hAnsiTheme="minorEastAsia" w:eastAsiaTheme="minorEastAsia"/>
          <w:szCs w:val="21"/>
        </w:rPr>
        <w:t>第八部分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基金份额持有人大会</w:t>
      </w:r>
      <w:r>
        <w:rPr>
          <w:rFonts w:asciiTheme="minorEastAsia" w:hAnsiTheme="minorEastAsia" w:eastAsiaTheme="minorEastAsia"/>
          <w:szCs w:val="21"/>
        </w:rPr>
        <w:tab/>
      </w:r>
      <w:r>
        <w:rPr>
          <w:rFonts w:hint="eastAsia" w:asciiTheme="minorEastAsia" w:hAnsiTheme="minorEastAsia" w:eastAsiaTheme="minorEastAsia"/>
          <w:szCs w:val="21"/>
        </w:rPr>
        <w:t>8-</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_Toc16237233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19AEAD20">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"_Toc16237234" </w:instrText>
      </w:r>
      <w:r>
        <w:fldChar w:fldCharType="separate"/>
      </w:r>
      <w:r>
        <w:rPr>
          <w:rStyle w:val="42"/>
          <w:rFonts w:hint="eastAsia" w:cs="Arial" w:asciiTheme="minorEastAsia" w:hAnsiTheme="minorEastAsia" w:eastAsiaTheme="minorEastAsia"/>
          <w:szCs w:val="21"/>
        </w:rPr>
        <w:t>第九部分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基金管理人、基金托管人的更换条件和程序</w:t>
      </w:r>
      <w:r>
        <w:rPr>
          <w:rFonts w:asciiTheme="minorEastAsia" w:hAnsiTheme="minorEastAsia" w:eastAsiaTheme="minorEastAsia"/>
          <w:szCs w:val="21"/>
        </w:rPr>
        <w:tab/>
      </w:r>
      <w:r>
        <w:rPr>
          <w:rFonts w:hint="eastAsia" w:asciiTheme="minorEastAsia" w:hAnsiTheme="minorEastAsia" w:eastAsiaTheme="minorEastAsia"/>
          <w:szCs w:val="21"/>
        </w:rPr>
        <w:t>9-</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_Toc16237234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7BA3F9F1">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"_Toc16237235" </w:instrText>
      </w:r>
      <w:r>
        <w:fldChar w:fldCharType="separate"/>
      </w:r>
      <w:r>
        <w:rPr>
          <w:rStyle w:val="42"/>
          <w:rFonts w:hint="eastAsia" w:cs="Arial" w:asciiTheme="minorEastAsia" w:hAnsiTheme="minorEastAsia" w:eastAsiaTheme="minorEastAsia"/>
          <w:szCs w:val="21"/>
        </w:rPr>
        <w:t>第十部分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基金的托管</w:t>
      </w:r>
      <w:r>
        <w:rPr>
          <w:rFonts w:asciiTheme="minorEastAsia" w:hAnsiTheme="minorEastAsia" w:eastAsiaTheme="minorEastAsia"/>
          <w:szCs w:val="21"/>
        </w:rPr>
        <w:tab/>
      </w:r>
      <w:r>
        <w:rPr>
          <w:rFonts w:hint="eastAsia" w:asciiTheme="minorEastAsia" w:hAnsiTheme="minorEastAsia" w:eastAsiaTheme="minorEastAsia"/>
          <w:szCs w:val="21"/>
        </w:rPr>
        <w:t>10-</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_Toc16237235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7B5DD61F">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"_Toc16237236" </w:instrText>
      </w:r>
      <w:r>
        <w:fldChar w:fldCharType="separate"/>
      </w:r>
      <w:r>
        <w:rPr>
          <w:rStyle w:val="42"/>
          <w:rFonts w:hint="eastAsia" w:cs="Arial" w:asciiTheme="minorEastAsia" w:hAnsiTheme="minorEastAsia" w:eastAsiaTheme="minorEastAsia"/>
          <w:szCs w:val="21"/>
        </w:rPr>
        <w:t>第十一部分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基金份额的登记</w:t>
      </w:r>
      <w:r>
        <w:rPr>
          <w:rFonts w:asciiTheme="minorEastAsia" w:hAnsiTheme="minorEastAsia" w:eastAsiaTheme="minorEastAsia"/>
          <w:szCs w:val="21"/>
        </w:rPr>
        <w:tab/>
      </w:r>
      <w:r>
        <w:rPr>
          <w:rFonts w:hint="eastAsia" w:asciiTheme="minorEastAsia" w:hAnsiTheme="minorEastAsia" w:eastAsiaTheme="minorEastAsia"/>
          <w:szCs w:val="21"/>
        </w:rPr>
        <w:t>11-</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_Toc16237236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721D8504">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"_Toc16237237" </w:instrText>
      </w:r>
      <w:r>
        <w:fldChar w:fldCharType="separate"/>
      </w:r>
      <w:r>
        <w:rPr>
          <w:rStyle w:val="42"/>
          <w:rFonts w:hint="eastAsia" w:cs="Arial" w:asciiTheme="minorEastAsia" w:hAnsiTheme="minorEastAsia" w:eastAsiaTheme="minorEastAsia"/>
          <w:szCs w:val="21"/>
        </w:rPr>
        <w:t>第十二部分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基金的投资</w:t>
      </w:r>
      <w:r>
        <w:rPr>
          <w:rFonts w:asciiTheme="minorEastAsia" w:hAnsiTheme="minorEastAsia" w:eastAsiaTheme="minorEastAsia"/>
          <w:szCs w:val="21"/>
        </w:rPr>
        <w:tab/>
      </w:r>
      <w:r>
        <w:rPr>
          <w:rFonts w:hint="eastAsia" w:asciiTheme="minorEastAsia" w:hAnsiTheme="minorEastAsia" w:eastAsiaTheme="minorEastAsia"/>
          <w:szCs w:val="21"/>
        </w:rPr>
        <w:t>12-</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_Toc16237237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5D25FEFF">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"_Toc16237238" </w:instrText>
      </w:r>
      <w:r>
        <w:fldChar w:fldCharType="separate"/>
      </w:r>
      <w:r>
        <w:rPr>
          <w:rStyle w:val="42"/>
          <w:rFonts w:hint="eastAsia" w:cs="Arial" w:asciiTheme="minorEastAsia" w:hAnsiTheme="minorEastAsia" w:eastAsiaTheme="minorEastAsia"/>
          <w:szCs w:val="21"/>
        </w:rPr>
        <w:t>第十三部分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基金的财产</w:t>
      </w:r>
      <w:r>
        <w:rPr>
          <w:rFonts w:asciiTheme="minorEastAsia" w:hAnsiTheme="minorEastAsia" w:eastAsiaTheme="minorEastAsia"/>
          <w:szCs w:val="21"/>
        </w:rPr>
        <w:tab/>
      </w:r>
      <w:r>
        <w:rPr>
          <w:rFonts w:hint="eastAsia" w:asciiTheme="minorEastAsia" w:hAnsiTheme="minorEastAsia" w:eastAsiaTheme="minorEastAsia"/>
          <w:szCs w:val="21"/>
        </w:rPr>
        <w:t>13-</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_Toc16237238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6F68D199">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"_Toc16237239" </w:instrText>
      </w:r>
      <w:r>
        <w:fldChar w:fldCharType="separate"/>
      </w:r>
      <w:r>
        <w:rPr>
          <w:rStyle w:val="42"/>
          <w:rFonts w:hint="eastAsia" w:cs="Arial" w:asciiTheme="minorEastAsia" w:hAnsiTheme="minorEastAsia" w:eastAsiaTheme="minorEastAsia"/>
          <w:szCs w:val="21"/>
        </w:rPr>
        <w:t>第十四部分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基金资产估值</w:t>
      </w:r>
      <w:r>
        <w:rPr>
          <w:rFonts w:asciiTheme="minorEastAsia" w:hAnsiTheme="minorEastAsia" w:eastAsiaTheme="minorEastAsia"/>
          <w:szCs w:val="21"/>
        </w:rPr>
        <w:tab/>
      </w:r>
      <w:r>
        <w:rPr>
          <w:rFonts w:hint="eastAsia" w:asciiTheme="minorEastAsia" w:hAnsiTheme="minorEastAsia" w:eastAsiaTheme="minorEastAsia"/>
          <w:szCs w:val="21"/>
        </w:rPr>
        <w:t>14-</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_Toc16237239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56FF3029">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"_Toc16237240" </w:instrText>
      </w:r>
      <w:r>
        <w:fldChar w:fldCharType="separate"/>
      </w:r>
      <w:r>
        <w:rPr>
          <w:rStyle w:val="42"/>
          <w:rFonts w:hint="eastAsia" w:cs="Arial" w:asciiTheme="minorEastAsia" w:hAnsiTheme="minorEastAsia" w:eastAsiaTheme="minorEastAsia"/>
          <w:szCs w:val="21"/>
        </w:rPr>
        <w:t>第十五部分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基金费用与税收</w:t>
      </w:r>
      <w:r>
        <w:rPr>
          <w:rFonts w:asciiTheme="minorEastAsia" w:hAnsiTheme="minorEastAsia" w:eastAsiaTheme="minorEastAsia"/>
          <w:szCs w:val="21"/>
        </w:rPr>
        <w:tab/>
      </w:r>
      <w:r>
        <w:rPr>
          <w:rFonts w:hint="eastAsia" w:asciiTheme="minorEastAsia" w:hAnsiTheme="minorEastAsia" w:eastAsiaTheme="minorEastAsia"/>
          <w:szCs w:val="21"/>
        </w:rPr>
        <w:t>15-</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_Toc16237240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7FEE3BE2">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"_Toc16237241" </w:instrText>
      </w:r>
      <w:r>
        <w:fldChar w:fldCharType="separate"/>
      </w:r>
      <w:r>
        <w:rPr>
          <w:rStyle w:val="42"/>
          <w:rFonts w:hint="eastAsia" w:cs="Arial" w:asciiTheme="minorEastAsia" w:hAnsiTheme="minorEastAsia" w:eastAsiaTheme="minorEastAsia"/>
          <w:szCs w:val="21"/>
        </w:rPr>
        <w:t>第十六部分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基金的收益与分配</w:t>
      </w:r>
      <w:r>
        <w:rPr>
          <w:rFonts w:asciiTheme="minorEastAsia" w:hAnsiTheme="minorEastAsia" w:eastAsiaTheme="minorEastAsia"/>
          <w:szCs w:val="21"/>
        </w:rPr>
        <w:tab/>
      </w:r>
      <w:r>
        <w:rPr>
          <w:rFonts w:hint="eastAsia" w:asciiTheme="minorEastAsia" w:hAnsiTheme="minorEastAsia" w:eastAsiaTheme="minorEastAsia"/>
          <w:szCs w:val="21"/>
        </w:rPr>
        <w:t>16-</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_Toc16237241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51635D80">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"_Toc16237242" </w:instrText>
      </w:r>
      <w:r>
        <w:fldChar w:fldCharType="separate"/>
      </w:r>
      <w:r>
        <w:rPr>
          <w:rStyle w:val="42"/>
          <w:rFonts w:hint="eastAsia" w:cs="Arial" w:asciiTheme="minorEastAsia" w:hAnsiTheme="minorEastAsia" w:eastAsiaTheme="minorEastAsia"/>
          <w:szCs w:val="21"/>
        </w:rPr>
        <w:t>第十七部分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基金的会计</w:t>
      </w:r>
      <w:r>
        <w:rPr>
          <w:rStyle w:val="42"/>
          <w:rFonts w:hint="eastAsia" w:cs="Arial" w:asciiTheme="minorEastAsia" w:hAnsiTheme="minorEastAsia" w:eastAsiaTheme="minorEastAsia"/>
          <w:szCs w:val="21"/>
        </w:rPr>
        <w:t>和</w:t>
      </w:r>
      <w:r>
        <w:rPr>
          <w:rStyle w:val="42"/>
          <w:rFonts w:hint="eastAsia" w:asciiTheme="minorEastAsia" w:hAnsiTheme="minorEastAsia" w:eastAsiaTheme="minorEastAsia"/>
          <w:szCs w:val="21"/>
        </w:rPr>
        <w:t>审计</w:t>
      </w:r>
      <w:r>
        <w:rPr>
          <w:rFonts w:asciiTheme="minorEastAsia" w:hAnsiTheme="minorEastAsia" w:eastAsiaTheme="minorEastAsia"/>
          <w:szCs w:val="21"/>
        </w:rPr>
        <w:tab/>
      </w:r>
      <w:r>
        <w:rPr>
          <w:rFonts w:hint="eastAsia" w:asciiTheme="minorEastAsia" w:hAnsiTheme="minorEastAsia" w:eastAsiaTheme="minorEastAsia"/>
          <w:szCs w:val="21"/>
        </w:rPr>
        <w:t>17-</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_Toc16237242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2397E83F">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"_Toc16237243" </w:instrText>
      </w:r>
      <w:r>
        <w:fldChar w:fldCharType="separate"/>
      </w:r>
      <w:r>
        <w:rPr>
          <w:rStyle w:val="42"/>
          <w:rFonts w:hint="eastAsia" w:cs="Arial" w:asciiTheme="minorEastAsia" w:hAnsiTheme="minorEastAsia" w:eastAsiaTheme="minorEastAsia"/>
          <w:szCs w:val="21"/>
        </w:rPr>
        <w:t>第十八部分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基金的信息披露</w:t>
      </w:r>
      <w:r>
        <w:rPr>
          <w:rFonts w:asciiTheme="minorEastAsia" w:hAnsiTheme="minorEastAsia" w:eastAsiaTheme="minorEastAsia"/>
          <w:szCs w:val="21"/>
        </w:rPr>
        <w:tab/>
      </w:r>
      <w:r>
        <w:rPr>
          <w:rFonts w:hint="eastAsia" w:asciiTheme="minorEastAsia" w:hAnsiTheme="minorEastAsia" w:eastAsiaTheme="minorEastAsia"/>
          <w:szCs w:val="21"/>
        </w:rPr>
        <w:t>18-</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_Toc16237243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48649399">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"_Toc16237244" </w:instrText>
      </w:r>
      <w:r>
        <w:fldChar w:fldCharType="separate"/>
      </w:r>
      <w:r>
        <w:rPr>
          <w:rStyle w:val="42"/>
          <w:rFonts w:hint="eastAsia" w:cs="Arial" w:asciiTheme="minorEastAsia" w:hAnsiTheme="minorEastAsia" w:eastAsiaTheme="minorEastAsia"/>
          <w:szCs w:val="21"/>
        </w:rPr>
        <w:t>第十九部分</w:t>
      </w:r>
      <w:r>
        <w:rPr>
          <w:rStyle w:val="42"/>
          <w:rFonts w:cs="Arial" w:asciiTheme="minorEastAsia" w:hAnsiTheme="minorEastAsia" w:eastAsiaTheme="minorEastAsia"/>
          <w:szCs w:val="21"/>
        </w:rPr>
        <w:t xml:space="preserve"> </w:t>
      </w:r>
      <w:r>
        <w:rPr>
          <w:rStyle w:val="42"/>
          <w:rFonts w:hint="eastAsia" w:cs="Arial" w:asciiTheme="minorEastAsia" w:hAnsiTheme="minorEastAsia" w:eastAsiaTheme="minorEastAsia"/>
          <w:szCs w:val="21"/>
        </w:rPr>
        <w:t>基金合同的变更、终止与基金财产的清算</w:t>
      </w:r>
      <w:r>
        <w:rPr>
          <w:rFonts w:asciiTheme="minorEastAsia" w:hAnsiTheme="minorEastAsia" w:eastAsiaTheme="minorEastAsia"/>
          <w:szCs w:val="21"/>
        </w:rPr>
        <w:tab/>
      </w:r>
      <w:r>
        <w:rPr>
          <w:rFonts w:hint="eastAsia" w:asciiTheme="minorEastAsia" w:hAnsiTheme="minorEastAsia" w:eastAsiaTheme="minorEastAsia"/>
          <w:szCs w:val="21"/>
        </w:rPr>
        <w:t>19-</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_Toc16237244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69C555E9">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"_Toc16237245" </w:instrText>
      </w:r>
      <w:r>
        <w:fldChar w:fldCharType="separate"/>
      </w:r>
      <w:r>
        <w:rPr>
          <w:rStyle w:val="42"/>
          <w:rFonts w:hint="eastAsia" w:cs="Arial" w:asciiTheme="minorEastAsia" w:hAnsiTheme="minorEastAsia" w:eastAsiaTheme="minorEastAsia"/>
          <w:szCs w:val="21"/>
        </w:rPr>
        <w:t>第二十部分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违约责任</w:t>
      </w:r>
      <w:r>
        <w:rPr>
          <w:rFonts w:asciiTheme="minorEastAsia" w:hAnsiTheme="minorEastAsia" w:eastAsiaTheme="minorEastAsia"/>
          <w:szCs w:val="21"/>
        </w:rPr>
        <w:tab/>
      </w:r>
      <w:r>
        <w:rPr>
          <w:rFonts w:hint="eastAsia" w:asciiTheme="minorEastAsia" w:hAnsiTheme="minorEastAsia" w:eastAsiaTheme="minorEastAsia"/>
          <w:szCs w:val="21"/>
        </w:rPr>
        <w:t>20-</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_Toc16237245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537E4EE6">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"_Toc16237246" </w:instrText>
      </w:r>
      <w:r>
        <w:fldChar w:fldCharType="separate"/>
      </w:r>
      <w:r>
        <w:rPr>
          <w:rStyle w:val="42"/>
          <w:rFonts w:hint="eastAsia" w:cs="Arial" w:asciiTheme="minorEastAsia" w:hAnsiTheme="minorEastAsia" w:eastAsiaTheme="minorEastAsia"/>
          <w:szCs w:val="21"/>
        </w:rPr>
        <w:t>第二十一部分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争议的处理和适用的法律</w:t>
      </w:r>
      <w:r>
        <w:rPr>
          <w:rFonts w:asciiTheme="minorEastAsia" w:hAnsiTheme="minorEastAsia" w:eastAsiaTheme="minorEastAsia"/>
          <w:szCs w:val="21"/>
        </w:rPr>
        <w:tab/>
      </w:r>
      <w:r>
        <w:rPr>
          <w:rFonts w:hint="eastAsia" w:asciiTheme="minorEastAsia" w:hAnsiTheme="minorEastAsia" w:eastAsiaTheme="minorEastAsia"/>
          <w:szCs w:val="21"/>
        </w:rPr>
        <w:t>21-</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_Toc16237246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6174BB4F">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"_Toc16237247" </w:instrText>
      </w:r>
      <w:r>
        <w:fldChar w:fldCharType="separate"/>
      </w:r>
      <w:r>
        <w:rPr>
          <w:rStyle w:val="42"/>
          <w:rFonts w:hint="eastAsia" w:cs="Arial" w:asciiTheme="minorEastAsia" w:hAnsiTheme="minorEastAsia" w:eastAsiaTheme="minorEastAsia"/>
          <w:szCs w:val="21"/>
        </w:rPr>
        <w:t>第二十二部分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基金合同的效力</w:t>
      </w:r>
      <w:r>
        <w:rPr>
          <w:rFonts w:asciiTheme="minorEastAsia" w:hAnsiTheme="minorEastAsia" w:eastAsiaTheme="minorEastAsia"/>
          <w:szCs w:val="21"/>
        </w:rPr>
        <w:tab/>
      </w:r>
      <w:r>
        <w:rPr>
          <w:rFonts w:hint="eastAsia" w:asciiTheme="minorEastAsia" w:hAnsiTheme="minorEastAsia" w:eastAsiaTheme="minorEastAsia"/>
          <w:szCs w:val="21"/>
        </w:rPr>
        <w:t>22-</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_Toc16237247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3C774B36">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"_Toc16237248" </w:instrText>
      </w:r>
      <w:r>
        <w:fldChar w:fldCharType="separate"/>
      </w:r>
      <w:r>
        <w:rPr>
          <w:rStyle w:val="42"/>
          <w:rFonts w:hint="eastAsia" w:cs="Arial" w:asciiTheme="minorEastAsia" w:hAnsiTheme="minorEastAsia" w:eastAsiaTheme="minorEastAsia"/>
          <w:szCs w:val="21"/>
        </w:rPr>
        <w:t>第二十三部分</w:t>
      </w:r>
      <w:r>
        <w:rPr>
          <w:rStyle w:val="42"/>
          <w:rFonts w:cs="Arial" w:asciiTheme="minorEastAsia" w:hAnsiTheme="minorEastAsia" w:eastAsiaTheme="minorEastAsia"/>
          <w:szCs w:val="21"/>
        </w:rPr>
        <w:t xml:space="preserve"> </w:t>
      </w:r>
      <w:r>
        <w:rPr>
          <w:rStyle w:val="42"/>
          <w:rFonts w:hint="eastAsia" w:asciiTheme="minorEastAsia" w:hAnsiTheme="minorEastAsia" w:eastAsiaTheme="minorEastAsia"/>
          <w:szCs w:val="21"/>
        </w:rPr>
        <w:t>其他事项</w:t>
      </w:r>
      <w:r>
        <w:rPr>
          <w:rFonts w:asciiTheme="minorEastAsia" w:hAnsiTheme="minorEastAsia" w:eastAsiaTheme="minorEastAsia"/>
          <w:szCs w:val="21"/>
        </w:rPr>
        <w:tab/>
      </w:r>
      <w:r>
        <w:rPr>
          <w:rFonts w:hint="eastAsia" w:asciiTheme="minorEastAsia" w:hAnsiTheme="minorEastAsia" w:eastAsiaTheme="minorEastAsia"/>
          <w:szCs w:val="21"/>
        </w:rPr>
        <w:t>23-</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_Toc16237248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462F3F24">
      <w:pPr>
        <w:pStyle w:val="26"/>
        <w:tabs>
          <w:tab w:val="right" w:leader="dot" w:pos="8494"/>
        </w:tabs>
        <w:spacing w:line="360" w:lineRule="auto"/>
        <w:rPr>
          <w:rFonts w:asciiTheme="minorEastAsia" w:hAnsiTheme="minorEastAsia" w:eastAsiaTheme="minorEastAsia" w:cstheme="minorBidi"/>
          <w:szCs w:val="21"/>
        </w:rPr>
      </w:pPr>
      <w:r>
        <w:fldChar w:fldCharType="begin"/>
      </w:r>
      <w:r>
        <w:instrText xml:space="preserve"> HYPERLINK \l "_Toc16237249" </w:instrText>
      </w:r>
      <w:r>
        <w:fldChar w:fldCharType="separate"/>
      </w:r>
      <w:r>
        <w:rPr>
          <w:rStyle w:val="42"/>
          <w:rFonts w:hint="eastAsia" w:asciiTheme="minorEastAsia" w:hAnsiTheme="minorEastAsia" w:eastAsiaTheme="minorEastAsia"/>
          <w:szCs w:val="21"/>
        </w:rPr>
        <w:t>第二十四部分</w:t>
      </w:r>
      <w:r>
        <w:rPr>
          <w:rStyle w:val="42"/>
          <w:rFonts w:asciiTheme="minorEastAsia" w:hAnsiTheme="minorEastAsia" w:eastAsiaTheme="minorEastAsia"/>
          <w:szCs w:val="21"/>
        </w:rPr>
        <w:t xml:space="preserve"> </w:t>
      </w:r>
      <w:r>
        <w:rPr>
          <w:rStyle w:val="42"/>
          <w:rFonts w:hint="eastAsia" w:asciiTheme="minorEastAsia" w:hAnsiTheme="minorEastAsia" w:eastAsiaTheme="minorEastAsia"/>
          <w:szCs w:val="21"/>
        </w:rPr>
        <w:t>基金合同摘要</w:t>
      </w:r>
      <w:r>
        <w:rPr>
          <w:rFonts w:asciiTheme="minorEastAsia" w:hAnsiTheme="minorEastAsia" w:eastAsiaTheme="minorEastAsia"/>
          <w:szCs w:val="21"/>
        </w:rPr>
        <w:tab/>
      </w:r>
      <w:r>
        <w:rPr>
          <w:rFonts w:hint="eastAsia" w:asciiTheme="minorEastAsia" w:hAnsiTheme="minorEastAsia" w:eastAsiaTheme="minorEastAsia"/>
          <w:szCs w:val="21"/>
        </w:rPr>
        <w:t>24-</w:t>
      </w:r>
      <w:r>
        <w:rPr>
          <w:rFonts w:asciiTheme="minorEastAsia" w:hAnsiTheme="minorEastAsia" w:eastAsiaTheme="minorEastAsia"/>
          <w:szCs w:val="21"/>
        </w:rPr>
        <w:fldChar w:fldCharType="begin"/>
      </w:r>
      <w:r>
        <w:rPr>
          <w:rFonts w:asciiTheme="minorEastAsia" w:hAnsiTheme="minorEastAsia" w:eastAsiaTheme="minorEastAsia"/>
          <w:szCs w:val="21"/>
        </w:rPr>
        <w:instrText xml:space="preserve"> PAGEREF _Toc16237249 \h </w:instrText>
      </w:r>
      <w:r>
        <w:rPr>
          <w:rFonts w:asciiTheme="minorEastAsia" w:hAnsiTheme="minorEastAsia" w:eastAsiaTheme="minorEastAsia"/>
          <w:szCs w:val="21"/>
        </w:rPr>
        <w:fldChar w:fldCharType="separate"/>
      </w:r>
      <w:r>
        <w:rPr>
          <w:rFonts w:asciiTheme="minorEastAsia" w:hAnsiTheme="minorEastAsia" w:eastAsiaTheme="minorEastAsia"/>
          <w:szCs w:val="21"/>
        </w:rPr>
        <w:t>1</w:t>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442F8AFE">
      <w:pPr>
        <w:adjustRightInd w:val="0"/>
        <w:snapToGrid w:val="0"/>
        <w:spacing w:line="360" w:lineRule="auto"/>
        <w:rPr>
          <w:rFonts w:asciiTheme="minorEastAsia" w:hAnsiTheme="minorEastAsia" w:eastAsiaTheme="minorEastAsia"/>
        </w:rPr>
        <w:sectPr>
          <w:pgSz w:w="11906" w:h="16838"/>
          <w:pgMar w:top="1418" w:right="1701" w:bottom="1418" w:left="1701" w:header="851" w:footer="992" w:gutter="0"/>
          <w:pgNumType w:start="1"/>
          <w:cols w:space="425" w:num="1"/>
          <w:docGrid w:type="lines" w:linePitch="312" w:charSpace="0"/>
        </w:sectPr>
      </w:pPr>
      <w:r>
        <w:rPr>
          <w:rFonts w:asciiTheme="minorEastAsia" w:hAnsiTheme="minorEastAsia" w:eastAsiaTheme="minorEastAsia"/>
          <w:szCs w:val="21"/>
        </w:rPr>
        <w:fldChar w:fldCharType="end"/>
      </w:r>
    </w:p>
    <w:bookmarkEnd w:id="17"/>
    <w:p w14:paraId="3992FD3A">
      <w:pPr>
        <w:pStyle w:val="3"/>
        <w:adjustRightInd w:val="0"/>
        <w:snapToGrid w:val="0"/>
        <w:spacing w:before="312" w:beforeLines="100" w:after="0" w:line="360" w:lineRule="auto"/>
        <w:rPr>
          <w:rFonts w:cs="Arial" w:asciiTheme="minorEastAsia" w:hAnsiTheme="minorEastAsia" w:eastAsiaTheme="minorEastAsia"/>
          <w:sz w:val="21"/>
          <w:szCs w:val="21"/>
        </w:rPr>
      </w:pPr>
      <w:bookmarkStart w:id="36" w:name="CTS_921ae1d3227e4516ae660962f383fade"/>
      <w:bookmarkEnd w:id="36"/>
      <w:bookmarkStart w:id="37" w:name="_Toc90742318"/>
      <w:bookmarkStart w:id="38" w:name="_Toc90742387"/>
      <w:bookmarkStart w:id="39" w:name="CLAUSE_921ae1d3227e4516ae660962f383fade"/>
      <w:r>
        <w:rPr>
          <w:rFonts w:hint="eastAsia" w:cs="Arial" w:asciiTheme="minorEastAsia" w:hAnsiTheme="minorEastAsia" w:eastAsiaTheme="minorEastAsia"/>
          <w:sz w:val="21"/>
          <w:szCs w:val="21"/>
        </w:rPr>
        <w:t xml:space="preserve"> </w:t>
      </w:r>
      <w:bookmarkStart w:id="40" w:name="_Toc16237226"/>
      <w:r>
        <w:rPr>
          <w:rFonts w:hint="eastAsia" w:cs="Arial" w:asciiTheme="minorEastAsia" w:hAnsiTheme="minorEastAsia" w:eastAsiaTheme="minorEastAsia"/>
          <w:sz w:val="21"/>
          <w:szCs w:val="21"/>
        </w:rPr>
        <w:t>第一部分 前言</w:t>
      </w:r>
      <w:bookmarkEnd w:id="19"/>
      <w:bookmarkEnd w:id="20"/>
      <w:bookmarkEnd w:id="21"/>
      <w:bookmarkEnd w:id="22"/>
      <w:bookmarkEnd w:id="23"/>
      <w:bookmarkEnd w:id="24"/>
      <w:bookmarkEnd w:id="25"/>
      <w:bookmarkEnd w:id="26"/>
      <w:bookmarkEnd w:id="27"/>
      <w:bookmarkEnd w:id="28"/>
      <w:bookmarkEnd w:id="29"/>
      <w:bookmarkEnd w:id="30"/>
      <w:bookmarkEnd w:id="31"/>
      <w:bookmarkEnd w:id="37"/>
      <w:bookmarkEnd w:id="38"/>
      <w:bookmarkEnd w:id="40"/>
    </w:p>
    <w:bookmarkEnd w:id="32"/>
    <w:bookmarkEnd w:id="33"/>
    <w:bookmarkEnd w:id="34"/>
    <w:p w14:paraId="734D43E3">
      <w:pPr>
        <w:rPr>
          <w:rFonts w:asciiTheme="minorEastAsia" w:hAnsiTheme="minorEastAsia" w:eastAsiaTheme="minorEastAsia"/>
          <w:bCs/>
        </w:rPr>
      </w:pPr>
      <w:bookmarkStart w:id="41" w:name="_Toc139991731"/>
    </w:p>
    <w:bookmarkEnd w:id="41"/>
    <w:p w14:paraId="10DFDFB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w:t>
      </w:r>
      <w:bookmarkStart w:id="42" w:name="_Toc258829399"/>
      <w:r>
        <w:rPr>
          <w:rFonts w:hint="eastAsia" w:asciiTheme="minorEastAsia" w:hAnsiTheme="minorEastAsia" w:eastAsiaTheme="minorEastAsia"/>
        </w:rPr>
        <w:t>订立本基金合同的目的、依据和原则</w:t>
      </w:r>
    </w:p>
    <w:p w14:paraId="4F7705B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cs="Arial" w:asciiTheme="minorEastAsia" w:hAnsiTheme="minorEastAsia" w:eastAsiaTheme="minorEastAsia"/>
          <w:szCs w:val="21"/>
        </w:rPr>
        <w:t>.</w:t>
      </w:r>
      <w:r>
        <w:rPr>
          <w:rFonts w:hint="eastAsia" w:asciiTheme="minorEastAsia" w:hAnsiTheme="minorEastAsia" w:eastAsiaTheme="minorEastAsia"/>
        </w:rPr>
        <w:t>订立本基金合同的目的是保护投资人合法权益，明确基金合同当事人的权利义务，规范基金运作。</w:t>
      </w:r>
    </w:p>
    <w:p w14:paraId="53371D4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cs="Arial" w:asciiTheme="minorEastAsia" w:hAnsiTheme="minorEastAsia" w:eastAsiaTheme="minorEastAsia"/>
          <w:szCs w:val="21"/>
        </w:rPr>
        <w:t>.</w:t>
      </w:r>
      <w:r>
        <w:rPr>
          <w:rFonts w:hint="eastAsia" w:asciiTheme="minorEastAsia" w:hAnsiTheme="minorEastAsia" w:eastAsiaTheme="minorEastAsia"/>
        </w:rPr>
        <w:t>订立本基金合同的依据是《中华人民共和国民法典》、《中华人民共和国证券投资基金法》</w:t>
      </w:r>
      <w:r>
        <w:rPr>
          <w:rFonts w:hint="eastAsia" w:cs="Arial" w:asciiTheme="minorEastAsia" w:hAnsiTheme="minorEastAsia" w:eastAsiaTheme="minorEastAsia"/>
          <w:szCs w:val="21"/>
        </w:rPr>
        <w:t>（</w:t>
      </w:r>
      <w:r>
        <w:rPr>
          <w:rFonts w:hint="eastAsia" w:asciiTheme="minorEastAsia" w:hAnsiTheme="minorEastAsia" w:eastAsiaTheme="minorEastAsia"/>
        </w:rPr>
        <w:t>以下简称</w:t>
      </w:r>
      <w:r>
        <w:rPr>
          <w:rFonts w:asciiTheme="minorEastAsia" w:hAnsiTheme="minorEastAsia" w:eastAsiaTheme="minorEastAsia"/>
        </w:rPr>
        <w:t>“</w:t>
      </w:r>
      <w:r>
        <w:rPr>
          <w:rFonts w:hint="eastAsia" w:asciiTheme="minorEastAsia" w:hAnsiTheme="minorEastAsia" w:eastAsiaTheme="minorEastAsia"/>
        </w:rPr>
        <w:t>《基金法》</w:t>
      </w:r>
      <w:r>
        <w:rPr>
          <w:rFonts w:asciiTheme="minorEastAsia" w:hAnsiTheme="minorEastAsia" w:eastAsiaTheme="minorEastAsia"/>
        </w:rPr>
        <w:t>”</w:t>
      </w:r>
      <w:r>
        <w:rPr>
          <w:rFonts w:hint="eastAsia" w:cs="Arial" w:asciiTheme="minorEastAsia" w:hAnsiTheme="minorEastAsia" w:eastAsiaTheme="minorEastAsia"/>
          <w:szCs w:val="21"/>
        </w:rPr>
        <w:t>）</w:t>
      </w:r>
      <w:r>
        <w:rPr>
          <w:rFonts w:asciiTheme="minorEastAsia" w:hAnsiTheme="minorEastAsia" w:eastAsiaTheme="minorEastAsia"/>
        </w:rPr>
        <w:t>、《</w:t>
      </w:r>
      <w:r>
        <w:rPr>
          <w:rFonts w:hint="eastAsia" w:asciiTheme="minorEastAsia" w:hAnsiTheme="minorEastAsia" w:eastAsiaTheme="minorEastAsia"/>
        </w:rPr>
        <w:t>公开募集</w:t>
      </w:r>
      <w:r>
        <w:rPr>
          <w:rFonts w:asciiTheme="minorEastAsia" w:hAnsiTheme="minorEastAsia" w:eastAsiaTheme="minorEastAsia"/>
        </w:rPr>
        <w:t>证券投资基金运作管理办法》</w:t>
      </w:r>
      <w:r>
        <w:rPr>
          <w:rFonts w:hint="eastAsia" w:cs="Arial" w:asciiTheme="minorEastAsia" w:hAnsiTheme="minorEastAsia" w:eastAsiaTheme="minorEastAsia"/>
          <w:szCs w:val="21"/>
        </w:rPr>
        <w:t>（</w:t>
      </w:r>
      <w:r>
        <w:rPr>
          <w:rFonts w:hint="eastAsia" w:asciiTheme="minorEastAsia" w:hAnsiTheme="minorEastAsia" w:eastAsiaTheme="minorEastAsia"/>
        </w:rPr>
        <w:t>以下简称</w:t>
      </w:r>
      <w:r>
        <w:rPr>
          <w:rFonts w:asciiTheme="minorEastAsia" w:hAnsiTheme="minorEastAsia" w:eastAsiaTheme="minorEastAsia"/>
        </w:rPr>
        <w:t>“</w:t>
      </w:r>
      <w:r>
        <w:rPr>
          <w:rFonts w:hint="eastAsia" w:asciiTheme="minorEastAsia" w:hAnsiTheme="minorEastAsia" w:eastAsiaTheme="minorEastAsia"/>
        </w:rPr>
        <w:t>《运作办法》</w:t>
      </w:r>
      <w:r>
        <w:rPr>
          <w:rFonts w:asciiTheme="minorEastAsia" w:hAnsiTheme="minorEastAsia" w:eastAsiaTheme="minorEastAsia"/>
        </w:rPr>
        <w:t>”</w:t>
      </w:r>
      <w:r>
        <w:rPr>
          <w:rFonts w:hint="eastAsia" w:cs="Arial" w:asciiTheme="minorEastAsia" w:hAnsiTheme="minorEastAsia" w:eastAsiaTheme="minorEastAsia"/>
          <w:szCs w:val="21"/>
        </w:rPr>
        <w:t>）</w:t>
      </w:r>
      <w:r>
        <w:rPr>
          <w:rFonts w:hint="eastAsia" w:asciiTheme="minorEastAsia" w:hAnsiTheme="minorEastAsia" w:eastAsiaTheme="minorEastAsia"/>
        </w:rPr>
        <w:t>、《公开募集证券投资基金销售机构监督管理办法》</w:t>
      </w:r>
      <w:r>
        <w:rPr>
          <w:rFonts w:hint="eastAsia" w:cs="Arial" w:asciiTheme="minorEastAsia" w:hAnsiTheme="minorEastAsia" w:eastAsiaTheme="minorEastAsia"/>
          <w:szCs w:val="21"/>
        </w:rPr>
        <w:t>（</w:t>
      </w:r>
      <w:r>
        <w:rPr>
          <w:rFonts w:hint="eastAsia" w:asciiTheme="minorEastAsia" w:hAnsiTheme="minorEastAsia" w:eastAsiaTheme="minorEastAsia"/>
        </w:rPr>
        <w:t>以下简称</w:t>
      </w:r>
      <w:r>
        <w:rPr>
          <w:rFonts w:asciiTheme="minorEastAsia" w:hAnsiTheme="minorEastAsia" w:eastAsiaTheme="minorEastAsia"/>
        </w:rPr>
        <w:t>“</w:t>
      </w:r>
      <w:r>
        <w:rPr>
          <w:rFonts w:hint="eastAsia" w:asciiTheme="minorEastAsia" w:hAnsiTheme="minorEastAsia" w:eastAsiaTheme="minorEastAsia"/>
        </w:rPr>
        <w:t>《销售办法》</w:t>
      </w:r>
      <w:r>
        <w:rPr>
          <w:rFonts w:asciiTheme="minorEastAsia" w:hAnsiTheme="minorEastAsia" w:eastAsiaTheme="minorEastAsia"/>
        </w:rPr>
        <w:t>”</w:t>
      </w:r>
      <w:r>
        <w:rPr>
          <w:rFonts w:hint="eastAsia" w:cs="Arial" w:asciiTheme="minorEastAsia" w:hAnsiTheme="minorEastAsia" w:eastAsiaTheme="minorEastAsia"/>
          <w:szCs w:val="21"/>
        </w:rPr>
        <w:t>）</w:t>
      </w:r>
      <w:r>
        <w:rPr>
          <w:rFonts w:hint="eastAsia" w:asciiTheme="minorEastAsia" w:hAnsiTheme="minorEastAsia" w:eastAsiaTheme="minorEastAsia"/>
        </w:rPr>
        <w:t>、《公开募集证券投资基金信息披露管理办法》</w:t>
      </w:r>
      <w:r>
        <w:rPr>
          <w:rFonts w:hint="eastAsia" w:cs="Arial" w:asciiTheme="minorEastAsia" w:hAnsiTheme="minorEastAsia" w:eastAsiaTheme="minorEastAsia"/>
          <w:szCs w:val="21"/>
        </w:rPr>
        <w:t>（</w:t>
      </w:r>
      <w:r>
        <w:rPr>
          <w:rFonts w:hint="eastAsia" w:asciiTheme="minorEastAsia" w:hAnsiTheme="minorEastAsia" w:eastAsiaTheme="minorEastAsia"/>
        </w:rPr>
        <w:t>以下简称</w:t>
      </w:r>
      <w:r>
        <w:rPr>
          <w:rFonts w:asciiTheme="minorEastAsia" w:hAnsiTheme="minorEastAsia" w:eastAsiaTheme="minorEastAsia"/>
        </w:rPr>
        <w:t>“</w:t>
      </w:r>
      <w:r>
        <w:rPr>
          <w:rFonts w:hint="eastAsia" w:asciiTheme="minorEastAsia" w:hAnsiTheme="minorEastAsia" w:eastAsiaTheme="minorEastAsia"/>
        </w:rPr>
        <w:t>《信息披露办法》</w:t>
      </w:r>
      <w:r>
        <w:rPr>
          <w:rFonts w:asciiTheme="minorEastAsia" w:hAnsiTheme="minorEastAsia" w:eastAsiaTheme="minorEastAsia"/>
        </w:rPr>
        <w:t>”</w:t>
      </w:r>
      <w:r>
        <w:rPr>
          <w:rFonts w:hint="eastAsia" w:asciiTheme="minorEastAsia" w:hAnsiTheme="minorEastAsia" w:eastAsiaTheme="minorEastAsia"/>
        </w:rPr>
        <w:t>）、《公开募集开放式证券投资基金流动性风险管理规定》（以下简称“《流动性风险管理规定》”）、《公开募集证券投资基金运作指引第2号——基金中基金指引》、《公开募集证券投资基金运作指引第3号——指数基金指引》（以下简称“《指数基金指引》”）和其他有关法律法规。</w:t>
      </w:r>
    </w:p>
    <w:p w14:paraId="2F1A5F5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cs="Arial" w:asciiTheme="minorEastAsia" w:hAnsiTheme="minorEastAsia" w:eastAsiaTheme="minorEastAsia"/>
          <w:szCs w:val="21"/>
        </w:rPr>
        <w:t>.</w:t>
      </w:r>
      <w:r>
        <w:rPr>
          <w:rFonts w:hint="eastAsia" w:asciiTheme="minorEastAsia" w:hAnsiTheme="minorEastAsia" w:eastAsiaTheme="minorEastAsia"/>
        </w:rPr>
        <w:t>订立本基金合同的原则是平等自愿、诚实信用、充分保护投资人合法权益。</w:t>
      </w:r>
    </w:p>
    <w:p w14:paraId="1F66F33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0C0FDE8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59570673">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博时恒生港股通红利交易型开放式指数证券投资基金</w:t>
      </w:r>
      <w:r>
        <w:rPr>
          <w:rFonts w:cs="Arial" w:asciiTheme="minorEastAsia" w:hAnsiTheme="minorEastAsia" w:eastAsiaTheme="minorEastAsia"/>
          <w:szCs w:val="21"/>
        </w:rPr>
        <w:t>发起式联接基金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由博时恒生港股通高股息率交易型开放式指数证券投资基金</w:t>
      </w:r>
      <w:r>
        <w:rPr>
          <w:rFonts w:cs="Arial" w:asciiTheme="minorEastAsia" w:hAnsiTheme="minorEastAsia" w:eastAsiaTheme="minorEastAsia"/>
          <w:szCs w:val="21"/>
        </w:rPr>
        <w:t>发起式联接基金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更名而来。</w:t>
      </w:r>
      <w:r>
        <w:rPr>
          <w:rFonts w:asciiTheme="minorEastAsia" w:hAnsiTheme="minorEastAsia" w:eastAsiaTheme="minorEastAsia"/>
        </w:rPr>
        <w:t>博时恒生港股通高股息率交易型开放式指数证券投资基金发起式联接基金</w:t>
      </w:r>
      <w:r>
        <w:rPr>
          <w:rFonts w:hint="eastAsia" w:asciiTheme="minorEastAsia" w:hAnsiTheme="minorEastAsia" w:eastAsiaTheme="minorEastAsia"/>
        </w:rPr>
        <w:t>（以下简称“基金”或“本基金”）由基金管理人依照《基金法》、基金合同及其他有关规定募集，并经中国证券监督管理委员会</w:t>
      </w:r>
      <w:r>
        <w:rPr>
          <w:rFonts w:asciiTheme="minorEastAsia" w:hAnsiTheme="minorEastAsia" w:eastAsiaTheme="minorEastAsia"/>
        </w:rPr>
        <w:t>(</w:t>
      </w:r>
      <w:r>
        <w:rPr>
          <w:rFonts w:hint="eastAsia" w:asciiTheme="minorEastAsia" w:hAnsiTheme="minorEastAsia" w:eastAsiaTheme="minorEastAsia"/>
        </w:rPr>
        <w:t>以下简称“中国证监会”</w:t>
      </w:r>
      <w:r>
        <w:rPr>
          <w:rFonts w:asciiTheme="minorEastAsia" w:hAnsiTheme="minorEastAsia" w:eastAsiaTheme="minorEastAsia"/>
        </w:rPr>
        <w:t>)</w:t>
      </w:r>
      <w:r>
        <w:rPr>
          <w:rFonts w:hint="eastAsia" w:asciiTheme="minorEastAsia" w:hAnsiTheme="minorEastAsia" w:eastAsiaTheme="minorEastAsia"/>
        </w:rPr>
        <w:t>注册。</w:t>
      </w:r>
    </w:p>
    <w:p w14:paraId="11601F4C">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中国证监会对本基金募集的注册，并不表明其对本基金的投资价值和市场前景做出实质性判断或保证，也不表明投资于本基金没有风险。</w:t>
      </w:r>
    </w:p>
    <w:p w14:paraId="50D495A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基金管理人依照恪尽职守、诚实信用、谨慎勤勉的原则管理和运用基金财产，但不保证投资于本基金一定盈利，也不保证最低收益。</w:t>
      </w:r>
    </w:p>
    <w:p w14:paraId="45B2189F">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投资者应当认真阅读基金招募说明书、基金合同、基金产品资料概要等信息披露文件，自主判断基金的投资价值，自主做出投资决策，自行承担投资风险。</w:t>
      </w:r>
    </w:p>
    <w:p w14:paraId="2FF2F4EA">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四、本基金基金资产可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14:paraId="76D0E49D">
      <w:pPr>
        <w:adjustRightInd w:val="0"/>
        <w:snapToGrid w:val="0"/>
        <w:spacing w:line="360" w:lineRule="auto"/>
        <w:ind w:firstLine="420" w:firstLineChars="200"/>
        <w:rPr>
          <w:rFonts w:asciiTheme="minorEastAsia" w:hAnsiTheme="minorEastAsia" w:eastAsiaTheme="minorEastAsia"/>
        </w:rPr>
      </w:pPr>
      <w:r>
        <w:rPr>
          <w:rFonts w:hint="eastAsia" w:cs="Arial" w:asciiTheme="minorEastAsia" w:hAnsiTheme="minorEastAsia" w:eastAsiaTheme="minorEastAsia"/>
          <w:szCs w:val="21"/>
        </w:rPr>
        <w:t>五、</w:t>
      </w:r>
      <w:r>
        <w:rPr>
          <w:rFonts w:hint="eastAsia" w:asciiTheme="minorEastAsia" w:hAnsiTheme="minorEastAsia" w:eastAsiaTheme="minorEastAsia"/>
        </w:rPr>
        <w:t>基金管理人、基金托管人在本基金合同之外披露涉及本基金的信息，其内容涉及界定基金合同当事人之间权利义务关系的，如与基金合同有冲突，以基金合同为准。</w:t>
      </w:r>
    </w:p>
    <w:p w14:paraId="60B98ED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六、本基金按照中国法律法规成立并运作，若基金合同的内容与届时有效的法律法规的强制性规定不一致，应当以届时有效的法律法规的规定为准。</w:t>
      </w:r>
    </w:p>
    <w:p w14:paraId="43066ED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5E839A7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八、本基金的投资范围包括存托凭证，除与其他仅投资于沪深市场股票的基金所面临的共同风险外，本基金还将面临存托凭证价格大幅波动甚至出现较大亏损的风险，以及与存托凭证发行机制相关的风险。</w:t>
      </w:r>
    </w:p>
    <w:p w14:paraId="031B4E0E">
      <w:pPr>
        <w:adjustRightInd w:val="0"/>
        <w:snapToGrid w:val="0"/>
        <w:spacing w:line="360" w:lineRule="auto"/>
        <w:ind w:firstLine="420" w:firstLineChars="200"/>
        <w:rPr>
          <w:color w:val="000000"/>
        </w:rPr>
      </w:pPr>
      <w:r>
        <w:rPr>
          <w:rFonts w:hint="eastAsia"/>
          <w:color w:val="000000"/>
        </w:rPr>
        <w:t>九、本基金主要投资于目标ETF、标的指数成份股及备选成份股，投资者投资于本基金面临跟踪误差控制未达约定目标、指数编制机构停止服务、成份股停牌或退市等潜在风险，具体风险详见本基金招募说明书。</w:t>
      </w:r>
    </w:p>
    <w:p w14:paraId="21B57F29">
      <w:pPr>
        <w:pStyle w:val="3"/>
        <w:adjustRightInd w:val="0"/>
        <w:snapToGrid w:val="0"/>
        <w:spacing w:before="0" w:after="0" w:line="360" w:lineRule="auto"/>
        <w:jc w:val="both"/>
        <w:rPr>
          <w:rFonts w:cs="Arial" w:asciiTheme="minorEastAsia" w:hAnsiTheme="minorEastAsia" w:eastAsiaTheme="minorEastAsia"/>
          <w:sz w:val="21"/>
          <w:szCs w:val="21"/>
        </w:rPr>
        <w:sectPr>
          <w:footerReference r:id="rId4" w:type="default"/>
          <w:pgSz w:w="11906" w:h="16838"/>
          <w:pgMar w:top="1418" w:right="1701" w:bottom="1418" w:left="1701" w:header="851" w:footer="992" w:gutter="0"/>
          <w:pgNumType w:start="1"/>
          <w:cols w:space="425" w:num="1"/>
          <w:docGrid w:type="lines" w:linePitch="312" w:charSpace="0"/>
        </w:sectPr>
      </w:pPr>
      <w:bookmarkStart w:id="43" w:name="_Toc90742388"/>
      <w:bookmarkStart w:id="44" w:name="_Toc13020"/>
      <w:bookmarkStart w:id="45" w:name="_Toc90742319"/>
      <w:bookmarkStart w:id="46" w:name="_Toc6617"/>
      <w:bookmarkStart w:id="47" w:name="_Toc31551"/>
      <w:bookmarkStart w:id="48" w:name="_Toc24860"/>
      <w:bookmarkStart w:id="49" w:name="_Toc21301"/>
      <w:bookmarkStart w:id="50" w:name="_Toc2465"/>
      <w:bookmarkStart w:id="51" w:name="_Toc819"/>
      <w:bookmarkStart w:id="52" w:name="_Toc19592"/>
      <w:bookmarkStart w:id="53" w:name="_Toc22864"/>
      <w:bookmarkStart w:id="54" w:name="_Toc3224"/>
      <w:bookmarkStart w:id="55" w:name="_Toc15067"/>
    </w:p>
    <w:bookmarkEnd w:id="39"/>
    <w:p w14:paraId="7527BE2E">
      <w:pPr>
        <w:pStyle w:val="3"/>
        <w:adjustRightInd w:val="0"/>
        <w:snapToGrid w:val="0"/>
        <w:spacing w:before="0" w:after="0" w:line="360" w:lineRule="auto"/>
        <w:rPr>
          <w:rFonts w:cs="Arial" w:asciiTheme="minorEastAsia" w:hAnsiTheme="minorEastAsia" w:eastAsiaTheme="minorEastAsia"/>
          <w:sz w:val="21"/>
          <w:szCs w:val="21"/>
        </w:rPr>
      </w:pPr>
      <w:bookmarkStart w:id="56" w:name="CLAUSE_b505ca21cfdc49e18b4541023d6e908f"/>
      <w:r>
        <w:rPr>
          <w:rFonts w:cs="Arial" w:asciiTheme="minorEastAsia" w:hAnsiTheme="minorEastAsia" w:eastAsiaTheme="minorEastAsia"/>
          <w:sz w:val="21"/>
          <w:szCs w:val="21"/>
        </w:rPr>
        <w:t xml:space="preserve"> </w:t>
      </w:r>
      <w:bookmarkStart w:id="57" w:name="CTS_b505ca21cfdc49e18b4541023d6e908f"/>
      <w:bookmarkEnd w:id="57"/>
      <w:bookmarkStart w:id="58" w:name="_Toc16237227"/>
      <w:r>
        <w:rPr>
          <w:rFonts w:hint="eastAsia" w:cs="Arial" w:asciiTheme="minorEastAsia" w:hAnsiTheme="minorEastAsia" w:eastAsiaTheme="minorEastAsia"/>
          <w:sz w:val="21"/>
          <w:szCs w:val="21"/>
        </w:rPr>
        <w:t>第</w:t>
      </w:r>
      <w:r>
        <w:rPr>
          <w:rFonts w:cs="Arial" w:asciiTheme="minorEastAsia" w:hAnsiTheme="minorEastAsia" w:eastAsiaTheme="minorEastAsia"/>
          <w:sz w:val="21"/>
          <w:szCs w:val="21"/>
        </w:rPr>
        <w:t>二</w:t>
      </w:r>
      <w:r>
        <w:rPr>
          <w:rFonts w:hint="eastAsia" w:cs="Arial" w:asciiTheme="minorEastAsia" w:hAnsiTheme="minorEastAsia" w:eastAsiaTheme="minorEastAsia"/>
          <w:sz w:val="21"/>
          <w:szCs w:val="21"/>
        </w:rPr>
        <w:t>部分 释义</w:t>
      </w:r>
      <w:bookmarkEnd w:id="35"/>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8"/>
    </w:p>
    <w:p w14:paraId="0F4186D8">
      <w:pPr>
        <w:autoSpaceDE w:val="0"/>
        <w:autoSpaceDN w:val="0"/>
        <w:adjustRightInd w:val="0"/>
        <w:spacing w:line="360" w:lineRule="auto"/>
        <w:ind w:firstLine="420" w:firstLineChars="200"/>
        <w:rPr>
          <w:rFonts w:asciiTheme="minorEastAsia" w:hAnsiTheme="minorEastAsia" w:eastAsiaTheme="minorEastAsia"/>
          <w:bCs/>
        </w:rPr>
      </w:pPr>
    </w:p>
    <w:p w14:paraId="4D235D0C">
      <w:pPr>
        <w:adjustRightInd w:val="0"/>
        <w:snapToGrid w:val="0"/>
        <w:spacing w:line="360" w:lineRule="auto"/>
        <w:ind w:firstLine="420" w:firstLineChars="200"/>
        <w:rPr>
          <w:rFonts w:asciiTheme="minorEastAsia" w:hAnsiTheme="minorEastAsia" w:eastAsiaTheme="minorEastAsia"/>
          <w:spacing w:val="8"/>
        </w:rPr>
      </w:pPr>
      <w:r>
        <w:rPr>
          <w:rFonts w:hint="eastAsia" w:asciiTheme="minorEastAsia" w:hAnsiTheme="minorEastAsia" w:eastAsiaTheme="minorEastAsia"/>
        </w:rPr>
        <w:t>在本基金合同中，除非文意另有所指，下列词语或简称具有如下含义：</w:t>
      </w:r>
    </w:p>
    <w:p w14:paraId="30FBD595">
      <w:pPr>
        <w:adjustRightInd w:val="0"/>
        <w:snapToGrid w:val="0"/>
        <w:spacing w:line="360" w:lineRule="auto"/>
        <w:ind w:firstLine="420" w:firstLineChars="200"/>
        <w:rPr>
          <w:rFonts w:asciiTheme="minorEastAsia" w:hAnsiTheme="minorEastAsia" w:eastAsiaTheme="minorEastAsia"/>
          <w:spacing w:val="8"/>
        </w:rPr>
      </w:pPr>
      <w:r>
        <w:rPr>
          <w:rFonts w:asciiTheme="minorEastAsia" w:hAnsiTheme="minorEastAsia" w:eastAsiaTheme="minorEastAsia"/>
        </w:rPr>
        <w:t>1</w:t>
      </w:r>
      <w:r>
        <w:rPr>
          <w:rFonts w:cs="Arial" w:asciiTheme="minorEastAsia" w:hAnsiTheme="minorEastAsia" w:eastAsiaTheme="minorEastAsia"/>
          <w:szCs w:val="21"/>
        </w:rPr>
        <w:t>.</w:t>
      </w:r>
      <w:r>
        <w:rPr>
          <w:rFonts w:hint="eastAsia" w:asciiTheme="minorEastAsia" w:hAnsiTheme="minorEastAsia" w:eastAsiaTheme="minorEastAsia"/>
        </w:rPr>
        <w:t>基金或本基金：指</w:t>
      </w:r>
      <w:r>
        <w:rPr>
          <w:rFonts w:cs="Arial" w:asciiTheme="minorEastAsia" w:hAnsiTheme="minorEastAsia" w:eastAsiaTheme="minorEastAsia"/>
          <w:szCs w:val="21"/>
        </w:rPr>
        <w:t>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交易型开放式指数证券投资基金发起式联接基金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，博时恒生港股通红利交易型开放式指数证券投资基金</w:t>
      </w:r>
      <w:r>
        <w:rPr>
          <w:rFonts w:cs="Arial" w:asciiTheme="minorEastAsia" w:hAnsiTheme="minorEastAsia" w:eastAsiaTheme="minorEastAsia"/>
          <w:szCs w:val="21"/>
        </w:rPr>
        <w:t>发起式联接基金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由博时恒生港股通高股息率交易型开放式指数证券投资基金</w:t>
      </w:r>
      <w:r>
        <w:rPr>
          <w:rFonts w:cs="Arial" w:asciiTheme="minorEastAsia" w:hAnsiTheme="minorEastAsia" w:eastAsiaTheme="minorEastAsia"/>
          <w:szCs w:val="21"/>
        </w:rPr>
        <w:t>发起式联接基金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更名而来</w:t>
      </w:r>
    </w:p>
    <w:p w14:paraId="68A7659E">
      <w:pPr>
        <w:adjustRightInd w:val="0"/>
        <w:snapToGrid w:val="0"/>
        <w:spacing w:line="360" w:lineRule="auto"/>
        <w:ind w:firstLine="420" w:firstLineChars="200"/>
        <w:rPr>
          <w:rFonts w:asciiTheme="minorEastAsia" w:hAnsiTheme="minorEastAsia" w:eastAsiaTheme="minorEastAsia"/>
          <w:spacing w:val="8"/>
        </w:rPr>
      </w:pPr>
      <w:r>
        <w:rPr>
          <w:rFonts w:asciiTheme="minorEastAsia" w:hAnsiTheme="minorEastAsia" w:eastAsiaTheme="minorEastAsia"/>
        </w:rPr>
        <w:t>2</w:t>
      </w:r>
      <w:r>
        <w:rPr>
          <w:rFonts w:cs="Arial" w:asciiTheme="minorEastAsia" w:hAnsiTheme="minorEastAsia" w:eastAsiaTheme="minorEastAsia"/>
          <w:szCs w:val="21"/>
        </w:rPr>
        <w:t>.</w:t>
      </w:r>
      <w:r>
        <w:rPr>
          <w:rFonts w:hint="eastAsia" w:asciiTheme="minorEastAsia" w:hAnsiTheme="minorEastAsia" w:eastAsiaTheme="minorEastAsia"/>
        </w:rPr>
        <w:t>基金管理人：指</w:t>
      </w:r>
      <w:r>
        <w:rPr>
          <w:rFonts w:cs="Arial" w:asciiTheme="minorEastAsia" w:hAnsiTheme="minorEastAsia" w:eastAsiaTheme="minorEastAsia"/>
          <w:szCs w:val="21"/>
        </w:rPr>
        <w:t>博时基金管理有限公司</w:t>
      </w:r>
    </w:p>
    <w:p w14:paraId="44E2F663">
      <w:pPr>
        <w:adjustRightInd w:val="0"/>
        <w:snapToGrid w:val="0"/>
        <w:spacing w:line="360" w:lineRule="auto"/>
        <w:ind w:firstLine="420" w:firstLineChars="200"/>
        <w:rPr>
          <w:rFonts w:asciiTheme="minorEastAsia" w:hAnsiTheme="minorEastAsia" w:eastAsiaTheme="minorEastAsia"/>
          <w:spacing w:val="8"/>
        </w:rPr>
      </w:pPr>
      <w:r>
        <w:rPr>
          <w:rFonts w:asciiTheme="minorEastAsia" w:hAnsiTheme="minorEastAsia" w:eastAsiaTheme="minorEastAsia"/>
        </w:rPr>
        <w:t>3</w:t>
      </w:r>
      <w:r>
        <w:rPr>
          <w:rFonts w:cs="Arial" w:asciiTheme="minorEastAsia" w:hAnsiTheme="minorEastAsia" w:eastAsiaTheme="minorEastAsia"/>
          <w:szCs w:val="21"/>
        </w:rPr>
        <w:t>.</w:t>
      </w:r>
      <w:r>
        <w:rPr>
          <w:rFonts w:hint="eastAsia" w:asciiTheme="minorEastAsia" w:hAnsiTheme="minorEastAsia" w:eastAsiaTheme="minorEastAsia"/>
        </w:rPr>
        <w:t>基金托管人：指</w:t>
      </w:r>
      <w:r>
        <w:rPr>
          <w:rFonts w:cs="Arial" w:asciiTheme="minorEastAsia" w:hAnsiTheme="minorEastAsia" w:eastAsiaTheme="minorEastAsia"/>
          <w:szCs w:val="21"/>
        </w:rPr>
        <w:t>中国国际金融股份有限公司</w:t>
      </w:r>
    </w:p>
    <w:p w14:paraId="12176CD2">
      <w:pPr>
        <w:adjustRightInd w:val="0"/>
        <w:snapToGrid w:val="0"/>
        <w:spacing w:line="360" w:lineRule="auto"/>
        <w:ind w:firstLine="420" w:firstLineChars="200"/>
        <w:rPr>
          <w:rFonts w:asciiTheme="minorEastAsia" w:hAnsiTheme="minorEastAsia" w:eastAsiaTheme="minorEastAsia"/>
          <w:spacing w:val="8"/>
        </w:rPr>
      </w:pPr>
      <w:r>
        <w:rPr>
          <w:rFonts w:asciiTheme="minorEastAsia" w:hAnsiTheme="minorEastAsia" w:eastAsiaTheme="minorEastAsia"/>
        </w:rPr>
        <w:t>4</w:t>
      </w:r>
      <w:r>
        <w:rPr>
          <w:rFonts w:cs="Arial" w:asciiTheme="minorEastAsia" w:hAnsiTheme="minorEastAsia" w:eastAsiaTheme="minorEastAsia"/>
          <w:szCs w:val="21"/>
        </w:rPr>
        <w:t>.</w:t>
      </w:r>
      <w:r>
        <w:rPr>
          <w:rFonts w:hint="eastAsia" w:asciiTheme="minorEastAsia" w:hAnsiTheme="minorEastAsia" w:eastAsiaTheme="minorEastAsia"/>
        </w:rPr>
        <w:t>基金合同或本基金合同：指</w:t>
      </w:r>
      <w:r>
        <w:rPr>
          <w:rFonts w:cs="Arial" w:asciiTheme="minorEastAsia" w:hAnsiTheme="minorEastAsia" w:eastAsiaTheme="minorEastAsia"/>
          <w:szCs w:val="21"/>
        </w:rPr>
        <w:t>《博时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交易型开放式指数证券投资基金发起式联接基金基金合同》</w:t>
      </w:r>
      <w:r>
        <w:rPr>
          <w:rFonts w:hint="eastAsia" w:asciiTheme="minorEastAsia" w:hAnsiTheme="minorEastAsia" w:eastAsiaTheme="minorEastAsia"/>
        </w:rPr>
        <w:t>及对本基金合同的任何有效修订和补充</w:t>
      </w:r>
      <w:r>
        <w:rPr>
          <w:rFonts w:hint="eastAsia" w:asciiTheme="minorEastAsia" w:hAnsiTheme="minorEastAsia"/>
          <w:color w:val="0D0D0D" w:themeColor="text1" w:themeTint="F2"/>
          <w14:textFill>
            <w14:solidFill>
              <w14:schemeClr w14:val="tx1">
                <w14:lumMod w14:val="95000"/>
                <w14:lumOff w14:val="5000"/>
              </w14:schemeClr>
            </w14:solidFill>
          </w14:textFill>
        </w:rPr>
        <w:t>，本基金合同由《博时恒生港股通高股息率交易型开放式指数证券投资基金</w:t>
      </w:r>
      <w:r>
        <w:rPr>
          <w:rFonts w:cs="Arial" w:asciiTheme="minorEastAsia" w:hAnsiTheme="minorEastAsia" w:eastAsiaTheme="minorEastAsia"/>
          <w:szCs w:val="21"/>
        </w:rPr>
        <w:t>发起式联接</w:t>
      </w:r>
      <w:r>
        <w:rPr>
          <w:rFonts w:hint="eastAsia" w:asciiTheme="minorEastAsia" w:hAnsiTheme="minorEastAsia"/>
          <w:color w:val="0D0D0D" w:themeColor="text1" w:themeTint="F2"/>
          <w14:textFill>
            <w14:solidFill>
              <w14:schemeClr w14:val="tx1">
                <w14:lumMod w14:val="95000"/>
                <w14:lumOff w14:val="5000"/>
              </w14:schemeClr>
            </w14:solidFill>
          </w14:textFill>
        </w:rPr>
        <w:t>基金基金合同》修订而来</w:t>
      </w:r>
    </w:p>
    <w:p w14:paraId="4A1D1D3E">
      <w:pPr>
        <w:adjustRightInd w:val="0"/>
        <w:snapToGrid w:val="0"/>
        <w:spacing w:line="360" w:lineRule="auto"/>
        <w:ind w:firstLine="420" w:firstLineChars="200"/>
        <w:rPr>
          <w:rFonts w:asciiTheme="minorEastAsia" w:hAnsiTheme="minorEastAsia" w:eastAsiaTheme="minorEastAsia"/>
          <w:spacing w:val="8"/>
        </w:rPr>
      </w:pPr>
      <w:r>
        <w:rPr>
          <w:rFonts w:asciiTheme="minorEastAsia" w:hAnsiTheme="minorEastAsia" w:eastAsiaTheme="minorEastAsia"/>
        </w:rPr>
        <w:t>5</w:t>
      </w:r>
      <w:r>
        <w:rPr>
          <w:rFonts w:cs="Arial" w:asciiTheme="minorEastAsia" w:hAnsiTheme="minorEastAsia" w:eastAsiaTheme="minorEastAsia"/>
          <w:szCs w:val="21"/>
        </w:rPr>
        <w:t>.</w:t>
      </w:r>
      <w:r>
        <w:rPr>
          <w:rFonts w:hint="eastAsia" w:asciiTheme="minorEastAsia" w:hAnsiTheme="minorEastAsia" w:eastAsiaTheme="minorEastAsia"/>
        </w:rPr>
        <w:t>托管协议：指基金管理人与基金托管人就本基金签订之</w:t>
      </w:r>
      <w:r>
        <w:rPr>
          <w:rFonts w:cs="Arial" w:asciiTheme="minorEastAsia" w:hAnsiTheme="minorEastAsia" w:eastAsiaTheme="minorEastAsia"/>
          <w:szCs w:val="21"/>
        </w:rPr>
        <w:t>《博时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交易型开放式指数证券投资基金发起式联接基金托管协议》</w:t>
      </w:r>
      <w:r>
        <w:rPr>
          <w:rFonts w:hint="eastAsia" w:asciiTheme="minorEastAsia" w:hAnsiTheme="minorEastAsia" w:eastAsiaTheme="minorEastAsia"/>
        </w:rPr>
        <w:t>及对该托管协议的任何有效修订和补充</w:t>
      </w:r>
      <w:r>
        <w:rPr>
          <w:rFonts w:hint="eastAsia" w:asciiTheme="minorEastAsia" w:hAnsiTheme="minorEastAsia"/>
          <w:color w:val="0D0D0D" w:themeColor="text1" w:themeTint="F2"/>
          <w14:textFill>
            <w14:solidFill>
              <w14:schemeClr w14:val="tx1">
                <w14:lumMod w14:val="95000"/>
                <w14:lumOff w14:val="5000"/>
              </w14:schemeClr>
            </w14:solidFill>
          </w14:textFill>
        </w:rPr>
        <w:t>，该托管协议由《博时恒生港股通高股息率交易型开放式指数证券投资基金</w:t>
      </w:r>
      <w:r>
        <w:rPr>
          <w:rFonts w:cs="Arial" w:asciiTheme="minorEastAsia" w:hAnsiTheme="minorEastAsia" w:eastAsiaTheme="minorEastAsia"/>
          <w:szCs w:val="21"/>
        </w:rPr>
        <w:t>发起式联接</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基金托管协议》修订而来</w:t>
      </w:r>
    </w:p>
    <w:p w14:paraId="75FCBD3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cs="Arial" w:asciiTheme="minorEastAsia" w:hAnsiTheme="minorEastAsia" w:eastAsiaTheme="minorEastAsia"/>
          <w:szCs w:val="21"/>
        </w:rPr>
        <w:t>.</w:t>
      </w:r>
      <w:r>
        <w:rPr>
          <w:rFonts w:hint="eastAsia" w:asciiTheme="minorEastAsia" w:hAnsiTheme="minorEastAsia" w:eastAsiaTheme="minorEastAsia"/>
        </w:rPr>
        <w:t>招募说明书：指</w:t>
      </w:r>
      <w:r>
        <w:rPr>
          <w:rFonts w:cs="Arial" w:asciiTheme="minorEastAsia" w:hAnsiTheme="minorEastAsia" w:eastAsiaTheme="minorEastAsia"/>
          <w:szCs w:val="21"/>
        </w:rPr>
        <w:t>《博时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交易型开放式指数证券投资基金发起式联接基金招募说明书》</w:t>
      </w:r>
      <w:r>
        <w:rPr>
          <w:rFonts w:hint="eastAsia" w:asciiTheme="minorEastAsia" w:hAnsiTheme="minorEastAsia" w:eastAsiaTheme="minorEastAsia"/>
        </w:rPr>
        <w:t>及其更新</w:t>
      </w:r>
    </w:p>
    <w:p w14:paraId="06725D8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7、基金产品资料概要：指《博时恒生港股通红利交易型开放式指数证券投资基金发起式联接基金基金产品资料概要》及其更新</w:t>
      </w:r>
    </w:p>
    <w:p w14:paraId="006FD264">
      <w:pPr>
        <w:adjustRightInd w:val="0"/>
        <w:snapToGrid w:val="0"/>
        <w:spacing w:line="360" w:lineRule="auto"/>
        <w:ind w:firstLine="420" w:firstLineChars="200"/>
        <w:rPr>
          <w:rFonts w:asciiTheme="minorEastAsia" w:hAnsiTheme="minorEastAsia" w:eastAsiaTheme="minorEastAsia"/>
          <w:spacing w:val="8"/>
        </w:rPr>
      </w:pPr>
      <w:r>
        <w:rPr>
          <w:rFonts w:hint="eastAsia" w:asciiTheme="minorEastAsia" w:hAnsiTheme="minorEastAsia" w:eastAsiaTheme="minorEastAsia"/>
        </w:rPr>
        <w:t>8</w:t>
      </w:r>
      <w:r>
        <w:rPr>
          <w:rFonts w:asciiTheme="minorEastAsia" w:hAnsiTheme="minorEastAsia" w:eastAsiaTheme="minorEastAsia"/>
        </w:rPr>
        <w:t>.基金份额发售公告：指《</w:t>
      </w:r>
      <w:r>
        <w:rPr>
          <w:rFonts w:cs="Arial" w:asciiTheme="minorEastAsia" w:hAnsiTheme="minorEastAsia" w:eastAsiaTheme="minorEastAsia"/>
          <w:szCs w:val="21"/>
        </w:rPr>
        <w:t>博时恒生港股通高股息率交易型开放式指数证券投资基金发起式联接基金</w:t>
      </w:r>
      <w:r>
        <w:rPr>
          <w:rFonts w:hint="eastAsia" w:asciiTheme="minorEastAsia" w:hAnsiTheme="minorEastAsia" w:eastAsiaTheme="minorEastAsia"/>
        </w:rPr>
        <w:t>基金份额发售公告》</w:t>
      </w:r>
    </w:p>
    <w:p w14:paraId="6AA393D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w:t>
      </w:r>
      <w:r>
        <w:rPr>
          <w:rFonts w:cs="Arial" w:asciiTheme="minorEastAsia" w:hAnsiTheme="minorEastAsia" w:eastAsiaTheme="minorEastAsia"/>
          <w:szCs w:val="21"/>
        </w:rPr>
        <w:t>.</w:t>
      </w:r>
      <w:r>
        <w:rPr>
          <w:rFonts w:hint="eastAsia" w:asciiTheme="minorEastAsia" w:hAnsiTheme="minorEastAsia" w:eastAsiaTheme="minorEastAsia"/>
        </w:rPr>
        <w:t>法律法规：指中国现行有效并公布实施的法律、行政法规、规范性文件、司法解释、行政规章以及其他对基金合同当事人有约束力的决定、决议、通知等</w:t>
      </w:r>
    </w:p>
    <w:p w14:paraId="5B8315A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w:t>
      </w:r>
      <w:r>
        <w:rPr>
          <w:rFonts w:cs="Arial" w:asciiTheme="minorEastAsia" w:hAnsiTheme="minorEastAsia" w:eastAsiaTheme="minorEastAsia"/>
          <w:szCs w:val="21"/>
        </w:rPr>
        <w:t>.</w:t>
      </w:r>
      <w:r>
        <w:rPr>
          <w:rFonts w:hint="eastAsia" w:asciiTheme="minorEastAsia" w:hAnsiTheme="minorEastAsia" w:eastAsiaTheme="minorEastAsia"/>
        </w:rPr>
        <w:t>《基金法》：指</w:t>
      </w:r>
      <w:r>
        <w:rPr>
          <w:rFonts w:asciiTheme="minorEastAsia" w:hAnsiTheme="minorEastAsia" w:eastAsiaTheme="minorEastAsia"/>
        </w:rPr>
        <w:t>2003</w:t>
      </w:r>
      <w:r>
        <w:rPr>
          <w:rFonts w:hint="eastAsia" w:asciiTheme="minorEastAsia" w:hAnsiTheme="minorEastAsia" w:eastAsiaTheme="minorEastAsia"/>
        </w:rPr>
        <w:t>年</w:t>
      </w:r>
      <w:r>
        <w:rPr>
          <w:rFonts w:asciiTheme="minorEastAsia" w:hAnsiTheme="minorEastAsia" w:eastAsiaTheme="minorEastAsia"/>
        </w:rPr>
        <w:t>10</w:t>
      </w:r>
      <w:r>
        <w:rPr>
          <w:rFonts w:hint="eastAsia" w:asciiTheme="minorEastAsia" w:hAnsiTheme="minorEastAsia" w:eastAsiaTheme="minorEastAsia"/>
        </w:rPr>
        <w:t>月</w:t>
      </w:r>
      <w:r>
        <w:rPr>
          <w:rFonts w:asciiTheme="minorEastAsia" w:hAnsiTheme="minorEastAsia" w:eastAsiaTheme="minorEastAsia"/>
        </w:rPr>
        <w:t>28</w:t>
      </w:r>
      <w:r>
        <w:rPr>
          <w:rFonts w:hint="eastAsia" w:asciiTheme="minorEastAsia" w:hAnsiTheme="minorEastAsia" w:eastAsiaTheme="minorEastAsia"/>
        </w:rPr>
        <w:t>日经第十届全国人民代表大会常务委员会第五次会议通过，经2012年12月28日第十一届全国人民代表大会常务委员会第三十次会议修订，自2013年6月1日起实施</w:t>
      </w:r>
      <w:r>
        <w:rPr>
          <w:rFonts w:hint="eastAsia" w:cs="Arial" w:asciiTheme="minorEastAsia" w:hAnsiTheme="minorEastAsia" w:eastAsiaTheme="minorEastAsia"/>
          <w:szCs w:val="21"/>
        </w:rPr>
        <w:t>，并经2015年4月24日第十二届全国人民代表大会常务委员会第十四次会议《全国人民代表大会常务委员会关于修改</w:t>
      </w:r>
      <w:r>
        <w:rPr>
          <w:rFonts w:cs="Arial" w:asciiTheme="minorEastAsia" w:hAnsiTheme="minorEastAsia" w:eastAsiaTheme="minorEastAsia"/>
          <w:szCs w:val="21"/>
        </w:rPr>
        <w:t>&lt;</w:t>
      </w:r>
      <w:r>
        <w:rPr>
          <w:rFonts w:hint="eastAsia" w:cs="Arial" w:asciiTheme="minorEastAsia" w:hAnsiTheme="minorEastAsia" w:eastAsiaTheme="minorEastAsia"/>
          <w:szCs w:val="21"/>
        </w:rPr>
        <w:t>中华人民共和国港口法</w:t>
      </w:r>
      <w:r>
        <w:rPr>
          <w:rFonts w:cs="Arial" w:asciiTheme="minorEastAsia" w:hAnsiTheme="minorEastAsia" w:eastAsiaTheme="minorEastAsia"/>
          <w:szCs w:val="21"/>
        </w:rPr>
        <w:t>&gt;</w:t>
      </w:r>
      <w:r>
        <w:rPr>
          <w:rFonts w:hint="eastAsia" w:cs="Arial" w:asciiTheme="minorEastAsia" w:hAnsiTheme="minorEastAsia" w:eastAsiaTheme="minorEastAsia"/>
          <w:szCs w:val="21"/>
        </w:rPr>
        <w:t>等七部法律的决定》修正</w:t>
      </w:r>
      <w:r>
        <w:rPr>
          <w:rFonts w:hint="eastAsia" w:asciiTheme="minorEastAsia" w:hAnsiTheme="minorEastAsia" w:eastAsiaTheme="minorEastAsia"/>
        </w:rPr>
        <w:t>的《中华人民共和国证券投资基金法》及颁布机关对其不时做出的修订</w:t>
      </w:r>
    </w:p>
    <w:p w14:paraId="25B3A43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w:t>
      </w:r>
      <w:r>
        <w:rPr>
          <w:rFonts w:cs="Arial" w:asciiTheme="minorEastAsia" w:hAnsiTheme="minorEastAsia" w:eastAsiaTheme="minorEastAsia"/>
          <w:szCs w:val="21"/>
        </w:rPr>
        <w:t>.</w:t>
      </w:r>
      <w:r>
        <w:rPr>
          <w:rFonts w:hint="eastAsia" w:asciiTheme="minorEastAsia" w:hAnsiTheme="minorEastAsia" w:eastAsiaTheme="minorEastAsia"/>
        </w:rPr>
        <w:t>《销售办法》：指中国证监会</w:t>
      </w:r>
      <w:r>
        <w:rPr>
          <w:rFonts w:asciiTheme="minorEastAsia" w:hAnsiTheme="minorEastAsia" w:eastAsiaTheme="minorEastAsia"/>
        </w:rPr>
        <w:t>2020</w:t>
      </w:r>
      <w:r>
        <w:rPr>
          <w:rFonts w:hint="eastAsia" w:asciiTheme="minorEastAsia" w:hAnsiTheme="minorEastAsia" w:eastAsiaTheme="minorEastAsia"/>
        </w:rPr>
        <w:t>年</w:t>
      </w:r>
      <w:r>
        <w:rPr>
          <w:rFonts w:asciiTheme="minorEastAsia" w:hAnsiTheme="minorEastAsia" w:eastAsiaTheme="minorEastAsia"/>
        </w:rPr>
        <w:t>8</w:t>
      </w:r>
      <w:r>
        <w:rPr>
          <w:rFonts w:hint="eastAsia" w:asciiTheme="minorEastAsia" w:hAnsiTheme="minorEastAsia" w:eastAsiaTheme="minorEastAsia"/>
        </w:rPr>
        <w:t>月</w:t>
      </w:r>
      <w:r>
        <w:rPr>
          <w:rFonts w:asciiTheme="minorEastAsia" w:hAnsiTheme="minorEastAsia" w:eastAsiaTheme="minorEastAsia"/>
        </w:rPr>
        <w:t>28</w:t>
      </w:r>
      <w:r>
        <w:rPr>
          <w:rFonts w:hint="eastAsia" w:asciiTheme="minorEastAsia" w:hAnsiTheme="minorEastAsia" w:eastAsiaTheme="minorEastAsia"/>
        </w:rPr>
        <w:t>日颁布、同年</w:t>
      </w:r>
      <w:r>
        <w:rPr>
          <w:rFonts w:asciiTheme="minorEastAsia" w:hAnsiTheme="minorEastAsia" w:eastAsiaTheme="minorEastAsia"/>
        </w:rPr>
        <w:t>10</w:t>
      </w:r>
      <w:r>
        <w:rPr>
          <w:rFonts w:hint="eastAsia" w:asciiTheme="minorEastAsia" w:hAnsiTheme="minorEastAsia" w:eastAsiaTheme="minorEastAsia"/>
        </w:rPr>
        <w:t>月</w:t>
      </w:r>
      <w:r>
        <w:rPr>
          <w:rFonts w:asciiTheme="minorEastAsia" w:hAnsiTheme="minorEastAsia" w:eastAsiaTheme="minorEastAsia"/>
        </w:rPr>
        <w:t>1</w:t>
      </w:r>
      <w:r>
        <w:rPr>
          <w:rFonts w:hint="eastAsia" w:asciiTheme="minorEastAsia" w:hAnsiTheme="minorEastAsia" w:eastAsiaTheme="minorEastAsia"/>
        </w:rPr>
        <w:t>日实施的《公开募集证券投资基金销售机构监督管理办法》及颁布机关对其不时做出的修订</w:t>
      </w:r>
    </w:p>
    <w:p w14:paraId="675128F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w:t>
      </w:r>
      <w:r>
        <w:rPr>
          <w:rFonts w:cs="Arial" w:asciiTheme="minorEastAsia" w:hAnsiTheme="minorEastAsia" w:eastAsiaTheme="minorEastAsia"/>
          <w:szCs w:val="21"/>
        </w:rPr>
        <w:t>.</w:t>
      </w:r>
      <w:r>
        <w:rPr>
          <w:rFonts w:hint="eastAsia" w:asciiTheme="minorEastAsia" w:hAnsiTheme="minorEastAsia" w:eastAsiaTheme="minorEastAsia"/>
        </w:rPr>
        <w:t>《信息披露办法》：指中国证监会</w:t>
      </w:r>
      <w:r>
        <w:rPr>
          <w:rFonts w:asciiTheme="minorEastAsia" w:hAnsiTheme="minorEastAsia" w:eastAsiaTheme="minorEastAsia"/>
        </w:rPr>
        <w:t>20</w:t>
      </w:r>
      <w:r>
        <w:rPr>
          <w:rFonts w:hint="eastAsia" w:asciiTheme="minorEastAsia" w:hAnsiTheme="minorEastAsia" w:eastAsiaTheme="minorEastAsia"/>
        </w:rPr>
        <w:t>19年7月26日颁布、同年9月</w:t>
      </w:r>
      <w:r>
        <w:rPr>
          <w:rFonts w:asciiTheme="minorEastAsia" w:hAnsiTheme="minorEastAsia" w:eastAsiaTheme="minorEastAsia"/>
        </w:rPr>
        <w:t>1</w:t>
      </w:r>
      <w:r>
        <w:rPr>
          <w:rFonts w:hint="eastAsia" w:asciiTheme="minorEastAsia" w:hAnsiTheme="minorEastAsia" w:eastAsiaTheme="minorEastAsia"/>
        </w:rPr>
        <w:t>日实施的，并经2020年3月20日中国证监会《关于修改部分证券期货规章的决定》修正的《公开募集证券投资基金信息披露管理办法》及颁布机关对其不时做出的修订</w:t>
      </w:r>
    </w:p>
    <w:p w14:paraId="1B18798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w:t>
      </w:r>
      <w:r>
        <w:rPr>
          <w:rFonts w:cs="Arial" w:asciiTheme="minorEastAsia" w:hAnsiTheme="minorEastAsia" w:eastAsiaTheme="minorEastAsia"/>
          <w:szCs w:val="21"/>
        </w:rPr>
        <w:t>.</w:t>
      </w:r>
      <w:r>
        <w:rPr>
          <w:rFonts w:hint="eastAsia" w:asciiTheme="minorEastAsia" w:hAnsiTheme="minorEastAsia" w:eastAsiaTheme="minorEastAsia"/>
        </w:rPr>
        <w:t>《运作办法》：指中国证监会2014年7月7日颁布、同年8月8日实施的《公开募集证券投资基金运作管理办法》及颁布机关对其不时做出的修订</w:t>
      </w:r>
    </w:p>
    <w:p w14:paraId="5AA7D447">
      <w:pPr>
        <w:adjustRightInd w:val="0"/>
        <w:snapToGrid w:val="0"/>
        <w:spacing w:line="360" w:lineRule="auto"/>
        <w:ind w:firstLine="420" w:firstLineChars="200"/>
        <w:rPr>
          <w:rFonts w:cs="Arial" w:asciiTheme="minorEastAsia" w:hAnsiTheme="minorEastAsia" w:eastAsiaTheme="minorEastAsia"/>
          <w:szCs w:val="21"/>
        </w:rPr>
      </w:pPr>
      <w:r>
        <w:rPr>
          <w:rFonts w:hint="eastAsia" w:asciiTheme="minorEastAsia" w:hAnsiTheme="minorEastAsia" w:eastAsiaTheme="minorEastAsia"/>
        </w:rPr>
        <w:t>14</w:t>
      </w:r>
      <w:r>
        <w:rPr>
          <w:rFonts w:hint="eastAsia" w:cs="Arial" w:asciiTheme="minorEastAsia" w:hAnsiTheme="minorEastAsia" w:eastAsiaTheme="minorEastAsia"/>
          <w:szCs w:val="21"/>
        </w:rPr>
        <w:t>．《流动性风险管理规定》：指中国证监会</w:t>
      </w:r>
      <w:r>
        <w:rPr>
          <w:rFonts w:cs="Arial" w:asciiTheme="minorEastAsia" w:hAnsiTheme="minorEastAsia" w:eastAsiaTheme="minorEastAsia"/>
          <w:szCs w:val="21"/>
        </w:rPr>
        <w:t>2017</w:t>
      </w:r>
      <w:r>
        <w:rPr>
          <w:rFonts w:hint="eastAsia" w:cs="Arial" w:asciiTheme="minorEastAsia" w:hAnsiTheme="minorEastAsia" w:eastAsiaTheme="minorEastAsia"/>
          <w:szCs w:val="21"/>
        </w:rPr>
        <w:t>年</w:t>
      </w:r>
      <w:r>
        <w:rPr>
          <w:rFonts w:cs="Arial" w:asciiTheme="minorEastAsia" w:hAnsiTheme="minorEastAsia" w:eastAsiaTheme="minorEastAsia"/>
          <w:szCs w:val="21"/>
        </w:rPr>
        <w:t>8</w:t>
      </w:r>
      <w:r>
        <w:rPr>
          <w:rFonts w:hint="eastAsia" w:cs="Arial" w:asciiTheme="minorEastAsia" w:hAnsiTheme="minorEastAsia" w:eastAsiaTheme="minorEastAsia"/>
          <w:szCs w:val="21"/>
        </w:rPr>
        <w:t>月</w:t>
      </w:r>
      <w:r>
        <w:rPr>
          <w:rFonts w:cs="Arial" w:asciiTheme="minorEastAsia" w:hAnsiTheme="minorEastAsia" w:eastAsiaTheme="minorEastAsia"/>
          <w:szCs w:val="21"/>
        </w:rPr>
        <w:t>31</w:t>
      </w:r>
      <w:r>
        <w:rPr>
          <w:rFonts w:hint="eastAsia" w:cs="Arial" w:asciiTheme="minorEastAsia" w:hAnsiTheme="minorEastAsia" w:eastAsiaTheme="minorEastAsia"/>
          <w:szCs w:val="21"/>
        </w:rPr>
        <w:t>日颁布、同年</w:t>
      </w:r>
      <w:r>
        <w:rPr>
          <w:rFonts w:cs="Arial" w:asciiTheme="minorEastAsia" w:hAnsiTheme="minorEastAsia" w:eastAsiaTheme="minorEastAsia"/>
          <w:szCs w:val="21"/>
        </w:rPr>
        <w:t>10</w:t>
      </w:r>
      <w:r>
        <w:rPr>
          <w:rFonts w:hint="eastAsia" w:cs="Arial" w:asciiTheme="minorEastAsia" w:hAnsiTheme="minorEastAsia" w:eastAsiaTheme="minorEastAsia"/>
          <w:szCs w:val="21"/>
        </w:rPr>
        <w:t>月</w:t>
      </w:r>
      <w:r>
        <w:rPr>
          <w:rFonts w:cs="Arial" w:asciiTheme="minorEastAsia" w:hAnsiTheme="minorEastAsia" w:eastAsiaTheme="minorEastAsia"/>
          <w:szCs w:val="21"/>
        </w:rPr>
        <w:t>1</w:t>
      </w:r>
      <w:r>
        <w:rPr>
          <w:rFonts w:hint="eastAsia" w:cs="Arial" w:asciiTheme="minorEastAsia" w:hAnsiTheme="minorEastAsia" w:eastAsiaTheme="minorEastAsia"/>
          <w:szCs w:val="21"/>
        </w:rPr>
        <w:t>日实施的《公开募集开放式证券投资基金流动性风险管理规定》及颁布机关对其不时做出的修订</w:t>
      </w:r>
    </w:p>
    <w:p w14:paraId="7A4310EF">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1</w:t>
      </w:r>
      <w:r>
        <w:rPr>
          <w:rFonts w:cs="Arial" w:asciiTheme="minorEastAsia" w:hAnsiTheme="minorEastAsia" w:eastAsiaTheme="minorEastAsia"/>
          <w:szCs w:val="21"/>
        </w:rPr>
        <w:t>5.</w:t>
      </w:r>
      <w:r>
        <w:rPr>
          <w:rFonts w:hint="eastAsia" w:cs="Arial" w:asciiTheme="minorEastAsia" w:hAnsiTheme="minorEastAsia" w:eastAsiaTheme="minorEastAsia"/>
          <w:szCs w:val="21"/>
        </w:rPr>
        <w:t>《指数基金指引》：指中国证监会2021年1月22日颁布、同年2月1日实施的《公开募集证券投资基金运作指引第3号——指数基金指引》及颁布机关对其不时做出的修订</w:t>
      </w:r>
    </w:p>
    <w:p w14:paraId="2C45BBF6">
      <w:pPr>
        <w:adjustRightInd w:val="0"/>
        <w:snapToGrid w:val="0"/>
        <w:spacing w:line="360" w:lineRule="auto"/>
        <w:ind w:firstLine="420" w:firstLineChars="200"/>
        <w:rPr>
          <w:rFonts w:asciiTheme="minorEastAsia" w:hAnsiTheme="minorEastAsia" w:eastAsiaTheme="minorEastAsia"/>
        </w:rPr>
      </w:pPr>
      <w:r>
        <w:rPr>
          <w:rFonts w:cs="Arial" w:asciiTheme="minorEastAsia" w:hAnsiTheme="minorEastAsia" w:eastAsiaTheme="minorEastAsia"/>
          <w:szCs w:val="21"/>
        </w:rPr>
        <w:t>16.</w:t>
      </w:r>
      <w:r>
        <w:rPr>
          <w:rFonts w:hint="eastAsia" w:asciiTheme="minorEastAsia" w:hAnsiTheme="minorEastAsia" w:eastAsiaTheme="minorEastAsia"/>
        </w:rPr>
        <w:t>中国证监会：指中国证券监督管理委员会</w:t>
      </w:r>
    </w:p>
    <w:p w14:paraId="4E9CD1C9">
      <w:pPr>
        <w:adjustRightInd w:val="0"/>
        <w:snapToGrid w:val="0"/>
        <w:spacing w:line="360" w:lineRule="auto"/>
        <w:ind w:firstLine="420" w:firstLineChars="200"/>
        <w:rPr>
          <w:rFonts w:asciiTheme="minorEastAsia" w:hAnsiTheme="minorEastAsia" w:eastAsiaTheme="minorEastAsia"/>
          <w:spacing w:val="8"/>
        </w:rPr>
      </w:pPr>
      <w:r>
        <w:rPr>
          <w:rFonts w:cs="Arial" w:asciiTheme="minorEastAsia" w:hAnsiTheme="minorEastAsia" w:eastAsiaTheme="minorEastAsia"/>
          <w:szCs w:val="21"/>
        </w:rPr>
        <w:t>17.</w:t>
      </w:r>
      <w:r>
        <w:rPr>
          <w:rFonts w:hint="eastAsia" w:asciiTheme="minorEastAsia" w:hAnsiTheme="minorEastAsia" w:eastAsiaTheme="minorEastAsia"/>
        </w:rPr>
        <w:t>基金合同当事人：指受基金合同约束，根据基金合同享有权利并承担义务的法律主体，包括基金管理人、基金托管人和基金份额持有人</w:t>
      </w:r>
    </w:p>
    <w:p w14:paraId="0D49A542">
      <w:pPr>
        <w:adjustRightInd w:val="0"/>
        <w:snapToGrid w:val="0"/>
        <w:spacing w:line="360" w:lineRule="auto"/>
        <w:ind w:firstLine="420" w:firstLineChars="200"/>
        <w:rPr>
          <w:rFonts w:asciiTheme="minorEastAsia" w:hAnsiTheme="minorEastAsia" w:eastAsiaTheme="minorEastAsia"/>
          <w:spacing w:val="8"/>
        </w:rPr>
      </w:pPr>
      <w:r>
        <w:rPr>
          <w:rFonts w:cs="Arial" w:asciiTheme="minorEastAsia" w:hAnsiTheme="minorEastAsia" w:eastAsiaTheme="minorEastAsia"/>
          <w:szCs w:val="21"/>
        </w:rPr>
        <w:t>1</w:t>
      </w:r>
      <w:r>
        <w:rPr>
          <w:rFonts w:hint="eastAsia" w:cs="Arial" w:asciiTheme="minorEastAsia" w:hAnsiTheme="minorEastAsia" w:eastAsiaTheme="minorEastAsia"/>
          <w:szCs w:val="21"/>
        </w:rPr>
        <w:t>8</w:t>
      </w:r>
      <w:r>
        <w:rPr>
          <w:rFonts w:cs="Arial" w:asciiTheme="minorEastAsia" w:hAnsiTheme="minorEastAsia" w:eastAsiaTheme="minorEastAsia"/>
          <w:szCs w:val="21"/>
        </w:rPr>
        <w:t>.</w:t>
      </w:r>
      <w:r>
        <w:rPr>
          <w:rFonts w:hint="eastAsia" w:asciiTheme="minorEastAsia" w:hAnsiTheme="minorEastAsia" w:eastAsiaTheme="minorEastAsia"/>
        </w:rPr>
        <w:t>个人投资者：指依据有关法律法规规定可投资于证券投资基金的自然人</w:t>
      </w:r>
    </w:p>
    <w:p w14:paraId="00C20FB2">
      <w:pPr>
        <w:adjustRightInd w:val="0"/>
        <w:snapToGrid w:val="0"/>
        <w:spacing w:line="360" w:lineRule="auto"/>
        <w:ind w:firstLine="420" w:firstLineChars="200"/>
        <w:rPr>
          <w:rFonts w:asciiTheme="minorEastAsia" w:hAnsiTheme="minorEastAsia" w:eastAsiaTheme="minorEastAsia"/>
        </w:rPr>
      </w:pPr>
      <w:r>
        <w:rPr>
          <w:rFonts w:hint="eastAsia" w:cs="Arial" w:asciiTheme="minorEastAsia" w:hAnsiTheme="minorEastAsia" w:eastAsiaTheme="minorEastAsia"/>
          <w:szCs w:val="21"/>
        </w:rPr>
        <w:t>19</w:t>
      </w:r>
      <w:r>
        <w:rPr>
          <w:rFonts w:cs="Arial" w:asciiTheme="minorEastAsia" w:hAnsiTheme="minorEastAsia" w:eastAsiaTheme="minorEastAsia"/>
          <w:szCs w:val="21"/>
        </w:rPr>
        <w:t>.</w:t>
      </w:r>
      <w:r>
        <w:rPr>
          <w:rFonts w:hint="eastAsia" w:asciiTheme="minorEastAsia" w:hAnsiTheme="minorEastAsia" w:eastAsiaTheme="minorEastAsia"/>
        </w:rPr>
        <w:t>机构投资者：指依法可以投资证券投资基金的、在中华人民共和国境内合法登记并存续或经有关政府部门批准设立并存续的企业法人、事业法人、社会团体或其他组织</w:t>
      </w:r>
    </w:p>
    <w:p w14:paraId="4A1BA179">
      <w:pPr>
        <w:adjustRightInd w:val="0"/>
        <w:snapToGrid w:val="0"/>
        <w:spacing w:line="360" w:lineRule="auto"/>
        <w:ind w:firstLine="420" w:firstLineChars="200"/>
        <w:rPr>
          <w:rFonts w:asciiTheme="minorEastAsia" w:hAnsiTheme="minorEastAsia" w:eastAsiaTheme="minorEastAsia"/>
        </w:rPr>
      </w:pPr>
      <w:r>
        <w:rPr>
          <w:rFonts w:hint="eastAsia" w:cs="Arial" w:asciiTheme="minorEastAsia" w:hAnsiTheme="minorEastAsia" w:eastAsiaTheme="minorEastAsia"/>
          <w:szCs w:val="21"/>
        </w:rPr>
        <w:t>20</w:t>
      </w:r>
      <w:r>
        <w:rPr>
          <w:rFonts w:cs="Arial" w:asciiTheme="minorEastAsia" w:hAnsiTheme="minorEastAsia" w:eastAsiaTheme="minorEastAsia"/>
          <w:szCs w:val="21"/>
        </w:rPr>
        <w:t>.</w:t>
      </w:r>
      <w:r>
        <w:rPr>
          <w:rFonts w:hint="eastAsia" w:asciiTheme="minorEastAsia" w:hAnsiTheme="minorEastAsia" w:eastAsiaTheme="minorEastAsia"/>
        </w:rPr>
        <w:t>合格境外机构投资者：指符合《合格境外机构投资者和人民币合格境外机构投资者境内证券期货投资管理办法》及相关法律法规规定可以投资于在中国境内</w:t>
      </w:r>
      <w:r>
        <w:rPr>
          <w:rFonts w:hint="eastAsia" w:cs="Arial" w:asciiTheme="minorEastAsia" w:hAnsiTheme="minorEastAsia" w:eastAsiaTheme="minorEastAsia"/>
          <w:szCs w:val="21"/>
        </w:rPr>
        <w:t>依法募集的证券投资基金</w:t>
      </w:r>
      <w:r>
        <w:rPr>
          <w:rFonts w:hint="eastAsia" w:asciiTheme="minorEastAsia" w:hAnsiTheme="minorEastAsia" w:eastAsiaTheme="minorEastAsia"/>
        </w:rPr>
        <w:t>的中国境外的机构投资者</w:t>
      </w:r>
    </w:p>
    <w:p w14:paraId="3AB2A3E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21.人民币合格境外机构投资者：指按照《合格境外机构投资者和人民币合格境外机构投资者境内证券期货投资管理办法》及相关法律法规规定，运用来自境外的人民币资金进行境内证券投资的境外法人</w:t>
      </w:r>
    </w:p>
    <w:p w14:paraId="1542E7FE">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22</w:t>
      </w:r>
      <w:r>
        <w:rPr>
          <w:rFonts w:cs="Arial" w:asciiTheme="minorEastAsia" w:hAnsiTheme="minorEastAsia" w:eastAsiaTheme="minorEastAsia"/>
          <w:szCs w:val="21"/>
        </w:rPr>
        <w:t>.</w:t>
      </w:r>
      <w:r>
        <w:rPr>
          <w:rFonts w:hint="eastAsia" w:asciiTheme="minorEastAsia" w:hAnsiTheme="minorEastAsia" w:eastAsiaTheme="minorEastAsia"/>
        </w:rPr>
        <w:t>投资人、投资者：指个人投资者、机构投资者、合格境外机构投资者、人民币合格境外机构投资者、发起资金提供方以及法律法规或中国证监会允许购买证券投资基金的其他投资人的合称</w:t>
      </w:r>
    </w:p>
    <w:p w14:paraId="7BC799E8">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23</w:t>
      </w:r>
      <w:r>
        <w:rPr>
          <w:rFonts w:cs="Arial" w:asciiTheme="minorEastAsia" w:hAnsiTheme="minorEastAsia" w:eastAsiaTheme="minorEastAsia"/>
          <w:szCs w:val="21"/>
        </w:rPr>
        <w:t>.</w:t>
      </w:r>
      <w:r>
        <w:rPr>
          <w:rFonts w:hint="eastAsia" w:asciiTheme="minorEastAsia" w:hAnsiTheme="minorEastAsia" w:eastAsiaTheme="minorEastAsia"/>
        </w:rPr>
        <w:t>基金份额持有人：指依基金合同和招募说明书合法取得基金份额的投资人</w:t>
      </w:r>
    </w:p>
    <w:p w14:paraId="49B9215C">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24</w:t>
      </w:r>
      <w:r>
        <w:rPr>
          <w:rFonts w:cs="Arial" w:asciiTheme="minorEastAsia" w:hAnsiTheme="minorEastAsia" w:eastAsiaTheme="minorEastAsia"/>
          <w:szCs w:val="21"/>
        </w:rPr>
        <w:t>.</w:t>
      </w:r>
      <w:r>
        <w:rPr>
          <w:rFonts w:hint="eastAsia" w:asciiTheme="minorEastAsia" w:hAnsiTheme="minorEastAsia" w:eastAsiaTheme="minorEastAsia"/>
        </w:rPr>
        <w:t>基金销售业务：指基金管理人或</w:t>
      </w:r>
      <w:r>
        <w:rPr>
          <w:rFonts w:hint="eastAsia" w:cs="Arial" w:asciiTheme="minorEastAsia" w:hAnsiTheme="minorEastAsia" w:eastAsiaTheme="minorEastAsia"/>
          <w:szCs w:val="21"/>
        </w:rPr>
        <w:t>销售</w:t>
      </w:r>
      <w:r>
        <w:rPr>
          <w:rFonts w:hint="eastAsia" w:asciiTheme="minorEastAsia" w:hAnsiTheme="minorEastAsia" w:eastAsiaTheme="minorEastAsia"/>
        </w:rPr>
        <w:t>机构宣传推介基金，发售基金份额，办理基金份额的申购、赎回、转换、转托管及定期定额投资等业务</w:t>
      </w:r>
    </w:p>
    <w:p w14:paraId="1868ECD7">
      <w:pPr>
        <w:adjustRightInd w:val="0"/>
        <w:snapToGrid w:val="0"/>
        <w:spacing w:line="360" w:lineRule="auto"/>
        <w:ind w:firstLine="420" w:firstLineChars="200"/>
        <w:rPr>
          <w:rFonts w:cs="Arial" w:asciiTheme="minorEastAsia" w:hAnsiTheme="minorEastAsia" w:eastAsiaTheme="minorEastAsia"/>
          <w:spacing w:val="8"/>
          <w:szCs w:val="21"/>
        </w:rPr>
      </w:pPr>
      <w:r>
        <w:rPr>
          <w:rFonts w:hint="eastAsia" w:cs="Arial" w:asciiTheme="minorEastAsia" w:hAnsiTheme="minorEastAsia" w:eastAsiaTheme="minorEastAsia"/>
          <w:szCs w:val="21"/>
        </w:rPr>
        <w:t>25</w:t>
      </w:r>
      <w:r>
        <w:rPr>
          <w:rFonts w:cs="Arial" w:asciiTheme="minorEastAsia" w:hAnsiTheme="minorEastAsia" w:eastAsiaTheme="minorEastAsia"/>
          <w:szCs w:val="21"/>
        </w:rPr>
        <w:t>.</w:t>
      </w:r>
      <w:r>
        <w:rPr>
          <w:rFonts w:hint="eastAsia" w:asciiTheme="minorEastAsia" w:hAnsiTheme="minorEastAsia" w:eastAsiaTheme="minorEastAsia"/>
        </w:rPr>
        <w:t>销售机构：指</w:t>
      </w:r>
      <w:r>
        <w:rPr>
          <w:rFonts w:cs="Arial" w:asciiTheme="minorEastAsia" w:hAnsiTheme="minorEastAsia" w:eastAsiaTheme="minorEastAsia"/>
          <w:szCs w:val="21"/>
        </w:rPr>
        <w:t>直销机构和代销机构</w:t>
      </w:r>
    </w:p>
    <w:p w14:paraId="0CCF48B0">
      <w:pPr>
        <w:adjustRightInd w:val="0"/>
        <w:snapToGrid w:val="0"/>
        <w:spacing w:line="360" w:lineRule="auto"/>
        <w:ind w:firstLine="420" w:firstLineChars="200"/>
        <w:rPr>
          <w:rFonts w:cs="Arial" w:asciiTheme="minorEastAsia" w:hAnsiTheme="minorEastAsia" w:eastAsiaTheme="minorEastAsia"/>
          <w:spacing w:val="8"/>
          <w:szCs w:val="21"/>
        </w:rPr>
      </w:pPr>
      <w:r>
        <w:rPr>
          <w:rFonts w:hint="eastAsia" w:cs="Arial" w:asciiTheme="minorEastAsia" w:hAnsiTheme="minorEastAsia" w:eastAsiaTheme="minorEastAsia"/>
          <w:szCs w:val="21"/>
        </w:rPr>
        <w:t>26.直销机构：</w:t>
      </w:r>
      <w:r>
        <w:rPr>
          <w:rFonts w:cs="Arial" w:asciiTheme="minorEastAsia" w:hAnsiTheme="minorEastAsia" w:eastAsiaTheme="minorEastAsia"/>
          <w:szCs w:val="21"/>
        </w:rPr>
        <w:t>指博时</w:t>
      </w:r>
      <w:r>
        <w:rPr>
          <w:rFonts w:hint="eastAsia" w:asciiTheme="minorEastAsia" w:hAnsiTheme="minorEastAsia" w:eastAsiaTheme="minorEastAsia"/>
        </w:rPr>
        <w:t>基金</w:t>
      </w:r>
      <w:r>
        <w:rPr>
          <w:rFonts w:cs="Arial" w:asciiTheme="minorEastAsia" w:hAnsiTheme="minorEastAsia" w:eastAsiaTheme="minorEastAsia"/>
          <w:szCs w:val="21"/>
        </w:rPr>
        <w:t>管理有限公司</w:t>
      </w:r>
    </w:p>
    <w:p w14:paraId="3E041F8D">
      <w:pPr>
        <w:adjustRightInd w:val="0"/>
        <w:snapToGrid w:val="0"/>
        <w:spacing w:line="360" w:lineRule="auto"/>
        <w:ind w:firstLine="420" w:firstLineChars="200"/>
        <w:rPr>
          <w:rFonts w:asciiTheme="minorEastAsia" w:hAnsiTheme="minorEastAsia" w:eastAsiaTheme="minorEastAsia"/>
        </w:rPr>
      </w:pPr>
      <w:r>
        <w:rPr>
          <w:rFonts w:hint="eastAsia" w:cs="Arial" w:asciiTheme="minorEastAsia" w:hAnsiTheme="minorEastAsia" w:eastAsiaTheme="minorEastAsia"/>
          <w:szCs w:val="21"/>
        </w:rPr>
        <w:t>27.代销机构：指</w:t>
      </w:r>
      <w:r>
        <w:rPr>
          <w:rFonts w:hint="eastAsia" w:asciiTheme="minorEastAsia" w:hAnsiTheme="minorEastAsia" w:eastAsiaTheme="minorEastAsia"/>
        </w:rPr>
        <w:t>符合《销售办法》和中国证监会规定的其他条件，取得基金</w:t>
      </w:r>
      <w:r>
        <w:rPr>
          <w:rFonts w:hint="eastAsia" w:cs="Arial" w:asciiTheme="minorEastAsia" w:hAnsiTheme="minorEastAsia" w:eastAsiaTheme="minorEastAsia"/>
          <w:szCs w:val="21"/>
        </w:rPr>
        <w:t>销售</w:t>
      </w:r>
      <w:r>
        <w:rPr>
          <w:rFonts w:hint="eastAsia" w:asciiTheme="minorEastAsia" w:hAnsiTheme="minorEastAsia" w:eastAsiaTheme="minorEastAsia"/>
        </w:rPr>
        <w:t>业务资格并与基金管理人签订了基金销售服务协议，办理基金销售业务的机构</w:t>
      </w:r>
    </w:p>
    <w:p w14:paraId="48EA5976">
      <w:pPr>
        <w:adjustRightInd w:val="0"/>
        <w:snapToGrid w:val="0"/>
        <w:spacing w:line="360" w:lineRule="auto"/>
        <w:ind w:firstLine="420" w:firstLineChars="200"/>
        <w:rPr>
          <w:rFonts w:cs="Arial" w:asciiTheme="minorEastAsia" w:hAnsiTheme="minorEastAsia" w:eastAsiaTheme="minorEastAsia"/>
          <w:spacing w:val="8"/>
          <w:szCs w:val="21"/>
        </w:rPr>
      </w:pPr>
      <w:r>
        <w:rPr>
          <w:rFonts w:hint="eastAsia" w:cs="Arial" w:asciiTheme="minorEastAsia" w:hAnsiTheme="minorEastAsia" w:eastAsiaTheme="minorEastAsia"/>
          <w:szCs w:val="21"/>
        </w:rPr>
        <w:t>28.基金销售网点：指直销机构的直销中心及代销机构的代销网点</w:t>
      </w:r>
    </w:p>
    <w:p w14:paraId="54FA1EF3">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29</w:t>
      </w:r>
      <w:r>
        <w:rPr>
          <w:rFonts w:cs="Arial" w:asciiTheme="minorEastAsia" w:hAnsiTheme="minorEastAsia" w:eastAsiaTheme="minorEastAsia"/>
          <w:szCs w:val="21"/>
        </w:rPr>
        <w:t>.</w:t>
      </w:r>
      <w:r>
        <w:rPr>
          <w:rFonts w:hint="eastAsia" w:cs="Arial" w:asciiTheme="minorEastAsia" w:hAnsiTheme="minorEastAsia" w:eastAsiaTheme="minorEastAsia"/>
          <w:szCs w:val="21"/>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789F5547">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30</w:t>
      </w:r>
      <w:r>
        <w:rPr>
          <w:rFonts w:cs="Arial" w:asciiTheme="minorEastAsia" w:hAnsiTheme="minorEastAsia" w:eastAsiaTheme="minorEastAsia"/>
          <w:szCs w:val="21"/>
        </w:rPr>
        <w:t>.</w:t>
      </w:r>
      <w:r>
        <w:rPr>
          <w:rFonts w:hint="eastAsia" w:cs="Arial" w:asciiTheme="minorEastAsia" w:hAnsiTheme="minorEastAsia" w:eastAsiaTheme="minorEastAsia"/>
          <w:szCs w:val="21"/>
        </w:rPr>
        <w:t>登记机构：指办理登记业务的机构。基金的登记机构为</w:t>
      </w:r>
      <w:r>
        <w:rPr>
          <w:rFonts w:cs="Arial" w:asciiTheme="minorEastAsia" w:hAnsiTheme="minorEastAsia" w:eastAsiaTheme="minorEastAsia"/>
          <w:szCs w:val="21"/>
        </w:rPr>
        <w:t>博时基金管理有限公司</w:t>
      </w:r>
      <w:r>
        <w:rPr>
          <w:rFonts w:hint="eastAsia" w:cs="Arial" w:asciiTheme="minorEastAsia" w:hAnsiTheme="minorEastAsia" w:eastAsiaTheme="minorEastAsia"/>
          <w:szCs w:val="21"/>
        </w:rPr>
        <w:t>或接受</w:t>
      </w:r>
      <w:r>
        <w:rPr>
          <w:rFonts w:cs="Arial" w:asciiTheme="minorEastAsia" w:hAnsiTheme="minorEastAsia" w:eastAsiaTheme="minorEastAsia"/>
          <w:szCs w:val="21"/>
        </w:rPr>
        <w:t>博时基金管理有限公司委托代为办理登记业务的机构</w:t>
      </w:r>
    </w:p>
    <w:p w14:paraId="7681CD84">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31</w:t>
      </w:r>
      <w:r>
        <w:rPr>
          <w:rFonts w:cs="Arial" w:asciiTheme="minorEastAsia" w:hAnsiTheme="minorEastAsia" w:eastAsiaTheme="minorEastAsia"/>
          <w:szCs w:val="21"/>
        </w:rPr>
        <w:t>.</w:t>
      </w:r>
      <w:r>
        <w:rPr>
          <w:rFonts w:hint="eastAsia" w:cs="Arial" w:asciiTheme="minorEastAsia" w:hAnsiTheme="minorEastAsia" w:eastAsiaTheme="minorEastAsia"/>
          <w:szCs w:val="21"/>
        </w:rPr>
        <w:t>基金账户：指登记机构为投资人开立的、记录其持有的、基金管理人所管理的基金份额余额及其变动情况的账户</w:t>
      </w:r>
    </w:p>
    <w:p w14:paraId="5405057A">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32</w:t>
      </w:r>
      <w:r>
        <w:rPr>
          <w:rFonts w:cs="Arial" w:asciiTheme="minorEastAsia" w:hAnsiTheme="minorEastAsia" w:eastAsiaTheme="minorEastAsia"/>
          <w:szCs w:val="21"/>
        </w:rPr>
        <w:t>.</w:t>
      </w:r>
      <w:r>
        <w:rPr>
          <w:rFonts w:hint="eastAsia" w:asciiTheme="minorEastAsia" w:hAnsiTheme="minorEastAsia" w:eastAsiaTheme="minorEastAsia"/>
        </w:rPr>
        <w:t>基金交易账户：指销售机构为投资人开立的、记录投资人通过该销售机构办理认购、申购、赎回、转换、转托管及定期定额投资等业务而引起的基金份额变动及结余情况的账户</w:t>
      </w:r>
    </w:p>
    <w:p w14:paraId="54AE0A46">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33</w:t>
      </w:r>
      <w:r>
        <w:rPr>
          <w:rFonts w:cs="Arial" w:asciiTheme="minorEastAsia" w:hAnsiTheme="minorEastAsia" w:eastAsiaTheme="minorEastAsia"/>
          <w:szCs w:val="21"/>
        </w:rPr>
        <w:t>.</w:t>
      </w:r>
      <w:r>
        <w:rPr>
          <w:rFonts w:asciiTheme="minorEastAsia" w:hAnsiTheme="minorEastAsia" w:eastAsiaTheme="minorEastAsia"/>
        </w:rPr>
        <w:t>基金合同生效日：</w:t>
      </w:r>
      <w:r>
        <w:rPr>
          <w:rFonts w:hint="eastAsia" w:asciiTheme="minorEastAsia" w:hAnsiTheme="minorEastAsia" w:eastAsiaTheme="minorEastAsia"/>
        </w:rPr>
        <w:t>指基金募集达到法律法规规定及基金合同规定的条件，基金管理人向中国证监会办理基金备案手续完毕，并获得中国证监会书面确认的日期</w:t>
      </w:r>
    </w:p>
    <w:p w14:paraId="332A69A2">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34</w:t>
      </w:r>
      <w:r>
        <w:rPr>
          <w:rFonts w:cs="Arial" w:asciiTheme="minorEastAsia" w:hAnsiTheme="minorEastAsia" w:eastAsiaTheme="minorEastAsia"/>
          <w:szCs w:val="21"/>
        </w:rPr>
        <w:t>.</w:t>
      </w:r>
      <w:r>
        <w:rPr>
          <w:rFonts w:hint="eastAsia" w:asciiTheme="minorEastAsia" w:hAnsiTheme="minorEastAsia" w:eastAsiaTheme="minorEastAsia"/>
        </w:rPr>
        <w:t>基金合同终止日：指基金合同规定的基金合同终止事由出现后，基金财产清算完毕，清算结果报中国证监会备案并予以公告的日期</w:t>
      </w:r>
    </w:p>
    <w:p w14:paraId="76A5E083">
      <w:pPr>
        <w:adjustRightInd w:val="0"/>
        <w:snapToGrid w:val="0"/>
        <w:spacing w:line="360" w:lineRule="auto"/>
        <w:ind w:firstLine="420" w:firstLineChars="200"/>
        <w:rPr>
          <w:rFonts w:asciiTheme="minorEastAsia" w:hAnsiTheme="minorEastAsia" w:eastAsiaTheme="minorEastAsia"/>
        </w:rPr>
      </w:pPr>
      <w:r>
        <w:rPr>
          <w:rFonts w:hint="eastAsia" w:cs="Arial" w:asciiTheme="minorEastAsia" w:hAnsiTheme="minorEastAsia" w:eastAsiaTheme="minorEastAsia"/>
          <w:szCs w:val="21"/>
        </w:rPr>
        <w:t>35</w:t>
      </w:r>
      <w:r>
        <w:rPr>
          <w:rFonts w:hint="eastAsia" w:asciiTheme="minorEastAsia" w:hAnsiTheme="minorEastAsia" w:eastAsiaTheme="minorEastAsia"/>
        </w:rPr>
        <w:t>.基金募集期：指自基金份额发售之日起至发售结束之日止的期间，最长不得超过</w:t>
      </w:r>
      <w:r>
        <w:rPr>
          <w:rFonts w:cs="Arial" w:asciiTheme="minorEastAsia" w:hAnsiTheme="minorEastAsia" w:eastAsiaTheme="minorEastAsia"/>
          <w:szCs w:val="21"/>
        </w:rPr>
        <w:t>3</w:t>
      </w:r>
      <w:r>
        <w:rPr>
          <w:rFonts w:hint="eastAsia" w:asciiTheme="minorEastAsia" w:hAnsiTheme="minorEastAsia" w:eastAsiaTheme="minorEastAsia"/>
        </w:rPr>
        <w:t>个月</w:t>
      </w:r>
    </w:p>
    <w:p w14:paraId="6BCA3310">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36</w:t>
      </w:r>
      <w:r>
        <w:rPr>
          <w:rFonts w:cs="Arial" w:asciiTheme="minorEastAsia" w:hAnsiTheme="minorEastAsia" w:eastAsiaTheme="minorEastAsia"/>
          <w:szCs w:val="21"/>
        </w:rPr>
        <w:t>.</w:t>
      </w:r>
      <w:r>
        <w:rPr>
          <w:rFonts w:hint="eastAsia" w:asciiTheme="minorEastAsia" w:hAnsiTheme="minorEastAsia" w:eastAsiaTheme="minorEastAsia"/>
        </w:rPr>
        <w:t>存续期：指基金合同生效至终止之间的不定期期限</w:t>
      </w:r>
    </w:p>
    <w:p w14:paraId="669E9319">
      <w:pPr>
        <w:adjustRightInd w:val="0"/>
        <w:snapToGrid w:val="0"/>
        <w:spacing w:line="360" w:lineRule="auto"/>
        <w:ind w:firstLine="420" w:firstLineChars="200"/>
        <w:rPr>
          <w:rFonts w:asciiTheme="minorEastAsia" w:hAnsiTheme="minorEastAsia" w:eastAsiaTheme="minorEastAsia"/>
        </w:rPr>
      </w:pPr>
      <w:r>
        <w:rPr>
          <w:rFonts w:hint="eastAsia" w:cs="Arial" w:asciiTheme="minorEastAsia" w:hAnsiTheme="minorEastAsia" w:eastAsiaTheme="minorEastAsia"/>
          <w:szCs w:val="21"/>
        </w:rPr>
        <w:t>37</w:t>
      </w:r>
      <w:r>
        <w:rPr>
          <w:rFonts w:cs="Arial" w:asciiTheme="minorEastAsia" w:hAnsiTheme="minorEastAsia" w:eastAsiaTheme="minorEastAsia"/>
          <w:szCs w:val="21"/>
        </w:rPr>
        <w:t>.</w:t>
      </w:r>
      <w:r>
        <w:rPr>
          <w:rFonts w:hint="eastAsia" w:asciiTheme="minorEastAsia" w:hAnsiTheme="minorEastAsia" w:eastAsiaTheme="minorEastAsia"/>
        </w:rPr>
        <w:t>工作日：指上海证券交易所、深圳证券交易所及</w:t>
      </w:r>
      <w:r>
        <w:rPr>
          <w:rFonts w:asciiTheme="minorEastAsia" w:hAnsiTheme="minorEastAsia" w:eastAsiaTheme="minorEastAsia"/>
        </w:rPr>
        <w:t>相关期货交易所</w:t>
      </w:r>
      <w:r>
        <w:rPr>
          <w:rFonts w:hint="eastAsia" w:asciiTheme="minorEastAsia" w:hAnsiTheme="minorEastAsia" w:eastAsiaTheme="minorEastAsia"/>
        </w:rPr>
        <w:t>的正常交易日</w:t>
      </w:r>
    </w:p>
    <w:p w14:paraId="42F0843C">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38</w:t>
      </w:r>
      <w:r>
        <w:rPr>
          <w:rFonts w:cs="Arial" w:asciiTheme="minorEastAsia" w:hAnsiTheme="minorEastAsia" w:eastAsiaTheme="minorEastAsia"/>
          <w:szCs w:val="21"/>
        </w:rPr>
        <w:t>.</w:t>
      </w:r>
      <w:r>
        <w:rPr>
          <w:rFonts w:asciiTheme="minorEastAsia" w:hAnsiTheme="minorEastAsia" w:eastAsiaTheme="minorEastAsia"/>
        </w:rPr>
        <w:t>T</w:t>
      </w:r>
      <w:r>
        <w:rPr>
          <w:rFonts w:hint="eastAsia" w:asciiTheme="minorEastAsia" w:hAnsiTheme="minorEastAsia" w:eastAsiaTheme="minorEastAsia"/>
        </w:rPr>
        <w:t>日：指销售机构在规定时间受理投资人申购、赎回或其他业务申请的</w:t>
      </w:r>
      <w:r>
        <w:rPr>
          <w:rFonts w:hint="eastAsia" w:cs="Arial" w:asciiTheme="minorEastAsia" w:hAnsiTheme="minorEastAsia" w:eastAsiaTheme="minorEastAsia"/>
          <w:szCs w:val="21"/>
        </w:rPr>
        <w:t>开放日</w:t>
      </w:r>
    </w:p>
    <w:p w14:paraId="0855F328">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39</w:t>
      </w:r>
      <w:r>
        <w:rPr>
          <w:rFonts w:cs="Arial" w:asciiTheme="minorEastAsia" w:hAnsiTheme="minorEastAsia" w:eastAsiaTheme="minorEastAsia"/>
          <w:szCs w:val="21"/>
        </w:rPr>
        <w:t>.</w:t>
      </w:r>
      <w:r>
        <w:rPr>
          <w:rFonts w:asciiTheme="minorEastAsia" w:hAnsiTheme="minorEastAsia" w:eastAsiaTheme="minorEastAsia"/>
        </w:rPr>
        <w:t>T+n</w:t>
      </w:r>
      <w:r>
        <w:rPr>
          <w:rFonts w:hint="eastAsia" w:asciiTheme="minorEastAsia" w:hAnsiTheme="minorEastAsia" w:eastAsiaTheme="minorEastAsia"/>
        </w:rPr>
        <w:t>日：指自</w:t>
      </w:r>
      <w:r>
        <w:rPr>
          <w:rFonts w:asciiTheme="minorEastAsia" w:hAnsiTheme="minorEastAsia" w:eastAsiaTheme="minorEastAsia"/>
        </w:rPr>
        <w:t>T</w:t>
      </w:r>
      <w:r>
        <w:rPr>
          <w:rFonts w:hint="eastAsia" w:asciiTheme="minorEastAsia" w:hAnsiTheme="minorEastAsia" w:eastAsiaTheme="minorEastAsia"/>
        </w:rPr>
        <w:t>日起第</w:t>
      </w:r>
      <w:r>
        <w:rPr>
          <w:rFonts w:asciiTheme="minorEastAsia" w:hAnsiTheme="minorEastAsia" w:eastAsiaTheme="minorEastAsia"/>
        </w:rPr>
        <w:t>n</w:t>
      </w:r>
      <w:r>
        <w:rPr>
          <w:rFonts w:hint="eastAsia" w:asciiTheme="minorEastAsia" w:hAnsiTheme="minorEastAsia" w:eastAsiaTheme="minorEastAsia"/>
        </w:rPr>
        <w:t>个工作日</w:t>
      </w:r>
      <w:r>
        <w:rPr>
          <w:rFonts w:hint="eastAsia" w:cs="Arial" w:asciiTheme="minorEastAsia" w:hAnsiTheme="minorEastAsia" w:eastAsiaTheme="minorEastAsia"/>
          <w:szCs w:val="21"/>
        </w:rPr>
        <w:t>（</w:t>
      </w:r>
      <w:r>
        <w:rPr>
          <w:rFonts w:hint="eastAsia" w:asciiTheme="minorEastAsia" w:hAnsiTheme="minorEastAsia" w:eastAsiaTheme="minorEastAsia"/>
        </w:rPr>
        <w:t>不包含</w:t>
      </w:r>
      <w:r>
        <w:rPr>
          <w:rFonts w:asciiTheme="minorEastAsia" w:hAnsiTheme="minorEastAsia" w:eastAsiaTheme="minorEastAsia"/>
        </w:rPr>
        <w:t>T</w:t>
      </w:r>
      <w:r>
        <w:rPr>
          <w:rFonts w:hint="eastAsia" w:asciiTheme="minorEastAsia" w:hAnsiTheme="minorEastAsia" w:eastAsiaTheme="minorEastAsia"/>
        </w:rPr>
        <w:t>日</w:t>
      </w:r>
      <w:r>
        <w:rPr>
          <w:rFonts w:hint="eastAsia" w:cs="Arial" w:asciiTheme="minorEastAsia" w:hAnsiTheme="minorEastAsia" w:eastAsiaTheme="minorEastAsia"/>
          <w:szCs w:val="21"/>
        </w:rPr>
        <w:t>）</w:t>
      </w:r>
    </w:p>
    <w:p w14:paraId="1011649F">
      <w:pPr>
        <w:adjustRightInd w:val="0"/>
        <w:snapToGrid w:val="0"/>
        <w:spacing w:line="360" w:lineRule="auto"/>
        <w:ind w:firstLine="420" w:firstLineChars="200"/>
        <w:rPr>
          <w:rFonts w:asciiTheme="minorEastAsia" w:hAnsiTheme="minorEastAsia" w:eastAsiaTheme="minorEastAsia"/>
        </w:rPr>
      </w:pPr>
      <w:r>
        <w:rPr>
          <w:rFonts w:hint="eastAsia" w:cs="Arial" w:asciiTheme="minorEastAsia" w:hAnsiTheme="minorEastAsia" w:eastAsiaTheme="minorEastAsia"/>
          <w:szCs w:val="21"/>
        </w:rPr>
        <w:t>40</w:t>
      </w:r>
      <w:r>
        <w:rPr>
          <w:rFonts w:cs="Arial" w:asciiTheme="minorEastAsia" w:hAnsiTheme="minorEastAsia" w:eastAsiaTheme="minorEastAsia"/>
          <w:szCs w:val="21"/>
        </w:rPr>
        <w:t>.</w:t>
      </w:r>
      <w:r>
        <w:rPr>
          <w:rFonts w:hint="eastAsia" w:asciiTheme="minorEastAsia" w:hAnsiTheme="minorEastAsia" w:eastAsiaTheme="minorEastAsia"/>
        </w:rPr>
        <w:t>开放日：指为投资人办理基金份额申购、赎回或其他业务的港股通、上海证券交易所、深圳证券交易所同时正常开放交易的工作日</w:t>
      </w:r>
    </w:p>
    <w:p w14:paraId="2261E580">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41</w:t>
      </w:r>
      <w:r>
        <w:rPr>
          <w:rFonts w:cs="Arial" w:asciiTheme="minorEastAsia" w:hAnsiTheme="minorEastAsia" w:eastAsiaTheme="minorEastAsia"/>
          <w:szCs w:val="21"/>
        </w:rPr>
        <w:t>.</w:t>
      </w:r>
      <w:r>
        <w:rPr>
          <w:rFonts w:hint="eastAsia" w:asciiTheme="minorEastAsia" w:hAnsiTheme="minorEastAsia" w:eastAsiaTheme="minorEastAsia"/>
        </w:rPr>
        <w:t>开放</w:t>
      </w:r>
      <w:r>
        <w:rPr>
          <w:rFonts w:asciiTheme="minorEastAsia" w:hAnsiTheme="minorEastAsia" w:eastAsiaTheme="minorEastAsia"/>
        </w:rPr>
        <w:t>时间</w:t>
      </w:r>
      <w:r>
        <w:rPr>
          <w:rFonts w:hint="eastAsia" w:asciiTheme="minorEastAsia" w:hAnsiTheme="minorEastAsia" w:eastAsiaTheme="minorEastAsia"/>
        </w:rPr>
        <w:t>：指开放日基金接受申购、赎回或其他交易的时间段</w:t>
      </w:r>
    </w:p>
    <w:p w14:paraId="255EED1A">
      <w:pPr>
        <w:adjustRightInd w:val="0"/>
        <w:snapToGrid w:val="0"/>
        <w:spacing w:line="360" w:lineRule="auto"/>
        <w:ind w:firstLine="420" w:firstLineChars="200"/>
        <w:rPr>
          <w:rFonts w:asciiTheme="minorEastAsia" w:hAnsiTheme="minorEastAsia" w:eastAsiaTheme="minorEastAsia"/>
          <w:spacing w:val="8"/>
        </w:rPr>
      </w:pPr>
      <w:r>
        <w:rPr>
          <w:rFonts w:hint="eastAsia" w:cs="Arial" w:asciiTheme="minorEastAsia" w:hAnsiTheme="minorEastAsia" w:eastAsiaTheme="minorEastAsia"/>
          <w:szCs w:val="21"/>
        </w:rPr>
        <w:t>42</w:t>
      </w:r>
      <w:r>
        <w:rPr>
          <w:rFonts w:cs="Arial" w:asciiTheme="minorEastAsia" w:hAnsiTheme="minorEastAsia" w:eastAsiaTheme="minorEastAsia"/>
          <w:szCs w:val="21"/>
        </w:rPr>
        <w:t>.</w:t>
      </w:r>
      <w:r>
        <w:rPr>
          <w:rFonts w:hint="eastAsia" w:asciiTheme="minorEastAsia" w:hAnsiTheme="minorEastAsia" w:eastAsiaTheme="minorEastAsia"/>
        </w:rPr>
        <w:t>《业务规则》：指</w:t>
      </w:r>
      <w:r>
        <w:rPr>
          <w:rFonts w:cs="Arial" w:asciiTheme="minorEastAsia" w:hAnsiTheme="minorEastAsia" w:eastAsiaTheme="minorEastAsia"/>
          <w:szCs w:val="21"/>
        </w:rPr>
        <w:t>《博时基金管理有限公司开放式基金业务规则》</w:t>
      </w:r>
      <w:r>
        <w:rPr>
          <w:rFonts w:hint="eastAsia" w:asciiTheme="minorEastAsia" w:hAnsiTheme="minorEastAsia" w:eastAsiaTheme="minorEastAsia"/>
        </w:rPr>
        <w:t>，是规范基金管理人所管理的开放式证券投资基金登记方面的业务规则，由基金管理人和投资人共同遵守</w:t>
      </w:r>
    </w:p>
    <w:p w14:paraId="60F0FA6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43．认购：指在基金募集期内，投资人根据基金合同和招募说明书的规定申请购买基金份额的行为</w:t>
      </w:r>
    </w:p>
    <w:p w14:paraId="62538662">
      <w:pPr>
        <w:adjustRightInd w:val="0"/>
        <w:snapToGrid w:val="0"/>
        <w:spacing w:line="360" w:lineRule="auto"/>
        <w:ind w:firstLine="420" w:firstLineChars="200"/>
        <w:rPr>
          <w:rFonts w:asciiTheme="minorEastAsia" w:hAnsiTheme="minorEastAsia" w:eastAsiaTheme="minorEastAsia"/>
          <w:spacing w:val="8"/>
        </w:rPr>
      </w:pPr>
      <w:r>
        <w:rPr>
          <w:rFonts w:hint="eastAsia" w:asciiTheme="minorEastAsia" w:hAnsiTheme="minorEastAsia" w:eastAsiaTheme="minorEastAsia"/>
        </w:rPr>
        <w:t>44</w:t>
      </w:r>
      <w:r>
        <w:rPr>
          <w:rFonts w:cs="Arial" w:asciiTheme="minorEastAsia" w:hAnsiTheme="minorEastAsia" w:eastAsiaTheme="minorEastAsia"/>
          <w:szCs w:val="21"/>
        </w:rPr>
        <w:t>.</w:t>
      </w:r>
      <w:r>
        <w:rPr>
          <w:rFonts w:hint="eastAsia" w:asciiTheme="minorEastAsia" w:hAnsiTheme="minorEastAsia" w:eastAsiaTheme="minorEastAsia"/>
        </w:rPr>
        <w:t>申购：指基金合同生效后，投资人根据基金合同和招募说明书的规定申请购买基金份额的行为</w:t>
      </w:r>
    </w:p>
    <w:p w14:paraId="27B4619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5</w:t>
      </w:r>
      <w:r>
        <w:rPr>
          <w:rFonts w:cs="Arial" w:asciiTheme="minorEastAsia" w:hAnsiTheme="minorEastAsia" w:eastAsiaTheme="minorEastAsia"/>
          <w:szCs w:val="21"/>
        </w:rPr>
        <w:t>.</w:t>
      </w:r>
      <w:r>
        <w:rPr>
          <w:rFonts w:hint="eastAsia" w:asciiTheme="minorEastAsia" w:hAnsiTheme="minorEastAsia" w:eastAsiaTheme="minorEastAsia"/>
        </w:rPr>
        <w:t>赎回：指基金合同生效后，基金份额持有人按基金合同</w:t>
      </w:r>
      <w:r>
        <w:rPr>
          <w:rFonts w:hint="eastAsia" w:cs="Arial" w:asciiTheme="minorEastAsia" w:hAnsiTheme="minorEastAsia" w:eastAsiaTheme="minorEastAsia"/>
          <w:szCs w:val="21"/>
        </w:rPr>
        <w:t>和招募说明书</w:t>
      </w:r>
      <w:r>
        <w:rPr>
          <w:rFonts w:hint="eastAsia" w:asciiTheme="minorEastAsia" w:hAnsiTheme="minorEastAsia" w:eastAsiaTheme="minorEastAsia"/>
        </w:rPr>
        <w:t>规定的条件要求将基金份额兑换为现金的行为</w:t>
      </w:r>
    </w:p>
    <w:p w14:paraId="3A9D8B40">
      <w:pPr>
        <w:adjustRightInd w:val="0"/>
        <w:snapToGrid w:val="0"/>
        <w:spacing w:line="360" w:lineRule="auto"/>
        <w:ind w:firstLine="420" w:firstLineChars="200"/>
        <w:rPr>
          <w:rFonts w:asciiTheme="minorEastAsia" w:hAnsiTheme="minorEastAsia" w:eastAsiaTheme="minorEastAsia"/>
          <w:spacing w:val="8"/>
        </w:rPr>
      </w:pPr>
      <w:r>
        <w:rPr>
          <w:rFonts w:asciiTheme="minorEastAsia" w:hAnsiTheme="minorEastAsia" w:eastAsiaTheme="minorEastAsia"/>
        </w:rPr>
        <w:t>4</w:t>
      </w:r>
      <w:r>
        <w:rPr>
          <w:rFonts w:hint="eastAsia" w:asciiTheme="minorEastAsia" w:hAnsiTheme="minorEastAsia" w:eastAsiaTheme="minorEastAsia"/>
        </w:rPr>
        <w:t>6</w:t>
      </w:r>
      <w:r>
        <w:rPr>
          <w:rFonts w:cs="Arial" w:asciiTheme="minorEastAsia" w:hAnsiTheme="minorEastAsia" w:eastAsiaTheme="minorEastAsia"/>
          <w:szCs w:val="21"/>
        </w:rPr>
        <w:t>.</w:t>
      </w:r>
      <w:r>
        <w:rPr>
          <w:rFonts w:hint="eastAsia" w:asciiTheme="minorEastAsia" w:hAnsiTheme="minorEastAsia" w:eastAsiaTheme="minorEastAsia"/>
        </w:rPr>
        <w:t>基金转换：指基金份额持有人按照本基金合同和基金管理人届时有效公告规定的条件，申请将其持有基金管理人管理的、某一基金的基金份额转换为基金管理人管理的其他基金基金份额的行为</w:t>
      </w:r>
    </w:p>
    <w:p w14:paraId="29B50D4B">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7</w:t>
      </w:r>
      <w:r>
        <w:rPr>
          <w:rFonts w:cs="Arial" w:asciiTheme="minorEastAsia" w:hAnsiTheme="minorEastAsia" w:eastAsiaTheme="minorEastAsia"/>
          <w:szCs w:val="21"/>
        </w:rPr>
        <w:t>.</w:t>
      </w:r>
      <w:r>
        <w:rPr>
          <w:rFonts w:hint="eastAsia" w:asciiTheme="minorEastAsia" w:hAnsiTheme="minorEastAsia" w:eastAsiaTheme="minorEastAsia"/>
        </w:rPr>
        <w:t>转托管：指基金份额持有人在本基金的不同销售机构之间实施的变更所持基金份额销售机构的操作</w:t>
      </w:r>
    </w:p>
    <w:p w14:paraId="44FA1F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48</w:t>
      </w:r>
      <w:r>
        <w:rPr>
          <w:rFonts w:cs="Arial" w:asciiTheme="minorEastAsia" w:hAnsiTheme="minorEastAsia" w:eastAsiaTheme="minorEastAsia"/>
          <w:szCs w:val="21"/>
        </w:rPr>
        <w:t>.</w:t>
      </w:r>
      <w:r>
        <w:rPr>
          <w:rFonts w:hint="eastAsia" w:asciiTheme="minorEastAsia" w:hAnsiTheme="minorEastAsia" w:eastAsiaTheme="minorEastAsia"/>
          <w:spacing w:val="8"/>
        </w:rPr>
        <w:t>定期定额投资计划：指投资人通过有关销售机构提出申请，约定每期</w:t>
      </w:r>
      <w:r>
        <w:rPr>
          <w:rFonts w:hint="eastAsia" w:cs="Arial" w:asciiTheme="minorEastAsia" w:hAnsiTheme="minorEastAsia" w:eastAsiaTheme="minorEastAsia"/>
          <w:spacing w:val="8"/>
          <w:szCs w:val="21"/>
        </w:rPr>
        <w:t>申购</w:t>
      </w:r>
      <w:r>
        <w:rPr>
          <w:rFonts w:hint="eastAsia" w:asciiTheme="minorEastAsia" w:hAnsiTheme="minorEastAsia" w:eastAsiaTheme="minorEastAsia"/>
          <w:spacing w:val="8"/>
        </w:rPr>
        <w:t>日、扣款金额及扣款方式，由销售机构于每期约定扣款日在投资人指定银行账户内自动完成扣款及受理基金申购申请的一种投资方式</w:t>
      </w:r>
    </w:p>
    <w:p w14:paraId="5E1FE040">
      <w:pPr>
        <w:adjustRightInd w:val="0"/>
        <w:snapToGrid w:val="0"/>
        <w:spacing w:line="360" w:lineRule="auto"/>
        <w:ind w:firstLine="452" w:firstLineChars="200"/>
        <w:rPr>
          <w:rFonts w:asciiTheme="minorEastAsia" w:hAnsiTheme="minorEastAsia" w:eastAsiaTheme="minorEastAsia"/>
          <w:spacing w:val="8"/>
        </w:rPr>
      </w:pPr>
      <w:r>
        <w:rPr>
          <w:rFonts w:hint="eastAsia" w:asciiTheme="minorEastAsia" w:hAnsiTheme="minorEastAsia" w:eastAsiaTheme="minorEastAsia"/>
          <w:spacing w:val="8"/>
        </w:rPr>
        <w:t>49</w:t>
      </w:r>
      <w:r>
        <w:rPr>
          <w:rFonts w:cs="Arial" w:asciiTheme="minorEastAsia" w:hAnsiTheme="minorEastAsia" w:eastAsiaTheme="minorEastAsia"/>
          <w:spacing w:val="8"/>
          <w:szCs w:val="21"/>
        </w:rPr>
        <w:t>.</w:t>
      </w:r>
      <w:r>
        <w:rPr>
          <w:rFonts w:hint="eastAsia" w:asciiTheme="minorEastAsia" w:hAnsiTheme="minorEastAsia" w:eastAsiaTheme="minorEastAsia"/>
          <w:spacing w:val="8"/>
        </w:rPr>
        <w:t>巨额赎回：指本基金单个开放日，基金净赎回申请</w:t>
      </w:r>
      <w:r>
        <w:rPr>
          <w:rFonts w:hint="eastAsia" w:cs="Arial" w:asciiTheme="minorEastAsia" w:hAnsiTheme="minorEastAsia" w:eastAsiaTheme="minorEastAsia"/>
          <w:spacing w:val="8"/>
          <w:szCs w:val="21"/>
        </w:rPr>
        <w:t>（</w:t>
      </w:r>
      <w:r>
        <w:rPr>
          <w:rFonts w:hint="eastAsia" w:asciiTheme="minorEastAsia" w:hAnsiTheme="minorEastAsia" w:eastAsiaTheme="minorEastAsia"/>
          <w:spacing w:val="8"/>
        </w:rPr>
        <w:t>赎回申请份额总数加上基金转换中转出申请份额总数后扣除申购申请份额总数及基金转换中转入申请份额总数后的余额</w:t>
      </w:r>
      <w:r>
        <w:rPr>
          <w:rFonts w:hint="eastAsia" w:cs="Arial" w:asciiTheme="minorEastAsia" w:hAnsiTheme="minorEastAsia" w:eastAsiaTheme="minorEastAsia"/>
          <w:spacing w:val="8"/>
          <w:szCs w:val="21"/>
        </w:rPr>
        <w:t>）</w:t>
      </w:r>
      <w:r>
        <w:rPr>
          <w:rFonts w:hint="eastAsia" w:asciiTheme="minorEastAsia" w:hAnsiTheme="minorEastAsia" w:eastAsiaTheme="minorEastAsia"/>
          <w:spacing w:val="8"/>
        </w:rPr>
        <w:t>超过上一工作日基金总份额的</w:t>
      </w:r>
      <w:r>
        <w:rPr>
          <w:rFonts w:cs="Arial" w:asciiTheme="minorEastAsia" w:hAnsiTheme="minorEastAsia" w:eastAsiaTheme="minorEastAsia"/>
          <w:spacing w:val="8"/>
          <w:szCs w:val="21"/>
        </w:rPr>
        <w:t>10%</w:t>
      </w:r>
    </w:p>
    <w:p w14:paraId="77EE5F60">
      <w:pPr>
        <w:adjustRightInd w:val="0"/>
        <w:snapToGrid w:val="0"/>
        <w:spacing w:line="360" w:lineRule="auto"/>
        <w:ind w:firstLine="452" w:firstLineChars="200"/>
        <w:rPr>
          <w:rFonts w:asciiTheme="minorEastAsia" w:hAnsiTheme="minorEastAsia" w:eastAsiaTheme="minorEastAsia"/>
          <w:spacing w:val="8"/>
        </w:rPr>
      </w:pPr>
      <w:r>
        <w:rPr>
          <w:rFonts w:hint="eastAsia" w:asciiTheme="minorEastAsia" w:hAnsiTheme="minorEastAsia" w:eastAsiaTheme="minorEastAsia"/>
          <w:spacing w:val="8"/>
        </w:rPr>
        <w:t>50</w:t>
      </w:r>
      <w:r>
        <w:rPr>
          <w:rFonts w:asciiTheme="minorEastAsia" w:hAnsiTheme="minorEastAsia" w:eastAsiaTheme="minorEastAsia"/>
          <w:spacing w:val="8"/>
        </w:rPr>
        <w:t>.</w:t>
      </w:r>
      <w:r>
        <w:rPr>
          <w:rFonts w:hint="eastAsia" w:asciiTheme="minorEastAsia" w:hAnsiTheme="minorEastAsia" w:eastAsiaTheme="minorEastAsia"/>
          <w:spacing w:val="8"/>
        </w:rPr>
        <w:t>元：指人民币元</w:t>
      </w:r>
    </w:p>
    <w:p w14:paraId="4E458B00">
      <w:pPr>
        <w:adjustRightInd w:val="0"/>
        <w:snapToGrid w:val="0"/>
        <w:spacing w:line="360" w:lineRule="auto"/>
        <w:ind w:firstLine="452" w:firstLineChars="200"/>
        <w:rPr>
          <w:rFonts w:asciiTheme="minorEastAsia" w:hAnsiTheme="minorEastAsia" w:eastAsiaTheme="minorEastAsia"/>
          <w:spacing w:val="8"/>
        </w:rPr>
      </w:pPr>
      <w:r>
        <w:rPr>
          <w:rFonts w:hint="eastAsia" w:asciiTheme="minorEastAsia" w:hAnsiTheme="minorEastAsia" w:eastAsiaTheme="minorEastAsia"/>
          <w:spacing w:val="8"/>
        </w:rPr>
        <w:t>51</w:t>
      </w:r>
      <w:r>
        <w:rPr>
          <w:rFonts w:asciiTheme="minorEastAsia" w:hAnsiTheme="minorEastAsia" w:eastAsiaTheme="minorEastAsia"/>
          <w:spacing w:val="8"/>
        </w:rPr>
        <w:t>.</w:t>
      </w:r>
      <w:r>
        <w:rPr>
          <w:rFonts w:hint="eastAsia" w:asciiTheme="minorEastAsia" w:hAnsiTheme="minorEastAsia" w:eastAsiaTheme="minorEastAsia"/>
          <w:spacing w:val="8"/>
        </w:rPr>
        <w:t>基金收益：指基金投资所得红利、股息、债券利息、买卖证券价差、投资目标ETF份额所得收益、银行存款利息、已实现的其他合法收入及因运用基金财产带来的成本和费用的节约</w:t>
      </w:r>
    </w:p>
    <w:p w14:paraId="295E8AAA">
      <w:pPr>
        <w:adjustRightInd w:val="0"/>
        <w:snapToGrid w:val="0"/>
        <w:spacing w:line="360" w:lineRule="auto"/>
        <w:ind w:firstLine="452" w:firstLineChars="200"/>
        <w:rPr>
          <w:rFonts w:asciiTheme="minorEastAsia" w:hAnsiTheme="minorEastAsia" w:eastAsiaTheme="minorEastAsia"/>
          <w:spacing w:val="8"/>
        </w:rPr>
      </w:pPr>
      <w:r>
        <w:rPr>
          <w:rFonts w:hint="eastAsia" w:asciiTheme="minorEastAsia" w:hAnsiTheme="minorEastAsia" w:eastAsiaTheme="minorEastAsia"/>
          <w:spacing w:val="8"/>
        </w:rPr>
        <w:t>52</w:t>
      </w:r>
      <w:r>
        <w:rPr>
          <w:rFonts w:asciiTheme="minorEastAsia" w:hAnsiTheme="minorEastAsia" w:eastAsiaTheme="minorEastAsia"/>
          <w:spacing w:val="8"/>
        </w:rPr>
        <w:t>.</w:t>
      </w:r>
      <w:r>
        <w:rPr>
          <w:rFonts w:hint="eastAsia" w:asciiTheme="minorEastAsia" w:hAnsiTheme="minorEastAsia" w:eastAsiaTheme="minorEastAsia"/>
          <w:spacing w:val="8"/>
        </w:rPr>
        <w:t>基金资产总值：指基金拥有的目标ETF基金份额、各类有价证券、银行存款本息、基金应收款项及其他资产的价值总和</w:t>
      </w:r>
    </w:p>
    <w:p w14:paraId="5F6CC49B">
      <w:pPr>
        <w:adjustRightInd w:val="0"/>
        <w:snapToGrid w:val="0"/>
        <w:spacing w:line="360" w:lineRule="auto"/>
        <w:ind w:firstLine="452" w:firstLineChars="200"/>
        <w:rPr>
          <w:rFonts w:asciiTheme="minorEastAsia" w:hAnsiTheme="minorEastAsia" w:eastAsiaTheme="minorEastAsia"/>
          <w:spacing w:val="8"/>
        </w:rPr>
      </w:pPr>
      <w:r>
        <w:rPr>
          <w:rFonts w:hint="eastAsia" w:asciiTheme="minorEastAsia" w:hAnsiTheme="minorEastAsia" w:eastAsiaTheme="minorEastAsia"/>
          <w:spacing w:val="8"/>
        </w:rPr>
        <w:t>53</w:t>
      </w:r>
      <w:r>
        <w:rPr>
          <w:rFonts w:asciiTheme="minorEastAsia" w:hAnsiTheme="minorEastAsia" w:eastAsiaTheme="minorEastAsia"/>
          <w:spacing w:val="8"/>
        </w:rPr>
        <w:t>.</w:t>
      </w:r>
      <w:r>
        <w:rPr>
          <w:rFonts w:hint="eastAsia" w:asciiTheme="minorEastAsia" w:hAnsiTheme="minorEastAsia" w:eastAsiaTheme="minorEastAsia"/>
          <w:spacing w:val="8"/>
        </w:rPr>
        <w:t>基金资产净值：指基金资产总值减去基金负债后的价值</w:t>
      </w:r>
    </w:p>
    <w:p w14:paraId="5BC66F1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54</w:t>
      </w:r>
      <w:r>
        <w:rPr>
          <w:rFonts w:cs="Arial" w:asciiTheme="minorEastAsia" w:hAnsiTheme="minorEastAsia" w:eastAsiaTheme="minorEastAsia"/>
          <w:szCs w:val="21"/>
        </w:rPr>
        <w:t>.</w:t>
      </w:r>
      <w:r>
        <w:rPr>
          <w:rFonts w:hint="eastAsia" w:asciiTheme="minorEastAsia" w:hAnsiTheme="minorEastAsia" w:eastAsiaTheme="minorEastAsia"/>
        </w:rPr>
        <w:t>基金份额净值：指计算日基金资产净值除以计算日基金份额总数</w:t>
      </w:r>
    </w:p>
    <w:p w14:paraId="18B53A16">
      <w:pPr>
        <w:adjustRightInd w:val="0"/>
        <w:snapToGrid w:val="0"/>
        <w:spacing w:line="360" w:lineRule="auto"/>
        <w:ind w:firstLine="420" w:firstLineChars="200"/>
        <w:rPr>
          <w:rFonts w:asciiTheme="minorEastAsia" w:hAnsiTheme="minorEastAsia" w:eastAsiaTheme="minorEastAsia"/>
          <w:spacing w:val="8"/>
        </w:rPr>
      </w:pPr>
      <w:r>
        <w:rPr>
          <w:rFonts w:hint="eastAsia" w:asciiTheme="minorEastAsia" w:hAnsiTheme="minorEastAsia" w:eastAsiaTheme="minorEastAsia"/>
        </w:rPr>
        <w:t>55</w:t>
      </w:r>
      <w:r>
        <w:rPr>
          <w:rFonts w:cs="Arial" w:asciiTheme="minorEastAsia" w:hAnsiTheme="minorEastAsia" w:eastAsiaTheme="minorEastAsia"/>
          <w:szCs w:val="21"/>
        </w:rPr>
        <w:t>.</w:t>
      </w:r>
      <w:r>
        <w:rPr>
          <w:rFonts w:hint="eastAsia" w:asciiTheme="minorEastAsia" w:hAnsiTheme="minorEastAsia" w:eastAsiaTheme="minorEastAsia"/>
        </w:rPr>
        <w:t>基金资产估值：指计算评估基金资产和负债的价值，以确定基金资产净值和基金份额净值的过程</w:t>
      </w:r>
    </w:p>
    <w:p w14:paraId="7860B3B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56</w:t>
      </w:r>
      <w:r>
        <w:rPr>
          <w:rFonts w:cs="Arial" w:asciiTheme="minorEastAsia" w:hAnsiTheme="minorEastAsia" w:eastAsiaTheme="minorEastAsia"/>
          <w:szCs w:val="21"/>
        </w:rPr>
        <w:t>.</w:t>
      </w:r>
      <w:r>
        <w:rPr>
          <w:rFonts w:hint="eastAsia" w:asciiTheme="minorEastAsia" w:hAnsiTheme="minorEastAsia" w:eastAsiaTheme="minorEastAsia"/>
        </w:rPr>
        <w:t>规定媒介：指符合中国证监会规定条件的用以进行信息披露的</w:t>
      </w:r>
      <w:r>
        <w:rPr>
          <w:rFonts w:hint="eastAsia"/>
          <w:bCs/>
          <w:szCs w:val="21"/>
        </w:rPr>
        <w:t>全国性</w:t>
      </w:r>
      <w:r>
        <w:rPr>
          <w:bCs/>
          <w:szCs w:val="21"/>
        </w:rPr>
        <w:t>报刊</w:t>
      </w:r>
      <w:r>
        <w:rPr>
          <w:rFonts w:hint="eastAsia"/>
          <w:bCs/>
          <w:szCs w:val="21"/>
        </w:rPr>
        <w:t>及《信息披露办法》规定的</w:t>
      </w:r>
      <w:r>
        <w:rPr>
          <w:bCs/>
          <w:szCs w:val="21"/>
        </w:rPr>
        <w:t>互联网网站</w:t>
      </w:r>
      <w:r>
        <w:rPr>
          <w:rFonts w:hint="eastAsia"/>
          <w:bCs/>
          <w:szCs w:val="21"/>
        </w:rPr>
        <w:t>（包括</w:t>
      </w:r>
      <w:r>
        <w:rPr>
          <w:bCs/>
          <w:szCs w:val="21"/>
        </w:rPr>
        <w:t>基金管理人网站、基金托管人网站、中国证监会基金电子披露网站</w:t>
      </w:r>
      <w:r>
        <w:rPr>
          <w:rFonts w:hint="eastAsia"/>
          <w:bCs/>
          <w:szCs w:val="21"/>
        </w:rPr>
        <w:t>）等媒介</w:t>
      </w:r>
    </w:p>
    <w:p w14:paraId="1B199976">
      <w:pPr>
        <w:adjustRightInd w:val="0"/>
        <w:snapToGrid w:val="0"/>
        <w:spacing w:line="360" w:lineRule="auto"/>
        <w:ind w:firstLine="420" w:firstLineChars="200"/>
        <w:rPr>
          <w:rFonts w:cs="Arial" w:asciiTheme="minorEastAsia" w:hAnsiTheme="minorEastAsia" w:eastAsiaTheme="minorEastAsia"/>
          <w:szCs w:val="21"/>
        </w:rPr>
      </w:pPr>
      <w:r>
        <w:rPr>
          <w:rFonts w:hint="eastAsia" w:asciiTheme="minorEastAsia" w:hAnsiTheme="minorEastAsia" w:eastAsiaTheme="minorEastAsia"/>
        </w:rPr>
        <w:t>57</w:t>
      </w:r>
      <w:r>
        <w:rPr>
          <w:rFonts w:hint="eastAsia" w:cs="Arial" w:asciiTheme="minorEastAsia" w:hAnsiTheme="minorEastAsia" w:eastAsiaTheme="minorEastAsia"/>
          <w:szCs w:val="21"/>
        </w:rPr>
        <w:t>.标的指数：指恒生指数有限公司编制并发布的恒生港股通红利</w:t>
      </w:r>
      <w:r>
        <w:rPr>
          <w:rFonts w:cs="Arial" w:asciiTheme="minorEastAsia" w:hAnsiTheme="minorEastAsia" w:eastAsiaTheme="minorEastAsia"/>
          <w:szCs w:val="21"/>
        </w:rPr>
        <w:t>指数及其未来可能发生的变更</w:t>
      </w:r>
    </w:p>
    <w:p w14:paraId="1736C4EE">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58.联接基金：指本基金，即将绝大部分基金财产投资于博时恒生港股通红利交易型开放式指数证券投资基金（目标</w:t>
      </w:r>
      <w:r>
        <w:rPr>
          <w:rFonts w:cs="Arial" w:asciiTheme="minorEastAsia" w:hAnsiTheme="minorEastAsia" w:eastAsiaTheme="minorEastAsia"/>
          <w:szCs w:val="21"/>
        </w:rPr>
        <w:t>ETF），紧密跟踪标的指数表现，追求跟踪偏离度和跟踪误差最</w:t>
      </w:r>
      <w:r>
        <w:rPr>
          <w:rFonts w:hint="eastAsia" w:cs="Arial" w:asciiTheme="minorEastAsia" w:hAnsiTheme="minorEastAsia" w:eastAsiaTheme="minorEastAsia"/>
          <w:szCs w:val="21"/>
        </w:rPr>
        <w:t>小化</w:t>
      </w:r>
      <w:r>
        <w:rPr>
          <w:rFonts w:cs="Arial" w:asciiTheme="minorEastAsia" w:hAnsiTheme="minorEastAsia" w:eastAsiaTheme="minorEastAsia"/>
          <w:szCs w:val="21"/>
        </w:rPr>
        <w:t>，采用开放式运作方式的基金</w:t>
      </w:r>
    </w:p>
    <w:p w14:paraId="2102EC08">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59.目标ETF：</w:t>
      </w:r>
      <w:r>
        <w:rPr>
          <w:rFonts w:cs="Arial" w:asciiTheme="minorEastAsia" w:hAnsiTheme="minorEastAsia" w:eastAsiaTheme="minorEastAsia"/>
          <w:szCs w:val="21"/>
        </w:rPr>
        <w:t>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w:t>
      </w:r>
    </w:p>
    <w:p w14:paraId="67CFC978">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60</w:t>
      </w:r>
      <w:r>
        <w:rPr>
          <w:rFonts w:cs="Arial" w:asciiTheme="minorEastAsia" w:hAnsiTheme="minorEastAsia" w:eastAsiaTheme="minorEastAsia"/>
          <w:szCs w:val="21"/>
        </w:rPr>
        <w:t>.A类基金份额：</w:t>
      </w:r>
      <w:r>
        <w:rPr>
          <w:rFonts w:hint="eastAsia" w:cs="Arial" w:asciiTheme="minorEastAsia" w:hAnsiTheme="minorEastAsia" w:eastAsiaTheme="minorEastAsia"/>
          <w:szCs w:val="21"/>
        </w:rPr>
        <w:t>指在投资者认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申购时收取认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申购费用，不从本类别基金资产中计提销售服务费的基金份额类别</w:t>
      </w:r>
    </w:p>
    <w:p w14:paraId="667BC975">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61</w:t>
      </w:r>
      <w:r>
        <w:rPr>
          <w:rFonts w:cs="Arial" w:asciiTheme="minorEastAsia" w:hAnsiTheme="minorEastAsia" w:eastAsiaTheme="minorEastAsia"/>
          <w:szCs w:val="21"/>
        </w:rPr>
        <w:t>.C类基金份额：</w:t>
      </w:r>
      <w:r>
        <w:rPr>
          <w:rFonts w:hint="eastAsia" w:cs="Arial" w:asciiTheme="minorEastAsia" w:hAnsiTheme="minorEastAsia" w:eastAsiaTheme="minorEastAsia"/>
          <w:szCs w:val="21"/>
        </w:rPr>
        <w:t>指在投资者认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申购时不收取认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申购费用，但</w:t>
      </w:r>
      <w:r>
        <w:rPr>
          <w:rFonts w:cs="Arial" w:asciiTheme="minorEastAsia" w:hAnsiTheme="minorEastAsia" w:eastAsiaTheme="minorEastAsia"/>
          <w:szCs w:val="21"/>
        </w:rPr>
        <w:t>从本类别基金资产中计提销售服务费的</w:t>
      </w:r>
      <w:r>
        <w:rPr>
          <w:rFonts w:hint="eastAsia" w:cs="Arial" w:asciiTheme="minorEastAsia" w:hAnsiTheme="minorEastAsia" w:eastAsiaTheme="minorEastAsia"/>
          <w:szCs w:val="21"/>
        </w:rPr>
        <w:t>基金份额类别</w:t>
      </w:r>
    </w:p>
    <w:p w14:paraId="6A89913A">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62、销售服务费：指从C类基金份额基金资产中计提的，用于本基金市场推广、销售以及基金份额持有人服务的费用</w:t>
      </w:r>
    </w:p>
    <w:p w14:paraId="360C3A31">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63</w:t>
      </w:r>
      <w:r>
        <w:rPr>
          <w:rFonts w:cs="Arial" w:asciiTheme="minorEastAsia" w:hAnsiTheme="minorEastAsia" w:eastAsiaTheme="minorEastAsia"/>
          <w:szCs w:val="21"/>
        </w:rPr>
        <w:t>.</w:t>
      </w:r>
      <w:r>
        <w:rPr>
          <w:rFonts w:hint="eastAsia" w:cs="Arial" w:asciiTheme="minorEastAsia" w:hAnsiTheme="minorEastAsia" w:eastAsiaTheme="minorEastAsia"/>
          <w:szCs w:val="21"/>
        </w:rPr>
        <w:t>流动性受限资产：指由于法律法规、监管、合同或操作障碍等原因无法以合理价格予以变现的资产，包括但不限于到期日在</w:t>
      </w:r>
      <w:r>
        <w:rPr>
          <w:rFonts w:cs="Arial" w:asciiTheme="minorEastAsia" w:hAnsiTheme="minorEastAsia" w:eastAsiaTheme="minorEastAsia"/>
          <w:szCs w:val="21"/>
        </w:rPr>
        <w:t>10</w:t>
      </w:r>
      <w:r>
        <w:rPr>
          <w:rFonts w:hint="eastAsia" w:cs="Arial" w:asciiTheme="minorEastAsia" w:hAnsiTheme="minorEastAsia" w:eastAsiaTheme="minorEastAsia"/>
          <w:szCs w:val="21"/>
        </w:rPr>
        <w:t>个交易日以上的逆回购与银行定期存款（含协议约定有条件提前支取的银行存款）、停牌股票、流通受限的新股及非公开发行股票、资产支持证券、因发行人债务违约无法进行转让或交易的债券等</w:t>
      </w:r>
    </w:p>
    <w:p w14:paraId="589222BA">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64</w:t>
      </w:r>
      <w:r>
        <w:rPr>
          <w:rFonts w:cs="Arial" w:asciiTheme="minorEastAsia" w:hAnsiTheme="minorEastAsia" w:eastAsiaTheme="minorEastAsia"/>
          <w:szCs w:val="21"/>
        </w:rPr>
        <w:t>.</w:t>
      </w:r>
      <w:r>
        <w:rPr>
          <w:rFonts w:hint="eastAsia" w:cs="Arial" w:asciiTheme="minorEastAsia" w:hAnsiTheme="minorEastAsia" w:eastAsiaTheme="minorEastAsia"/>
          <w:szCs w:val="21"/>
        </w:rPr>
        <w:t>摆动定价机制：指当本基金各类份额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1A3DF984">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65.港股通：是指内地投资者委托内地证券公司，经由上海证券交易所和深圳证券交易所设立的证券交易服务公司，向香港联合交易所进行申报，买卖规定范围内的香港联合交易所上市的股票的交易机制</w:t>
      </w:r>
    </w:p>
    <w:p w14:paraId="3726B8A7">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66.转融通证券出借业务：指本基金以一定费率通过证券交易所综合业务平台向中国证券金融股份有限公司出借证券，中国证券金融股份有限公司到期归还所借证券及相应权益补偿并支付费用的业务</w:t>
      </w:r>
    </w:p>
    <w:p w14:paraId="1F8BD55C">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230FB6B3">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68.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45E6C637">
      <w:pPr>
        <w:adjustRightInd w:val="0"/>
        <w:snapToGrid w:val="0"/>
        <w:spacing w:line="360" w:lineRule="auto"/>
        <w:ind w:firstLine="420" w:firstLineChars="200"/>
        <w:rPr>
          <w:rFonts w:asciiTheme="minorEastAsia" w:hAnsiTheme="minorEastAsia" w:eastAsiaTheme="minorEastAsia"/>
        </w:rPr>
      </w:pPr>
      <w:r>
        <w:rPr>
          <w:rFonts w:hint="eastAsia" w:cs="Arial" w:asciiTheme="minorEastAsia" w:hAnsiTheme="minorEastAsia" w:eastAsiaTheme="minorEastAsia"/>
          <w:szCs w:val="21"/>
        </w:rPr>
        <w:t>69</w:t>
      </w:r>
      <w:r>
        <w:rPr>
          <w:rFonts w:cs="Arial" w:asciiTheme="minorEastAsia" w:hAnsiTheme="minorEastAsia" w:eastAsiaTheme="minorEastAsia"/>
          <w:szCs w:val="21"/>
        </w:rPr>
        <w:t>.</w:t>
      </w:r>
      <w:r>
        <w:rPr>
          <w:rFonts w:hint="eastAsia" w:asciiTheme="minorEastAsia" w:hAnsiTheme="minorEastAsia" w:eastAsiaTheme="minorEastAsia"/>
        </w:rPr>
        <w:t>不可抗力：指本基金合同当事人不能预见、不能避免且不能克服的客观事件</w:t>
      </w:r>
    </w:p>
    <w:p w14:paraId="20FB1C4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7</w:t>
      </w:r>
      <w:r>
        <w:rPr>
          <w:rFonts w:hint="eastAsia" w:asciiTheme="minorEastAsia" w:hAnsiTheme="minorEastAsia" w:eastAsiaTheme="minorEastAsia"/>
        </w:rPr>
        <w:t>0.发起资金：指基金管理人的股东资金、基金管理人固有资金、基金管理人高级管理人员或基金经理（指基金管理人员工中依法具有基金经理资格者，包括但可能不限于本基金的基金经理，下同）等人员参与认购的资金，发起资金认购本基金的金额不低于1</w:t>
      </w:r>
      <w:r>
        <w:rPr>
          <w:rFonts w:asciiTheme="minorEastAsia" w:hAnsiTheme="minorEastAsia" w:eastAsiaTheme="minorEastAsia"/>
        </w:rPr>
        <w:t>,</w:t>
      </w:r>
      <w:r>
        <w:rPr>
          <w:rFonts w:hint="eastAsia" w:asciiTheme="minorEastAsia" w:hAnsiTheme="minorEastAsia" w:eastAsiaTheme="minorEastAsia"/>
        </w:rPr>
        <w:t>000万元（不含认购费），且发起资金认购的基金份额持有期限自基金合同生效之日起不低于三年</w:t>
      </w:r>
    </w:p>
    <w:p w14:paraId="4729400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71.发起资金提供方：指以发起资金认购本基金且承诺以发起资金认购的基金份额持有期限不少于3年的基金管理人股东、基金管理人、基金管理人的高级管理人员或基金经理等人员</w:t>
      </w:r>
    </w:p>
    <w:p w14:paraId="35D57739">
      <w:pPr>
        <w:pStyle w:val="3"/>
        <w:adjustRightInd w:val="0"/>
        <w:snapToGrid w:val="0"/>
        <w:spacing w:before="0" w:after="0" w:line="360" w:lineRule="auto"/>
        <w:jc w:val="both"/>
        <w:rPr>
          <w:rFonts w:cs="Arial" w:asciiTheme="minorEastAsia" w:hAnsiTheme="minorEastAsia" w:eastAsiaTheme="minorEastAsia"/>
          <w:sz w:val="21"/>
          <w:szCs w:val="21"/>
        </w:rPr>
        <w:sectPr>
          <w:footerReference r:id="rId5" w:type="default"/>
          <w:pgSz w:w="11906" w:h="16838"/>
          <w:pgMar w:top="1418" w:right="1701" w:bottom="1418" w:left="1701" w:header="851" w:footer="992" w:gutter="0"/>
          <w:pgNumType w:start="1"/>
          <w:cols w:space="425" w:num="1"/>
          <w:docGrid w:type="lines" w:linePitch="312" w:charSpace="0"/>
        </w:sectPr>
      </w:pPr>
      <w:bookmarkStart w:id="59" w:name="_Toc13288"/>
      <w:bookmarkStart w:id="60" w:name="_Toc20318"/>
      <w:bookmarkStart w:id="61" w:name="_Toc5246"/>
      <w:bookmarkStart w:id="62" w:name="_Toc733"/>
      <w:bookmarkStart w:id="63" w:name="_Toc6149"/>
      <w:bookmarkStart w:id="64" w:name="_Toc90742320"/>
      <w:bookmarkStart w:id="65" w:name="_Toc90742389"/>
      <w:bookmarkStart w:id="66" w:name="_Toc24571"/>
      <w:bookmarkStart w:id="67" w:name="_Toc6683"/>
      <w:bookmarkStart w:id="68" w:name="_Toc22708"/>
      <w:bookmarkStart w:id="69" w:name="_Toc18631"/>
      <w:bookmarkStart w:id="70" w:name="_Toc545"/>
      <w:bookmarkStart w:id="71" w:name="_Toc20627"/>
      <w:bookmarkStart w:id="72" w:name="_Toc258829400"/>
      <w:bookmarkStart w:id="73" w:name="_Toc233456272"/>
    </w:p>
    <w:bookmarkEnd w:id="56"/>
    <w:p w14:paraId="6A9D72E8">
      <w:pPr>
        <w:pStyle w:val="3"/>
        <w:adjustRightInd w:val="0"/>
        <w:snapToGrid w:val="0"/>
        <w:spacing w:before="312" w:beforeLines="100" w:after="0" w:line="360" w:lineRule="auto"/>
        <w:rPr>
          <w:rFonts w:asciiTheme="minorEastAsia" w:hAnsiTheme="minorEastAsia" w:eastAsiaTheme="minorEastAsia"/>
          <w:sz w:val="21"/>
        </w:rPr>
      </w:pPr>
      <w:bookmarkStart w:id="74" w:name="CLAUSE_8caa660f0b7743c396a52dfb1d7c7b58"/>
      <w:r>
        <w:rPr>
          <w:rFonts w:asciiTheme="minorEastAsia" w:hAnsiTheme="minorEastAsia" w:eastAsiaTheme="minorEastAsia"/>
        </w:rPr>
        <w:t xml:space="preserve"> </w:t>
      </w:r>
      <w:bookmarkStart w:id="75" w:name="CTS_8caa660f0b7743c396a52dfb1d7c7b58"/>
      <w:bookmarkEnd w:id="75"/>
      <w:bookmarkStart w:id="76" w:name="_Toc16237228"/>
      <w:r>
        <w:rPr>
          <w:rFonts w:hint="eastAsia" w:cs="Arial" w:asciiTheme="minorEastAsia" w:hAnsiTheme="minorEastAsia" w:eastAsiaTheme="minorEastAsia"/>
          <w:sz w:val="21"/>
          <w:szCs w:val="21"/>
        </w:rPr>
        <w:t>第三部分 基金的基本情况</w:t>
      </w:r>
      <w:bookmarkEnd w:id="59"/>
      <w:bookmarkEnd w:id="60"/>
      <w:bookmarkEnd w:id="61"/>
      <w:bookmarkEnd w:id="62"/>
      <w:bookmarkEnd w:id="63"/>
      <w:bookmarkEnd w:id="64"/>
      <w:bookmarkEnd w:id="65"/>
      <w:bookmarkEnd w:id="66"/>
      <w:bookmarkEnd w:id="67"/>
      <w:bookmarkEnd w:id="68"/>
      <w:bookmarkEnd w:id="69"/>
      <w:bookmarkEnd w:id="70"/>
      <w:bookmarkEnd w:id="71"/>
      <w:bookmarkEnd w:id="76"/>
      <w:bookmarkStart w:id="77" w:name="_Toc79392573"/>
    </w:p>
    <w:p w14:paraId="5BB4F007">
      <w:pPr>
        <w:spacing w:line="360" w:lineRule="auto"/>
        <w:ind w:firstLine="540"/>
        <w:rPr>
          <w:rFonts w:asciiTheme="minorEastAsia" w:hAnsiTheme="minorEastAsia" w:eastAsiaTheme="minorEastAsia"/>
          <w:bCs/>
          <w:sz w:val="24"/>
        </w:rPr>
      </w:pPr>
      <w:bookmarkStart w:id="78" w:name="_Hlt88031774"/>
      <w:bookmarkEnd w:id="78"/>
      <w:bookmarkStart w:id="79" w:name="_Hlt88031741"/>
    </w:p>
    <w:bookmarkEnd w:id="79"/>
    <w:p w14:paraId="628C0EE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w:t>
      </w:r>
      <w:r>
        <w:rPr>
          <w:rFonts w:cs="Arial" w:asciiTheme="minorEastAsia" w:hAnsiTheme="minorEastAsia" w:eastAsiaTheme="minorEastAsia"/>
          <w:szCs w:val="21"/>
        </w:rPr>
        <w:t>的</w:t>
      </w:r>
      <w:r>
        <w:rPr>
          <w:rFonts w:hint="eastAsia" w:asciiTheme="minorEastAsia" w:hAnsiTheme="minorEastAsia" w:eastAsiaTheme="minorEastAsia"/>
        </w:rPr>
        <w:t>名称</w:t>
      </w:r>
      <w:bookmarkEnd w:id="77"/>
    </w:p>
    <w:p w14:paraId="3266DF99">
      <w:pPr>
        <w:adjustRightInd w:val="0"/>
        <w:snapToGrid w:val="0"/>
        <w:spacing w:line="360" w:lineRule="auto"/>
        <w:ind w:firstLine="420" w:firstLineChars="200"/>
        <w:rPr>
          <w:rFonts w:asciiTheme="minorEastAsia" w:hAnsiTheme="minorEastAsia" w:eastAsiaTheme="minorEastAsia"/>
        </w:rPr>
      </w:pPr>
      <w:r>
        <w:rPr>
          <w:rFonts w:cs="Arial" w:asciiTheme="minorEastAsia" w:hAnsiTheme="minorEastAsia" w:eastAsiaTheme="minorEastAsia"/>
          <w:szCs w:val="21"/>
        </w:rPr>
        <w:t>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交易型开放式指数证券投资基金发起式联接基金</w:t>
      </w:r>
    </w:p>
    <w:p w14:paraId="2B4B7673">
      <w:pPr>
        <w:spacing w:line="360" w:lineRule="auto"/>
        <w:ind w:firstLine="480" w:firstLineChars="200"/>
        <w:rPr>
          <w:rFonts w:asciiTheme="minorEastAsia" w:hAnsiTheme="minorEastAsia" w:eastAsiaTheme="minorEastAsia"/>
          <w:bCs/>
          <w:sz w:val="24"/>
        </w:rPr>
      </w:pPr>
      <w:bookmarkStart w:id="80" w:name="_Toc79392574"/>
    </w:p>
    <w:p w14:paraId="1559BF8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二、基金的类别</w:t>
      </w:r>
      <w:bookmarkEnd w:id="80"/>
    </w:p>
    <w:p w14:paraId="58B31A0B">
      <w:pPr>
        <w:adjustRightInd w:val="0"/>
        <w:snapToGrid w:val="0"/>
        <w:spacing w:line="360" w:lineRule="auto"/>
        <w:ind w:firstLine="420" w:firstLineChars="200"/>
        <w:rPr>
          <w:rFonts w:asciiTheme="minorEastAsia" w:hAnsiTheme="minorEastAsia" w:eastAsiaTheme="minorEastAsia"/>
        </w:rPr>
      </w:pPr>
      <w:r>
        <w:rPr>
          <w:rFonts w:cs="Arial" w:asciiTheme="minorEastAsia" w:hAnsiTheme="minorEastAsia" w:eastAsiaTheme="minorEastAsia"/>
          <w:szCs w:val="21"/>
        </w:rPr>
        <w:t>ETF联接</w:t>
      </w:r>
      <w:r>
        <w:rPr>
          <w:rFonts w:hint="eastAsia" w:asciiTheme="minorEastAsia" w:hAnsiTheme="minorEastAsia" w:eastAsiaTheme="minorEastAsia"/>
        </w:rPr>
        <w:t>基金</w:t>
      </w:r>
    </w:p>
    <w:p w14:paraId="11AD5D01">
      <w:pPr>
        <w:spacing w:line="360" w:lineRule="auto"/>
        <w:ind w:left="796" w:leftChars="257" w:hanging="256"/>
        <w:rPr>
          <w:rFonts w:asciiTheme="minorEastAsia" w:hAnsiTheme="minorEastAsia" w:eastAsiaTheme="minorEastAsia"/>
          <w:bCs/>
          <w:sz w:val="24"/>
        </w:rPr>
      </w:pPr>
      <w:bookmarkStart w:id="81" w:name="_Toc79392575"/>
    </w:p>
    <w:p w14:paraId="1DF697E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三、基金的运作方式</w:t>
      </w:r>
    </w:p>
    <w:p w14:paraId="401E6CB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契约型开放式</w:t>
      </w:r>
    </w:p>
    <w:p w14:paraId="17221B48">
      <w:pPr>
        <w:spacing w:line="360" w:lineRule="auto"/>
        <w:ind w:left="796" w:leftChars="257" w:hanging="256"/>
        <w:rPr>
          <w:rFonts w:asciiTheme="minorEastAsia" w:hAnsiTheme="minorEastAsia" w:eastAsiaTheme="minorEastAsia"/>
          <w:bCs/>
          <w:sz w:val="24"/>
        </w:rPr>
      </w:pPr>
    </w:p>
    <w:p w14:paraId="1920B2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四、基金发起资金的来源</w:t>
      </w:r>
    </w:p>
    <w:p w14:paraId="4D7B433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基金发起资金来自于基金管理人的股东资金、基金管理人固有资金、基金管理人的高级管理人员及基金经理等人员参与认购的资金。</w:t>
      </w:r>
    </w:p>
    <w:p w14:paraId="4EF820E3">
      <w:pPr>
        <w:spacing w:line="360" w:lineRule="auto"/>
        <w:ind w:left="796" w:leftChars="257" w:hanging="256"/>
        <w:rPr>
          <w:rFonts w:asciiTheme="minorEastAsia" w:hAnsiTheme="minorEastAsia" w:eastAsiaTheme="minorEastAsia"/>
          <w:bCs/>
          <w:sz w:val="24"/>
        </w:rPr>
      </w:pPr>
    </w:p>
    <w:p w14:paraId="3D4959A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w:t>
      </w:r>
      <w:r>
        <w:rPr>
          <w:rFonts w:asciiTheme="minorEastAsia" w:hAnsiTheme="minorEastAsia" w:eastAsiaTheme="minorEastAsia"/>
        </w:rPr>
        <w:t>、基金的投资目标</w:t>
      </w:r>
    </w:p>
    <w:p w14:paraId="20E36D6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通过主要投资于目标ETF，紧密跟踪标的指数即恒生港股通红利指数的表现，追求跟踪偏离度和跟踪误差的最小化。</w:t>
      </w:r>
    </w:p>
    <w:p w14:paraId="18C617CF">
      <w:pPr>
        <w:adjustRightInd w:val="0"/>
        <w:snapToGrid w:val="0"/>
        <w:spacing w:line="360" w:lineRule="auto"/>
        <w:ind w:firstLine="420" w:firstLineChars="200"/>
        <w:rPr>
          <w:rFonts w:asciiTheme="minorEastAsia" w:hAnsiTheme="minorEastAsia" w:eastAsiaTheme="minorEastAsia"/>
        </w:rPr>
      </w:pPr>
    </w:p>
    <w:p w14:paraId="29DC96E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六、发起资金的认购金额和认购份额的锁定期</w:t>
      </w:r>
    </w:p>
    <w:p w14:paraId="091D15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本基金为发起式基金。使用发起资金提供方资金认购基金的金额不少于1</w:t>
      </w:r>
      <w:r>
        <w:rPr>
          <w:rFonts w:asciiTheme="minorEastAsia" w:hAnsiTheme="minorEastAsia" w:eastAsiaTheme="minorEastAsia"/>
        </w:rPr>
        <w:t>,</w:t>
      </w:r>
      <w:r>
        <w:rPr>
          <w:rFonts w:hint="eastAsia" w:asciiTheme="minorEastAsia" w:hAnsiTheme="minorEastAsia" w:eastAsiaTheme="minorEastAsia"/>
        </w:rPr>
        <w:t>000万元人民币（不含认购费用），且持有期限自基金合同生效之日起不少于3年，法律法规和监管机构另有规定的除外。</w:t>
      </w:r>
    </w:p>
    <w:p w14:paraId="1B62297D">
      <w:pPr>
        <w:adjustRightInd w:val="0"/>
        <w:snapToGrid w:val="0"/>
        <w:spacing w:line="360" w:lineRule="auto"/>
        <w:ind w:firstLine="420" w:firstLineChars="200"/>
        <w:rPr>
          <w:rFonts w:asciiTheme="minorEastAsia" w:hAnsiTheme="minorEastAsia" w:eastAsiaTheme="minorEastAsia"/>
        </w:rPr>
      </w:pPr>
    </w:p>
    <w:p w14:paraId="3AF8FD3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七、基金份额发售面值和认购费用</w:t>
      </w:r>
    </w:p>
    <w:p w14:paraId="6C6CE6B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本基金基金份额发售面值为人民币1.00元。</w:t>
      </w:r>
    </w:p>
    <w:p w14:paraId="45A8D5F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本基金A类基金份额的具体认购费率按招募说明书的规定执行。C类基金份额不收取认购费。</w:t>
      </w:r>
    </w:p>
    <w:p w14:paraId="07F4335D">
      <w:pPr>
        <w:adjustRightInd w:val="0"/>
        <w:snapToGrid w:val="0"/>
        <w:spacing w:line="360" w:lineRule="auto"/>
        <w:ind w:firstLine="420" w:firstLineChars="200"/>
        <w:rPr>
          <w:rFonts w:asciiTheme="minorEastAsia" w:hAnsiTheme="minorEastAsia" w:eastAsiaTheme="minorEastAsia"/>
        </w:rPr>
      </w:pPr>
    </w:p>
    <w:p w14:paraId="05B06A8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八、基金存续期限</w:t>
      </w:r>
    </w:p>
    <w:p w14:paraId="366A550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不定期。</w:t>
      </w:r>
    </w:p>
    <w:p w14:paraId="5D0F5DA1">
      <w:pPr>
        <w:adjustRightInd w:val="0"/>
        <w:snapToGrid w:val="0"/>
        <w:spacing w:line="360" w:lineRule="auto"/>
        <w:ind w:firstLine="420" w:firstLineChars="200"/>
        <w:rPr>
          <w:rFonts w:asciiTheme="minorEastAsia" w:hAnsiTheme="minorEastAsia" w:eastAsiaTheme="minorEastAsia"/>
        </w:rPr>
      </w:pPr>
    </w:p>
    <w:p w14:paraId="63DA59F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九、基金的</w:t>
      </w:r>
      <w:bookmarkEnd w:id="81"/>
      <w:r>
        <w:rPr>
          <w:rFonts w:cs="Arial" w:asciiTheme="minorEastAsia" w:hAnsiTheme="minorEastAsia" w:eastAsiaTheme="minorEastAsia"/>
          <w:szCs w:val="21"/>
        </w:rPr>
        <w:t>标的指数</w:t>
      </w:r>
    </w:p>
    <w:p w14:paraId="754575F9">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指数</w:t>
      </w:r>
    </w:p>
    <w:p w14:paraId="4BA2FB47">
      <w:pPr>
        <w:adjustRightInd w:val="0"/>
        <w:snapToGrid w:val="0"/>
        <w:spacing w:line="360" w:lineRule="auto"/>
        <w:ind w:firstLine="420" w:firstLineChars="200"/>
        <w:rPr>
          <w:rFonts w:asciiTheme="minorEastAsia" w:hAnsiTheme="minorEastAsia" w:eastAsiaTheme="minorEastAsia"/>
        </w:rPr>
      </w:pPr>
    </w:p>
    <w:p w14:paraId="795735A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w:t>
      </w:r>
      <w:r>
        <w:rPr>
          <w:rFonts w:hint="eastAsia" w:cs="Arial" w:asciiTheme="minorEastAsia" w:hAnsiTheme="minorEastAsia" w:eastAsiaTheme="minorEastAsia"/>
          <w:szCs w:val="21"/>
        </w:rPr>
        <w:t>、</w:t>
      </w:r>
      <w:r>
        <w:rPr>
          <w:rFonts w:hint="eastAsia" w:asciiTheme="minorEastAsia" w:hAnsiTheme="minorEastAsia" w:eastAsiaTheme="minorEastAsia"/>
        </w:rPr>
        <w:t>基金份额</w:t>
      </w:r>
      <w:r>
        <w:rPr>
          <w:rFonts w:hint="eastAsia" w:cs="Arial" w:asciiTheme="minorEastAsia" w:hAnsiTheme="minorEastAsia" w:eastAsiaTheme="minorEastAsia"/>
          <w:szCs w:val="21"/>
        </w:rPr>
        <w:t>类别设置</w:t>
      </w:r>
    </w:p>
    <w:p w14:paraId="0CEB4B58">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在投资者认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申购时收取认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申购费用，不</w:t>
      </w:r>
      <w:r>
        <w:rPr>
          <w:rFonts w:cs="Arial" w:asciiTheme="minorEastAsia" w:hAnsiTheme="minorEastAsia" w:eastAsiaTheme="minorEastAsia"/>
          <w:szCs w:val="21"/>
        </w:rPr>
        <w:t>从本类别基金资产中计提销售服务费的</w:t>
      </w:r>
      <w:r>
        <w:rPr>
          <w:rFonts w:hint="eastAsia" w:cs="Arial" w:asciiTheme="minorEastAsia" w:hAnsiTheme="minorEastAsia" w:eastAsiaTheme="minorEastAsia"/>
          <w:szCs w:val="21"/>
        </w:rPr>
        <w:t>基金份额，</w:t>
      </w:r>
      <w:r>
        <w:rPr>
          <w:rFonts w:cs="Arial" w:asciiTheme="minorEastAsia" w:hAnsiTheme="minorEastAsia" w:eastAsiaTheme="minorEastAsia"/>
          <w:szCs w:val="21"/>
        </w:rPr>
        <w:t>称为A类基金份额</w:t>
      </w:r>
      <w:r>
        <w:rPr>
          <w:rFonts w:hint="eastAsia" w:cs="Arial" w:asciiTheme="minorEastAsia" w:hAnsiTheme="minorEastAsia" w:eastAsiaTheme="minorEastAsia"/>
          <w:szCs w:val="21"/>
        </w:rPr>
        <w:t>；在投资者认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申购时不收取认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申购费用，但</w:t>
      </w:r>
      <w:r>
        <w:rPr>
          <w:rFonts w:cs="Arial" w:asciiTheme="minorEastAsia" w:hAnsiTheme="minorEastAsia" w:eastAsiaTheme="minorEastAsia"/>
          <w:szCs w:val="21"/>
        </w:rPr>
        <w:t>从本类别基金资产中计提销售服务费的</w:t>
      </w:r>
      <w:r>
        <w:rPr>
          <w:rFonts w:hint="eastAsia" w:cs="Arial" w:asciiTheme="minorEastAsia" w:hAnsiTheme="minorEastAsia" w:eastAsiaTheme="minorEastAsia"/>
          <w:szCs w:val="21"/>
        </w:rPr>
        <w:t>基金份额</w:t>
      </w:r>
      <w:r>
        <w:rPr>
          <w:rFonts w:cs="Arial" w:asciiTheme="minorEastAsia" w:hAnsiTheme="minorEastAsia" w:eastAsiaTheme="minorEastAsia"/>
          <w:szCs w:val="21"/>
        </w:rPr>
        <w:t>，称为C类基金份额</w:t>
      </w:r>
      <w:r>
        <w:rPr>
          <w:rFonts w:hint="eastAsia" w:cs="Arial" w:asciiTheme="minorEastAsia" w:hAnsiTheme="minorEastAsia" w:eastAsiaTheme="minorEastAsia"/>
          <w:szCs w:val="21"/>
        </w:rPr>
        <w:t>。</w:t>
      </w:r>
    </w:p>
    <w:p w14:paraId="4D8CEE34">
      <w:pPr>
        <w:adjustRightInd w:val="0"/>
        <w:snapToGrid w:val="0"/>
        <w:spacing w:line="360" w:lineRule="auto"/>
        <w:ind w:firstLine="420" w:firstLineChars="200"/>
        <w:rPr>
          <w:rFonts w:cs="Arial" w:asciiTheme="minorEastAsia" w:hAnsiTheme="minorEastAsia" w:eastAsiaTheme="minorEastAsia"/>
          <w:szCs w:val="21"/>
        </w:rPr>
      </w:pPr>
      <w:r>
        <w:rPr>
          <w:rFonts w:cs="Arial" w:asciiTheme="minorEastAsia" w:hAnsiTheme="minorEastAsia" w:eastAsiaTheme="minorEastAsia"/>
          <w:szCs w:val="21"/>
        </w:rPr>
        <w:t>A类基金份额、C类基金份额分别设置代码，分别计算和公告</w:t>
      </w:r>
      <w:r>
        <w:rPr>
          <w:rFonts w:hint="eastAsia" w:cs="Arial" w:asciiTheme="minorEastAsia" w:hAnsiTheme="minorEastAsia" w:eastAsiaTheme="minorEastAsia"/>
          <w:szCs w:val="21"/>
        </w:rPr>
        <w:t>各</w:t>
      </w:r>
      <w:r>
        <w:rPr>
          <w:rFonts w:cs="Arial" w:asciiTheme="minorEastAsia" w:hAnsiTheme="minorEastAsia" w:eastAsiaTheme="minorEastAsia"/>
          <w:szCs w:val="21"/>
        </w:rPr>
        <w:t>类基金份额净值和</w:t>
      </w:r>
      <w:r>
        <w:rPr>
          <w:rFonts w:hint="eastAsia" w:cs="Arial" w:asciiTheme="minorEastAsia" w:hAnsiTheme="minorEastAsia" w:eastAsiaTheme="minorEastAsia"/>
          <w:szCs w:val="21"/>
        </w:rPr>
        <w:t>各</w:t>
      </w:r>
      <w:r>
        <w:rPr>
          <w:rFonts w:cs="Arial" w:asciiTheme="minorEastAsia" w:hAnsiTheme="minorEastAsia" w:eastAsiaTheme="minorEastAsia"/>
          <w:szCs w:val="21"/>
        </w:rPr>
        <w:t>类基金份额累计净值。</w:t>
      </w:r>
    </w:p>
    <w:p w14:paraId="4CD7CA64">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投资者可自行选择认</w:t>
      </w:r>
      <w:r>
        <w:rPr>
          <w:rFonts w:cs="Arial" w:asciiTheme="minorEastAsia" w:hAnsiTheme="minorEastAsia" w:eastAsiaTheme="minorEastAsia"/>
          <w:szCs w:val="21"/>
        </w:rPr>
        <w:t>/</w:t>
      </w:r>
      <w:r>
        <w:rPr>
          <w:rFonts w:hint="eastAsia" w:cs="Arial" w:asciiTheme="minorEastAsia" w:hAnsiTheme="minorEastAsia" w:eastAsiaTheme="minorEastAsia"/>
          <w:szCs w:val="21"/>
        </w:rPr>
        <w:t>申购的基金份额类别。</w:t>
      </w:r>
    </w:p>
    <w:p w14:paraId="1309EEE6">
      <w:pPr>
        <w:adjustRightInd w:val="0"/>
        <w:snapToGrid w:val="0"/>
        <w:spacing w:line="360" w:lineRule="auto"/>
        <w:ind w:firstLine="420" w:firstLineChars="200"/>
        <w:rPr>
          <w:rFonts w:cs="Arial" w:asciiTheme="minorEastAsia" w:hAnsiTheme="minorEastAsia" w:eastAsiaTheme="minorEastAsia"/>
          <w:szCs w:val="21"/>
        </w:rPr>
      </w:pPr>
      <w:r>
        <w:rPr>
          <w:rFonts w:hint="eastAsia" w:cs="Arial" w:asciiTheme="minorEastAsia" w:hAnsiTheme="minorEastAsia" w:eastAsiaTheme="minorEastAsia"/>
          <w:szCs w:val="21"/>
        </w:rPr>
        <w:t>有关基金份额类别的具体设置等由基金管理人确定，并在招募说明书中公告。在不违反法律法规、基金合同的约定以及对基金份额持有人利益无实质性不利影响的情况下，经与基金托管人协商一致</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并履行相关程序后</w:t>
      </w:r>
      <w:r>
        <w:rPr>
          <w:rFonts w:hint="eastAsia" w:cs="Arial" w:asciiTheme="minorEastAsia" w:hAnsiTheme="minorEastAsia" w:eastAsiaTheme="minorEastAsia"/>
          <w:szCs w:val="21"/>
        </w:rPr>
        <w:t>，基金管理人可增加、减少或调整基金份额类别设置或者停止现有基金份额的销售、对基金份额分类办法及规则进行调整等</w:t>
      </w:r>
      <w:r>
        <w:rPr>
          <w:rFonts w:cs="Arial" w:asciiTheme="minorEastAsia" w:hAnsiTheme="minorEastAsia" w:eastAsiaTheme="minorEastAsia"/>
          <w:szCs w:val="21"/>
        </w:rPr>
        <w:t>，</w:t>
      </w:r>
      <w:r>
        <w:rPr>
          <w:rFonts w:hint="eastAsia" w:cs="Arial" w:asciiTheme="minorEastAsia" w:hAnsiTheme="minorEastAsia" w:eastAsiaTheme="minorEastAsia"/>
          <w:szCs w:val="21"/>
        </w:rPr>
        <w:t>并在调整实施之日前</w:t>
      </w:r>
      <w:r>
        <w:rPr>
          <w:rFonts w:cs="Arial" w:asciiTheme="minorEastAsia" w:hAnsiTheme="minorEastAsia" w:eastAsiaTheme="minorEastAsia"/>
          <w:szCs w:val="21"/>
        </w:rPr>
        <w:t>依照《信息披露办法》的有关规定在</w:t>
      </w:r>
      <w:r>
        <w:rPr>
          <w:rFonts w:hint="eastAsia" w:cs="Arial" w:asciiTheme="minorEastAsia" w:hAnsiTheme="minorEastAsia" w:eastAsiaTheme="minorEastAsia"/>
          <w:szCs w:val="21"/>
        </w:rPr>
        <w:t>规定</w:t>
      </w:r>
      <w:r>
        <w:rPr>
          <w:rFonts w:cs="Arial" w:asciiTheme="minorEastAsia" w:hAnsiTheme="minorEastAsia" w:eastAsiaTheme="minorEastAsia"/>
          <w:szCs w:val="21"/>
        </w:rPr>
        <w:t>媒介上公告</w:t>
      </w:r>
      <w:r>
        <w:rPr>
          <w:rFonts w:hint="eastAsia" w:cs="Arial" w:asciiTheme="minorEastAsia" w:hAnsiTheme="minorEastAsia" w:eastAsiaTheme="minorEastAsia"/>
          <w:szCs w:val="21"/>
        </w:rPr>
        <w:t>，不需要召开基金份额持有人大会。</w:t>
      </w:r>
      <w:bookmarkStart w:id="82" w:name="_Toc79392577"/>
    </w:p>
    <w:bookmarkEnd w:id="82"/>
    <w:p w14:paraId="5536CC4A">
      <w:pPr>
        <w:spacing w:line="360" w:lineRule="auto"/>
        <w:rPr>
          <w:rFonts w:asciiTheme="minorEastAsia" w:hAnsiTheme="minorEastAsia" w:eastAsiaTheme="minorEastAsia"/>
          <w:bCs/>
          <w:sz w:val="24"/>
        </w:rPr>
      </w:pPr>
    </w:p>
    <w:p w14:paraId="57552237">
      <w:pPr>
        <w:adjustRightInd w:val="0"/>
        <w:snapToGrid w:val="0"/>
        <w:spacing w:line="360" w:lineRule="auto"/>
        <w:ind w:firstLine="420"/>
        <w:rPr>
          <w:rFonts w:cs="Arial" w:asciiTheme="minorEastAsia" w:hAnsiTheme="minorEastAsia" w:eastAsiaTheme="minorEastAsia"/>
          <w:szCs w:val="21"/>
        </w:rPr>
      </w:pPr>
      <w:r>
        <w:rPr>
          <w:rFonts w:hint="eastAsia" w:cs="Arial" w:asciiTheme="minorEastAsia" w:hAnsiTheme="minorEastAsia" w:eastAsiaTheme="minorEastAsia"/>
          <w:szCs w:val="21"/>
        </w:rPr>
        <w:t>十一、</w:t>
      </w:r>
      <w:r>
        <w:rPr>
          <w:rFonts w:cs="Arial" w:asciiTheme="minorEastAsia" w:hAnsiTheme="minorEastAsia" w:eastAsiaTheme="minorEastAsia"/>
          <w:szCs w:val="21"/>
        </w:rPr>
        <w:t>本基金与博时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交易型开放式指数证券投资基金的联系与区别</w:t>
      </w:r>
    </w:p>
    <w:p w14:paraId="132D3F66">
      <w:pPr>
        <w:adjustRightInd w:val="0"/>
        <w:snapToGrid w:val="0"/>
        <w:spacing w:line="360" w:lineRule="auto"/>
        <w:ind w:firstLine="420" w:firstLineChars="200"/>
        <w:rPr>
          <w:rFonts w:cs="Arial" w:asciiTheme="minorEastAsia" w:hAnsiTheme="minorEastAsia" w:eastAsiaTheme="minorEastAsia"/>
          <w:szCs w:val="21"/>
        </w:rPr>
      </w:pPr>
      <w:r>
        <w:rPr>
          <w:rFonts w:cs="Arial" w:asciiTheme="minorEastAsia" w:hAnsiTheme="minorEastAsia" w:eastAsiaTheme="minorEastAsia"/>
          <w:szCs w:val="21"/>
        </w:rPr>
        <w:t>在投资方法和交易方式等方面，本基金与博时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交易型开放式指数证券投资基金的联系与区别主要体现在以下几个方面：</w:t>
      </w:r>
    </w:p>
    <w:p w14:paraId="38D2966D">
      <w:pPr>
        <w:adjustRightInd w:val="0"/>
        <w:snapToGrid w:val="0"/>
        <w:spacing w:line="360" w:lineRule="auto"/>
        <w:ind w:firstLine="420"/>
        <w:rPr>
          <w:rFonts w:cs="Arial" w:asciiTheme="minorEastAsia" w:hAnsiTheme="minorEastAsia" w:eastAsiaTheme="minorEastAsia"/>
          <w:b/>
          <w:szCs w:val="21"/>
        </w:rPr>
      </w:pPr>
      <w:r>
        <w:rPr>
          <w:rFonts w:cs="Arial" w:asciiTheme="minorEastAsia" w:hAnsiTheme="minorEastAsia" w:eastAsiaTheme="minorEastAsia"/>
          <w:b/>
          <w:szCs w:val="21"/>
        </w:rPr>
        <w:t>联系：</w:t>
      </w:r>
    </w:p>
    <w:p w14:paraId="265DF735">
      <w:pPr>
        <w:numPr>
          <w:ilvl w:val="0"/>
          <w:numId w:val="3"/>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两只基金跟踪同一个标的指数即</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指数。</w:t>
      </w:r>
    </w:p>
    <w:p w14:paraId="2531E19D">
      <w:pPr>
        <w:numPr>
          <w:ilvl w:val="0"/>
          <w:numId w:val="3"/>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两只基金的投资目标均为紧密跟踪标的指数即</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指数的表现，追求跟踪偏离度和跟踪误差的最小化。</w:t>
      </w:r>
    </w:p>
    <w:p w14:paraId="3F11463C">
      <w:pPr>
        <w:numPr>
          <w:ilvl w:val="0"/>
          <w:numId w:val="3"/>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两只基金具有相似的风险收益特征。</w:t>
      </w:r>
    </w:p>
    <w:p w14:paraId="4E6F9F3F">
      <w:pPr>
        <w:numPr>
          <w:ilvl w:val="0"/>
          <w:numId w:val="3"/>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交易型开放式指数证券投资基金是本基金的主要投资对象。</w:t>
      </w:r>
    </w:p>
    <w:p w14:paraId="5D3F8908">
      <w:pPr>
        <w:adjustRightInd w:val="0"/>
        <w:snapToGrid w:val="0"/>
        <w:spacing w:line="360" w:lineRule="auto"/>
        <w:ind w:firstLine="420"/>
        <w:rPr>
          <w:rFonts w:cs="Arial" w:asciiTheme="minorEastAsia" w:hAnsiTheme="minorEastAsia" w:eastAsiaTheme="minorEastAsia"/>
          <w:b/>
          <w:szCs w:val="21"/>
        </w:rPr>
      </w:pPr>
      <w:r>
        <w:rPr>
          <w:rFonts w:cs="Arial" w:asciiTheme="minorEastAsia" w:hAnsiTheme="minorEastAsia" w:eastAsiaTheme="minorEastAsia"/>
          <w:b/>
          <w:szCs w:val="21"/>
        </w:rPr>
        <w:t>区别：</w:t>
      </w:r>
    </w:p>
    <w:p w14:paraId="2CC3132A">
      <w:pPr>
        <w:numPr>
          <w:ilvl w:val="0"/>
          <w:numId w:val="4"/>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基金的投资管理方式不同：博时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交易型开放式指数证券投资基金通过直接买卖标的指数成份股和备选成份股等，直接跟踪复制标的指数的表现；而本基金则是通过</w:t>
      </w:r>
      <w:r>
        <w:rPr>
          <w:rFonts w:hint="eastAsia" w:cs="Arial" w:asciiTheme="minorEastAsia" w:hAnsiTheme="minorEastAsia" w:eastAsiaTheme="minorEastAsia"/>
          <w:szCs w:val="21"/>
        </w:rPr>
        <w:t>将绝大部分基金财产投资于目标ETF</w:t>
      </w:r>
      <w:r>
        <w:rPr>
          <w:rFonts w:cs="Arial" w:asciiTheme="minorEastAsia" w:hAnsiTheme="minorEastAsia" w:eastAsiaTheme="minorEastAsia"/>
          <w:szCs w:val="21"/>
        </w:rPr>
        <w:t>，间接跟踪标的指数的表现。</w:t>
      </w:r>
    </w:p>
    <w:p w14:paraId="4AE07256">
      <w:pPr>
        <w:numPr>
          <w:ilvl w:val="0"/>
          <w:numId w:val="4"/>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基金是否挂牌交易不同：博时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交易型开放式指数证券投资基金在上交所挂牌交易；而本基金则不上市交易。</w:t>
      </w:r>
    </w:p>
    <w:p w14:paraId="38708F72">
      <w:pPr>
        <w:numPr>
          <w:ilvl w:val="0"/>
          <w:numId w:val="4"/>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价格揭示机制不同：博时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交易型开放式指数证券投资基金有实时市场交易价格和每日</w:t>
      </w:r>
      <w:r>
        <w:rPr>
          <w:rFonts w:hint="eastAsia" w:cs="Arial" w:asciiTheme="minorEastAsia" w:hAnsiTheme="minorEastAsia" w:eastAsiaTheme="minorEastAsia"/>
          <w:szCs w:val="21"/>
        </w:rPr>
        <w:t>基金</w:t>
      </w:r>
      <w:r>
        <w:rPr>
          <w:rFonts w:cs="Arial" w:asciiTheme="minorEastAsia" w:hAnsiTheme="minorEastAsia" w:eastAsiaTheme="minorEastAsia"/>
          <w:szCs w:val="21"/>
        </w:rPr>
        <w:t>份额净值；而本基金只揭示每日基金</w:t>
      </w:r>
      <w:r>
        <w:rPr>
          <w:rFonts w:hint="eastAsia" w:cs="Arial" w:asciiTheme="minorEastAsia" w:hAnsiTheme="minorEastAsia" w:eastAsiaTheme="minorEastAsia"/>
          <w:szCs w:val="21"/>
        </w:rPr>
        <w:t>份额</w:t>
      </w:r>
      <w:r>
        <w:rPr>
          <w:rFonts w:cs="Arial" w:asciiTheme="minorEastAsia" w:hAnsiTheme="minorEastAsia" w:eastAsiaTheme="minorEastAsia"/>
          <w:szCs w:val="21"/>
        </w:rPr>
        <w:t>净值。</w:t>
      </w:r>
    </w:p>
    <w:p w14:paraId="10EB9C7E">
      <w:pPr>
        <w:numPr>
          <w:ilvl w:val="0"/>
          <w:numId w:val="4"/>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投资人申购赎回基金的程序不同：博时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交易型开放式指数证券投资基金通过指定场内</w:t>
      </w:r>
      <w:r>
        <w:rPr>
          <w:rFonts w:hint="eastAsia" w:cs="Arial" w:asciiTheme="minorEastAsia" w:hAnsiTheme="minorEastAsia" w:eastAsiaTheme="minorEastAsia"/>
          <w:szCs w:val="21"/>
        </w:rPr>
        <w:t>申购赎回代理</w:t>
      </w:r>
      <w:r>
        <w:rPr>
          <w:rFonts w:cs="Arial" w:asciiTheme="minorEastAsia" w:hAnsiTheme="minorEastAsia" w:eastAsiaTheme="minorEastAsia"/>
          <w:szCs w:val="21"/>
        </w:rPr>
        <w:t>券商</w:t>
      </w:r>
      <w:r>
        <w:rPr>
          <w:rFonts w:hint="eastAsia" w:cs="Arial" w:asciiTheme="minorEastAsia" w:hAnsiTheme="minorEastAsia" w:eastAsiaTheme="minorEastAsia"/>
          <w:szCs w:val="21"/>
        </w:rPr>
        <w:t>或场外销售机构</w:t>
      </w:r>
      <w:r>
        <w:rPr>
          <w:rFonts w:cs="Arial" w:asciiTheme="minorEastAsia" w:hAnsiTheme="minorEastAsia" w:eastAsiaTheme="minorEastAsia"/>
          <w:szCs w:val="21"/>
        </w:rPr>
        <w:t>办理基金的申购与赎回；而本基金则通过银行等场外销售机构办理基金的申购与赎回。</w:t>
      </w:r>
    </w:p>
    <w:p w14:paraId="5C22BCB1">
      <w:pPr>
        <w:adjustRightInd w:val="0"/>
        <w:snapToGrid w:val="0"/>
        <w:spacing w:line="360" w:lineRule="auto"/>
        <w:ind w:left="426"/>
        <w:rPr>
          <w:rFonts w:cs="Arial" w:asciiTheme="minorEastAsia" w:hAnsiTheme="minorEastAsia" w:eastAsiaTheme="minorEastAsia"/>
          <w:szCs w:val="21"/>
        </w:rPr>
      </w:pPr>
    </w:p>
    <w:p w14:paraId="7BE02E13">
      <w:pPr>
        <w:adjustRightInd w:val="0"/>
        <w:snapToGrid w:val="0"/>
        <w:spacing w:line="360" w:lineRule="auto"/>
        <w:ind w:firstLine="420"/>
        <w:rPr>
          <w:rFonts w:cs="Arial" w:asciiTheme="minorEastAsia" w:hAnsiTheme="minorEastAsia" w:eastAsiaTheme="minorEastAsia"/>
          <w:szCs w:val="21"/>
        </w:rPr>
      </w:pPr>
      <w:r>
        <w:rPr>
          <w:rFonts w:hint="eastAsia" w:cs="Arial" w:asciiTheme="minorEastAsia" w:hAnsiTheme="minorEastAsia" w:eastAsiaTheme="minorEastAsia"/>
          <w:szCs w:val="21"/>
        </w:rPr>
        <w:t>十二、</w:t>
      </w:r>
      <w:r>
        <w:rPr>
          <w:rFonts w:cs="Arial" w:asciiTheme="minorEastAsia" w:hAnsiTheme="minorEastAsia" w:eastAsiaTheme="minorEastAsia"/>
          <w:szCs w:val="21"/>
        </w:rPr>
        <w:t>本基金与博时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交易型开放式指数证券投资基金业绩表现的差异</w:t>
      </w:r>
    </w:p>
    <w:p w14:paraId="5CA1C7AF">
      <w:pPr>
        <w:adjustRightInd w:val="0"/>
        <w:snapToGrid w:val="0"/>
        <w:spacing w:line="360" w:lineRule="auto"/>
        <w:ind w:firstLine="420" w:firstLineChars="200"/>
        <w:rPr>
          <w:rFonts w:cs="Arial" w:asciiTheme="minorEastAsia" w:hAnsiTheme="minorEastAsia" w:eastAsiaTheme="minorEastAsia"/>
          <w:szCs w:val="21"/>
        </w:rPr>
      </w:pPr>
      <w:r>
        <w:rPr>
          <w:rFonts w:cs="Arial" w:asciiTheme="minorEastAsia" w:hAnsiTheme="minorEastAsia" w:eastAsiaTheme="minorEastAsia"/>
          <w:szCs w:val="21"/>
        </w:rPr>
        <w:t>本基金的业绩表现与博时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交易型开放式指数证券投资基金的业绩表现可能会出现差异，差异产生的主要原因有以下几个方面：</w:t>
      </w:r>
    </w:p>
    <w:p w14:paraId="5DF9FD34">
      <w:pPr>
        <w:numPr>
          <w:ilvl w:val="0"/>
          <w:numId w:val="5"/>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投资对象和投资范围的不同，会导致两只基金的业绩有差异。</w:t>
      </w:r>
    </w:p>
    <w:p w14:paraId="674227F6">
      <w:pPr>
        <w:numPr>
          <w:ilvl w:val="0"/>
          <w:numId w:val="5"/>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投资管理方式的不同，如在指数化投资过程中，不同的管理方式会导致跟踪指数的水平、技术手段、买入卖出的时机选择等的不同，会导致两只基金的业绩有差异。</w:t>
      </w:r>
    </w:p>
    <w:p w14:paraId="1CB4AF17">
      <w:pPr>
        <w:numPr>
          <w:ilvl w:val="0"/>
          <w:numId w:val="5"/>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基金规模、</w:t>
      </w:r>
      <w:r>
        <w:rPr>
          <w:rFonts w:cs="Arial" w:asciiTheme="minorEastAsia" w:hAnsiTheme="minorEastAsia" w:eastAsiaTheme="minorEastAsia"/>
          <w:kern w:val="0"/>
          <w:szCs w:val="21"/>
        </w:rPr>
        <w:t>投资成本、各种费用与税收</w:t>
      </w:r>
      <w:r>
        <w:rPr>
          <w:rFonts w:cs="Arial" w:asciiTheme="minorEastAsia" w:hAnsiTheme="minorEastAsia" w:eastAsiaTheme="minorEastAsia"/>
          <w:szCs w:val="21"/>
        </w:rPr>
        <w:t>的不同，会导致两只基金的业绩有差异。由于两只基金的投资对象和投资范围不同，投资管理方式不同，基金规模也可能不同，所以，本基金的</w:t>
      </w:r>
      <w:r>
        <w:rPr>
          <w:rFonts w:cs="Arial" w:asciiTheme="minorEastAsia" w:hAnsiTheme="minorEastAsia" w:eastAsiaTheme="minorEastAsia"/>
          <w:kern w:val="0"/>
          <w:szCs w:val="21"/>
        </w:rPr>
        <w:t>投资成本、各种费用及税收</w:t>
      </w:r>
      <w:r>
        <w:rPr>
          <w:rFonts w:cs="Arial" w:asciiTheme="minorEastAsia" w:hAnsiTheme="minorEastAsia" w:eastAsiaTheme="minorEastAsia"/>
          <w:szCs w:val="21"/>
        </w:rPr>
        <w:t>可能不同于博时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w:t>
      </w:r>
    </w:p>
    <w:p w14:paraId="0B45C6F8">
      <w:pPr>
        <w:numPr>
          <w:ilvl w:val="0"/>
          <w:numId w:val="5"/>
        </w:numPr>
        <w:adjustRightInd w:val="0"/>
        <w:snapToGrid w:val="0"/>
        <w:spacing w:line="360" w:lineRule="auto"/>
        <w:ind w:left="0" w:firstLine="426"/>
        <w:rPr>
          <w:rFonts w:cs="Arial" w:asciiTheme="minorEastAsia" w:hAnsiTheme="minorEastAsia" w:eastAsiaTheme="minorEastAsia"/>
          <w:szCs w:val="21"/>
        </w:rPr>
      </w:pPr>
      <w:r>
        <w:rPr>
          <w:rFonts w:cs="Arial" w:asciiTheme="minorEastAsia" w:hAnsiTheme="minorEastAsia" w:eastAsiaTheme="minorEastAsia"/>
          <w:szCs w:val="21"/>
        </w:rPr>
        <w:t>现金比例及现金管理方式的不同，会导致两只基金的业绩有差异。本基金须</w:t>
      </w:r>
      <w:r>
        <w:rPr>
          <w:rFonts w:hint="eastAsia" w:cs="Arial" w:asciiTheme="minorEastAsia" w:hAnsiTheme="minorEastAsia" w:eastAsiaTheme="minorEastAsia"/>
          <w:szCs w:val="21"/>
        </w:rPr>
        <w:t>每个交易日日终在扣除国债期货、股指期货和股票期权合约需缴纳的交易保证金后，</w:t>
      </w:r>
      <w:r>
        <w:rPr>
          <w:rFonts w:cs="Arial" w:asciiTheme="minorEastAsia" w:hAnsiTheme="minorEastAsia" w:eastAsiaTheme="minorEastAsia"/>
          <w:szCs w:val="21"/>
        </w:rPr>
        <w:t>对现金或者到期日在一年以内的政府债券的投资比例不低于基金资产净值的5%，而博时</w:t>
      </w:r>
      <w:r>
        <w:rPr>
          <w:rFonts w:hint="eastAsia" w:cs="Arial" w:asciiTheme="minorEastAsia" w:hAnsiTheme="minorEastAsia" w:eastAsiaTheme="minorEastAsia"/>
          <w:szCs w:val="21"/>
        </w:rPr>
        <w:t>恒生港股通红利</w:t>
      </w:r>
      <w:r>
        <w:rPr>
          <w:rFonts w:cs="Arial" w:asciiTheme="minorEastAsia" w:hAnsiTheme="minorEastAsia" w:eastAsiaTheme="minorEastAsia"/>
          <w:szCs w:val="21"/>
        </w:rPr>
        <w:t>交易型开放式指数证券投资基金则没有这项规定。</w:t>
      </w:r>
    </w:p>
    <w:p w14:paraId="167692ED">
      <w:pPr>
        <w:adjustRightInd w:val="0"/>
        <w:snapToGrid w:val="0"/>
        <w:spacing w:line="360" w:lineRule="auto"/>
        <w:rPr>
          <w:rFonts w:cs="Arial" w:asciiTheme="minorEastAsia" w:hAnsiTheme="minorEastAsia" w:eastAsiaTheme="minorEastAsia"/>
          <w:szCs w:val="21"/>
        </w:rPr>
      </w:pPr>
      <w:bookmarkStart w:id="83" w:name="_Hlt54601699"/>
      <w:bookmarkEnd w:id="83"/>
    </w:p>
    <w:p w14:paraId="260276FF">
      <w:pPr>
        <w:pStyle w:val="3"/>
        <w:adjustRightInd w:val="0"/>
        <w:snapToGrid w:val="0"/>
        <w:spacing w:before="0" w:after="0" w:line="360" w:lineRule="auto"/>
        <w:rPr>
          <w:rFonts w:cs="Arial" w:asciiTheme="minorEastAsia" w:hAnsiTheme="minorEastAsia" w:eastAsiaTheme="minorEastAsia"/>
          <w:sz w:val="21"/>
          <w:szCs w:val="21"/>
        </w:rPr>
        <w:sectPr>
          <w:footerReference r:id="rId6" w:type="default"/>
          <w:pgSz w:w="11906" w:h="16838"/>
          <w:pgMar w:top="1418" w:right="1701" w:bottom="1418" w:left="1701" w:header="851" w:footer="992" w:gutter="0"/>
          <w:pgNumType w:start="1"/>
          <w:cols w:space="425" w:num="1"/>
          <w:docGrid w:type="lines" w:linePitch="312" w:charSpace="0"/>
        </w:sectPr>
      </w:pPr>
      <w:bookmarkStart w:id="84" w:name="_Toc90742391"/>
      <w:bookmarkStart w:id="85" w:name="_Toc90742322"/>
    </w:p>
    <w:bookmarkEnd w:id="74"/>
    <w:p w14:paraId="6E4B5BF7">
      <w:pPr>
        <w:pStyle w:val="3"/>
        <w:adjustRightInd w:val="0"/>
        <w:snapToGrid w:val="0"/>
        <w:spacing w:before="312" w:beforeLines="100" w:after="0" w:line="360" w:lineRule="auto"/>
        <w:rPr>
          <w:rFonts w:asciiTheme="minorEastAsia" w:hAnsiTheme="minorEastAsia" w:eastAsiaTheme="minorEastAsia"/>
          <w:sz w:val="21"/>
        </w:rPr>
      </w:pPr>
      <w:bookmarkStart w:id="86" w:name="CLAUSE_f7bf8ad98e27407a8d29ffe15cf3e239"/>
      <w:r>
        <w:rPr>
          <w:rFonts w:asciiTheme="minorEastAsia" w:hAnsiTheme="minorEastAsia" w:eastAsiaTheme="minorEastAsia"/>
        </w:rPr>
        <w:t xml:space="preserve"> </w:t>
      </w:r>
      <w:bookmarkStart w:id="87" w:name="CTS_f7bf8ad98e27407a8d29ffe15cf3e239"/>
      <w:bookmarkEnd w:id="87"/>
      <w:bookmarkStart w:id="88" w:name="_Toc16237229"/>
      <w:r>
        <w:rPr>
          <w:rFonts w:hint="eastAsia" w:cs="Arial" w:asciiTheme="minorEastAsia" w:hAnsiTheme="minorEastAsia" w:eastAsiaTheme="minorEastAsia"/>
          <w:sz w:val="21"/>
          <w:szCs w:val="21"/>
        </w:rPr>
        <w:t xml:space="preserve">第四部分 </w:t>
      </w:r>
      <w:r>
        <w:rPr>
          <w:rFonts w:asciiTheme="minorEastAsia" w:hAnsiTheme="minorEastAsia" w:eastAsiaTheme="minorEastAsia"/>
          <w:sz w:val="21"/>
        </w:rPr>
        <w:t>基金</w:t>
      </w:r>
      <w:r>
        <w:rPr>
          <w:rFonts w:hint="eastAsia" w:asciiTheme="minorEastAsia" w:hAnsiTheme="minorEastAsia" w:eastAsiaTheme="minorEastAsia"/>
          <w:sz w:val="21"/>
        </w:rPr>
        <w:t>份额的发售</w:t>
      </w:r>
      <w:bookmarkEnd w:id="88"/>
    </w:p>
    <w:bookmarkEnd w:id="84"/>
    <w:bookmarkEnd w:id="85"/>
    <w:p w14:paraId="7EA41D88">
      <w:pPr>
        <w:spacing w:before="312" w:beforeLines="100" w:line="360" w:lineRule="auto"/>
        <w:ind w:firstLine="420" w:firstLineChars="200"/>
        <w:rPr>
          <w:rFonts w:asciiTheme="minorEastAsia" w:hAnsiTheme="minorEastAsia" w:eastAsiaTheme="minorEastAsia"/>
          <w:bCs/>
          <w:kern w:val="44"/>
        </w:rPr>
      </w:pPr>
    </w:p>
    <w:p w14:paraId="0EC6D43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一、基金份额的发售时间、发售方式、发售对象</w:t>
      </w:r>
    </w:p>
    <w:p w14:paraId="46B722E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、发售时间</w:t>
      </w:r>
    </w:p>
    <w:p w14:paraId="4CDCD2F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自基金份额发售之日起最长不得超过</w:t>
      </w:r>
      <w:r>
        <w:rPr>
          <w:rFonts w:asciiTheme="minorEastAsia" w:hAnsiTheme="minorEastAsia" w:eastAsiaTheme="minorEastAsia"/>
        </w:rPr>
        <w:t>3</w:t>
      </w:r>
      <w:r>
        <w:rPr>
          <w:rFonts w:hint="eastAsia" w:asciiTheme="minorEastAsia" w:hAnsiTheme="minorEastAsia" w:eastAsiaTheme="minorEastAsia"/>
        </w:rPr>
        <w:t>个月，具体发售时间见基金份额发售公告。</w:t>
      </w:r>
    </w:p>
    <w:p w14:paraId="188BE15B">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、发售方式</w:t>
      </w:r>
    </w:p>
    <w:p w14:paraId="0AD077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通过各销售机构的基金销售网点公开发售，各销售机构的具体名单见基金份额发售公告以及基金管理人网站。</w:t>
      </w:r>
    </w:p>
    <w:p w14:paraId="74ECB26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、发售对象</w:t>
      </w:r>
    </w:p>
    <w:p w14:paraId="7874068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符合法律法规规定的可投资于证券投资基金的个人投资者、机构投资者、合格境外机构投资者、人民币合格境外机构投资者、发起资金提供方以及法律法规或中国证监会允许购买证券投资基金的其他投资人。</w:t>
      </w:r>
    </w:p>
    <w:p w14:paraId="106CF63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二、基金份额的认购</w:t>
      </w:r>
    </w:p>
    <w:p w14:paraId="76E173D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、认购费用</w:t>
      </w:r>
    </w:p>
    <w:p w14:paraId="1EE15A8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w:t>
      </w:r>
      <w:r>
        <w:rPr>
          <w:rFonts w:asciiTheme="minorEastAsia" w:hAnsiTheme="minorEastAsia" w:eastAsiaTheme="minorEastAsia"/>
        </w:rPr>
        <w:t>A</w:t>
      </w:r>
      <w:r>
        <w:rPr>
          <w:rFonts w:hint="eastAsia" w:asciiTheme="minorEastAsia" w:hAnsiTheme="minorEastAsia" w:eastAsiaTheme="minorEastAsia"/>
        </w:rPr>
        <w:t>类基金份额的认购费率由基金管理人决定，并在招募说明书及基金产品资料概要中列示。基金认购费用不列入基金财产。</w:t>
      </w:r>
      <w:r>
        <w:rPr>
          <w:rFonts w:asciiTheme="minorEastAsia" w:hAnsiTheme="minorEastAsia" w:eastAsiaTheme="minorEastAsia"/>
        </w:rPr>
        <w:t>C</w:t>
      </w:r>
      <w:r>
        <w:rPr>
          <w:rFonts w:hint="eastAsia" w:asciiTheme="minorEastAsia" w:hAnsiTheme="minorEastAsia" w:eastAsiaTheme="minorEastAsia"/>
        </w:rPr>
        <w:t>类基金份额不收取认购费用。</w:t>
      </w:r>
    </w:p>
    <w:p w14:paraId="7D6E3FA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、募集期利息的处理方式</w:t>
      </w:r>
    </w:p>
    <w:p w14:paraId="35116EA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有效认购款项在募集期间产生的利息将折算为基金份额归基金份额持有人所有，其中利息转份额的具体数额以登记机构的记录为准。</w:t>
      </w:r>
    </w:p>
    <w:p w14:paraId="2FC1C07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、基金认购份额的计算</w:t>
      </w:r>
    </w:p>
    <w:p w14:paraId="2F75AC3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基金认购份额具体的计算方法在招募说明书中列示。</w:t>
      </w:r>
    </w:p>
    <w:p w14:paraId="4D90762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、认购份额余额的处理方式</w:t>
      </w:r>
    </w:p>
    <w:p w14:paraId="0940F71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认购份额</w:t>
      </w:r>
      <w:bookmarkStart w:id="89" w:name="OLE_LINK1"/>
      <w:r>
        <w:rPr>
          <w:rFonts w:hint="eastAsia" w:asciiTheme="minorEastAsia" w:hAnsiTheme="minorEastAsia" w:eastAsiaTheme="minorEastAsia"/>
        </w:rPr>
        <w:t>的计算</w:t>
      </w:r>
      <w:bookmarkEnd w:id="89"/>
      <w:r>
        <w:rPr>
          <w:rFonts w:hint="eastAsia" w:asciiTheme="minorEastAsia" w:hAnsiTheme="minorEastAsia" w:eastAsiaTheme="minorEastAsia"/>
        </w:rPr>
        <w:t>保留到小数点后</w:t>
      </w:r>
      <w:r>
        <w:rPr>
          <w:rFonts w:asciiTheme="minorEastAsia" w:hAnsiTheme="minorEastAsia" w:eastAsiaTheme="minorEastAsia"/>
        </w:rPr>
        <w:t>2</w:t>
      </w:r>
      <w:r>
        <w:rPr>
          <w:rFonts w:hint="eastAsia" w:asciiTheme="minorEastAsia" w:hAnsiTheme="minorEastAsia" w:eastAsiaTheme="minorEastAsia"/>
        </w:rPr>
        <w:t>位，小数点</w:t>
      </w:r>
      <w:r>
        <w:rPr>
          <w:rFonts w:asciiTheme="minorEastAsia" w:hAnsiTheme="minorEastAsia" w:eastAsiaTheme="minorEastAsia"/>
        </w:rPr>
        <w:t>2</w:t>
      </w:r>
      <w:r>
        <w:rPr>
          <w:rFonts w:hint="eastAsia" w:asciiTheme="minorEastAsia" w:hAnsiTheme="minorEastAsia" w:eastAsiaTheme="minorEastAsia"/>
        </w:rPr>
        <w:t>位以后的部分四舍五入，由此误差产生的收益或损失由基金财产承担。</w:t>
      </w:r>
    </w:p>
    <w:p w14:paraId="6BF9256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、认购申请的确认</w:t>
      </w:r>
    </w:p>
    <w:p w14:paraId="61BA257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60F9FCD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三、基金份额认购金额的限制</w:t>
      </w:r>
    </w:p>
    <w:p w14:paraId="4F8E727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、投资人认购时，需按销售机构规定的方式全额缴款。</w:t>
      </w:r>
    </w:p>
    <w:p w14:paraId="10C5B9C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、基金管理人可以对每个基金交易账户的单笔最低认购金额进行限制，具体限制请参看招募说明书或相关公告。</w:t>
      </w:r>
    </w:p>
    <w:p w14:paraId="1CD3B72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、基金管理人可以对募集期间的单个投资人的累计认购金额进行限制，具体限制和处理方法请参看招募说明书或相关公告。</w:t>
      </w:r>
    </w:p>
    <w:p w14:paraId="0BCD7A6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、投资者在募集期内可以多次认购基金份额，A类基金份额的认购费按每笔该类基金份额认购申请单独计算，但已受理的认购申请不允许撤销。</w:t>
      </w:r>
      <w:bookmarkStart w:id="90" w:name="_Toc1427"/>
      <w:bookmarkStart w:id="91" w:name="_Toc10463"/>
      <w:bookmarkStart w:id="92" w:name="_Toc1270"/>
      <w:bookmarkStart w:id="93" w:name="_Toc610"/>
      <w:bookmarkStart w:id="94" w:name="_Toc23822"/>
      <w:bookmarkStart w:id="95" w:name="_Toc141703886"/>
      <w:bookmarkStart w:id="96" w:name="_Toc17244"/>
      <w:bookmarkStart w:id="97" w:name="_Toc11081"/>
      <w:bookmarkStart w:id="98" w:name="_Toc123051452"/>
      <w:bookmarkStart w:id="99" w:name="_Toc48649707"/>
      <w:bookmarkStart w:id="100" w:name="_Toc23261"/>
      <w:bookmarkStart w:id="101" w:name="_Toc98560352"/>
      <w:bookmarkStart w:id="102" w:name="_Toc123112234"/>
      <w:bookmarkStart w:id="103" w:name="_Toc20733"/>
      <w:bookmarkStart w:id="104" w:name="_Toc4003"/>
      <w:bookmarkStart w:id="105" w:name="_Toc139991736"/>
      <w:bookmarkStart w:id="106" w:name="_Toc90742323"/>
      <w:bookmarkStart w:id="107" w:name="_Toc90742392"/>
      <w:bookmarkStart w:id="108" w:name="_Toc123102453"/>
      <w:bookmarkStart w:id="109" w:name="_Toc7920"/>
      <w:bookmarkStart w:id="110" w:name="_Toc79392606"/>
    </w:p>
    <w:p w14:paraId="125718EF">
      <w:pPr>
        <w:adjustRightInd w:val="0"/>
        <w:snapToGrid w:val="0"/>
        <w:spacing w:line="360" w:lineRule="auto"/>
        <w:ind w:firstLine="420" w:firstLineChars="200"/>
        <w:rPr>
          <w:rFonts w:asciiTheme="minorEastAsia" w:hAnsiTheme="minorEastAsia" w:eastAsiaTheme="minorEastAsia"/>
          <w:kern w:val="0"/>
        </w:rPr>
      </w:pPr>
      <w:r>
        <w:rPr>
          <w:rFonts w:hint="eastAsia" w:asciiTheme="minorEastAsia" w:hAnsiTheme="minorEastAsia" w:eastAsiaTheme="minorEastAsia"/>
          <w:kern w:val="0"/>
        </w:rPr>
        <w:t>5、单一投资者（基金管理人、基金管理人高级管理人员或基金经理等人员作为发起资金提供方的除外）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2D84ADDE">
      <w:pPr>
        <w:adjustRightInd w:val="0"/>
        <w:snapToGrid w:val="0"/>
        <w:spacing w:line="360" w:lineRule="auto"/>
        <w:ind w:firstLine="420" w:firstLineChars="200"/>
        <w:rPr>
          <w:rFonts w:asciiTheme="minorEastAsia" w:hAnsiTheme="minorEastAsia" w:eastAsiaTheme="minorEastAsia"/>
          <w:kern w:val="0"/>
        </w:rPr>
      </w:pPr>
      <w:r>
        <w:rPr>
          <w:rFonts w:hint="eastAsia" w:asciiTheme="minorEastAsia" w:hAnsiTheme="minorEastAsia" w:eastAsiaTheme="minorEastAsia"/>
          <w:kern w:val="0"/>
        </w:rPr>
        <w:t>6、本基金可设置首次募集规模上限，具体募集上限及规模控制的方案详见基金份额发售公告或其他公告。若本基金设置首次募集规模上限，基金合同生效后不受首次募集规模的限制。</w:t>
      </w:r>
    </w:p>
    <w:p w14:paraId="2FE64702">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kern w:val="0"/>
        </w:rPr>
        <w:t>四、发起资金的认购</w:t>
      </w:r>
    </w:p>
    <w:p w14:paraId="4C6BCB69">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kern w:val="0"/>
        </w:rPr>
        <w:t>发起资金提供方认购金额不低于1</w:t>
      </w:r>
      <w:r>
        <w:rPr>
          <w:rFonts w:asciiTheme="minorEastAsia" w:hAnsiTheme="minorEastAsia" w:eastAsiaTheme="minorEastAsia"/>
          <w:kern w:val="0"/>
        </w:rPr>
        <w:t>,</w:t>
      </w:r>
      <w:r>
        <w:rPr>
          <w:rFonts w:hint="eastAsia" w:asciiTheme="minorEastAsia" w:hAnsiTheme="minorEastAsia" w:eastAsiaTheme="minorEastAsia"/>
          <w:kern w:val="0"/>
        </w:rPr>
        <w:t>000万元人民币（不含认购费用），认购的基金份额持有期限</w:t>
      </w:r>
      <w:r>
        <w:rPr>
          <w:rFonts w:hint="eastAsia" w:asciiTheme="minorEastAsia" w:hAnsiTheme="minorEastAsia" w:eastAsiaTheme="minorEastAsia"/>
        </w:rPr>
        <w:t>自基金合同生效日起</w:t>
      </w:r>
      <w:r>
        <w:rPr>
          <w:rFonts w:hint="eastAsia" w:asciiTheme="minorEastAsia" w:hAnsiTheme="minorEastAsia" w:eastAsiaTheme="minorEastAsia"/>
          <w:kern w:val="0"/>
        </w:rPr>
        <w:t>不少于三年，法律法规和监管机构另有规定的除外。</w:t>
      </w:r>
    </w:p>
    <w:p w14:paraId="56952361">
      <w:pPr>
        <w:adjustRightInd w:val="0"/>
        <w:snapToGrid w:val="0"/>
        <w:spacing w:line="360" w:lineRule="auto"/>
        <w:ind w:firstLine="422" w:firstLineChars="201"/>
        <w:rPr>
          <w:rFonts w:asciiTheme="minorEastAsia" w:hAnsiTheme="minorEastAsia" w:eastAsiaTheme="minorEastAsia"/>
          <w:kern w:val="0"/>
        </w:rPr>
      </w:pPr>
      <w:r>
        <w:rPr>
          <w:rFonts w:hint="eastAsia" w:asciiTheme="minorEastAsia" w:hAnsiTheme="minorEastAsia" w:eastAsiaTheme="minorEastAsia"/>
          <w:kern w:val="0"/>
        </w:rPr>
        <w:t>本基金发起资金的认购情况见基金管理人届时发布的公告。</w:t>
      </w:r>
    </w:p>
    <w:p w14:paraId="4F164C13">
      <w:pPr>
        <w:adjustRightInd w:val="0"/>
        <w:snapToGrid w:val="0"/>
        <w:spacing w:line="360" w:lineRule="auto"/>
        <w:ind w:firstLine="422" w:firstLineChars="201"/>
        <w:rPr>
          <w:rFonts w:asciiTheme="minorEastAsia" w:hAnsiTheme="minorEastAsia" w:eastAsiaTheme="minorEastAsia"/>
          <w:kern w:val="0"/>
        </w:rPr>
        <w:sectPr>
          <w:footerReference r:id="rId7" w:type="default"/>
          <w:pgSz w:w="11906" w:h="16838"/>
          <w:pgMar w:top="1418" w:right="1701" w:bottom="1418" w:left="1701" w:header="851" w:footer="992" w:gutter="0"/>
          <w:pgNumType w:start="1"/>
          <w:cols w:space="425" w:num="1"/>
          <w:docGrid w:type="lines" w:linePitch="312" w:charSpace="0"/>
        </w:sectPr>
      </w:pPr>
    </w:p>
    <w:bookmarkEnd w:id="86"/>
    <w:p w14:paraId="27143C56">
      <w:pPr>
        <w:pStyle w:val="3"/>
        <w:adjustRightInd w:val="0"/>
        <w:snapToGrid w:val="0"/>
        <w:spacing w:before="312" w:beforeLines="100" w:after="0" w:line="360" w:lineRule="auto"/>
        <w:rPr>
          <w:rFonts w:asciiTheme="minorEastAsia" w:hAnsiTheme="minorEastAsia" w:eastAsiaTheme="minorEastAsia"/>
          <w:sz w:val="21"/>
        </w:rPr>
      </w:pPr>
      <w:bookmarkStart w:id="111" w:name="_Toc491864731"/>
      <w:bookmarkStart w:id="112" w:name="CLAUSE_cbabb9685f034759afe9cb9787846695"/>
      <w:r>
        <w:rPr>
          <w:rFonts w:asciiTheme="minorEastAsia" w:hAnsiTheme="minorEastAsia" w:eastAsiaTheme="minorEastAsia"/>
        </w:rPr>
        <w:t xml:space="preserve"> </w:t>
      </w:r>
      <w:bookmarkStart w:id="113" w:name="CTS_cbabb9685f034759afe9cb9787846695"/>
      <w:bookmarkEnd w:id="113"/>
      <w:bookmarkStart w:id="114" w:name="_Toc16237230"/>
      <w:r>
        <w:rPr>
          <w:rFonts w:hint="eastAsia" w:cs="Arial" w:asciiTheme="minorEastAsia" w:hAnsiTheme="minorEastAsia" w:eastAsiaTheme="minorEastAsia"/>
          <w:sz w:val="21"/>
          <w:szCs w:val="21"/>
        </w:rPr>
        <w:t xml:space="preserve">第五部分 </w:t>
      </w:r>
      <w:r>
        <w:rPr>
          <w:rFonts w:hint="eastAsia" w:asciiTheme="minorEastAsia" w:hAnsiTheme="minorEastAsia" w:eastAsiaTheme="minorEastAsia"/>
          <w:sz w:val="21"/>
        </w:rPr>
        <w:t>基金备案</w:t>
      </w:r>
      <w:bookmarkEnd w:id="111"/>
      <w:bookmarkEnd w:id="114"/>
    </w:p>
    <w:p w14:paraId="042B6E99">
      <w:pPr>
        <w:spacing w:line="360" w:lineRule="auto"/>
        <w:ind w:firstLine="540"/>
        <w:rPr>
          <w:rFonts w:asciiTheme="minorEastAsia" w:hAnsiTheme="minorEastAsia" w:eastAsiaTheme="minorEastAsia"/>
          <w:bCs/>
          <w:sz w:val="24"/>
        </w:rPr>
      </w:pPr>
    </w:p>
    <w:p w14:paraId="3019B9F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一、基金备案的条件</w:t>
      </w:r>
    </w:p>
    <w:p w14:paraId="1FD90EF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本基金自基金份额发售之日起</w:t>
      </w:r>
      <w:r>
        <w:rPr>
          <w:rFonts w:asciiTheme="minorEastAsia" w:hAnsiTheme="minorEastAsia" w:eastAsiaTheme="minorEastAsia"/>
        </w:rPr>
        <w:t>3</w:t>
      </w:r>
      <w:r>
        <w:rPr>
          <w:rFonts w:hint="eastAsia" w:asciiTheme="minorEastAsia" w:hAnsiTheme="minorEastAsia" w:eastAsiaTheme="minorEastAsia"/>
        </w:rPr>
        <w:t>个月内，在发起资金提供方认购金额不少于1,000万元人民币（不含认购费用）且承诺持有期限自基金合同生效日起不少于3年的条件下，基金募集期届满或基金管理人依据法律法规及招募说明书可以决定停止基金发售，并在</w:t>
      </w:r>
      <w:r>
        <w:rPr>
          <w:rFonts w:asciiTheme="minorEastAsia" w:hAnsiTheme="minorEastAsia" w:eastAsiaTheme="minorEastAsia"/>
        </w:rPr>
        <w:t>10</w:t>
      </w:r>
      <w:r>
        <w:rPr>
          <w:rFonts w:hint="eastAsia" w:asciiTheme="minorEastAsia" w:hAnsiTheme="minorEastAsia" w:eastAsiaTheme="minorEastAsia"/>
        </w:rPr>
        <w:t>日内聘请法定验资机构验资，验资报告需对发起资金提供方及其持有份额进行专门说明，自收到验资报告之日起</w:t>
      </w:r>
      <w:r>
        <w:rPr>
          <w:rFonts w:asciiTheme="minorEastAsia" w:hAnsiTheme="minorEastAsia" w:eastAsiaTheme="minorEastAsia"/>
        </w:rPr>
        <w:t>10</w:t>
      </w:r>
      <w:r>
        <w:rPr>
          <w:rFonts w:hint="eastAsia" w:asciiTheme="minorEastAsia" w:hAnsiTheme="minorEastAsia" w:eastAsiaTheme="minorEastAsia"/>
        </w:rPr>
        <w:t>日内，向中国证监会办理基金备案手续。</w:t>
      </w:r>
    </w:p>
    <w:p w14:paraId="6D16A4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14:paraId="04E6E48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基金管理人应将基金募集期间募集的资金存入专门账户，在基金募集行为结束前，任何人不得动用。</w:t>
      </w:r>
    </w:p>
    <w:p w14:paraId="6D8E782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二、基金合同不能生效时募集资金的处理方式</w:t>
      </w:r>
    </w:p>
    <w:p w14:paraId="2D1E4EF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如果募集期限届满，未满足基金备案条件，基金管理人应当承担下列责任：</w:t>
      </w:r>
    </w:p>
    <w:p w14:paraId="011C468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、以其固有财产承担因募集行为而产生的债务和费用；</w:t>
      </w:r>
    </w:p>
    <w:p w14:paraId="7654136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、在基金募集期限届满后</w:t>
      </w:r>
      <w:r>
        <w:rPr>
          <w:rFonts w:asciiTheme="minorEastAsia" w:hAnsiTheme="minorEastAsia" w:eastAsiaTheme="minorEastAsia"/>
        </w:rPr>
        <w:t>30</w:t>
      </w:r>
      <w:r>
        <w:rPr>
          <w:rFonts w:hint="eastAsia" w:asciiTheme="minorEastAsia" w:hAnsiTheme="minorEastAsia" w:eastAsiaTheme="minorEastAsia"/>
        </w:rPr>
        <w:t>日内返还投资者已交纳的款项，并加计银行同期活期存款利息；</w:t>
      </w:r>
    </w:p>
    <w:p w14:paraId="6CD5C9B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、如基金募集失败，基金管理人、基金托管人及销售机构不得请求报酬。基金管理人、基金托管人和销售机构为基金募集支付之一切费用应由各方各自承担。</w:t>
      </w:r>
    </w:p>
    <w:p w14:paraId="5A860B0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三、基金存续期内的基金份额持有人数量和资产规模</w:t>
      </w:r>
    </w:p>
    <w:p w14:paraId="27909D89">
      <w:pPr>
        <w:adjustRightInd w:val="0"/>
        <w:snapToGrid w:val="0"/>
        <w:spacing w:line="360" w:lineRule="auto"/>
        <w:ind w:firstLine="420" w:firstLineChars="200"/>
        <w:rPr>
          <w:rFonts w:asciiTheme="minorEastAsia" w:hAnsiTheme="minorEastAsia" w:eastAsiaTheme="minorEastAsia"/>
        </w:rPr>
      </w:pPr>
      <w:bookmarkStart w:id="115" w:name="_Toc410197819"/>
      <w:r>
        <w:rPr>
          <w:rFonts w:hint="eastAsia" w:asciiTheme="minorEastAsia" w:hAnsiTheme="minorEastAsia" w:eastAsiaTheme="minorEastAsia"/>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14:paraId="21739F5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本基金在基金合同生效三年后继续存续的，基金存续期内，连续</w:t>
      </w:r>
      <w:r>
        <w:rPr>
          <w:rFonts w:asciiTheme="minorEastAsia" w:hAnsiTheme="minorEastAsia" w:eastAsiaTheme="minorEastAsia"/>
        </w:rPr>
        <w:t>20</w:t>
      </w:r>
      <w:r>
        <w:rPr>
          <w:rFonts w:hint="eastAsia" w:asciiTheme="minorEastAsia" w:hAnsiTheme="minorEastAsia" w:eastAsiaTheme="minorEastAsia"/>
        </w:rPr>
        <w:t>个工作日出现基金份额持有人数量不满</w:t>
      </w:r>
      <w:r>
        <w:rPr>
          <w:rFonts w:asciiTheme="minorEastAsia" w:hAnsiTheme="minorEastAsia" w:eastAsiaTheme="minorEastAsia"/>
        </w:rPr>
        <w:t>200</w:t>
      </w:r>
      <w:r>
        <w:rPr>
          <w:rFonts w:hint="eastAsia" w:asciiTheme="minorEastAsia" w:hAnsiTheme="minorEastAsia" w:eastAsiaTheme="minorEastAsia"/>
        </w:rPr>
        <w:t>人或者基金资产净值低于</w:t>
      </w:r>
      <w:r>
        <w:rPr>
          <w:rFonts w:asciiTheme="minorEastAsia" w:hAnsiTheme="minorEastAsia" w:eastAsiaTheme="minorEastAsia"/>
        </w:rPr>
        <w:t>5,000</w:t>
      </w:r>
      <w:r>
        <w:rPr>
          <w:rFonts w:hint="eastAsia" w:asciiTheme="minorEastAsia" w:hAnsiTheme="minorEastAsia" w:eastAsiaTheme="minorEastAsia"/>
        </w:rPr>
        <w:t>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进行表决。</w:t>
      </w:r>
    </w:p>
    <w:p w14:paraId="0AEBA13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法律法规或监管机构另有规定时，从其规定。</w:t>
      </w:r>
      <w:bookmarkEnd w:id="115"/>
    </w:p>
    <w:bookmarkEnd w:id="112"/>
    <w:p w14:paraId="3F78C667">
      <w:pPr>
        <w:adjustRightInd w:val="0"/>
        <w:snapToGrid w:val="0"/>
        <w:spacing w:line="360" w:lineRule="auto"/>
        <w:ind w:firstLine="482" w:firstLineChars="201"/>
        <w:rPr>
          <w:rFonts w:asciiTheme="minorEastAsia" w:hAnsiTheme="minorEastAsia" w:eastAsiaTheme="minorEastAsia"/>
          <w:bCs/>
          <w:sz w:val="24"/>
        </w:rPr>
        <w:sectPr>
          <w:footerReference r:id="rId8" w:type="default"/>
          <w:pgSz w:w="11906" w:h="16838"/>
          <w:pgMar w:top="1418" w:right="1701" w:bottom="1418" w:left="1701" w:header="851" w:footer="992" w:gutter="0"/>
          <w:pgNumType w:start="1"/>
          <w:cols w:space="425" w:num="1"/>
          <w:docGrid w:type="lines" w:linePitch="312" w:charSpace="0"/>
        </w:sectPr>
      </w:pPr>
    </w:p>
    <w:p w14:paraId="4CDF5091">
      <w:pPr>
        <w:pStyle w:val="3"/>
        <w:adjustRightInd w:val="0"/>
        <w:snapToGrid w:val="0"/>
        <w:spacing w:before="312" w:beforeLines="100" w:after="0" w:line="360" w:lineRule="auto"/>
        <w:rPr>
          <w:rFonts w:asciiTheme="minorEastAsia" w:hAnsiTheme="minorEastAsia" w:eastAsiaTheme="minorEastAsia"/>
          <w:sz w:val="21"/>
        </w:rPr>
      </w:pPr>
      <w:bookmarkStart w:id="116" w:name="_Toc16237231"/>
      <w:bookmarkStart w:id="117" w:name="CLAUSE_308687ae3fda464c8888781a7adc5b53"/>
      <w:r>
        <w:rPr>
          <w:rFonts w:hint="eastAsia" w:cs="Arial" w:asciiTheme="minorEastAsia" w:hAnsiTheme="minorEastAsia" w:eastAsiaTheme="minorEastAsia"/>
          <w:sz w:val="21"/>
          <w:szCs w:val="21"/>
        </w:rPr>
        <w:t xml:space="preserve">第六部分 </w:t>
      </w:r>
      <w:bookmarkStart w:id="118" w:name="CTS_308687ae3fda464c8888781a7adc5b53"/>
      <w:bookmarkEnd w:id="118"/>
      <w:r>
        <w:rPr>
          <w:rFonts w:hint="eastAsia" w:asciiTheme="minorEastAsia" w:hAnsiTheme="minorEastAsia" w:eastAsiaTheme="minorEastAsia"/>
          <w:sz w:val="21"/>
        </w:rPr>
        <w:t>基金份额的申购与赎回</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6"/>
    </w:p>
    <w:p w14:paraId="61225B95">
      <w:pPr>
        <w:spacing w:line="360" w:lineRule="auto"/>
        <w:ind w:firstLine="540"/>
        <w:rPr>
          <w:rFonts w:asciiTheme="minorEastAsia" w:hAnsiTheme="minorEastAsia" w:eastAsiaTheme="minorEastAsia"/>
          <w:bCs/>
          <w:sz w:val="24"/>
        </w:rPr>
      </w:pPr>
    </w:p>
    <w:p w14:paraId="2186223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一、申购和赎回场所</w:t>
      </w:r>
    </w:p>
    <w:p w14:paraId="7191A83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本基金的申购与赎回将通过销售机构进行。具体的销售机构将由基金管理人在招募说明书或基金管理人网站中列明。</w:t>
      </w:r>
    </w:p>
    <w:p w14:paraId="3ED40D5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基金管理人可根据情况变更或增减销售机构，并在管理人网站公示。基金投资者应当在销售机构办理基金销售业务的营业场所或按销售机构提供的其他方式办理基金份额的申购与赎回。</w:t>
      </w:r>
    </w:p>
    <w:p w14:paraId="02C2E01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二、申购和赎回的开放日及时间</w:t>
      </w:r>
    </w:p>
    <w:p w14:paraId="48CE899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、开放日及开放时间</w:t>
      </w:r>
    </w:p>
    <w:p w14:paraId="011F0BE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投资人在开放日办理基金份额的申购和赎回，具体办理时间为港股通、上海证券交易所、深圳证券交易所同时为正常交易日的交易时间，但基金管理人根据法律法规、中国证监会的要求或本基金合同的规定公告暂停申购、赎回时除外。开放日的具体业务办理时间在招募说明书或相关公告中载明。</w:t>
      </w:r>
    </w:p>
    <w:p w14:paraId="3234927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4F52DB6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、申购、赎回开始日及业务办理时间</w:t>
      </w:r>
    </w:p>
    <w:p w14:paraId="37B889A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基金管理人可根据实际情况依法决定本基金开始办理申购的具体日期，具体业务办理时间在申购开始公告中规定。</w:t>
      </w:r>
    </w:p>
    <w:p w14:paraId="4C36084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基金管理人自基金合同生效之日起不超过</w:t>
      </w:r>
      <w:r>
        <w:rPr>
          <w:rFonts w:asciiTheme="minorEastAsia" w:hAnsiTheme="minorEastAsia" w:eastAsiaTheme="minorEastAsia"/>
        </w:rPr>
        <w:t>3</w:t>
      </w:r>
      <w:r>
        <w:rPr>
          <w:rFonts w:hint="eastAsia" w:asciiTheme="minorEastAsia" w:hAnsiTheme="minorEastAsia" w:eastAsiaTheme="minorEastAsia"/>
        </w:rPr>
        <w:t>个月开始办理赎回，具体业务办理时间在赎回开始公告中规定。</w:t>
      </w:r>
    </w:p>
    <w:p w14:paraId="31CBAB5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在确定申购开始与赎回开始时间后，基金管理人应在申购、赎回开放日前依照《信息披露办法》的有关规定在规定媒介上公告申购与赎回的开始时间。</w:t>
      </w:r>
    </w:p>
    <w:p w14:paraId="47994C5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基金份额申购、赎回或转换的价格。</w:t>
      </w:r>
    </w:p>
    <w:p w14:paraId="2B2A149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三、申购与赎回的原则</w:t>
      </w:r>
    </w:p>
    <w:p w14:paraId="0036991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w:t>
      </w:r>
      <w:r>
        <w:rPr>
          <w:rFonts w:asciiTheme="minorEastAsia" w:hAnsiTheme="minorEastAsia" w:eastAsiaTheme="minorEastAsia"/>
        </w:rPr>
        <w:t>“</w:t>
      </w:r>
      <w:r>
        <w:rPr>
          <w:rFonts w:hint="eastAsia" w:asciiTheme="minorEastAsia" w:hAnsiTheme="minorEastAsia" w:eastAsiaTheme="minorEastAsia"/>
        </w:rPr>
        <w:t>未知价</w:t>
      </w:r>
      <w:r>
        <w:rPr>
          <w:rFonts w:asciiTheme="minorEastAsia" w:hAnsiTheme="minorEastAsia" w:eastAsiaTheme="minorEastAsia"/>
        </w:rPr>
        <w:t>”</w:t>
      </w:r>
      <w:r>
        <w:rPr>
          <w:rFonts w:hint="eastAsia" w:asciiTheme="minorEastAsia" w:hAnsiTheme="minorEastAsia" w:eastAsiaTheme="minorEastAsia"/>
        </w:rPr>
        <w:t>原则，即申购、赎回价格以申请当日收市后计算的各类基金份额净值为基准进行计算；</w:t>
      </w:r>
    </w:p>
    <w:p w14:paraId="2456587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w:t>
      </w:r>
      <w:r>
        <w:rPr>
          <w:rFonts w:asciiTheme="minorEastAsia" w:hAnsiTheme="minorEastAsia" w:eastAsiaTheme="minorEastAsia"/>
        </w:rPr>
        <w:t>“</w:t>
      </w:r>
      <w:r>
        <w:rPr>
          <w:rFonts w:hint="eastAsia" w:asciiTheme="minorEastAsia" w:hAnsiTheme="minorEastAsia" w:eastAsiaTheme="minorEastAsia"/>
        </w:rPr>
        <w:t>金额申购、份额赎回</w:t>
      </w:r>
      <w:r>
        <w:rPr>
          <w:rFonts w:asciiTheme="minorEastAsia" w:hAnsiTheme="minorEastAsia" w:eastAsiaTheme="minorEastAsia"/>
        </w:rPr>
        <w:t>”</w:t>
      </w:r>
      <w:r>
        <w:rPr>
          <w:rFonts w:hint="eastAsia" w:asciiTheme="minorEastAsia" w:hAnsiTheme="minorEastAsia" w:eastAsiaTheme="minorEastAsia"/>
        </w:rPr>
        <w:t>原则，即申购以金额申请，赎回以份额申请；</w:t>
      </w:r>
    </w:p>
    <w:p w14:paraId="4E0F4D2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、当日的申购与赎回申请可以在基金管理人规定的时间以内撤销；</w:t>
      </w:r>
    </w:p>
    <w:p w14:paraId="576C3A5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、赎回遵循</w:t>
      </w:r>
      <w:r>
        <w:rPr>
          <w:rFonts w:asciiTheme="minorEastAsia" w:hAnsiTheme="minorEastAsia" w:eastAsiaTheme="minorEastAsia"/>
        </w:rPr>
        <w:t>“</w:t>
      </w:r>
      <w:r>
        <w:rPr>
          <w:rFonts w:hint="eastAsia" w:asciiTheme="minorEastAsia" w:hAnsiTheme="minorEastAsia" w:eastAsiaTheme="minorEastAsia"/>
        </w:rPr>
        <w:t>先进先出</w:t>
      </w:r>
      <w:r>
        <w:rPr>
          <w:rFonts w:asciiTheme="minorEastAsia" w:hAnsiTheme="minorEastAsia" w:eastAsiaTheme="minorEastAsia"/>
        </w:rPr>
        <w:t>”</w:t>
      </w:r>
      <w:r>
        <w:rPr>
          <w:rFonts w:hint="eastAsia" w:asciiTheme="minorEastAsia" w:hAnsiTheme="minorEastAsia" w:eastAsiaTheme="minorEastAsia"/>
        </w:rPr>
        <w:t>原则，即按照投资人认购、申购的先后次序进行顺序赎回；</w:t>
      </w:r>
    </w:p>
    <w:p w14:paraId="094E655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、办理申购、赎回业务时，应当遵循基金份额持有人利益优先原则，确保投资者的合法权益不受损害并得到公平对待。</w:t>
      </w:r>
    </w:p>
    <w:p w14:paraId="246722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基金管理人可在法律法规允许的情况下，对上述原则进行调整。基金管理人必须在新规则开始实施前依照《信息披露办法》的有关规定在规定媒介上公告。</w:t>
      </w:r>
    </w:p>
    <w:p w14:paraId="17F4F1A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四、申购与赎回的程序</w:t>
      </w:r>
    </w:p>
    <w:p w14:paraId="0E99706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、申购和赎回的申请方式</w:t>
      </w:r>
    </w:p>
    <w:p w14:paraId="5710BD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投资人必须根据销售机构规定的程序，在开放日的具体业务办理时间内提出申购或赎回的申请。</w:t>
      </w:r>
    </w:p>
    <w:p w14:paraId="5D62AB5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、申购和赎回的款项支付</w:t>
      </w:r>
    </w:p>
    <w:p w14:paraId="5BE42FB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投资人申购基金份额时，必须全额交付申购款项，投资人全额交付申购款项，申购成立；基金份额登记机构确认基金份额时，申购生效。</w:t>
      </w:r>
    </w:p>
    <w:p w14:paraId="19E4101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基金份额持有人递交赎回申请，赎回成立；基金份额登记机构确认赎回时，赎回生效。投资者赎回申请生效后，基金管理人将在</w:t>
      </w:r>
      <w:r>
        <w:rPr>
          <w:rFonts w:asciiTheme="minorEastAsia" w:hAnsiTheme="minorEastAsia" w:eastAsiaTheme="minorEastAsia"/>
        </w:rPr>
        <w:t>T</w:t>
      </w: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日</w:t>
      </w:r>
      <w:r>
        <w:rPr>
          <w:rFonts w:asciiTheme="minorEastAsia" w:hAnsiTheme="minorEastAsia" w:eastAsiaTheme="minorEastAsia"/>
        </w:rPr>
        <w:t>(</w:t>
      </w:r>
      <w:r>
        <w:rPr>
          <w:rFonts w:hint="eastAsia" w:asciiTheme="minorEastAsia" w:hAnsiTheme="minorEastAsia" w:eastAsiaTheme="minorEastAsia"/>
        </w:rPr>
        <w:t>包括该日</w:t>
      </w:r>
      <w:r>
        <w:rPr>
          <w:rFonts w:asciiTheme="minorEastAsia" w:hAnsiTheme="minorEastAsia" w:eastAsiaTheme="minorEastAsia"/>
        </w:rPr>
        <w:t>)</w:t>
      </w:r>
      <w:r>
        <w:rPr>
          <w:rFonts w:hint="eastAsia" w:asciiTheme="minorEastAsia" w:hAnsiTheme="minorEastAsia" w:eastAsiaTheme="minorEastAsia"/>
        </w:rPr>
        <w:t>内支付赎回款项。在发生巨额赎回或本基金合同约定的其他暂停赎回或延缓支付赎回款项的情形时，款项的支付办法参照本基金合同有关条款处理。</w:t>
      </w:r>
    </w:p>
    <w:p w14:paraId="49B575F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遇目标ETF的投资市场休市、目标ETF暂停交易或赎回、目标ETF延迟支付赎回对价或延迟交收、交易所或登记机构的交易结算规则发生较大变化、本基金交易所或交易市场数据传输延迟、通讯系统故障、银行数据交换系统故障、港股通交易系统或港股通资金交收规则限制或其他非基金管理人及基金托管人所能控制的因素影响业务处理流程，则赎回款项划付时间相应顺延至该因素消除的最近一个工作日。</w:t>
      </w:r>
    </w:p>
    <w:p w14:paraId="33A6517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、申购和赎回申请的确认</w:t>
      </w:r>
    </w:p>
    <w:p w14:paraId="26D763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基金管理人应以交易时间结束前受理有效申购和赎回申请的当天作为申购或赎回申请日</w:t>
      </w:r>
      <w:r>
        <w:rPr>
          <w:rFonts w:asciiTheme="minorEastAsia" w:hAnsiTheme="minorEastAsia" w:eastAsiaTheme="minorEastAsia"/>
        </w:rPr>
        <w:t>(T</w:t>
      </w:r>
      <w:r>
        <w:rPr>
          <w:rFonts w:hint="eastAsia" w:asciiTheme="minorEastAsia" w:hAnsiTheme="minorEastAsia" w:eastAsiaTheme="minorEastAsia"/>
        </w:rPr>
        <w:t>日</w:t>
      </w:r>
      <w:r>
        <w:rPr>
          <w:rFonts w:asciiTheme="minorEastAsia" w:hAnsiTheme="minorEastAsia" w:eastAsiaTheme="minorEastAsia"/>
        </w:rPr>
        <w:t>)</w:t>
      </w:r>
      <w:r>
        <w:rPr>
          <w:rFonts w:hint="eastAsia" w:asciiTheme="minorEastAsia" w:hAnsiTheme="minorEastAsia" w:eastAsiaTheme="minorEastAsia"/>
        </w:rPr>
        <w:t>，在正常情况下，本基金登记机构在</w:t>
      </w:r>
      <w:r>
        <w:rPr>
          <w:rFonts w:asciiTheme="minorEastAsia" w:hAnsiTheme="minorEastAsia" w:eastAsiaTheme="minorEastAsia"/>
        </w:rPr>
        <w:t>T+1</w:t>
      </w:r>
      <w:r>
        <w:rPr>
          <w:rFonts w:hint="eastAsia" w:asciiTheme="minorEastAsia" w:hAnsiTheme="minorEastAsia" w:eastAsiaTheme="minorEastAsia"/>
        </w:rPr>
        <w:t>日内对该交易的有效性进行确认。</w:t>
      </w:r>
      <w:r>
        <w:rPr>
          <w:rFonts w:asciiTheme="minorEastAsia" w:hAnsiTheme="minorEastAsia" w:eastAsiaTheme="minorEastAsia"/>
        </w:rPr>
        <w:t>T</w:t>
      </w:r>
      <w:r>
        <w:rPr>
          <w:rFonts w:hint="eastAsia" w:asciiTheme="minorEastAsia" w:hAnsiTheme="minorEastAsia" w:eastAsiaTheme="minorEastAsia"/>
        </w:rPr>
        <w:t>日提交的有效申请，投资人应在</w:t>
      </w:r>
      <w:r>
        <w:rPr>
          <w:rFonts w:asciiTheme="minorEastAsia" w:hAnsiTheme="minorEastAsia" w:eastAsiaTheme="minorEastAsia"/>
        </w:rPr>
        <w:t>T+2</w:t>
      </w:r>
      <w:r>
        <w:rPr>
          <w:rFonts w:hint="eastAsia" w:asciiTheme="minorEastAsia" w:hAnsiTheme="minorEastAsia" w:eastAsiaTheme="minorEastAsia"/>
        </w:rPr>
        <w:t>日后</w:t>
      </w:r>
      <w:r>
        <w:rPr>
          <w:rFonts w:asciiTheme="minorEastAsia" w:hAnsiTheme="minorEastAsia" w:eastAsiaTheme="minorEastAsia"/>
        </w:rPr>
        <w:t>(</w:t>
      </w:r>
      <w:r>
        <w:rPr>
          <w:rFonts w:hint="eastAsia" w:asciiTheme="minorEastAsia" w:hAnsiTheme="minorEastAsia" w:eastAsiaTheme="minorEastAsia"/>
        </w:rPr>
        <w:t>包括该日</w:t>
      </w:r>
      <w:r>
        <w:rPr>
          <w:rFonts w:asciiTheme="minorEastAsia" w:hAnsiTheme="minorEastAsia" w:eastAsiaTheme="minorEastAsia"/>
        </w:rPr>
        <w:t>)</w:t>
      </w:r>
      <w:r>
        <w:rPr>
          <w:rFonts w:hint="eastAsia" w:asciiTheme="minorEastAsia" w:hAnsiTheme="minorEastAsia" w:eastAsiaTheme="minorEastAsia"/>
        </w:rPr>
        <w:t>及时到销售网点柜台或以销售机构规定的其他方式查询申请的确认情况。若申购不成功或无效，则申购款项本金退还给投资人。</w:t>
      </w:r>
    </w:p>
    <w:p w14:paraId="4400EDA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基金销售机构对申购、赎回申请的受理并不代表申请一定成功，而仅代表销售机构确实接收到申请。申购、赎回申请的确认以登记机构的确认结果为准。对于申请的确认情况，投资者应及时查询。</w:t>
      </w:r>
    </w:p>
    <w:p w14:paraId="78508AB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4、基金管理人可以在法律法规和基金合同允许的范围内，对上述业务办理时间进行调整，并在调整实施前依照《信息披露办法》的有关规定在规定媒介上公告。</w:t>
      </w:r>
    </w:p>
    <w:p w14:paraId="502D446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五、申购和赎回的数量限制</w:t>
      </w:r>
    </w:p>
    <w:p w14:paraId="72C3922B">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、基金管理人可以规定投资人首次申购和每次申购的最低金额以及每次赎回的最低份额，具体规定请参见招募说明书或相关公告。</w:t>
      </w:r>
    </w:p>
    <w:p w14:paraId="12BB689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、基金管理人可以规定投资人每个基金交易账户的最低基金份额余额，具体规定请参见招募说明书或相关公告。</w:t>
      </w:r>
    </w:p>
    <w:p w14:paraId="776E1FA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、基金管理人可以规定单个投资人累计持有的基金份额上限，具体规定请参见招募说明书或相关公告。</w:t>
      </w:r>
    </w:p>
    <w:p w14:paraId="6CAE129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招募说明书或相关公告。</w:t>
      </w:r>
    </w:p>
    <w:p w14:paraId="61D301D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5、基金管理人可在法律法规允许的情况下，调整上述规定申购金额和赎回份额等数量限制。基金管理人必须在调整实施前依照《信息披露办法》的有关规定在规定媒介上公告。</w:t>
      </w:r>
    </w:p>
    <w:p w14:paraId="1FCB27E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六、申购和赎回的价格、费用及其用途</w:t>
      </w:r>
    </w:p>
    <w:p w14:paraId="0B35F2C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、本基金</w:t>
      </w:r>
      <w:r>
        <w:rPr>
          <w:rFonts w:asciiTheme="minorEastAsia" w:hAnsiTheme="minorEastAsia" w:eastAsiaTheme="minorEastAsia"/>
        </w:rPr>
        <w:t>A</w:t>
      </w:r>
      <w:r>
        <w:rPr>
          <w:rFonts w:hint="eastAsia" w:asciiTheme="minorEastAsia" w:hAnsiTheme="minorEastAsia" w:eastAsiaTheme="minorEastAsia"/>
        </w:rPr>
        <w:t>类基金份额和</w:t>
      </w:r>
      <w:r>
        <w:rPr>
          <w:rFonts w:asciiTheme="minorEastAsia" w:hAnsiTheme="minorEastAsia" w:eastAsiaTheme="minorEastAsia"/>
        </w:rPr>
        <w:t>C</w:t>
      </w:r>
      <w:r>
        <w:rPr>
          <w:rFonts w:hint="eastAsia" w:asciiTheme="minorEastAsia" w:hAnsiTheme="minorEastAsia" w:eastAsiaTheme="minorEastAsia"/>
        </w:rPr>
        <w:t>类基金份额分别设置代码，分别计算和公告各类基金份额净值和各类基金份额累计净值。本基金各类基金份额净值的计算，均保留到小数点后</w:t>
      </w:r>
      <w:r>
        <w:rPr>
          <w:rFonts w:asciiTheme="minorEastAsia" w:hAnsiTheme="minorEastAsia" w:eastAsiaTheme="minorEastAsia"/>
        </w:rPr>
        <w:t>4</w:t>
      </w:r>
      <w:r>
        <w:rPr>
          <w:rFonts w:hint="eastAsia" w:asciiTheme="minorEastAsia" w:hAnsiTheme="minorEastAsia" w:eastAsiaTheme="minorEastAsia"/>
        </w:rPr>
        <w:t>位，小数点后第</w:t>
      </w:r>
      <w:r>
        <w:rPr>
          <w:rFonts w:asciiTheme="minorEastAsia" w:hAnsiTheme="minorEastAsia" w:eastAsiaTheme="minorEastAsia"/>
        </w:rPr>
        <w:t>5</w:t>
      </w:r>
      <w:r>
        <w:rPr>
          <w:rFonts w:hint="eastAsia" w:asciiTheme="minorEastAsia" w:hAnsiTheme="minorEastAsia" w:eastAsiaTheme="minorEastAsia"/>
        </w:rPr>
        <w:t>位四舍五入，由此产生的收益或损失由基金财产承担。</w:t>
      </w:r>
      <w:r>
        <w:rPr>
          <w:rFonts w:asciiTheme="minorEastAsia" w:hAnsiTheme="minorEastAsia" w:eastAsiaTheme="minorEastAsia"/>
        </w:rPr>
        <w:t>T</w:t>
      </w:r>
      <w:r>
        <w:rPr>
          <w:rFonts w:hint="eastAsia" w:asciiTheme="minorEastAsia" w:hAnsiTheme="minorEastAsia" w:eastAsiaTheme="minorEastAsia"/>
        </w:rPr>
        <w:t>日的各类基金份额净值在当天收市后计算，并按基金</w:t>
      </w:r>
      <w:r>
        <w:rPr>
          <w:rFonts w:asciiTheme="minorEastAsia" w:hAnsiTheme="minorEastAsia" w:eastAsiaTheme="minorEastAsia"/>
        </w:rPr>
        <w:t>合同约定</w:t>
      </w:r>
      <w:r>
        <w:rPr>
          <w:rFonts w:hint="eastAsia" w:asciiTheme="minorEastAsia" w:hAnsiTheme="minorEastAsia" w:eastAsiaTheme="minorEastAsia"/>
        </w:rPr>
        <w:t>公告。遇特殊情况，经履行适当程序，可以适当延迟计算或公告。</w:t>
      </w:r>
    </w:p>
    <w:p w14:paraId="048BA83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、申购份额的计算及余额的处理方式：本基金申购份额的计算详见《招募说明书》。本基金</w:t>
      </w:r>
      <w:r>
        <w:rPr>
          <w:rFonts w:asciiTheme="minorEastAsia" w:hAnsiTheme="minorEastAsia" w:eastAsiaTheme="minorEastAsia"/>
        </w:rPr>
        <w:t>A</w:t>
      </w:r>
      <w:r>
        <w:rPr>
          <w:rFonts w:hint="eastAsia" w:asciiTheme="minorEastAsia" w:hAnsiTheme="minorEastAsia" w:eastAsiaTheme="minorEastAsia"/>
        </w:rPr>
        <w:t>类基金份额的申购费率由基金管理人决定，并在招募说明书及基金产品资料概要中列示；</w:t>
      </w:r>
      <w:r>
        <w:rPr>
          <w:rFonts w:asciiTheme="minorEastAsia" w:hAnsiTheme="minorEastAsia" w:eastAsiaTheme="minorEastAsia"/>
        </w:rPr>
        <w:t>C</w:t>
      </w:r>
      <w:r>
        <w:rPr>
          <w:rFonts w:hint="eastAsia" w:asciiTheme="minorEastAsia" w:hAnsiTheme="minorEastAsia" w:eastAsiaTheme="minorEastAsia"/>
        </w:rPr>
        <w:t>类基金份额不收取申购费用。申购的有效份额为净申购金额除以当日的该类基金份额净值，有效份额单位为份，上述计算结果均按四舍五入方法，保留到小数点后</w:t>
      </w:r>
      <w:r>
        <w:rPr>
          <w:rFonts w:asciiTheme="minorEastAsia" w:hAnsiTheme="minorEastAsia" w:eastAsiaTheme="minorEastAsia"/>
        </w:rPr>
        <w:t>2</w:t>
      </w:r>
      <w:r>
        <w:rPr>
          <w:rFonts w:hint="eastAsia" w:asciiTheme="minorEastAsia" w:hAnsiTheme="minorEastAsia" w:eastAsiaTheme="minorEastAsia"/>
        </w:rPr>
        <w:t>位，由此产生的收益或损失由基金财产承担。</w:t>
      </w:r>
    </w:p>
    <w:p w14:paraId="5C5A877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赎回金额的计算及处理方式：本基金赎回金额的计算详见《招募说明书》。本基金的赎回费率由基金管理人决定，并在招募说明书及基金产品资料概要中列示。赎回金额为按实际确认的有效赎回份额乘以当日该类基金份额净值并扣除相应的费用，赎回金额单位为元。上述计算结果均按四舍五入方法，保留到小数点后</w:t>
      </w:r>
      <w:r>
        <w:rPr>
          <w:rFonts w:asciiTheme="minorEastAsia" w:hAnsiTheme="minorEastAsia" w:eastAsiaTheme="minorEastAsia"/>
        </w:rPr>
        <w:t>2</w:t>
      </w:r>
      <w:r>
        <w:rPr>
          <w:rFonts w:hint="eastAsia" w:asciiTheme="minorEastAsia" w:hAnsiTheme="minorEastAsia" w:eastAsiaTheme="minorEastAsia"/>
        </w:rPr>
        <w:t>位，由此产生的收益或损失由基金财产承担。</w:t>
      </w:r>
    </w:p>
    <w:p w14:paraId="239E6E0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、A类基金份额申购费用由申购A类基金份额的投资人承担，不列入基金财产。</w:t>
      </w:r>
    </w:p>
    <w:p w14:paraId="4AE4F14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赎回费用由赎回基金份额的基金份额持有人承担，在基金份额持有人赎回基金份额时收取。赎回费用归入基金财产的比例依照相关法律法规设定，具体见招募说明书的规定，未归入基金财产的部分用于支付登记费和其他必要的手续费。其中，对持续持有期少于7日的投资者收取不低于1.5%的赎回费，并全额计入基金财产。</w:t>
      </w:r>
    </w:p>
    <w:p w14:paraId="2822B6E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规定媒介上公告。</w:t>
      </w:r>
    </w:p>
    <w:p w14:paraId="744E7AB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7</w:t>
      </w:r>
      <w:r>
        <w:rPr>
          <w:rFonts w:hint="eastAsia" w:asciiTheme="minorEastAsia" w:hAnsiTheme="minorEastAsia" w:eastAsiaTheme="minorEastAsia"/>
        </w:rPr>
        <w:t>、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费率、赎回费率和销售服务费率。</w:t>
      </w:r>
    </w:p>
    <w:p w14:paraId="15950F1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8</w:t>
      </w:r>
      <w:r>
        <w:rPr>
          <w:rFonts w:hint="eastAsia" w:asciiTheme="minorEastAsia" w:hAnsiTheme="minorEastAsia" w:eastAsiaTheme="minorEastAsia"/>
        </w:rPr>
        <w:t>、当本基金各类份额发生大额申购或赎回情形时，基金管理人可以采用摆动定价机制以确保基金估值的公平性。具体处理原则与操作规范遵循相关法律法规以及监管部门、自律规则的规定。</w:t>
      </w:r>
    </w:p>
    <w:p w14:paraId="7EEDEF4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七、拒绝或暂停申购的情形</w:t>
      </w:r>
    </w:p>
    <w:p w14:paraId="3683697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发生下列情况时，基金管理人可拒绝或暂停接受投资人的申购申请：</w:t>
      </w:r>
    </w:p>
    <w:p w14:paraId="724E2A0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1、因不可抗力导致基金无法正常运作、基金管理人无法受理或办理基金份额持有人的申购申请。</w:t>
      </w:r>
    </w:p>
    <w:p w14:paraId="2E741B6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2、发生基金合同规定的暂停基金资产估值情况。</w:t>
      </w:r>
    </w:p>
    <w:p w14:paraId="5D526FA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3、证券、期货交易所或</w:t>
      </w:r>
      <w:r>
        <w:rPr>
          <w:rFonts w:asciiTheme="minorEastAsia" w:hAnsiTheme="minorEastAsia" w:eastAsiaTheme="minorEastAsia"/>
        </w:rPr>
        <w:t>外汇市场</w:t>
      </w:r>
      <w:r>
        <w:rPr>
          <w:rFonts w:hint="eastAsia" w:asciiTheme="minorEastAsia" w:hAnsiTheme="minorEastAsia" w:eastAsiaTheme="minorEastAsia"/>
        </w:rPr>
        <w:t>交易时间非正常停市，导致基金管理人无法计算当日基金资产净值或无法进行证券交易。</w:t>
      </w:r>
    </w:p>
    <w:p w14:paraId="7322CE7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4、接受某笔或某些申购申请可能会影响或损害现有基金份额持有人利益或对存量基金份额持有人利益构成潜在重大不利影响。</w:t>
      </w:r>
    </w:p>
    <w:p w14:paraId="3D9F20F4">
      <w:pPr>
        <w:adjustRightInd w:val="0"/>
        <w:snapToGrid w:val="0"/>
        <w:spacing w:line="360" w:lineRule="auto"/>
        <w:ind w:firstLine="420" w:firstLineChars="200"/>
        <w:rPr>
          <w:rFonts w:asciiTheme="minorEastAsia" w:hAnsiTheme="minorEastAsia" w:eastAsiaTheme="minorEastAsia"/>
        </w:rPr>
      </w:pPr>
      <w:bookmarkStart w:id="119" w:name="_Hlt70481650"/>
      <w:bookmarkEnd w:id="119"/>
      <w:r>
        <w:rPr>
          <w:rFonts w:hint="eastAsia" w:asciiTheme="minorEastAsia" w:hAnsiTheme="minorEastAsia" w:eastAsiaTheme="minorEastAsia"/>
        </w:rPr>
        <w:t>5、基金资产规模过大，使基金管理人无法找到合适的投资品种，或其他可能对基金业绩产生负面影响，或发生其他损害现有基金份额持有人利益的情形。</w:t>
      </w:r>
    </w:p>
    <w:p w14:paraId="2E7FE6A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6、基金管理人、基金托管人、销售机构或登记机构的技术故障等异常情况导致基金销售系统、基金登记系统或基金会计系统无法正常运行。</w:t>
      </w:r>
    </w:p>
    <w:p w14:paraId="5D0EACC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7</w:t>
      </w:r>
      <w:r>
        <w:rPr>
          <w:rFonts w:hint="eastAsia" w:asciiTheme="minorEastAsia" w:hAnsiTheme="minorEastAsia" w:eastAsiaTheme="minorEastAsia"/>
        </w:rPr>
        <w:t>、当特定资产占前一估值日基金资产净值50%以上的，经与基金托管人协商确认后，基金管理人应当暂停接受基金申购申请。</w:t>
      </w:r>
    </w:p>
    <w:p w14:paraId="09AFEF7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8</w:t>
      </w:r>
      <w:r>
        <w:rPr>
          <w:rFonts w:hint="eastAsia" w:asciiTheme="minorEastAsia" w:hAnsiTheme="minorEastAsia" w:eastAsiaTheme="minorEastAsia"/>
        </w:rPr>
        <w:t>、所投资的目标ETF暂停估值，导致基金管理人无法计算当日基金资产净值。</w:t>
      </w:r>
    </w:p>
    <w:p w14:paraId="52AE719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9</w:t>
      </w:r>
      <w:r>
        <w:rPr>
          <w:rFonts w:hint="eastAsia" w:asciiTheme="minorEastAsia" w:hAnsiTheme="minorEastAsia" w:eastAsiaTheme="minorEastAsia"/>
        </w:rPr>
        <w:t>、所投资的目标ETF暂停申购、暂停上市或二级市场交易停牌。</w:t>
      </w:r>
    </w:p>
    <w:p w14:paraId="13F244E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10</w:t>
      </w:r>
      <w:r>
        <w:rPr>
          <w:rFonts w:hint="eastAsia" w:asciiTheme="minorEastAsia" w:hAnsiTheme="minorEastAsia" w:eastAsiaTheme="minorEastAsia"/>
        </w:rPr>
        <w:t>、申请超过基金管理人设定的基金总规模、单日净申购比例上限、单一投资者单日或单笔申购金额上限。</w:t>
      </w:r>
    </w:p>
    <w:p w14:paraId="10A3C4D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1</w:t>
      </w:r>
      <w:r>
        <w:rPr>
          <w:rFonts w:hint="eastAsia" w:asciiTheme="minorEastAsia" w:hAnsiTheme="minorEastAsia" w:eastAsiaTheme="minorEastAsia"/>
        </w:rPr>
        <w:t>、法律法规规定或中国证监会认定的其他情形。</w:t>
      </w:r>
    </w:p>
    <w:p w14:paraId="5A5843D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发生上述第1、2、3、5、6、7、8、9、1</w:t>
      </w:r>
      <w:r>
        <w:rPr>
          <w:rFonts w:asciiTheme="minorEastAsia" w:hAnsiTheme="minorEastAsia" w:eastAsiaTheme="minorEastAsia"/>
        </w:rPr>
        <w:t>1</w:t>
      </w:r>
      <w:r>
        <w:rPr>
          <w:rFonts w:hint="eastAsia" w:asciiTheme="minorEastAsia" w:hAnsiTheme="minorEastAsia" w:eastAsiaTheme="minorEastAsia"/>
        </w:rPr>
        <w:t>项暂停申购情形之一且基金管理人决定暂停接受投资人申购申请时，基金管理人应当根据有关规定在规定媒介上刊登暂停申购公告。如果投资人的申购申请全部或部分被拒绝的，被拒绝的申购款项本金将退还给投资人。在暂停申购的情况消除时，基金管理人应及时恢复申购业务的办理。</w:t>
      </w:r>
    </w:p>
    <w:p w14:paraId="0264AA8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八、暂停赎回或延缓支付赎回款项的情形</w:t>
      </w:r>
    </w:p>
    <w:p w14:paraId="3DB8F98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发生下列情形时，基金管理人可暂停接受投资人的赎回申请或延缓支付赎回款项：</w:t>
      </w:r>
    </w:p>
    <w:p w14:paraId="6AECE2B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、因不可抗力导致基金管理人无法受理或办理基金份额持有人的赎回申请。</w:t>
      </w:r>
    </w:p>
    <w:p w14:paraId="5210DB3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、发生基金合同规定的暂停基金资产估值情况。</w:t>
      </w:r>
    </w:p>
    <w:p w14:paraId="3957816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、证券、期货交易所或</w:t>
      </w:r>
      <w:r>
        <w:rPr>
          <w:rFonts w:asciiTheme="minorEastAsia" w:hAnsiTheme="minorEastAsia" w:eastAsiaTheme="minorEastAsia"/>
        </w:rPr>
        <w:t>外汇市场</w:t>
      </w:r>
      <w:r>
        <w:rPr>
          <w:rFonts w:hint="eastAsia" w:asciiTheme="minorEastAsia" w:hAnsiTheme="minorEastAsia" w:eastAsiaTheme="minorEastAsia"/>
        </w:rPr>
        <w:t>交易时间非正常停市，导致基金管理人无法计算当日基金资产</w:t>
      </w:r>
      <w:bookmarkStart w:id="120" w:name="_Hlt152500890"/>
      <w:r>
        <w:rPr>
          <w:rFonts w:hint="eastAsia" w:asciiTheme="minorEastAsia" w:hAnsiTheme="minorEastAsia" w:eastAsiaTheme="minorEastAsia"/>
        </w:rPr>
        <w:t>净值或无法进行证券交易。</w:t>
      </w:r>
    </w:p>
    <w:p w14:paraId="4C44123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、连续两个或两个以上开放日发生巨额赎回。</w:t>
      </w:r>
    </w:p>
    <w:bookmarkEnd w:id="120"/>
    <w:p w14:paraId="7A2F6D8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、所投资的目标ETF暂停估值，导致基金管理人无法计算当日基金资产净值。</w:t>
      </w:r>
    </w:p>
    <w:p w14:paraId="2F39D70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、所投资的目标ETF暂停赎回、延缓支付赎回对价、暂停上市或二级市场交易停牌。</w:t>
      </w:r>
    </w:p>
    <w:p w14:paraId="3D93D21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7、发生继续接受赎回申请将损害现有基金份额持有人利益的情形。</w:t>
      </w:r>
    </w:p>
    <w:p w14:paraId="5C65FCE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8</w:t>
      </w:r>
      <w:r>
        <w:rPr>
          <w:rFonts w:hint="eastAsia" w:asciiTheme="minorEastAsia" w:hAnsiTheme="minorEastAsia" w:eastAsiaTheme="minorEastAsia"/>
        </w:rPr>
        <w:t>、本基金当日总赎回份额达到基金管理人所设定的上限，基金管理人可拒绝赎回申请。</w:t>
      </w:r>
    </w:p>
    <w:p w14:paraId="295FA11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9、当</w:t>
      </w:r>
      <w:r>
        <w:rPr>
          <w:rFonts w:hint="eastAsia" w:asciiTheme="minorEastAsia" w:hAnsiTheme="minorEastAsia" w:eastAsiaTheme="minorEastAsia"/>
        </w:rPr>
        <w:t>特定资产占</w:t>
      </w:r>
      <w:r>
        <w:rPr>
          <w:rFonts w:asciiTheme="minorEastAsia" w:hAnsiTheme="minorEastAsia" w:eastAsiaTheme="minorEastAsia"/>
        </w:rPr>
        <w:t>前一估值日基金资产净值50%以上的</w:t>
      </w:r>
      <w:r>
        <w:rPr>
          <w:rFonts w:hint="eastAsia" w:asciiTheme="minorEastAsia" w:hAnsiTheme="minorEastAsia" w:eastAsiaTheme="minorEastAsia"/>
        </w:rPr>
        <w:t>，经与基金托管人协商确认后，基金管理人应当延缓</w:t>
      </w:r>
      <w:r>
        <w:rPr>
          <w:rFonts w:asciiTheme="minorEastAsia" w:hAnsiTheme="minorEastAsia" w:eastAsiaTheme="minorEastAsia"/>
        </w:rPr>
        <w:t>支付赎回款项或</w:t>
      </w:r>
      <w:r>
        <w:rPr>
          <w:rFonts w:hint="eastAsia" w:asciiTheme="minorEastAsia" w:hAnsiTheme="minorEastAsia" w:eastAsiaTheme="minorEastAsia"/>
        </w:rPr>
        <w:t>暂停接受基金赎回申请。</w:t>
      </w:r>
    </w:p>
    <w:p w14:paraId="4EEC59D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10</w:t>
      </w:r>
      <w:r>
        <w:rPr>
          <w:rFonts w:hint="eastAsia" w:asciiTheme="minorEastAsia" w:hAnsiTheme="minorEastAsia" w:eastAsiaTheme="minorEastAsia"/>
        </w:rPr>
        <w:t>、法律法规规定或中国证监会认定的其他情形。</w:t>
      </w:r>
    </w:p>
    <w:p w14:paraId="4EAE443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发生上述情形（第</w:t>
      </w:r>
      <w:r>
        <w:rPr>
          <w:rFonts w:asciiTheme="minorEastAsia" w:hAnsiTheme="minorEastAsia" w:eastAsiaTheme="minorEastAsia"/>
        </w:rPr>
        <w:t>4</w:t>
      </w:r>
      <w:r>
        <w:rPr>
          <w:rFonts w:hint="eastAsia" w:asciiTheme="minorEastAsia" w:hAnsiTheme="minorEastAsia" w:eastAsiaTheme="minorEastAsia"/>
        </w:rPr>
        <w:t>项除外）之一且基金管理人决定暂停赎回或延缓支付赎回款项时，基金管理人应按规定报中国证监会备案，已确认的赎回申请，基金管理人应足额支付；如暂时不能足额支付，未支付部分可延期支付。若出现上述第</w:t>
      </w:r>
      <w:r>
        <w:rPr>
          <w:rFonts w:asciiTheme="minorEastAsia" w:hAnsiTheme="minorEastAsia" w:eastAsiaTheme="minorEastAsia"/>
        </w:rPr>
        <w:t>4</w:t>
      </w:r>
      <w:r>
        <w:rPr>
          <w:rFonts w:hint="eastAsia" w:asciiTheme="minorEastAsia" w:hAnsiTheme="minorEastAsia" w:eastAsiaTheme="minorEastAsia"/>
        </w:rPr>
        <w:t>项所述情形，按基金合同的相关条款处理。基金份额持有人在申请赎回时可事先选择将当日可能未获受理部分予以撤销。在暂停赎回的情况消除时，基金管理人应及时恢复赎回业务的办理并公告。</w:t>
      </w:r>
    </w:p>
    <w:p w14:paraId="1B88F5F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九、巨额赎回的情形及处理方式</w:t>
      </w:r>
    </w:p>
    <w:p w14:paraId="344F30F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、巨额赎回的认定</w:t>
      </w:r>
    </w:p>
    <w:p w14:paraId="0BBA54A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若本基金单个开放日内的基金份额净赎回申请</w:t>
      </w:r>
      <w:r>
        <w:rPr>
          <w:rFonts w:asciiTheme="minorEastAsia" w:hAnsiTheme="minorEastAsia" w:eastAsiaTheme="minorEastAsia"/>
        </w:rPr>
        <w:t>(</w:t>
      </w:r>
      <w:r>
        <w:rPr>
          <w:rFonts w:hint="eastAsia" w:asciiTheme="minorEastAsia" w:hAnsiTheme="minorEastAsia" w:eastAsiaTheme="minorEastAsia"/>
        </w:rPr>
        <w:t>赎回申请份额总数加上基金转换中转出申请份额总数后扣除申购申请份额总数及基金转换中转入申请份额总数后的余额</w:t>
      </w:r>
      <w:r>
        <w:rPr>
          <w:rFonts w:asciiTheme="minorEastAsia" w:hAnsiTheme="minorEastAsia" w:eastAsiaTheme="minorEastAsia"/>
        </w:rPr>
        <w:t>)</w:t>
      </w:r>
      <w:r>
        <w:rPr>
          <w:rFonts w:hint="eastAsia" w:asciiTheme="minorEastAsia" w:hAnsiTheme="minorEastAsia" w:eastAsiaTheme="minorEastAsia"/>
        </w:rPr>
        <w:t>超过前一工作日的基金总份额的</w:t>
      </w:r>
      <w:r>
        <w:rPr>
          <w:rFonts w:asciiTheme="minorEastAsia" w:hAnsiTheme="minorEastAsia" w:eastAsiaTheme="minorEastAsia"/>
        </w:rPr>
        <w:t>10%</w:t>
      </w:r>
      <w:r>
        <w:rPr>
          <w:rFonts w:hint="eastAsia" w:asciiTheme="minorEastAsia" w:hAnsiTheme="minorEastAsia" w:eastAsiaTheme="minorEastAsia"/>
        </w:rPr>
        <w:t>，即认为是发生了巨额赎回。</w:t>
      </w:r>
    </w:p>
    <w:p w14:paraId="2EBBE32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、巨额赎回的处理方式</w:t>
      </w:r>
    </w:p>
    <w:p w14:paraId="7BC4546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当基金出现巨额赎回时，基金管理人可以根据基金当时的资产组合状况决定全额赎回或部分延期赎回或</w:t>
      </w:r>
      <w:r>
        <w:rPr>
          <w:rFonts w:asciiTheme="minorEastAsia" w:hAnsiTheme="minorEastAsia" w:eastAsiaTheme="minorEastAsia"/>
        </w:rPr>
        <w:t>暂停赎回</w:t>
      </w:r>
      <w:r>
        <w:rPr>
          <w:rFonts w:hint="eastAsia" w:asciiTheme="minorEastAsia" w:hAnsiTheme="minorEastAsia" w:eastAsiaTheme="minorEastAsia"/>
        </w:rPr>
        <w:t>。</w:t>
      </w:r>
    </w:p>
    <w:p w14:paraId="246039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）全额赎回：当基金管理人认为有能力支付投资人的全部赎回申请时，按正常赎回程序执行。</w:t>
      </w:r>
      <w:r>
        <w:rPr>
          <w:rFonts w:asciiTheme="minorEastAsia" w:hAnsiTheme="minorEastAsia" w:eastAsiaTheme="minorEastAsia"/>
        </w:rPr>
        <w:t xml:space="preserve"> </w:t>
      </w:r>
    </w:p>
    <w:p w14:paraId="2CAF571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w:t>
      </w:r>
      <w:r>
        <w:rPr>
          <w:rFonts w:asciiTheme="minorEastAsia" w:hAnsiTheme="minorEastAsia" w:eastAsiaTheme="minorEastAsia"/>
        </w:rPr>
        <w:t>10%</w:t>
      </w:r>
      <w:r>
        <w:rPr>
          <w:rFonts w:hint="eastAsia" w:asciiTheme="minorEastAsia" w:hAnsiTheme="minorEastAsia" w:eastAsiaTheme="minorEastAsia"/>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14:paraId="21C52E3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w:t>
      </w:r>
      <w:r>
        <w:rPr>
          <w:rFonts w:hint="eastAsia" w:asciiTheme="minorEastAsia" w:hAnsiTheme="minorEastAsia" w:eastAsiaTheme="minorEastAsia"/>
          <w:bCs/>
        </w:rPr>
        <w:t>本基金发生巨额赎回时，对于单个基金份额持有人当日赎回申请超过上一工作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029EEAF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（4）暂停赎回：连续</w:t>
      </w:r>
      <w:r>
        <w:rPr>
          <w:rFonts w:asciiTheme="minorEastAsia" w:hAnsiTheme="minorEastAsia" w:eastAsiaTheme="minorEastAsia"/>
        </w:rPr>
        <w:t>2</w:t>
      </w:r>
      <w:r>
        <w:rPr>
          <w:rFonts w:hint="eastAsia" w:asciiTheme="minorEastAsia" w:hAnsiTheme="minorEastAsia" w:eastAsiaTheme="minorEastAsia"/>
        </w:rPr>
        <w:t>个开放日以上</w:t>
      </w:r>
      <w:r>
        <w:rPr>
          <w:rFonts w:asciiTheme="minorEastAsia" w:hAnsiTheme="minorEastAsia" w:eastAsiaTheme="minorEastAsia"/>
        </w:rPr>
        <w:t>(</w:t>
      </w:r>
      <w:r>
        <w:rPr>
          <w:rFonts w:hint="eastAsia" w:asciiTheme="minorEastAsia" w:hAnsiTheme="minorEastAsia" w:eastAsiaTheme="minorEastAsia"/>
        </w:rPr>
        <w:t>含本数</w:t>
      </w:r>
      <w:r>
        <w:rPr>
          <w:rFonts w:asciiTheme="minorEastAsia" w:hAnsiTheme="minorEastAsia" w:eastAsiaTheme="minorEastAsia"/>
        </w:rPr>
        <w:t>)</w:t>
      </w:r>
      <w:r>
        <w:rPr>
          <w:rFonts w:hint="eastAsia" w:asciiTheme="minorEastAsia" w:hAnsiTheme="minorEastAsia" w:eastAsiaTheme="minorEastAsia"/>
        </w:rPr>
        <w:t>发生巨额赎回，如基金管理人认为有必要，可暂停接受基金的赎回申请；已经接受的赎回申请可以延缓支付赎回款项，但不得超过</w:t>
      </w:r>
      <w:r>
        <w:rPr>
          <w:rFonts w:asciiTheme="minorEastAsia" w:hAnsiTheme="minorEastAsia" w:eastAsiaTheme="minorEastAsia"/>
        </w:rPr>
        <w:t>20</w:t>
      </w:r>
      <w:r>
        <w:rPr>
          <w:rFonts w:hint="eastAsia" w:asciiTheme="minorEastAsia" w:hAnsiTheme="minorEastAsia" w:eastAsiaTheme="minorEastAsia"/>
        </w:rPr>
        <w:t>个工作日，并应当在规定媒介上进行公告。</w:t>
      </w:r>
    </w:p>
    <w:p w14:paraId="2260C30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、巨额赎回的公告</w:t>
      </w:r>
    </w:p>
    <w:p w14:paraId="7C1526A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当发生上述巨额赎回并延期办理时，基金管理人应当通过邮寄、传真或者招募说明书规定的其他方式在</w:t>
      </w:r>
      <w:r>
        <w:rPr>
          <w:rFonts w:asciiTheme="minorEastAsia" w:hAnsiTheme="minorEastAsia" w:eastAsiaTheme="minorEastAsia"/>
        </w:rPr>
        <w:t>3</w:t>
      </w:r>
      <w:r>
        <w:rPr>
          <w:rFonts w:hint="eastAsia" w:asciiTheme="minorEastAsia" w:hAnsiTheme="minorEastAsia" w:eastAsiaTheme="minorEastAsia"/>
        </w:rPr>
        <w:t>个交易日内通知基金份额持有人，说明有关处理方法，并在2日内在规定媒介上刊登公告。</w:t>
      </w:r>
    </w:p>
    <w:p w14:paraId="677F728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十、暂停申购或赎回的公告和重新开放申购或赎回的公告</w:t>
      </w:r>
    </w:p>
    <w:p w14:paraId="04F0126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、发生上述暂停申购或赎回情况的，基金管理人应在规定期限内在规定媒介上刊登暂停公告。</w:t>
      </w:r>
    </w:p>
    <w:p w14:paraId="6FBFABC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291F925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3、上述暂停申购或赎回情况消除的，基金管理人应于重新开放日公布最近</w:t>
      </w:r>
      <w:r>
        <w:rPr>
          <w:rFonts w:asciiTheme="minorEastAsia" w:hAnsiTheme="minorEastAsia" w:eastAsiaTheme="minorEastAsia"/>
        </w:rPr>
        <w:t>1</w:t>
      </w:r>
      <w:r>
        <w:rPr>
          <w:rFonts w:hint="eastAsia" w:asciiTheme="minorEastAsia" w:hAnsiTheme="minorEastAsia" w:eastAsiaTheme="minorEastAsia"/>
        </w:rPr>
        <w:t>个工作日各类基金份额净值。</w:t>
      </w:r>
    </w:p>
    <w:p w14:paraId="6D384C0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十一、基金转换</w:t>
      </w:r>
    </w:p>
    <w:p w14:paraId="1646961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67B05630">
      <w:pPr>
        <w:adjustRightInd w:val="0"/>
        <w:snapToGrid w:val="0"/>
        <w:spacing w:line="360" w:lineRule="auto"/>
        <w:ind w:firstLine="420" w:firstLineChars="200"/>
        <w:rPr>
          <w:rFonts w:asciiTheme="minorEastAsia" w:hAnsiTheme="minorEastAsia" w:eastAsiaTheme="minorEastAsia"/>
        </w:rPr>
      </w:pPr>
      <w:bookmarkStart w:id="121" w:name="_Toc57100846"/>
      <w:bookmarkStart w:id="122" w:name="_Toc119493934"/>
      <w:bookmarkStart w:id="123" w:name="_Toc119493257"/>
      <w:bookmarkStart w:id="124" w:name="_Toc139351272"/>
      <w:bookmarkStart w:id="125" w:name="_Toc193527473"/>
      <w:bookmarkStart w:id="126" w:name="_Toc93045566"/>
      <w:bookmarkStart w:id="127" w:name="_Toc92871516"/>
      <w:bookmarkStart w:id="128" w:name="_Toc119493448"/>
      <w:bookmarkStart w:id="129" w:name="_Toc139351145"/>
      <w:r>
        <w:rPr>
          <w:rFonts w:hint="eastAsia" w:asciiTheme="minorEastAsia" w:hAnsiTheme="minorEastAsia" w:eastAsiaTheme="minorEastAsia"/>
        </w:rPr>
        <w:t>十二、基金的非交易过户</w:t>
      </w:r>
      <w:bookmarkEnd w:id="121"/>
      <w:bookmarkEnd w:id="122"/>
      <w:bookmarkEnd w:id="123"/>
      <w:bookmarkEnd w:id="124"/>
      <w:bookmarkEnd w:id="125"/>
      <w:bookmarkEnd w:id="126"/>
      <w:bookmarkEnd w:id="127"/>
      <w:bookmarkEnd w:id="128"/>
      <w:bookmarkEnd w:id="129"/>
    </w:p>
    <w:p w14:paraId="26FC5DA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4980E31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0E0687C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十三、基金的转托管</w:t>
      </w:r>
    </w:p>
    <w:p w14:paraId="674513C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基金份额持有人可办理已持有基金份额在不同销售机构之间的转托管，基金销售机构可以按照规定的标准收取转托管费。</w:t>
      </w:r>
    </w:p>
    <w:p w14:paraId="0A6E352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十四、定期定额投资计划</w:t>
      </w:r>
    </w:p>
    <w:p w14:paraId="07A79A1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107910C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十五、基金份额的冻结、解冻与质押</w:t>
      </w:r>
    </w:p>
    <w:p w14:paraId="4043145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基金登记机构只受理国家有权机关依法要求的基金份额的冻结与解冻，以及登记机构认可、符合法律法规的其他情况下的冻结与解冻。</w:t>
      </w:r>
    </w:p>
    <w:p w14:paraId="7CC06D2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基金份额被冻结的，被冻结部分产生的权益一并冻结，被冻结部分份额仍然参与收益分配与支付。法律法规另有规定的除外。</w:t>
      </w:r>
    </w:p>
    <w:p w14:paraId="4E0AA103">
      <w:pPr>
        <w:adjustRightInd w:val="0"/>
        <w:snapToGrid w:val="0"/>
        <w:spacing w:line="360" w:lineRule="auto"/>
        <w:ind w:firstLine="420" w:firstLineChars="200"/>
        <w:rPr>
          <w:rFonts w:asciiTheme="minorEastAsia" w:hAnsiTheme="minorEastAsia" w:eastAsiaTheme="minorEastAsia"/>
        </w:rPr>
      </w:pPr>
      <w:bookmarkStart w:id="130" w:name="_Toc123051453"/>
      <w:bookmarkStart w:id="131" w:name="_Toc98560353"/>
      <w:bookmarkStart w:id="132" w:name="_Toc12245"/>
      <w:bookmarkStart w:id="133" w:name="_Toc139991737"/>
      <w:bookmarkStart w:id="134" w:name="_Toc31235"/>
      <w:bookmarkStart w:id="135" w:name="_Toc31653"/>
      <w:bookmarkStart w:id="136" w:name="_Toc123102454"/>
      <w:bookmarkStart w:id="137" w:name="_Toc14835"/>
      <w:bookmarkStart w:id="138" w:name="_Toc6405"/>
      <w:bookmarkStart w:id="139" w:name="_Toc123112235"/>
      <w:bookmarkStart w:id="140" w:name="_Toc15143"/>
      <w:bookmarkStart w:id="141" w:name="_Toc29251"/>
      <w:bookmarkStart w:id="142" w:name="_Toc26207"/>
      <w:bookmarkStart w:id="143" w:name="_Toc3601"/>
      <w:bookmarkStart w:id="144" w:name="_Toc16859"/>
      <w:bookmarkStart w:id="145" w:name="_Toc31644"/>
      <w:bookmarkStart w:id="146" w:name="_Toc141703887"/>
      <w:r>
        <w:rPr>
          <w:rFonts w:hint="eastAsia" w:asciiTheme="minorEastAsia" w:hAnsiTheme="minorEastAsia" w:eastAsiaTheme="minorEastAsia"/>
        </w:rPr>
        <w:t>如相关法律法规允许基金管理人办理基金份额的质押业务或其他基金业务，基金管理人将制定和实施相应的业务规则。</w:t>
      </w:r>
    </w:p>
    <w:p w14:paraId="00FF815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十六、基金份额的转让</w:t>
      </w:r>
    </w:p>
    <w:p w14:paraId="139A00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在法律法规允许且条件具备的情况下，</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如对</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存量基金份额持有人利益</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无实质性</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不利影响</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，基金管理人经履行相关程序后</w:t>
      </w:r>
      <w:r>
        <w:rPr>
          <w:rFonts w:hint="eastAsia" w:asciiTheme="minorEastAsia" w:hAnsiTheme="minorEastAsia" w:eastAsiaTheme="minorEastAsia"/>
        </w:rPr>
        <w:t>可受理基金份额持有人通过中国证监会认可的交易场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5128ED7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十七、实施侧袋机制期间本基金的申购与赎回</w:t>
      </w:r>
    </w:p>
    <w:p w14:paraId="50EB31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本基金实施侧袋机制的，本基金的申购和赎回安排详见招募说明书或相关公告。</w:t>
      </w:r>
    </w:p>
    <w:p w14:paraId="5FAC4B2E">
      <w:pPr>
        <w:adjustRightInd w:val="0"/>
        <w:snapToGrid w:val="0"/>
        <w:spacing w:line="360" w:lineRule="auto"/>
        <w:rPr>
          <w:rFonts w:cs="Arial" w:asciiTheme="minorEastAsia" w:hAnsiTheme="minorEastAsia" w:eastAsiaTheme="minorEastAsia"/>
          <w:szCs w:val="21"/>
        </w:rPr>
      </w:pPr>
    </w:p>
    <w:p w14:paraId="33866D88">
      <w:pPr>
        <w:pStyle w:val="3"/>
        <w:adjustRightInd w:val="0"/>
        <w:snapToGrid w:val="0"/>
        <w:spacing w:before="0" w:after="0" w:line="360" w:lineRule="auto"/>
        <w:rPr>
          <w:rFonts w:cs="Arial" w:asciiTheme="minorEastAsia" w:hAnsiTheme="minorEastAsia" w:eastAsiaTheme="minorEastAsia"/>
          <w:sz w:val="21"/>
          <w:szCs w:val="21"/>
        </w:rPr>
        <w:sectPr>
          <w:footerReference r:id="rId9" w:type="default"/>
          <w:pgSz w:w="11906" w:h="16838"/>
          <w:pgMar w:top="1418" w:right="1701" w:bottom="1418" w:left="1701" w:header="851" w:footer="992" w:gutter="0"/>
          <w:pgNumType w:start="1"/>
          <w:cols w:space="425" w:num="1"/>
          <w:docGrid w:type="lines" w:linePitch="312" w:charSpace="0"/>
        </w:sectPr>
      </w:pPr>
      <w:bookmarkStart w:id="147" w:name="_Toc90742324"/>
      <w:bookmarkStart w:id="148" w:name="_Toc90742393"/>
    </w:p>
    <w:bookmarkEnd w:id="117"/>
    <w:p w14:paraId="24CD9B99">
      <w:pPr>
        <w:pStyle w:val="3"/>
        <w:adjustRightInd w:val="0"/>
        <w:snapToGrid w:val="0"/>
        <w:spacing w:before="312" w:beforeLines="100" w:after="0" w:line="360" w:lineRule="auto"/>
        <w:rPr>
          <w:rFonts w:asciiTheme="minorEastAsia" w:hAnsiTheme="minorEastAsia" w:eastAsiaTheme="minorEastAsia"/>
          <w:sz w:val="21"/>
        </w:rPr>
      </w:pPr>
      <w:bookmarkStart w:id="149" w:name="_Toc16237232"/>
      <w:bookmarkStart w:id="150" w:name="CLAUSE_7cdc7120d12a4dc0843443524e67c235"/>
      <w:r>
        <w:rPr>
          <w:rFonts w:hint="eastAsia" w:cs="Arial" w:asciiTheme="minorEastAsia" w:hAnsiTheme="minorEastAsia" w:eastAsiaTheme="minorEastAsia"/>
          <w:sz w:val="21"/>
          <w:szCs w:val="21"/>
        </w:rPr>
        <w:t xml:space="preserve">第七部分 </w:t>
      </w:r>
      <w:bookmarkStart w:id="151" w:name="CTS_7cdc7120d12a4dc0843443524e67c235"/>
      <w:bookmarkEnd w:id="151"/>
      <w:r>
        <w:rPr>
          <w:rFonts w:hint="eastAsia" w:asciiTheme="minorEastAsia" w:hAnsiTheme="minorEastAsia" w:eastAsiaTheme="minorEastAsia"/>
          <w:sz w:val="21"/>
        </w:rPr>
        <w:t>基金合同当事人及权利义务</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Start w:id="152" w:name="_Hlt55355235"/>
      <w:bookmarkEnd w:id="152"/>
      <w:bookmarkStart w:id="153" w:name="_Toc523711668"/>
      <w:bookmarkStart w:id="154" w:name="_Toc15118234"/>
      <w:bookmarkStart w:id="155" w:name="_Toc79392580"/>
      <w:bookmarkStart w:id="156" w:name="_Toc57530239"/>
    </w:p>
    <w:p w14:paraId="2EE26D08">
      <w:pPr>
        <w:spacing w:line="360" w:lineRule="auto"/>
        <w:ind w:firstLine="480" w:firstLineChars="200"/>
        <w:rPr>
          <w:rFonts w:asciiTheme="minorEastAsia" w:hAnsiTheme="minorEastAsia" w:eastAsiaTheme="minorEastAsia"/>
          <w:bCs/>
          <w:sz w:val="24"/>
        </w:rPr>
      </w:pPr>
    </w:p>
    <w:p w14:paraId="70CBD01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w:t>
      </w:r>
      <w:bookmarkEnd w:id="153"/>
      <w:r>
        <w:rPr>
          <w:rFonts w:hint="eastAsia" w:asciiTheme="minorEastAsia" w:hAnsiTheme="minorEastAsia" w:eastAsiaTheme="minorEastAsia"/>
        </w:rPr>
        <w:t>管理人</w:t>
      </w:r>
      <w:bookmarkEnd w:id="154"/>
      <w:bookmarkEnd w:id="155"/>
      <w:bookmarkEnd w:id="156"/>
    </w:p>
    <w:p w14:paraId="71DB96EF">
      <w:pPr>
        <w:adjustRightInd w:val="0"/>
        <w:snapToGrid w:val="0"/>
        <w:spacing w:line="360" w:lineRule="auto"/>
        <w:ind w:firstLine="420" w:firstLineChars="200"/>
        <w:rPr>
          <w:rFonts w:asciiTheme="minorEastAsia" w:hAnsiTheme="minorEastAsia" w:eastAsiaTheme="minorEastAsia"/>
        </w:rPr>
      </w:pPr>
      <w:bookmarkStart w:id="157" w:name="_Toc15118235"/>
      <w:r>
        <w:rPr>
          <w:rFonts w:hint="eastAsia" w:asciiTheme="minorEastAsia" w:hAnsiTheme="minorEastAsia" w:eastAsiaTheme="minorEastAsia"/>
        </w:rPr>
        <w:t>（一）</w:t>
      </w:r>
      <w:r>
        <w:rPr>
          <w:rFonts w:asciiTheme="minorEastAsia" w:hAnsiTheme="minorEastAsia" w:eastAsiaTheme="minorEastAsia"/>
        </w:rPr>
        <w:tab/>
      </w:r>
      <w:r>
        <w:rPr>
          <w:rFonts w:hint="eastAsia" w:asciiTheme="minorEastAsia" w:hAnsiTheme="minorEastAsia" w:eastAsiaTheme="minorEastAsia"/>
        </w:rPr>
        <w:t>基金管理人简况</w:t>
      </w:r>
      <w:bookmarkEnd w:id="157"/>
    </w:p>
    <w:p w14:paraId="53462FDF">
      <w:pPr>
        <w:adjustRightInd w:val="0"/>
        <w:snapToGrid w:val="0"/>
        <w:spacing w:line="360" w:lineRule="auto"/>
        <w:ind w:firstLine="420" w:firstLineChars="200"/>
        <w:rPr>
          <w:rFonts w:asciiTheme="minorEastAsia" w:hAnsiTheme="minorEastAsia" w:eastAsiaTheme="minorEastAsia"/>
        </w:rPr>
      </w:pPr>
      <w:bookmarkStart w:id="158" w:name="_Toc15118236"/>
      <w:bookmarkStart w:id="159" w:name="_Toc15118237"/>
      <w:r>
        <w:rPr>
          <w:rFonts w:hint="eastAsia" w:asciiTheme="minorEastAsia" w:hAnsiTheme="minorEastAsia" w:eastAsiaTheme="minorEastAsia"/>
        </w:rPr>
        <w:t>名称：博时基金管理有限公司</w:t>
      </w:r>
    </w:p>
    <w:p w14:paraId="42C0283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住所：深圳市福田区莲花街道福新社区益田路5999号基金大厦21层</w:t>
      </w:r>
    </w:p>
    <w:p w14:paraId="07C44E7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法定代表人：张东</w:t>
      </w:r>
    </w:p>
    <w:p w14:paraId="741AE56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设立日期：</w:t>
      </w:r>
      <w:r>
        <w:rPr>
          <w:rFonts w:asciiTheme="minorEastAsia" w:hAnsiTheme="minorEastAsia" w:eastAsiaTheme="minorEastAsia"/>
        </w:rPr>
        <w:t xml:space="preserve"> 1998年7月13日</w:t>
      </w:r>
    </w:p>
    <w:p w14:paraId="0783C25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批准设立机关及批准设立文号：中国证监会证监基字【</w:t>
      </w:r>
      <w:r>
        <w:rPr>
          <w:rFonts w:asciiTheme="minorEastAsia" w:hAnsiTheme="minorEastAsia" w:eastAsiaTheme="minorEastAsia"/>
        </w:rPr>
        <w:t>1998】26号</w:t>
      </w:r>
    </w:p>
    <w:p w14:paraId="569E7E1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组织形式：有限责任公司</w:t>
      </w:r>
    </w:p>
    <w:p w14:paraId="7874080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注册资本：</w:t>
      </w:r>
      <w:r>
        <w:rPr>
          <w:rFonts w:asciiTheme="minorEastAsia" w:hAnsiTheme="minorEastAsia" w:eastAsiaTheme="minorEastAsia"/>
        </w:rPr>
        <w:t xml:space="preserve"> 2.5亿元人民币</w:t>
      </w:r>
    </w:p>
    <w:p w14:paraId="36B4237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存续期限：</w:t>
      </w:r>
      <w:r>
        <w:rPr>
          <w:rFonts w:asciiTheme="minorEastAsia" w:hAnsiTheme="minorEastAsia" w:eastAsiaTheme="minorEastAsia"/>
        </w:rPr>
        <w:t xml:space="preserve"> </w:t>
      </w:r>
      <w:r>
        <w:rPr>
          <w:rFonts w:hint="eastAsia" w:asciiTheme="minorEastAsia" w:hAnsiTheme="minorEastAsia" w:eastAsiaTheme="minorEastAsia"/>
        </w:rPr>
        <w:t>持续经营</w:t>
      </w:r>
    </w:p>
    <w:p w14:paraId="451D255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联系电话：</w:t>
      </w:r>
      <w:r>
        <w:rPr>
          <w:rFonts w:asciiTheme="minorEastAsia" w:hAnsiTheme="minorEastAsia" w:eastAsiaTheme="minorEastAsia"/>
        </w:rPr>
        <w:t>0755-83169999</w:t>
      </w:r>
    </w:p>
    <w:bookmarkEnd w:id="158"/>
    <w:p w14:paraId="2600B23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w:t>
      </w:r>
      <w:r>
        <w:rPr>
          <w:rFonts w:asciiTheme="minorEastAsia" w:hAnsiTheme="minorEastAsia" w:eastAsiaTheme="minorEastAsia"/>
        </w:rPr>
        <w:tab/>
      </w:r>
      <w:r>
        <w:rPr>
          <w:rFonts w:hint="eastAsia" w:asciiTheme="minorEastAsia" w:hAnsiTheme="minorEastAsia" w:eastAsiaTheme="minorEastAsia"/>
        </w:rPr>
        <w:t>基金管理人的权利与义务</w:t>
      </w:r>
      <w:bookmarkEnd w:id="159"/>
    </w:p>
    <w:p w14:paraId="7C0060C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、根据《基金法》、《运作办法》及其他有关规定，基金管理人的权利包括但不限于：</w:t>
      </w:r>
    </w:p>
    <w:p w14:paraId="2A96E36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）依法募集资金；</w:t>
      </w:r>
    </w:p>
    <w:p w14:paraId="328B97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）自《基金合同》生效之日起，根据法律法规和《基金合同》独立运用并管理基金财产；</w:t>
      </w:r>
    </w:p>
    <w:p w14:paraId="463EB25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）依照《基金合同》收取基金管理费以及法律法规规定或中国证监会批准的其他费用；</w:t>
      </w:r>
    </w:p>
    <w:p w14:paraId="509955D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）销售基金份额；</w:t>
      </w:r>
    </w:p>
    <w:p w14:paraId="25926E8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w:t>
      </w:r>
      <w:bookmarkStart w:id="160" w:name="_Hlt88896155"/>
      <w:r>
        <w:rPr>
          <w:rFonts w:hint="eastAsia" w:asciiTheme="minorEastAsia" w:hAnsiTheme="minorEastAsia" w:eastAsiaTheme="minorEastAsia"/>
        </w:rPr>
        <w:t>按照规定召集</w:t>
      </w:r>
      <w:bookmarkEnd w:id="160"/>
      <w:r>
        <w:rPr>
          <w:rFonts w:hint="eastAsia" w:asciiTheme="minorEastAsia" w:hAnsiTheme="minorEastAsia" w:eastAsiaTheme="minorEastAsia"/>
        </w:rPr>
        <w:t>基金份额持有人大会；</w:t>
      </w:r>
    </w:p>
    <w:p w14:paraId="310D3A8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）依据《基金合同》及有关法律规定监督基金托管人，如认为基金托管人违反了《基金合同》及国家有关法律规定，应呈报中国证监会和其他监管部门，并采取必要措施保护基金投资者的利益；</w:t>
      </w:r>
    </w:p>
    <w:p w14:paraId="021AE9C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）在基金托管人更换时，提名新的基金托管人；</w:t>
      </w:r>
    </w:p>
    <w:p w14:paraId="7244CF4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）选择、更换基金销售机构，对基金销售机构的相关行为进行监督和处理；</w:t>
      </w:r>
      <w:r>
        <w:rPr>
          <w:rFonts w:asciiTheme="minorEastAsia" w:hAnsiTheme="minorEastAsia" w:eastAsiaTheme="minorEastAsia"/>
        </w:rPr>
        <w:t xml:space="preserve"> </w:t>
      </w:r>
    </w:p>
    <w:p w14:paraId="0CC7EE0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）担任或委托其他符合条件的机构担任基金登记机构办理基金登记业务并获得《基金合同》规定的费用；</w:t>
      </w:r>
      <w:r>
        <w:rPr>
          <w:rFonts w:asciiTheme="minorEastAsia" w:hAnsiTheme="minorEastAsia" w:eastAsiaTheme="minorEastAsia"/>
        </w:rPr>
        <w:t xml:space="preserve"> </w:t>
      </w:r>
    </w:p>
    <w:p w14:paraId="09AF8BD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10</w:t>
      </w:r>
      <w:r>
        <w:rPr>
          <w:rFonts w:hint="eastAsia" w:asciiTheme="minorEastAsia" w:hAnsiTheme="minorEastAsia" w:eastAsiaTheme="minorEastAsia"/>
        </w:rPr>
        <w:t>）依据《基金合同》及有关法律规定决定基金收益的分配方案；</w:t>
      </w:r>
      <w:r>
        <w:rPr>
          <w:rFonts w:asciiTheme="minorEastAsia" w:hAnsiTheme="minorEastAsia" w:eastAsiaTheme="minorEastAsia"/>
        </w:rPr>
        <w:tab/>
      </w:r>
    </w:p>
    <w:p w14:paraId="459CCC7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11</w:t>
      </w:r>
      <w:r>
        <w:rPr>
          <w:rFonts w:hint="eastAsia" w:asciiTheme="minorEastAsia" w:hAnsiTheme="minorEastAsia" w:eastAsiaTheme="minorEastAsia"/>
        </w:rPr>
        <w:t>）在《基金合同》约定的范围内，拒绝或暂停受理申购、赎回或转换申请；</w:t>
      </w:r>
      <w:r>
        <w:rPr>
          <w:rFonts w:asciiTheme="minorEastAsia" w:hAnsiTheme="minorEastAsia" w:eastAsiaTheme="minorEastAsia"/>
        </w:rPr>
        <w:t xml:space="preserve"> </w:t>
      </w:r>
    </w:p>
    <w:p w14:paraId="24819F7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12</w:t>
      </w:r>
      <w:r>
        <w:rPr>
          <w:rFonts w:hint="eastAsia" w:asciiTheme="minorEastAsia" w:hAnsiTheme="minorEastAsia" w:eastAsiaTheme="minorEastAsia"/>
        </w:rPr>
        <w:t>）依照法律法规为基金的利益对被投资公司行使股东权利，为基金的利益行使因基金财产投资于证券所产生的权利；</w:t>
      </w:r>
    </w:p>
    <w:p w14:paraId="559EF84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（13）在法律法规允许的前提下，为基金的利益依法为基金进行融资或参与转融通证券出借业务；</w:t>
      </w:r>
    </w:p>
    <w:p w14:paraId="4583F76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4</w:t>
      </w:r>
      <w:r>
        <w:rPr>
          <w:rFonts w:asciiTheme="minorEastAsia" w:hAnsiTheme="minorEastAsia" w:eastAsiaTheme="minorEastAsia"/>
        </w:rPr>
        <w:t>）以基金管理人的名义，代表基金份额持有人的利益行使诉讼权利或者实施其他法律行为；</w:t>
      </w:r>
      <w:r>
        <w:rPr>
          <w:rFonts w:asciiTheme="minorEastAsia" w:hAnsiTheme="minorEastAsia" w:eastAsiaTheme="minorEastAsia"/>
        </w:rPr>
        <w:tab/>
      </w:r>
    </w:p>
    <w:p w14:paraId="74D2D48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5</w:t>
      </w:r>
      <w:r>
        <w:rPr>
          <w:rFonts w:asciiTheme="minorEastAsia" w:hAnsiTheme="minorEastAsia" w:eastAsiaTheme="minorEastAsia"/>
        </w:rPr>
        <w:t>）选择、更换律师事务所、会计师事务所、证券、期货经纪商或其他为基金提供服务的外部机构；</w:t>
      </w:r>
      <w:r>
        <w:rPr>
          <w:rFonts w:asciiTheme="minorEastAsia" w:hAnsiTheme="minorEastAsia" w:eastAsiaTheme="minorEastAsia"/>
        </w:rPr>
        <w:tab/>
      </w:r>
    </w:p>
    <w:p w14:paraId="3CD4732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6</w:t>
      </w:r>
      <w:r>
        <w:rPr>
          <w:rFonts w:asciiTheme="minorEastAsia" w:hAnsiTheme="minorEastAsia" w:eastAsiaTheme="minorEastAsia"/>
        </w:rPr>
        <w:t>）在符合有关法律、法规的前提下，制订和调整有关基金</w:t>
      </w:r>
      <w:r>
        <w:rPr>
          <w:rFonts w:hint="eastAsia" w:asciiTheme="minorEastAsia" w:hAnsiTheme="minorEastAsia" w:eastAsiaTheme="minorEastAsia"/>
        </w:rPr>
        <w:t>认购、申购、赎回、转换、定期定额投资和非交易过户等业务规则；</w:t>
      </w:r>
    </w:p>
    <w:p w14:paraId="7E11EDA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（17）代表基金份额持有人的利益行使因基金财产投资于目标ETF所产生的权利，基金合同另有约定的除外；</w:t>
      </w:r>
    </w:p>
    <w:p w14:paraId="7F3E90A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18）法律法规及中国证监会规定的和《基金合同》约定的其他权利。</w:t>
      </w:r>
    </w:p>
    <w:p w14:paraId="77EBC18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、根据《基金法》、《运作办法》及其他有关规定，基金管理人的义务包括但不限于：</w:t>
      </w:r>
    </w:p>
    <w:p w14:paraId="4EFC39FA">
      <w:pPr>
        <w:adjustRightInd w:val="0"/>
        <w:snapToGrid w:val="0"/>
        <w:spacing w:line="360" w:lineRule="auto"/>
        <w:ind w:firstLine="420" w:firstLineChars="200"/>
        <w:rPr>
          <w:rFonts w:asciiTheme="minorEastAsia" w:hAnsiTheme="minorEastAsia" w:eastAsiaTheme="minorEastAsia"/>
        </w:rPr>
      </w:pPr>
      <w:bookmarkStart w:id="161" w:name="_Toc523711669"/>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）依法募集资金，办理或者委托经中国证监会认定的其他机构代为办理基金份额的发售、申购、赎回和登记事宜；</w:t>
      </w:r>
    </w:p>
    <w:p w14:paraId="7E3ED22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）办理基金备案手续；</w:t>
      </w:r>
    </w:p>
    <w:p w14:paraId="3D9797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）自《基金合同》生效之日起，以诚实信用、谨慎勤勉的原则管理和运用基金财产；</w:t>
      </w:r>
    </w:p>
    <w:p w14:paraId="5A14E2F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）配备足够的具有专业资格的人员进行基金投资分析、决策，以专业化的经营方式管理和运作基金财产；</w:t>
      </w:r>
    </w:p>
    <w:p w14:paraId="401D1BC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）建立健全内部风险控制、监察与稽核、财务管理及人事管理等制度，保证所管理的基金财产和基金管理人的财产相互独立，对所管理的不同基金分别管理，分别记账，进行证券投资；</w:t>
      </w:r>
    </w:p>
    <w:p w14:paraId="363101E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）除依据《基金法》、《基金合同》及其他有关规定外，不得利用基金财产为自己及任何第三人谋取利益，不得委托第三人运作基金财产；</w:t>
      </w:r>
      <w:bookmarkStart w:id="162" w:name="_Hlt88897298"/>
      <w:bookmarkEnd w:id="162"/>
    </w:p>
    <w:p w14:paraId="3571559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）依法接受基金托管人的监督；</w:t>
      </w:r>
    </w:p>
    <w:p w14:paraId="7D0271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）采取适当合理的措施使计算基金份额认购、申购、赎回和注销价格的方法符合《基金合同》等法律文件的规定，按有关规定计算并公告基金净值信息，确定基金份额申购、赎回的价格；</w:t>
      </w:r>
    </w:p>
    <w:p w14:paraId="2348D1F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）进行基金会计核算并编制基金财务会计报告；</w:t>
      </w:r>
    </w:p>
    <w:p w14:paraId="21E2BE5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10</w:t>
      </w:r>
      <w:r>
        <w:rPr>
          <w:rFonts w:hint="eastAsia" w:asciiTheme="minorEastAsia" w:hAnsiTheme="minorEastAsia" w:eastAsiaTheme="minorEastAsia"/>
        </w:rPr>
        <w:t>）编制季度报告、中期报告和年度报告；</w:t>
      </w:r>
    </w:p>
    <w:p w14:paraId="6E7F2C3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11</w:t>
      </w:r>
      <w:r>
        <w:rPr>
          <w:rFonts w:hint="eastAsia" w:asciiTheme="minorEastAsia" w:hAnsiTheme="minorEastAsia" w:eastAsiaTheme="minorEastAsia"/>
        </w:rPr>
        <w:t>）严格按照《基金法》、《基金合同》及其他有关规定，履行信息披露及报告义务；</w:t>
      </w:r>
    </w:p>
    <w:p w14:paraId="05D5238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12</w:t>
      </w:r>
      <w:r>
        <w:rPr>
          <w:rFonts w:hint="eastAsia" w:asciiTheme="minorEastAsia" w:hAnsiTheme="minorEastAsia" w:eastAsiaTheme="minorEastAsia"/>
        </w:rPr>
        <w:t>）保守基金商业秘密，不泄露基金投资计划、投资意向等。除《基金法》、《基金合同》及其他有关规定另有规定外，在基金信息公开披露前应予保密，不向他人泄露，向审计、法律等外部专业顾问提供的除外；</w:t>
      </w:r>
    </w:p>
    <w:p w14:paraId="698AE3C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13</w:t>
      </w:r>
      <w:r>
        <w:rPr>
          <w:rFonts w:hint="eastAsia" w:asciiTheme="minorEastAsia" w:hAnsiTheme="minorEastAsia" w:eastAsiaTheme="minorEastAsia"/>
        </w:rPr>
        <w:t>）按《基金合同》的约定确定基金收益分配方案，及时向基金份额持有人分配基金收益；</w:t>
      </w:r>
    </w:p>
    <w:p w14:paraId="0DD2181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14</w:t>
      </w:r>
      <w:r>
        <w:rPr>
          <w:rFonts w:hint="eastAsia" w:asciiTheme="minorEastAsia" w:hAnsiTheme="minorEastAsia" w:eastAsiaTheme="minorEastAsia"/>
        </w:rPr>
        <w:t>）按规定受理申购与赎回申请，及时、足额支付赎回款项；</w:t>
      </w:r>
    </w:p>
    <w:p w14:paraId="0ED68D5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15</w:t>
      </w:r>
      <w:r>
        <w:rPr>
          <w:rFonts w:hint="eastAsia" w:asciiTheme="minorEastAsia" w:hAnsiTheme="minorEastAsia" w:eastAsiaTheme="minorEastAsia"/>
        </w:rPr>
        <w:t>）依据《基金法》、《基金合同》及其他有关规定召集基金份额持有人大会或配合基金托管人、基金份额持有人依法召集基金份额持有人大会；</w:t>
      </w:r>
    </w:p>
    <w:p w14:paraId="5193306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16</w:t>
      </w:r>
      <w:r>
        <w:rPr>
          <w:rFonts w:hint="eastAsia" w:asciiTheme="minorEastAsia" w:hAnsiTheme="minorEastAsia" w:eastAsiaTheme="minorEastAsia"/>
        </w:rPr>
        <w:t>）按规定保存基金财产管理业务活动的会计账册、报表、记录和其他相关资料，保存期限不低于法律法规规定的最低期限</w:t>
      </w:r>
      <w:r>
        <w:rPr>
          <w:rFonts w:asciiTheme="minorEastAsia" w:hAnsiTheme="minorEastAsia" w:eastAsiaTheme="minorEastAsia"/>
        </w:rPr>
        <w:t>；</w:t>
      </w:r>
    </w:p>
    <w:p w14:paraId="2185079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17</w:t>
      </w:r>
      <w:r>
        <w:rPr>
          <w:rFonts w:hint="eastAsia" w:asciiTheme="minorEastAsia" w:hAnsiTheme="minorEastAsia" w:eastAsiaTheme="minorEastAsia"/>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BEEA39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18</w:t>
      </w:r>
      <w:r>
        <w:rPr>
          <w:rFonts w:hint="eastAsia" w:asciiTheme="minorEastAsia" w:hAnsiTheme="minorEastAsia" w:eastAsiaTheme="minorEastAsia"/>
        </w:rPr>
        <w:t>）组织并参加基金财产清算小组，参与基金财产的保管、清理、估价、变现和分配；</w:t>
      </w:r>
    </w:p>
    <w:p w14:paraId="64ABA79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19</w:t>
      </w:r>
      <w:r>
        <w:rPr>
          <w:rFonts w:hint="eastAsia" w:asciiTheme="minorEastAsia" w:hAnsiTheme="minorEastAsia" w:eastAsiaTheme="minorEastAsia"/>
        </w:rPr>
        <w:t>）面临解散、依法被撤销或者被依法宣告破产时，及时报告中国证监会并通知基金托管人；</w:t>
      </w:r>
    </w:p>
    <w:p w14:paraId="60DE04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20</w:t>
      </w:r>
      <w:r>
        <w:rPr>
          <w:rFonts w:hint="eastAsia" w:asciiTheme="minorEastAsia" w:hAnsiTheme="minorEastAsia" w:eastAsiaTheme="minorEastAsia"/>
        </w:rPr>
        <w:t>）因违反《基金合同》导致基金财产的损失或损害基金份额持有人合法权益时，应当承担赔偿责任，其赔偿责任不因其退任而免除；</w:t>
      </w:r>
    </w:p>
    <w:p w14:paraId="5307935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21</w:t>
      </w:r>
      <w:r>
        <w:rPr>
          <w:rFonts w:hint="eastAsia" w:asciiTheme="minorEastAsia" w:hAnsiTheme="minorEastAsia" w:eastAsiaTheme="minorEastAsia"/>
        </w:rPr>
        <w:t>）监督基金托管人按法律法规和《基金合同》规定履行自己的义务，基金托管人违反《基金合同》造成基金财产损失时，基金管理人应为基金份额持有人利益向基金托管人追偿；</w:t>
      </w:r>
    </w:p>
    <w:p w14:paraId="32AA4B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22</w:t>
      </w:r>
      <w:r>
        <w:rPr>
          <w:rFonts w:hint="eastAsia" w:asciiTheme="minorEastAsia" w:hAnsiTheme="minorEastAsia" w:eastAsiaTheme="minorEastAsia"/>
        </w:rPr>
        <w:t>）当基金管理人将其义务委托第三方处理时，应当对第三方处理有关基金事务的行为承担责任；</w:t>
      </w:r>
    </w:p>
    <w:p w14:paraId="6734DBE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23</w:t>
      </w:r>
      <w:r>
        <w:rPr>
          <w:rFonts w:hint="eastAsia" w:asciiTheme="minorEastAsia" w:hAnsiTheme="minorEastAsia" w:eastAsiaTheme="minorEastAsia"/>
        </w:rPr>
        <w:t>）以基金管理人名义，代表基金份额持有人利益行使诉讼权利或实施其他法律行为；</w:t>
      </w:r>
    </w:p>
    <w:p w14:paraId="46C924D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24）基金管理人在募集期间未能达到基金</w:t>
      </w:r>
      <w:bookmarkStart w:id="163" w:name="_Hlt88823209"/>
      <w:bookmarkEnd w:id="163"/>
      <w:r>
        <w:rPr>
          <w:rFonts w:hint="eastAsia" w:asciiTheme="minorEastAsia" w:hAnsiTheme="minorEastAsia" w:eastAsiaTheme="minorEastAsia"/>
        </w:rPr>
        <w:t>的备案条件，《基金合同》不能生效，基金管理人承担全部募集费用，将已募集资金并加计银行同期活期存款利息在基金募集期结束后</w:t>
      </w:r>
      <w:r>
        <w:rPr>
          <w:rFonts w:asciiTheme="minorEastAsia" w:hAnsiTheme="minorEastAsia" w:eastAsiaTheme="minorEastAsia"/>
        </w:rPr>
        <w:t>30日内退还基金认购人；</w:t>
      </w:r>
    </w:p>
    <w:p w14:paraId="6709F6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25</w:t>
      </w:r>
      <w:r>
        <w:rPr>
          <w:rFonts w:hint="eastAsia" w:asciiTheme="minorEastAsia" w:hAnsiTheme="minorEastAsia" w:eastAsiaTheme="minorEastAsia"/>
        </w:rPr>
        <w:t>）执行生效的基金份额持有人大会的决议；</w:t>
      </w:r>
    </w:p>
    <w:p w14:paraId="75D9E58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26</w:t>
      </w:r>
      <w:r>
        <w:rPr>
          <w:rFonts w:hint="eastAsia" w:asciiTheme="minorEastAsia" w:hAnsiTheme="minorEastAsia" w:eastAsiaTheme="minorEastAsia"/>
        </w:rPr>
        <w:t>）建立并保存基金份额持有人名册；</w:t>
      </w:r>
    </w:p>
    <w:p w14:paraId="2744F82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27</w:t>
      </w:r>
      <w:r>
        <w:rPr>
          <w:rFonts w:hint="eastAsia" w:asciiTheme="minorEastAsia" w:hAnsiTheme="minorEastAsia" w:eastAsiaTheme="minorEastAsia"/>
        </w:rPr>
        <w:t>）法律法规及中国证监会规定的和《基金合同》约定的其他义务。</w:t>
      </w:r>
    </w:p>
    <w:p w14:paraId="5056C8A6">
      <w:pPr>
        <w:adjustRightInd w:val="0"/>
        <w:snapToGrid w:val="0"/>
        <w:spacing w:line="360" w:lineRule="auto"/>
        <w:ind w:firstLine="420" w:firstLineChars="200"/>
        <w:rPr>
          <w:rFonts w:asciiTheme="minorEastAsia" w:hAnsiTheme="minorEastAsia" w:eastAsiaTheme="minorEastAsia"/>
        </w:rPr>
      </w:pPr>
      <w:bookmarkStart w:id="164" w:name="_Toc57530240"/>
      <w:bookmarkStart w:id="165" w:name="_Toc79392581"/>
      <w:bookmarkStart w:id="166" w:name="_Toc15118238"/>
      <w:r>
        <w:rPr>
          <w:rFonts w:hint="eastAsia" w:asciiTheme="minorEastAsia" w:hAnsiTheme="minorEastAsia" w:eastAsiaTheme="minorEastAsia"/>
        </w:rPr>
        <w:t>二、基金托管人</w:t>
      </w:r>
      <w:bookmarkEnd w:id="161"/>
      <w:bookmarkEnd w:id="164"/>
      <w:bookmarkEnd w:id="165"/>
      <w:bookmarkEnd w:id="166"/>
    </w:p>
    <w:p w14:paraId="6E1C39D2">
      <w:pPr>
        <w:adjustRightInd w:val="0"/>
        <w:snapToGrid w:val="0"/>
        <w:spacing w:line="360" w:lineRule="auto"/>
        <w:ind w:firstLine="420" w:firstLineChars="200"/>
        <w:rPr>
          <w:rFonts w:asciiTheme="minorEastAsia" w:hAnsiTheme="minorEastAsia" w:eastAsiaTheme="minorEastAsia"/>
        </w:rPr>
      </w:pPr>
      <w:bookmarkStart w:id="167" w:name="_Toc15118239"/>
      <w:r>
        <w:rPr>
          <w:rFonts w:hint="eastAsia" w:asciiTheme="minorEastAsia" w:hAnsiTheme="minorEastAsia" w:eastAsiaTheme="minorEastAsia"/>
        </w:rPr>
        <w:t>（一）</w:t>
      </w:r>
      <w:r>
        <w:rPr>
          <w:rFonts w:asciiTheme="minorEastAsia" w:hAnsiTheme="minorEastAsia" w:eastAsiaTheme="minorEastAsia"/>
        </w:rPr>
        <w:tab/>
      </w:r>
      <w:r>
        <w:rPr>
          <w:rFonts w:hint="eastAsia" w:asciiTheme="minorEastAsia" w:hAnsiTheme="minorEastAsia" w:eastAsiaTheme="minorEastAsia"/>
        </w:rPr>
        <w:t>基金托管人简况</w:t>
      </w:r>
      <w:bookmarkEnd w:id="167"/>
    </w:p>
    <w:p w14:paraId="1AB9093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名称：中国国际金融股份有限公司</w:t>
      </w:r>
    </w:p>
    <w:p w14:paraId="6A60E88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住所：北京市朝阳区建国门外大街1号国贸大厦2座27层及28层</w:t>
      </w:r>
    </w:p>
    <w:p w14:paraId="50EBE3F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法定代表人：陈亮 </w:t>
      </w:r>
    </w:p>
    <w:p w14:paraId="0AD7820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成立时间：1995年7月31日</w:t>
      </w:r>
    </w:p>
    <w:p w14:paraId="4F9C8EC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组织形式：股份有限公司</w:t>
      </w:r>
    </w:p>
    <w:p w14:paraId="5EC229A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注册资本：人民币482725.6868万元</w:t>
      </w:r>
    </w:p>
    <w:p w14:paraId="1544CA6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存续期限：持续经营</w:t>
      </w:r>
    </w:p>
    <w:p w14:paraId="16E27CE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基金托管资格批准机关及批准文号：中国证券监督管理委员会，证监许可［2015］1441号</w:t>
      </w:r>
    </w:p>
    <w:p w14:paraId="07933E34">
      <w:pPr>
        <w:adjustRightInd w:val="0"/>
        <w:snapToGrid w:val="0"/>
        <w:spacing w:line="360" w:lineRule="auto"/>
        <w:ind w:firstLine="420" w:firstLineChars="200"/>
        <w:rPr>
          <w:rFonts w:asciiTheme="minorEastAsia" w:hAnsiTheme="minorEastAsia" w:eastAsiaTheme="minorEastAsia"/>
        </w:rPr>
      </w:pPr>
      <w:bookmarkStart w:id="168" w:name="_Toc15118240"/>
      <w:r>
        <w:rPr>
          <w:rFonts w:hint="eastAsia" w:asciiTheme="minorEastAsia" w:hAnsiTheme="minorEastAsia" w:eastAsiaTheme="minorEastAsia"/>
        </w:rPr>
        <w:t>（二）</w:t>
      </w:r>
      <w:r>
        <w:rPr>
          <w:rFonts w:asciiTheme="minorEastAsia" w:hAnsiTheme="minorEastAsia" w:eastAsiaTheme="minorEastAsia"/>
        </w:rPr>
        <w:tab/>
      </w:r>
      <w:r>
        <w:rPr>
          <w:rFonts w:hint="eastAsia" w:asciiTheme="minorEastAsia" w:hAnsiTheme="minorEastAsia" w:eastAsiaTheme="minorEastAsia"/>
        </w:rPr>
        <w:t>基金托管人的权利与义务</w:t>
      </w:r>
      <w:bookmarkEnd w:id="168"/>
    </w:p>
    <w:p w14:paraId="324C65E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、根据《基金法》、《运作办法》及其他有关规定，基金托管人的权利包括但不限于：</w:t>
      </w:r>
    </w:p>
    <w:p w14:paraId="30067FA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）自《基金合同》生效之日起，依法律法规和《基金合同》的规定安全保管基金财产；</w:t>
      </w:r>
    </w:p>
    <w:p w14:paraId="0FB3BE8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）依《基金合同》约定获得基金托管费以及法律法规规定或监管部门批准的其他费用；</w:t>
      </w:r>
    </w:p>
    <w:p w14:paraId="0BC1592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19BB271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）根据相关市场规则，为基金开设资金账户、证券账户等投资所需账户，为基金办理证券、期货交易资金清算；</w:t>
      </w:r>
    </w:p>
    <w:p w14:paraId="67EA6D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）提议召开或召集基金份额持有人大会；</w:t>
      </w:r>
    </w:p>
    <w:p w14:paraId="3211B68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）在基金管理人更换时，提名新的基金管理人；</w:t>
      </w:r>
    </w:p>
    <w:p w14:paraId="4FF23E0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）法律法规及中国证监会规定的和《基金合同》约定的其他权利。</w:t>
      </w:r>
    </w:p>
    <w:p w14:paraId="0353775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、根据《基金法》、《运作办法》及其他有关规定，基金托管人的义务包括但不限于：</w:t>
      </w:r>
    </w:p>
    <w:p w14:paraId="56C4D0F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）以诚实信用、勤勉尽责的原则持有并安全保管基金财产；</w:t>
      </w:r>
    </w:p>
    <w:p w14:paraId="5F45737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）设立专门的基金托管部门，具有符合要求的营业场所，配备足够的、合格的熟悉基金托管业务的专职人员，负责基金财产托管事宜；</w:t>
      </w:r>
    </w:p>
    <w:p w14:paraId="51B3C20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8D6139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）除依据《基金法》、《基金合同》及其他有关规定外，不得利用基金财产为自己及任何第三人谋取利益，不得委托第三人托管基金财产；</w:t>
      </w:r>
    </w:p>
    <w:p w14:paraId="12463CA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）保管由基金管理人代表基金签订的与基金有关的重大合同及有关凭证；</w:t>
      </w:r>
    </w:p>
    <w:p w14:paraId="3159B4A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）按规定开设基金财产的资金账户和证券账户等投资所需账户，按照《基金合同》的约定，根据基金管理人的投资指令，及时办理清算、交割事宜；</w:t>
      </w:r>
    </w:p>
    <w:p w14:paraId="458F4CF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）保守基金商业秘密，除《基金法》、《基金合同》及其他有关规定另有规定外，在基金信息公开披露前予以保密，不得向他人泄露，向审计、法律等外部专业顾问提供的除外；</w:t>
      </w:r>
    </w:p>
    <w:p w14:paraId="42CA35C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）复核、审查基金管理人计算的基金资产净值、各类基金份额净值、基金份额申购、赎回价格；</w:t>
      </w:r>
    </w:p>
    <w:p w14:paraId="1D9F9F2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）办理与基金托管业务活动有关的信息披露事项；</w:t>
      </w:r>
    </w:p>
    <w:p w14:paraId="4E04F2B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10</w:t>
      </w:r>
      <w:r>
        <w:rPr>
          <w:rFonts w:hint="eastAsia" w:asciiTheme="minorEastAsia" w:hAnsiTheme="minorEastAsia" w:eastAsiaTheme="minorEastAsia"/>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5A69B6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11</w:t>
      </w:r>
      <w:r>
        <w:rPr>
          <w:rFonts w:hint="eastAsia" w:asciiTheme="minorEastAsia" w:hAnsiTheme="minorEastAsia" w:eastAsiaTheme="minorEastAsia"/>
        </w:rPr>
        <w:t>）保存基金托管业务活动的记录、账册、报表和其他相关资料，保存期限不低于法律法规规定的最低期限</w:t>
      </w:r>
      <w:r>
        <w:rPr>
          <w:rFonts w:asciiTheme="minorEastAsia" w:hAnsiTheme="minorEastAsia" w:eastAsiaTheme="minorEastAsia"/>
        </w:rPr>
        <w:t>；</w:t>
      </w:r>
    </w:p>
    <w:p w14:paraId="75CB463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12</w:t>
      </w:r>
      <w:r>
        <w:rPr>
          <w:rFonts w:hint="eastAsia" w:asciiTheme="minorEastAsia" w:hAnsiTheme="minorEastAsia" w:eastAsiaTheme="minorEastAsia"/>
        </w:rPr>
        <w:t>）从基金管理人或其委托的登记机构处接收并保存基金份额持有人名册；</w:t>
      </w:r>
    </w:p>
    <w:p w14:paraId="06A4DF8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13</w:t>
      </w:r>
      <w:r>
        <w:rPr>
          <w:rFonts w:hint="eastAsia" w:asciiTheme="minorEastAsia" w:hAnsiTheme="minorEastAsia" w:eastAsiaTheme="minorEastAsia"/>
        </w:rPr>
        <w:t>）按规定制作相关账册并与基金管理人核对；</w:t>
      </w:r>
    </w:p>
    <w:p w14:paraId="5123F5D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14</w:t>
      </w:r>
      <w:r>
        <w:rPr>
          <w:rFonts w:hint="eastAsia" w:asciiTheme="minorEastAsia" w:hAnsiTheme="minorEastAsia" w:eastAsiaTheme="minorEastAsia"/>
        </w:rPr>
        <w:t>）依据基金管理人的指令或有关规定向基金份额持有人支付基金收益和赎回款项；</w:t>
      </w:r>
    </w:p>
    <w:p w14:paraId="216DF6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15</w:t>
      </w:r>
      <w:r>
        <w:rPr>
          <w:rFonts w:hint="eastAsia" w:asciiTheme="minorEastAsia" w:hAnsiTheme="minorEastAsia" w:eastAsiaTheme="minorEastAsia"/>
        </w:rPr>
        <w:t>）依据《基金法》、《基金合同》及其他有关规定，召集基金份额持有人大会或配合基金管理人、基金份额持有人依法召集基金份额持有人大会；</w:t>
      </w:r>
    </w:p>
    <w:p w14:paraId="32FCA1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16</w:t>
      </w:r>
      <w:r>
        <w:rPr>
          <w:rFonts w:hint="eastAsia" w:asciiTheme="minorEastAsia" w:hAnsiTheme="minorEastAsia" w:eastAsiaTheme="minorEastAsia"/>
        </w:rPr>
        <w:t>）按照法律法规和《基金合同》的规定监督基金管理人的投资运作；</w:t>
      </w:r>
    </w:p>
    <w:p w14:paraId="759C5DC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17</w:t>
      </w:r>
      <w:r>
        <w:rPr>
          <w:rFonts w:hint="eastAsia" w:asciiTheme="minorEastAsia" w:hAnsiTheme="minorEastAsia" w:eastAsiaTheme="minorEastAsia"/>
        </w:rPr>
        <w:t>）参加基金财产清算小组，参与基金财产的保管、清理、估价、变现和分配；</w:t>
      </w:r>
    </w:p>
    <w:p w14:paraId="11300F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18</w:t>
      </w:r>
      <w:r>
        <w:rPr>
          <w:rFonts w:hint="eastAsia" w:asciiTheme="minorEastAsia" w:hAnsiTheme="minorEastAsia" w:eastAsiaTheme="minorEastAsia"/>
        </w:rPr>
        <w:t>）面临解散、依法被撤销或者被依法宣告破产时，及时报告中国证监会，并通知基金管理人；</w:t>
      </w:r>
    </w:p>
    <w:p w14:paraId="76665E1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19</w:t>
      </w:r>
      <w:r>
        <w:rPr>
          <w:rFonts w:hint="eastAsia" w:asciiTheme="minorEastAsia" w:hAnsiTheme="minorEastAsia" w:eastAsiaTheme="minorEastAsia"/>
        </w:rPr>
        <w:t>）因违反《基金合同》导致基金财产损失时，应承担赔偿责任，其赔偿责任不因其退任而免除；</w:t>
      </w:r>
    </w:p>
    <w:p w14:paraId="793DD3B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20</w:t>
      </w:r>
      <w:r>
        <w:rPr>
          <w:rFonts w:hint="eastAsia" w:asciiTheme="minorEastAsia" w:hAnsiTheme="minorEastAsia" w:eastAsiaTheme="minorEastAsia"/>
        </w:rPr>
        <w:t>）按规定监督基金管理人按法律法规和《基金合同》规定履行自己的义务，基金管理人因违反《基金合同》造成基金财产损失时，应为基金份额持有人利益向基金管理人追偿</w:t>
      </w:r>
      <w:bookmarkStart w:id="169" w:name="_Hlt88825668"/>
      <w:bookmarkEnd w:id="169"/>
      <w:r>
        <w:rPr>
          <w:rFonts w:hint="eastAsia" w:asciiTheme="minorEastAsia" w:hAnsiTheme="minorEastAsia" w:eastAsiaTheme="minorEastAsia"/>
        </w:rPr>
        <w:t>；</w:t>
      </w:r>
    </w:p>
    <w:p w14:paraId="5DEBB66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21</w:t>
      </w:r>
      <w:r>
        <w:rPr>
          <w:rFonts w:hint="eastAsia" w:asciiTheme="minorEastAsia" w:hAnsiTheme="minorEastAsia" w:eastAsiaTheme="minorEastAsia"/>
        </w:rPr>
        <w:t>）执行生效的基金份额持有人大会的决议；</w:t>
      </w:r>
    </w:p>
    <w:p w14:paraId="1E06655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22</w:t>
      </w:r>
      <w:r>
        <w:rPr>
          <w:rFonts w:hint="eastAsia" w:asciiTheme="minorEastAsia" w:hAnsiTheme="minorEastAsia" w:eastAsiaTheme="minorEastAsia"/>
        </w:rPr>
        <w:t>）</w:t>
      </w:r>
      <w:bookmarkStart w:id="170" w:name="_Toc523711670"/>
      <w:r>
        <w:rPr>
          <w:rFonts w:hint="eastAsia" w:asciiTheme="minorEastAsia" w:hAnsiTheme="minorEastAsia" w:eastAsiaTheme="minorEastAsia"/>
        </w:rPr>
        <w:t>法律法规及中国证监会规定的和《基金合同》约定的其他义务。</w:t>
      </w:r>
    </w:p>
    <w:bookmarkEnd w:id="170"/>
    <w:p w14:paraId="04F99095">
      <w:pPr>
        <w:adjustRightInd w:val="0"/>
        <w:snapToGrid w:val="0"/>
        <w:spacing w:line="360" w:lineRule="auto"/>
        <w:ind w:firstLine="420" w:firstLineChars="200"/>
        <w:rPr>
          <w:rFonts w:asciiTheme="minorEastAsia" w:hAnsiTheme="minorEastAsia" w:eastAsiaTheme="minorEastAsia"/>
        </w:rPr>
      </w:pPr>
      <w:bookmarkStart w:id="171" w:name="_Toc79392582"/>
      <w:r>
        <w:rPr>
          <w:rFonts w:hint="eastAsia" w:asciiTheme="minorEastAsia" w:hAnsiTheme="minorEastAsia" w:eastAsiaTheme="minorEastAsia"/>
        </w:rPr>
        <w:t>三、基金份额持有人</w:t>
      </w:r>
      <w:bookmarkEnd w:id="171"/>
    </w:p>
    <w:p w14:paraId="63DA21B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基金投资者持有本基金</w:t>
      </w:r>
      <w:bookmarkStart w:id="172" w:name="_Hlt88899909"/>
      <w:bookmarkEnd w:id="172"/>
      <w:r>
        <w:rPr>
          <w:rFonts w:hint="eastAsia" w:asciiTheme="minorEastAsia" w:hAnsiTheme="minorEastAsia" w:eastAsiaTheme="minorEastAsia"/>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135B14B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除法律法规另有规定或本基金合同另有约定外，同一类别每份基金份额具有同等的合法权益。</w:t>
      </w:r>
    </w:p>
    <w:p w14:paraId="447322E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、根据《基金法》、《运作办法》及其他有关规定，基金份额持有人的权利包括但不限于：</w:t>
      </w:r>
    </w:p>
    <w:p w14:paraId="048D61D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）分享基金财产收益；</w:t>
      </w:r>
    </w:p>
    <w:p w14:paraId="53440DD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）参与分配清算后的剩余基金财产；</w:t>
      </w:r>
      <w:bookmarkStart w:id="173" w:name="_Hlt88825574"/>
      <w:bookmarkEnd w:id="173"/>
    </w:p>
    <w:p w14:paraId="4498E12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）依法转让或者申请赎回其持有的基金份额；</w:t>
      </w:r>
    </w:p>
    <w:p w14:paraId="007FF0B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）按照规定要求召开基金份额持有人大会或者召集基金份额持有人大会；</w:t>
      </w:r>
    </w:p>
    <w:p w14:paraId="1A699F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）出席或者委派代表出席本基金或目标</w:t>
      </w:r>
      <w:r>
        <w:rPr>
          <w:rFonts w:asciiTheme="minorEastAsia" w:hAnsiTheme="minorEastAsia" w:eastAsiaTheme="minorEastAsia"/>
        </w:rPr>
        <w:t>ETF的</w:t>
      </w:r>
      <w:r>
        <w:rPr>
          <w:rFonts w:hint="eastAsia" w:asciiTheme="minorEastAsia" w:hAnsiTheme="minorEastAsia" w:eastAsiaTheme="minorEastAsia"/>
        </w:rPr>
        <w:t>基金份额持有人大会，对本基金或目标</w:t>
      </w:r>
      <w:r>
        <w:rPr>
          <w:rFonts w:asciiTheme="minorEastAsia" w:hAnsiTheme="minorEastAsia" w:eastAsiaTheme="minorEastAsia"/>
        </w:rPr>
        <w:t>ETF的</w:t>
      </w:r>
      <w:r>
        <w:rPr>
          <w:rFonts w:hint="eastAsia" w:asciiTheme="minorEastAsia" w:hAnsiTheme="minorEastAsia" w:eastAsiaTheme="minorEastAsia"/>
        </w:rPr>
        <w:t>基金份额持有人大会审议事项行使表决权；</w:t>
      </w:r>
    </w:p>
    <w:p w14:paraId="0C239D8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）查阅或者复制公开披露的基金信息资料；</w:t>
      </w:r>
    </w:p>
    <w:p w14:paraId="70FB44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）监督基金管理人的投资运作；</w:t>
      </w:r>
    </w:p>
    <w:p w14:paraId="1511C13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）对基金管理人、基金托管人、基金服务机构损害其合法权益的行为依法提起诉讼或仲裁；</w:t>
      </w:r>
    </w:p>
    <w:p w14:paraId="5FC9ED1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）法律法规及中国证监会规定的和《基金合同》约定的其他权利。</w:t>
      </w:r>
    </w:p>
    <w:p w14:paraId="132E9FA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、根据《基金法》、《运作办法》及其他有关规定，基金份额持有人的义务包括但不限于：</w:t>
      </w:r>
    </w:p>
    <w:p w14:paraId="112EE57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）认真阅读并遵守《基金合同》、招募说明书等信息披露文件；</w:t>
      </w:r>
    </w:p>
    <w:p w14:paraId="6BE9F6C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）了解所投资基金产品，了解自身风险承受能力，自主判断基金的投资价值，自主做出投资决策，自行承担投资风险；</w:t>
      </w:r>
    </w:p>
    <w:p w14:paraId="5DF0B1B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）关注基金信息披露，及时行使权利和履行义务；</w:t>
      </w:r>
    </w:p>
    <w:p w14:paraId="58023A7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）交纳基金认购、申购款项及法律法规和《基金合同》所规定的费用；</w:t>
      </w:r>
    </w:p>
    <w:p w14:paraId="153CA79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）在其持有的基金份额范围内，承担基金亏损或者《基金合同》终止的有限责任；</w:t>
      </w:r>
    </w:p>
    <w:p w14:paraId="4B70A17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）不从事任何有损基金及其他《基金合同》当事人合法权益的活动；</w:t>
      </w:r>
    </w:p>
    <w:p w14:paraId="5508D1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）执行生效的基金份额持有人大会的决议；</w:t>
      </w:r>
    </w:p>
    <w:p w14:paraId="045EEA7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）返还在基金交易过程中因任何原因获得的不当得利；</w:t>
      </w:r>
    </w:p>
    <w:p w14:paraId="3D5F598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（9）发起资金提供方持有认购的基金份额不少于3年，法律法规或监管机构另有规定的除外；</w:t>
      </w:r>
    </w:p>
    <w:p w14:paraId="1F07A55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10</w:t>
      </w:r>
      <w:r>
        <w:rPr>
          <w:rFonts w:hint="eastAsia" w:asciiTheme="minorEastAsia" w:hAnsiTheme="minorEastAsia" w:eastAsiaTheme="minorEastAsia"/>
        </w:rPr>
        <w:t>）法律法规及中国证监会规定的和《基金合同》约定的其他义务。</w:t>
      </w:r>
    </w:p>
    <w:p w14:paraId="0BCE8F31">
      <w:pPr>
        <w:adjustRightInd w:val="0"/>
        <w:snapToGrid w:val="0"/>
        <w:spacing w:line="360" w:lineRule="auto"/>
        <w:ind w:firstLine="420" w:firstLineChars="200"/>
        <w:rPr>
          <w:rFonts w:cs="Arial" w:asciiTheme="minorEastAsia" w:hAnsiTheme="minorEastAsia" w:eastAsiaTheme="minorEastAsia"/>
          <w:szCs w:val="21"/>
        </w:rPr>
      </w:pPr>
      <w:bookmarkStart w:id="174" w:name="_Toc98560354"/>
      <w:bookmarkStart w:id="175" w:name="_Toc9706"/>
      <w:bookmarkStart w:id="176" w:name="_Toc123102455"/>
      <w:bookmarkStart w:id="177" w:name="_Toc123051454"/>
      <w:bookmarkStart w:id="178" w:name="_Toc11030"/>
      <w:bookmarkStart w:id="179" w:name="_Toc79392583"/>
      <w:bookmarkStart w:id="180" w:name="_Toc18567"/>
      <w:bookmarkStart w:id="181" w:name="_Toc4559"/>
      <w:bookmarkStart w:id="182" w:name="_Toc3321"/>
      <w:bookmarkStart w:id="183" w:name="_Toc3771"/>
      <w:bookmarkStart w:id="184" w:name="_Toc10650"/>
      <w:bookmarkStart w:id="185" w:name="_Toc139991738"/>
      <w:bookmarkStart w:id="186" w:name="_Toc7058"/>
      <w:bookmarkStart w:id="187" w:name="_Toc20768"/>
      <w:bookmarkStart w:id="188" w:name="_Toc141703888"/>
      <w:bookmarkStart w:id="189" w:name="_Toc123112236"/>
      <w:bookmarkStart w:id="190" w:name="_Toc25783"/>
      <w:bookmarkStart w:id="191" w:name="_Toc6447"/>
    </w:p>
    <w:p w14:paraId="76BC53D0">
      <w:pPr>
        <w:pStyle w:val="3"/>
        <w:adjustRightInd w:val="0"/>
        <w:snapToGrid w:val="0"/>
        <w:spacing w:before="0" w:after="0" w:line="360" w:lineRule="auto"/>
        <w:rPr>
          <w:rFonts w:cs="Arial" w:asciiTheme="minorEastAsia" w:hAnsiTheme="minorEastAsia" w:eastAsiaTheme="minorEastAsia"/>
          <w:sz w:val="21"/>
          <w:szCs w:val="21"/>
        </w:rPr>
        <w:sectPr>
          <w:footerReference r:id="rId10" w:type="default"/>
          <w:pgSz w:w="11906" w:h="16838"/>
          <w:pgMar w:top="1418" w:right="1701" w:bottom="1418" w:left="1701" w:header="851" w:footer="992" w:gutter="0"/>
          <w:pgNumType w:start="1"/>
          <w:cols w:space="425" w:num="1"/>
          <w:docGrid w:type="lines" w:linePitch="312" w:charSpace="0"/>
        </w:sectPr>
      </w:pPr>
      <w:bookmarkStart w:id="192" w:name="_Toc90742325"/>
      <w:bookmarkStart w:id="193" w:name="_Toc90742394"/>
    </w:p>
    <w:bookmarkEnd w:id="150"/>
    <w:p w14:paraId="58998A8B">
      <w:pPr>
        <w:pStyle w:val="3"/>
        <w:adjustRightInd w:val="0"/>
        <w:snapToGrid w:val="0"/>
        <w:spacing w:before="312" w:beforeLines="100" w:after="0" w:line="360" w:lineRule="auto"/>
        <w:rPr>
          <w:rFonts w:asciiTheme="minorEastAsia" w:hAnsiTheme="minorEastAsia" w:eastAsiaTheme="minorEastAsia"/>
          <w:sz w:val="21"/>
        </w:rPr>
      </w:pPr>
      <w:bookmarkStart w:id="194" w:name="_Toc16237233"/>
      <w:bookmarkStart w:id="195" w:name="CLAUSE_9cc1172203b74115a9afcfbfd72d889f"/>
      <w:r>
        <w:rPr>
          <w:rFonts w:hint="eastAsia" w:cs="Arial" w:asciiTheme="minorEastAsia" w:hAnsiTheme="minorEastAsia" w:eastAsiaTheme="minorEastAsia"/>
          <w:sz w:val="21"/>
          <w:szCs w:val="21"/>
        </w:rPr>
        <w:t xml:space="preserve">第八部分 </w:t>
      </w:r>
      <w:r>
        <w:rPr>
          <w:rFonts w:cs="Arial" w:asciiTheme="minorEastAsia" w:hAnsiTheme="minorEastAsia" w:eastAsiaTheme="minorEastAsia"/>
          <w:sz w:val="21"/>
          <w:szCs w:val="21"/>
        </w:rPr>
        <w:t xml:space="preserve"> </w:t>
      </w:r>
      <w:bookmarkStart w:id="196" w:name="CTS_9cc1172203b74115a9afcfbfd72d889f"/>
      <w:bookmarkEnd w:id="196"/>
      <w:r>
        <w:rPr>
          <w:rFonts w:hint="eastAsia" w:asciiTheme="minorEastAsia" w:hAnsiTheme="minorEastAsia" w:eastAsiaTheme="minorEastAsia"/>
          <w:sz w:val="21"/>
        </w:rPr>
        <w:t>基金份额持有人大会</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BE8F3BA">
      <w:pPr>
        <w:tabs>
          <w:tab w:val="left" w:pos="1080"/>
        </w:tabs>
        <w:spacing w:line="360" w:lineRule="auto"/>
        <w:ind w:left="1075" w:leftChars="199" w:hanging="657" w:hangingChars="274"/>
        <w:rPr>
          <w:rFonts w:asciiTheme="minorEastAsia" w:hAnsiTheme="minorEastAsia" w:eastAsiaTheme="minorEastAsia"/>
          <w:bCs/>
          <w:sz w:val="24"/>
        </w:rPr>
      </w:pPr>
    </w:p>
    <w:p w14:paraId="6EEDC7D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w:t>
      </w:r>
    </w:p>
    <w:p w14:paraId="47C349E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本基金份额持有人大会不设日常机构。</w:t>
      </w:r>
    </w:p>
    <w:p w14:paraId="54084D17">
      <w:pPr>
        <w:adjustRightInd w:val="0"/>
        <w:snapToGrid w:val="0"/>
        <w:spacing w:line="360" w:lineRule="auto"/>
        <w:ind w:firstLine="420" w:firstLineChars="200"/>
        <w:rPr>
          <w:rFonts w:asciiTheme="minorEastAsia" w:hAnsiTheme="minorEastAsia" w:eastAsiaTheme="minorEastAsia"/>
        </w:rPr>
      </w:pPr>
      <w:bookmarkStart w:id="197" w:name="_Toc15641220"/>
      <w:bookmarkStart w:id="198" w:name="_Toc79392584"/>
      <w:bookmarkStart w:id="199" w:name="_Toc57530243"/>
      <w:r>
        <w:rPr>
          <w:rFonts w:hint="eastAsia" w:asciiTheme="minorEastAsia" w:hAnsiTheme="minorEastAsia" w:eastAsiaTheme="minorEastAsia"/>
        </w:rPr>
        <w:t>一、召开事由</w:t>
      </w:r>
      <w:bookmarkEnd w:id="197"/>
      <w:bookmarkEnd w:id="198"/>
      <w:bookmarkEnd w:id="199"/>
    </w:p>
    <w:p w14:paraId="13CAD7C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、除法律法规、中国证监会另有规定或基金合同另有约定外，当出现或需要决定下列事由之一的，应当召开基金份额持有人大会：</w:t>
      </w:r>
    </w:p>
    <w:p w14:paraId="554D87C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）终止《基金合同》；</w:t>
      </w:r>
    </w:p>
    <w:p w14:paraId="33712F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）更换基金管理人；</w:t>
      </w:r>
    </w:p>
    <w:p w14:paraId="704EE12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）更换基金托管人；</w:t>
      </w:r>
    </w:p>
    <w:p w14:paraId="36E256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）转换基金运作方式；</w:t>
      </w:r>
    </w:p>
    <w:p w14:paraId="79023AB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）调整基金管理人、基金托管人的报酬标准或提高销售服务费率；</w:t>
      </w:r>
    </w:p>
    <w:p w14:paraId="5745280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）变更基金类别；</w:t>
      </w:r>
    </w:p>
    <w:p w14:paraId="25F518E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）本基金与其他基金的合并；</w:t>
      </w:r>
    </w:p>
    <w:p w14:paraId="608B06E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）变更基金投资目标、范围或策略；</w:t>
      </w:r>
    </w:p>
    <w:p w14:paraId="487E33E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）变更基金份额持有人大会程序；</w:t>
      </w:r>
    </w:p>
    <w:p w14:paraId="7C263AC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10</w:t>
      </w:r>
      <w:r>
        <w:rPr>
          <w:rFonts w:hint="eastAsia" w:asciiTheme="minorEastAsia" w:hAnsiTheme="minorEastAsia" w:eastAsiaTheme="minorEastAsia"/>
        </w:rPr>
        <w:t>）基金管理人或基金托管人要求召开基金份额持有人大会；</w:t>
      </w:r>
    </w:p>
    <w:p w14:paraId="270F0C9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11</w:t>
      </w:r>
      <w:r>
        <w:rPr>
          <w:rFonts w:hint="eastAsia" w:asciiTheme="minorEastAsia" w:hAnsiTheme="minorEastAsia" w:eastAsiaTheme="minorEastAsia"/>
        </w:rPr>
        <w:t>）单独或合计持有本基金总份额</w:t>
      </w:r>
      <w:r>
        <w:rPr>
          <w:rFonts w:asciiTheme="minorEastAsia" w:hAnsiTheme="minorEastAsia" w:eastAsiaTheme="minorEastAsia"/>
        </w:rPr>
        <w:t>10%</w:t>
      </w:r>
      <w:r>
        <w:rPr>
          <w:rFonts w:hint="eastAsia" w:asciiTheme="minorEastAsia" w:hAnsiTheme="minorEastAsia" w:eastAsiaTheme="minorEastAsia"/>
        </w:rPr>
        <w:t>以上（含</w:t>
      </w:r>
      <w:r>
        <w:rPr>
          <w:rFonts w:asciiTheme="minorEastAsia" w:hAnsiTheme="minorEastAsia" w:eastAsiaTheme="minorEastAsia"/>
        </w:rPr>
        <w:t>10%</w:t>
      </w:r>
      <w:r>
        <w:rPr>
          <w:rFonts w:hint="eastAsia" w:asciiTheme="minorEastAsia" w:hAnsiTheme="minorEastAsia" w:eastAsiaTheme="minorEastAsia"/>
        </w:rPr>
        <w:t>）基金份额的基金份额持有人（以基金管理人收到提议当日的基金份额计算，下同）就同一事项书面要求召开基金份额持有人大会；</w:t>
      </w:r>
    </w:p>
    <w:p w14:paraId="2F4B27E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12</w:t>
      </w:r>
      <w:r>
        <w:rPr>
          <w:rFonts w:hint="eastAsia" w:asciiTheme="minorEastAsia" w:hAnsiTheme="minorEastAsia" w:eastAsiaTheme="minorEastAsia"/>
        </w:rPr>
        <w:t>）对基金合同当事人权利和义务产生重大影响的其他事项；</w:t>
      </w:r>
    </w:p>
    <w:p w14:paraId="00B0B6F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13</w:t>
      </w:r>
      <w:r>
        <w:rPr>
          <w:rFonts w:hint="eastAsia" w:asciiTheme="minorEastAsia" w:hAnsiTheme="minorEastAsia" w:eastAsiaTheme="minorEastAsia"/>
        </w:rPr>
        <w:t>）法律法规、《基金合同》或中国证监会规定的其他应当召开基金份额持有人大会的事项。</w:t>
      </w:r>
    </w:p>
    <w:p w14:paraId="4F695B6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、在法律法规规定和《基金合同》约定的范围内且对基金份额持有人利益无实质性不利影响的前提下，以下情况可由基金管理人和基金托管人协商后修改，不需召开基金份额持有人大会：</w:t>
      </w:r>
    </w:p>
    <w:p w14:paraId="67D4850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）法律法规要求增加的基金费用的收取；</w:t>
      </w:r>
    </w:p>
    <w:p w14:paraId="6DB592D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）调整本基金的申购费率、调低赎回费率、调低销售服务费率或变更收费方式，调整基金份额类别设置、对基金份额分类办法及规则进行调整；</w:t>
      </w:r>
    </w:p>
    <w:p w14:paraId="58F5993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）因相应的法律法规发生变动而应当对《基金合同》进行修改；</w:t>
      </w:r>
    </w:p>
    <w:p w14:paraId="6ECE530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）对《基金合同》的修改对基金份额持有人利益无实质性不利影响或修改不涉及《基金合同》当事人权利义务关系发生重大变化；</w:t>
      </w:r>
    </w:p>
    <w:p w14:paraId="20E9C33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）基金管理人、登记机构、基金销售机构调整有关申购、赎回、转换、基金交易、非交易过户、转托管等业务规则；</w:t>
      </w:r>
    </w:p>
    <w:p w14:paraId="553AA9C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）基金推出新业务或服务；</w:t>
      </w:r>
    </w:p>
    <w:p w14:paraId="51141D0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）标的指数更名或调整指数编制方法，相应变更标的指数及业绩比较基准的；</w:t>
      </w:r>
    </w:p>
    <w:p w14:paraId="4DE383F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）由于目标ETF终止上市或基金合同终止而变更为直接投资该标的指数的指数基金；</w:t>
      </w:r>
    </w:p>
    <w:p w14:paraId="55AADBC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）按照法律法规和《基金合同》规定不需召开基金份额持有人大会的其他情形。</w:t>
      </w:r>
    </w:p>
    <w:p w14:paraId="1D83C9B8">
      <w:pPr>
        <w:adjustRightInd w:val="0"/>
        <w:snapToGrid w:val="0"/>
        <w:spacing w:line="360" w:lineRule="auto"/>
        <w:ind w:firstLine="420" w:firstLineChars="200"/>
        <w:rPr>
          <w:rFonts w:asciiTheme="minorEastAsia" w:hAnsiTheme="minorEastAsia" w:eastAsiaTheme="minorEastAsia"/>
        </w:rPr>
      </w:pPr>
      <w:bookmarkStart w:id="200" w:name="_Toc15641221"/>
      <w:bookmarkStart w:id="201" w:name="_Toc79392585"/>
      <w:bookmarkStart w:id="202" w:name="_Toc57530244"/>
      <w:r>
        <w:rPr>
          <w:rFonts w:hint="eastAsia" w:asciiTheme="minorEastAsia" w:hAnsiTheme="minorEastAsia" w:eastAsiaTheme="minorEastAsia"/>
        </w:rPr>
        <w:t>二、会议召集人及召集方式</w:t>
      </w:r>
      <w:bookmarkEnd w:id="200"/>
      <w:bookmarkEnd w:id="201"/>
      <w:bookmarkEnd w:id="202"/>
    </w:p>
    <w:p w14:paraId="5695AA53">
      <w:pPr>
        <w:adjustRightInd w:val="0"/>
        <w:snapToGrid w:val="0"/>
        <w:spacing w:line="360" w:lineRule="auto"/>
        <w:ind w:firstLine="420" w:firstLineChars="200"/>
        <w:rPr>
          <w:rFonts w:asciiTheme="minorEastAsia" w:hAnsiTheme="minorEastAsia" w:eastAsiaTheme="minorEastAsia"/>
        </w:rPr>
      </w:pPr>
      <w:bookmarkStart w:id="203" w:name="_Toc15641222"/>
      <w:bookmarkStart w:id="204" w:name="_Toc57530245"/>
      <w:r>
        <w:rPr>
          <w:rFonts w:asciiTheme="minorEastAsia" w:hAnsiTheme="minorEastAsia" w:eastAsiaTheme="minorEastAsia"/>
        </w:rPr>
        <w:t>1</w:t>
      </w:r>
      <w:r>
        <w:rPr>
          <w:rFonts w:hint="eastAsia" w:asciiTheme="minorEastAsia" w:hAnsiTheme="minorEastAsia" w:eastAsiaTheme="minorEastAsia"/>
        </w:rPr>
        <w:t>、除法律法规规定或《基金合同》另有约定外，基金份额持有人大会由基金管理人召集。</w:t>
      </w:r>
    </w:p>
    <w:p w14:paraId="5301257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、基金管理人未按规定召集或不能召集时，由基金托管人召集。</w:t>
      </w:r>
    </w:p>
    <w:p w14:paraId="6FF8FC9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、基金托管人认为有必要召开基金份额持有人大会的，应当向基金管理人提出书面提议。基金管理人应当自收到书面提议之日起</w:t>
      </w:r>
      <w:r>
        <w:rPr>
          <w:rFonts w:asciiTheme="minorEastAsia" w:hAnsiTheme="minorEastAsia" w:eastAsiaTheme="minorEastAsia"/>
        </w:rPr>
        <w:t>10</w:t>
      </w:r>
      <w:r>
        <w:rPr>
          <w:rFonts w:hint="eastAsia" w:asciiTheme="minorEastAsia" w:hAnsiTheme="minorEastAsia" w:eastAsiaTheme="minorEastAsia"/>
        </w:rPr>
        <w:t>日内决定是否召集，并书面告知基金托管人。基金管理人决定召集的，应当自出具书面决定之日起</w:t>
      </w:r>
      <w:r>
        <w:rPr>
          <w:rFonts w:asciiTheme="minorEastAsia" w:hAnsiTheme="minorEastAsia" w:eastAsiaTheme="minorEastAsia"/>
        </w:rPr>
        <w:t>60</w:t>
      </w:r>
      <w:r>
        <w:rPr>
          <w:rFonts w:hint="eastAsia" w:asciiTheme="minorEastAsia" w:hAnsiTheme="minorEastAsia" w:eastAsiaTheme="minorEastAsia"/>
        </w:rPr>
        <w:t>日内召开；基金管理人决定不召集，基金托管人仍认为有必要召开的，应当由基金托管人自行召集，并自出具书面决定之日起</w:t>
      </w:r>
      <w:r>
        <w:rPr>
          <w:rFonts w:asciiTheme="minorEastAsia" w:hAnsiTheme="minorEastAsia" w:eastAsiaTheme="minorEastAsia"/>
        </w:rPr>
        <w:t>60</w:t>
      </w:r>
      <w:r>
        <w:rPr>
          <w:rFonts w:hint="eastAsia" w:asciiTheme="minorEastAsia" w:hAnsiTheme="minorEastAsia" w:eastAsiaTheme="minorEastAsia"/>
        </w:rPr>
        <w:t>日内召开并告知基金管理人，基金管理人应当配合。</w:t>
      </w:r>
    </w:p>
    <w:p w14:paraId="4363118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、代表基金份额</w:t>
      </w:r>
      <w:r>
        <w:rPr>
          <w:rFonts w:asciiTheme="minorEastAsia" w:hAnsiTheme="minorEastAsia" w:eastAsiaTheme="minorEastAsia"/>
        </w:rPr>
        <w:t>10%</w:t>
      </w:r>
      <w:r>
        <w:rPr>
          <w:rFonts w:hint="eastAsia" w:asciiTheme="minorEastAsia" w:hAnsiTheme="minorEastAsia" w:eastAsiaTheme="minorEastAsia"/>
        </w:rPr>
        <w:t>以上（含</w:t>
      </w:r>
      <w:r>
        <w:rPr>
          <w:rFonts w:asciiTheme="minorEastAsia" w:hAnsiTheme="minorEastAsia" w:eastAsiaTheme="minorEastAsia"/>
        </w:rPr>
        <w:t>10%</w:t>
      </w:r>
      <w:r>
        <w:rPr>
          <w:rFonts w:hint="eastAsia" w:asciiTheme="minorEastAsia" w:hAnsiTheme="minorEastAsia" w:eastAsiaTheme="minorEastAsia"/>
        </w:rPr>
        <w:t>）的基金份额持有人就同一事项书面要求召开基金份额持有人大会，应当向基金管理人提出书面提议。基金管理人应当自收到书面提议之日起</w:t>
      </w:r>
      <w:r>
        <w:rPr>
          <w:rFonts w:asciiTheme="minorEastAsia" w:hAnsiTheme="minorEastAsia" w:eastAsiaTheme="minorEastAsia"/>
        </w:rPr>
        <w:t>10</w:t>
      </w:r>
      <w:r>
        <w:rPr>
          <w:rFonts w:hint="eastAsia" w:asciiTheme="minorEastAsia" w:hAnsiTheme="minorEastAsia" w:eastAsiaTheme="minorEastAsia"/>
        </w:rPr>
        <w:t>日内决定是否召集，并书面告知提出提议的基金份额持有人代表和基金托管人。基金管理人决定召集的，应当自出具书面决定之日起</w:t>
      </w:r>
      <w:r>
        <w:rPr>
          <w:rFonts w:asciiTheme="minorEastAsia" w:hAnsiTheme="minorEastAsia" w:eastAsiaTheme="minorEastAsia"/>
        </w:rPr>
        <w:t>60</w:t>
      </w:r>
      <w:r>
        <w:rPr>
          <w:rFonts w:hint="eastAsia" w:asciiTheme="minorEastAsia" w:hAnsiTheme="minorEastAsia" w:eastAsiaTheme="minorEastAsia"/>
        </w:rPr>
        <w:t>日内召开；基金管理人决定不召集，代表基金份额</w:t>
      </w:r>
      <w:r>
        <w:rPr>
          <w:rFonts w:asciiTheme="minorEastAsia" w:hAnsiTheme="minorEastAsia" w:eastAsiaTheme="minorEastAsia"/>
        </w:rPr>
        <w:t>10%</w:t>
      </w:r>
      <w:r>
        <w:rPr>
          <w:rFonts w:hint="eastAsia" w:asciiTheme="minorEastAsia" w:hAnsiTheme="minorEastAsia" w:eastAsiaTheme="minorEastAsia"/>
        </w:rPr>
        <w:t>以上（含</w:t>
      </w:r>
      <w:r>
        <w:rPr>
          <w:rFonts w:asciiTheme="minorEastAsia" w:hAnsiTheme="minorEastAsia" w:eastAsiaTheme="minorEastAsia"/>
        </w:rPr>
        <w:t>10%</w:t>
      </w:r>
      <w:r>
        <w:rPr>
          <w:rFonts w:hint="eastAsia" w:asciiTheme="minorEastAsia" w:hAnsiTheme="minorEastAsia" w:eastAsiaTheme="minorEastAsia"/>
        </w:rPr>
        <w:t>）的基金份额持有人仍认为有必要召开的，应当向基金托管人提出书面提议。基金托管人应当自收到书面提议之日起</w:t>
      </w:r>
      <w:r>
        <w:rPr>
          <w:rFonts w:asciiTheme="minorEastAsia" w:hAnsiTheme="minorEastAsia" w:eastAsiaTheme="minorEastAsia"/>
        </w:rPr>
        <w:t>10</w:t>
      </w:r>
      <w:r>
        <w:rPr>
          <w:rFonts w:hint="eastAsia" w:asciiTheme="minorEastAsia" w:hAnsiTheme="minorEastAsia" w:eastAsiaTheme="minorEastAsia"/>
        </w:rPr>
        <w:t>日内决定是否召集，并书面告知提出提议的基金份额持有人代表和基金管理人；基金托管人决定召集的，应当自出具书面决定之日起</w:t>
      </w:r>
      <w:r>
        <w:rPr>
          <w:rFonts w:asciiTheme="minorEastAsia" w:hAnsiTheme="minorEastAsia" w:eastAsiaTheme="minorEastAsia"/>
        </w:rPr>
        <w:t>60</w:t>
      </w:r>
      <w:r>
        <w:rPr>
          <w:rFonts w:hint="eastAsia" w:asciiTheme="minorEastAsia" w:hAnsiTheme="minorEastAsia" w:eastAsiaTheme="minorEastAsia"/>
        </w:rPr>
        <w:t>日内召开并告知基金管理人，基金管理人应当配合。</w:t>
      </w:r>
    </w:p>
    <w:p w14:paraId="2041B20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、代表基金份额</w:t>
      </w:r>
      <w:r>
        <w:rPr>
          <w:rFonts w:asciiTheme="minorEastAsia" w:hAnsiTheme="minorEastAsia" w:eastAsiaTheme="minorEastAsia"/>
        </w:rPr>
        <w:t>10%</w:t>
      </w:r>
      <w:r>
        <w:rPr>
          <w:rFonts w:hint="eastAsia" w:asciiTheme="minorEastAsia" w:hAnsiTheme="minorEastAsia" w:eastAsiaTheme="minorEastAsia"/>
        </w:rPr>
        <w:t>以上（含</w:t>
      </w:r>
      <w:r>
        <w:rPr>
          <w:rFonts w:asciiTheme="minorEastAsia" w:hAnsiTheme="minorEastAsia" w:eastAsiaTheme="minorEastAsia"/>
        </w:rPr>
        <w:t>10%</w:t>
      </w:r>
      <w:r>
        <w:rPr>
          <w:rFonts w:hint="eastAsia" w:asciiTheme="minorEastAsia" w:hAnsiTheme="minorEastAsia" w:eastAsiaTheme="minorEastAsia"/>
        </w:rPr>
        <w:t>）的基金份额持有人就同一事项要求召开基金份额持有人大会，而基金管理人、基金托管人都不召集的，单独或合计代表基金份额</w:t>
      </w:r>
      <w:r>
        <w:rPr>
          <w:rFonts w:asciiTheme="minorEastAsia" w:hAnsiTheme="minorEastAsia" w:eastAsiaTheme="minorEastAsia"/>
        </w:rPr>
        <w:t>10%</w:t>
      </w:r>
      <w:r>
        <w:rPr>
          <w:rFonts w:hint="eastAsia" w:asciiTheme="minorEastAsia" w:hAnsiTheme="minorEastAsia" w:eastAsiaTheme="minorEastAsia"/>
        </w:rPr>
        <w:t>以上（含</w:t>
      </w:r>
      <w:r>
        <w:rPr>
          <w:rFonts w:asciiTheme="minorEastAsia" w:hAnsiTheme="minorEastAsia" w:eastAsiaTheme="minorEastAsia"/>
        </w:rPr>
        <w:t>10%</w:t>
      </w:r>
      <w:r>
        <w:rPr>
          <w:rFonts w:hint="eastAsia" w:asciiTheme="minorEastAsia" w:hAnsiTheme="minorEastAsia" w:eastAsiaTheme="minorEastAsia"/>
        </w:rPr>
        <w:t>）的基金份额持有人有权自行召集，并至少提前</w:t>
      </w:r>
      <w:r>
        <w:rPr>
          <w:rFonts w:asciiTheme="minorEastAsia" w:hAnsiTheme="minorEastAsia" w:eastAsiaTheme="minorEastAsia"/>
        </w:rPr>
        <w:t>30</w:t>
      </w:r>
      <w:r>
        <w:rPr>
          <w:rFonts w:hint="eastAsia" w:asciiTheme="minorEastAsia" w:hAnsiTheme="minorEastAsia" w:eastAsiaTheme="minorEastAsia"/>
        </w:rPr>
        <w:t>日报中国证监会备案。基金份额持有人依法自行召集基金份额持有人大会的，基金管理人、基金托管人应当配合，不得阻碍、干扰。</w:t>
      </w:r>
    </w:p>
    <w:p w14:paraId="356AC10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、基金份额持有人会议的召集人负责选择确定开会时间、地点、方式和权益登记日。</w:t>
      </w:r>
    </w:p>
    <w:p w14:paraId="6EF4AB04">
      <w:pPr>
        <w:adjustRightInd w:val="0"/>
        <w:snapToGrid w:val="0"/>
        <w:spacing w:line="360" w:lineRule="auto"/>
        <w:ind w:firstLine="420" w:firstLineChars="200"/>
        <w:rPr>
          <w:rFonts w:asciiTheme="minorEastAsia" w:hAnsiTheme="minorEastAsia" w:eastAsiaTheme="minorEastAsia"/>
        </w:rPr>
      </w:pPr>
      <w:bookmarkStart w:id="205" w:name="_Toc79392586"/>
      <w:r>
        <w:rPr>
          <w:rFonts w:hint="eastAsia" w:asciiTheme="minorEastAsia" w:hAnsiTheme="minorEastAsia" w:eastAsiaTheme="minorEastAsia"/>
        </w:rPr>
        <w:t>三、召开基金份额持有人大会的通知时间、通知内容、通知方式</w:t>
      </w:r>
      <w:bookmarkEnd w:id="203"/>
      <w:bookmarkEnd w:id="204"/>
      <w:bookmarkEnd w:id="205"/>
    </w:p>
    <w:p w14:paraId="539A98A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、召开基金份额持有人大会，召集人应于会议召开前</w:t>
      </w:r>
      <w:r>
        <w:rPr>
          <w:rFonts w:asciiTheme="minorEastAsia" w:hAnsiTheme="minorEastAsia" w:eastAsiaTheme="minorEastAsia"/>
        </w:rPr>
        <w:t>30</w:t>
      </w:r>
      <w:r>
        <w:rPr>
          <w:rFonts w:hint="eastAsia" w:asciiTheme="minorEastAsia" w:hAnsiTheme="minorEastAsia" w:eastAsiaTheme="minorEastAsia"/>
        </w:rPr>
        <w:t>日在规定媒介公告。基金份额持有人大会通知应至少载明以下内容：</w:t>
      </w:r>
    </w:p>
    <w:p w14:paraId="36A8857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）会议召开的时间、地点和会议形式；</w:t>
      </w:r>
    </w:p>
    <w:p w14:paraId="4F280B8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）会议拟审议的事项、议事程序和表决方式；</w:t>
      </w:r>
    </w:p>
    <w:p w14:paraId="58D24D8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）有权出席基金份额持有人大会的基金份额持有人的权益登记日；</w:t>
      </w:r>
    </w:p>
    <w:p w14:paraId="2895F68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）授权委托证明的内容要求（包括但不限于代理人身份，代理权限和代理有效期限等）、送达时间和地点；</w:t>
      </w:r>
    </w:p>
    <w:p w14:paraId="3DF2F0D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）会务常设联系人姓名及联系电话；</w:t>
      </w:r>
    </w:p>
    <w:p w14:paraId="77B0B61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）出席会议者必须准备的文件和必须履行的手续；</w:t>
      </w:r>
    </w:p>
    <w:p w14:paraId="5B101D2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）召集人需要通知的其他事项。</w:t>
      </w:r>
    </w:p>
    <w:p w14:paraId="23D1CF8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17F965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A88117D">
      <w:pPr>
        <w:adjustRightInd w:val="0"/>
        <w:snapToGrid w:val="0"/>
        <w:spacing w:line="360" w:lineRule="auto"/>
        <w:ind w:firstLine="420" w:firstLineChars="200"/>
        <w:rPr>
          <w:rFonts w:asciiTheme="minorEastAsia" w:hAnsiTheme="minorEastAsia" w:eastAsiaTheme="minorEastAsia"/>
        </w:rPr>
      </w:pPr>
      <w:bookmarkStart w:id="206" w:name="_Toc57530246"/>
      <w:bookmarkStart w:id="207" w:name="_Toc79392587"/>
      <w:bookmarkStart w:id="208" w:name="_Toc15641223"/>
      <w:r>
        <w:rPr>
          <w:rFonts w:hint="eastAsia" w:asciiTheme="minorEastAsia" w:hAnsiTheme="minorEastAsia" w:eastAsiaTheme="minorEastAsia"/>
        </w:rPr>
        <w:t>四、基金份额持有人出席会议的方式</w:t>
      </w:r>
      <w:bookmarkEnd w:id="206"/>
      <w:bookmarkEnd w:id="207"/>
      <w:bookmarkEnd w:id="208"/>
    </w:p>
    <w:p w14:paraId="5A47330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基金份额持有人大会可通过现场开会方式、通讯开会方式或法律法规、监管机构允许的其他方式召开，会议的召开方式由会议召集人确定。</w:t>
      </w:r>
    </w:p>
    <w:p w14:paraId="61B1D86B">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2CC0979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FA0825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rFonts w:asciiTheme="minorEastAsia" w:hAnsiTheme="minorEastAsia" w:eastAsiaTheme="minorEastAsia"/>
        </w:rPr>
        <w:t>3</w:t>
      </w:r>
      <w:r>
        <w:rPr>
          <w:rFonts w:hint="eastAsia" w:asciiTheme="minorEastAsia" w:hAnsiTheme="minorEastAsia" w:eastAsiaTheme="minorEastAsia"/>
        </w:rPr>
        <w:t>个月以后、</w:t>
      </w:r>
      <w:r>
        <w:rPr>
          <w:rFonts w:asciiTheme="minorEastAsia" w:hAnsiTheme="minorEastAsia" w:eastAsiaTheme="minorEastAsia"/>
        </w:rPr>
        <w:t>6</w:t>
      </w:r>
      <w:r>
        <w:rPr>
          <w:rFonts w:hint="eastAsia" w:asciiTheme="minorEastAsia" w:hAnsiTheme="minorEastAsia" w:eastAsiaTheme="minorEastAsia"/>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4701FD6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、通讯开会。通讯开会系指基金份额持有人将其对表决事项的投票以书面形式或大会公告载明的其他方式在表决截止日以前送达至召集人指定的地址。通讯开会应以书面方式或大会公告载明的其他方式进行表决。</w:t>
      </w:r>
    </w:p>
    <w:p w14:paraId="56C51B8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在同时符合以下条件时，通讯开会的方式视为有效：</w:t>
      </w:r>
    </w:p>
    <w:p w14:paraId="4EA2A60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）会议召集人按《基金合同》约定公布会议通知后，在</w:t>
      </w:r>
      <w:r>
        <w:rPr>
          <w:rFonts w:asciiTheme="minorEastAsia" w:hAnsiTheme="minorEastAsia" w:eastAsiaTheme="minorEastAsia"/>
        </w:rPr>
        <w:t>2</w:t>
      </w:r>
      <w:r>
        <w:rPr>
          <w:rFonts w:hint="eastAsia" w:asciiTheme="minorEastAsia" w:hAnsiTheme="minorEastAsia" w:eastAsiaTheme="minorEastAsia"/>
        </w:rPr>
        <w:t>个工作日内连续公布相关提示性公告；</w:t>
      </w:r>
    </w:p>
    <w:p w14:paraId="2692732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D68B81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Pr>
          <w:rFonts w:asciiTheme="minorEastAsia" w:hAnsiTheme="minorEastAsia" w:eastAsiaTheme="minorEastAsia"/>
        </w:rPr>
        <w:t>3</w:t>
      </w:r>
      <w:r>
        <w:rPr>
          <w:rFonts w:hint="eastAsia" w:asciiTheme="minorEastAsia" w:hAnsiTheme="minorEastAsia" w:eastAsiaTheme="minorEastAsia"/>
        </w:rPr>
        <w:t>个月以后、</w:t>
      </w:r>
      <w:r>
        <w:rPr>
          <w:rFonts w:asciiTheme="minorEastAsia" w:hAnsiTheme="minorEastAsia" w:eastAsiaTheme="minorEastAsia"/>
        </w:rPr>
        <w:t>6</w:t>
      </w:r>
      <w:r>
        <w:rPr>
          <w:rFonts w:hint="eastAsia" w:asciiTheme="minorEastAsia" w:hAnsiTheme="minorEastAsia" w:eastAsiaTheme="minorEastAsia"/>
        </w:rPr>
        <w:t>个月以内，就原定审议事项重新召集基金份额持有人大会。重新召集的基金份额持有人大会应当有代表三分之一以上（含三分之一）基金份额的持有人直接出具表决意见或授权他人代表出具表决意见；</w:t>
      </w:r>
    </w:p>
    <w:p w14:paraId="0B389C5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）上述第（</w:t>
      </w:r>
      <w:r>
        <w:rPr>
          <w:rFonts w:asciiTheme="minorEastAsia" w:hAnsiTheme="minorEastAsia" w:eastAsiaTheme="minorEastAsia"/>
        </w:rPr>
        <w:t>3</w:t>
      </w:r>
      <w:r>
        <w:rPr>
          <w:rFonts w:hint="eastAsia" w:asciiTheme="minorEastAsia" w:hAnsiTheme="minorEastAsia" w:eastAsiaTheme="minorEastAsia"/>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7991306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w:t>
      </w:r>
    </w:p>
    <w:p w14:paraId="421D57B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7FEFBDF5">
      <w:pPr>
        <w:adjustRightInd w:val="0"/>
        <w:snapToGrid w:val="0"/>
        <w:spacing w:line="360" w:lineRule="auto"/>
        <w:ind w:firstLine="420" w:firstLineChars="200"/>
        <w:rPr>
          <w:rFonts w:asciiTheme="minorEastAsia" w:hAnsiTheme="minorEastAsia" w:eastAsiaTheme="minorEastAsia"/>
        </w:rPr>
      </w:pPr>
      <w:bookmarkStart w:id="209" w:name="_Toc15641224"/>
      <w:bookmarkStart w:id="210" w:name="_Toc79392588"/>
      <w:bookmarkStart w:id="211" w:name="_Toc57530247"/>
      <w:r>
        <w:rPr>
          <w:rFonts w:hint="eastAsia" w:asciiTheme="minorEastAsia" w:hAnsiTheme="minorEastAsia" w:eastAsiaTheme="minorEastAsia"/>
        </w:rPr>
        <w:t>五、议事内容与程序</w:t>
      </w:r>
      <w:bookmarkEnd w:id="209"/>
      <w:bookmarkEnd w:id="210"/>
      <w:bookmarkEnd w:id="211"/>
    </w:p>
    <w:p w14:paraId="60D3600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、议事内容及提案权</w:t>
      </w:r>
    </w:p>
    <w:p w14:paraId="238F6A2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0C6BA3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基金份额持有人大会的召集人发出召集会议的通知后，对原有提案的修改应当在基金份额持有人大会召开前及时公告。</w:t>
      </w:r>
    </w:p>
    <w:p w14:paraId="6B32444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基金份额持有人大会不得对未事先公告的议事内容进行表决。</w:t>
      </w:r>
    </w:p>
    <w:p w14:paraId="458341B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、议事程序</w:t>
      </w:r>
    </w:p>
    <w:p w14:paraId="1B773C1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）现场开会</w:t>
      </w:r>
    </w:p>
    <w:p w14:paraId="20B82F1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14:paraId="0BAB6D3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会议召集人应当制作出席会议人员的签名册。签名册载明参加会议人员姓名（或单位名称）、身份证明文件号码、持有或代表有表决权的基金份额、委托人姓名（或单位名称）和联系方式等事项。</w:t>
      </w:r>
    </w:p>
    <w:p w14:paraId="245F7C4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）通讯开会</w:t>
      </w:r>
    </w:p>
    <w:p w14:paraId="21CCD3B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在通讯开会的情况下，首先由召集人提前</w:t>
      </w:r>
      <w:r>
        <w:rPr>
          <w:rFonts w:asciiTheme="minorEastAsia" w:hAnsiTheme="minorEastAsia" w:eastAsiaTheme="minorEastAsia"/>
        </w:rPr>
        <w:t>30</w:t>
      </w:r>
      <w:r>
        <w:rPr>
          <w:rFonts w:hint="eastAsia" w:asciiTheme="minorEastAsia" w:hAnsiTheme="minorEastAsia" w:eastAsiaTheme="minorEastAsia"/>
        </w:rPr>
        <w:t>日公布提案，在所通知的表决截止日期后</w:t>
      </w:r>
      <w:r>
        <w:rPr>
          <w:rFonts w:asciiTheme="minorEastAsia" w:hAnsiTheme="minorEastAsia" w:eastAsiaTheme="minorEastAsia"/>
        </w:rPr>
        <w:t>2</w:t>
      </w:r>
      <w:r>
        <w:rPr>
          <w:rFonts w:hint="eastAsia" w:asciiTheme="minorEastAsia" w:hAnsiTheme="minorEastAsia" w:eastAsiaTheme="minorEastAsia"/>
        </w:rPr>
        <w:t>个工作日内在公证机关监督下由召集人统计全部有效表决，在公证机关监督下形成决议。</w:t>
      </w:r>
    </w:p>
    <w:p w14:paraId="152566B4">
      <w:pPr>
        <w:adjustRightInd w:val="0"/>
        <w:snapToGrid w:val="0"/>
        <w:spacing w:line="360" w:lineRule="auto"/>
        <w:ind w:firstLine="420" w:firstLineChars="200"/>
        <w:rPr>
          <w:rFonts w:asciiTheme="minorEastAsia" w:hAnsiTheme="minorEastAsia" w:eastAsiaTheme="minorEastAsia"/>
        </w:rPr>
      </w:pPr>
      <w:bookmarkStart w:id="212" w:name="_Toc57530248"/>
      <w:bookmarkStart w:id="213" w:name="_Toc15641225"/>
      <w:bookmarkStart w:id="214" w:name="_Toc79392589"/>
      <w:r>
        <w:rPr>
          <w:rFonts w:hint="eastAsia" w:asciiTheme="minorEastAsia" w:hAnsiTheme="minorEastAsia" w:eastAsiaTheme="minorEastAsia"/>
        </w:rPr>
        <w:t>六、表决</w:t>
      </w:r>
      <w:bookmarkEnd w:id="212"/>
      <w:bookmarkEnd w:id="213"/>
      <w:bookmarkEnd w:id="214"/>
    </w:p>
    <w:p w14:paraId="1736187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基金份额持有人所持每份基金份额有一票表决权。</w:t>
      </w:r>
    </w:p>
    <w:p w14:paraId="1ACEB92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基金份额持有人大会决议分为一般决议和特别决议：</w:t>
      </w:r>
    </w:p>
    <w:p w14:paraId="19BBDCC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、一般决议，一般决议须经参加大会的基金份额持有人或其代理人所持表决权的二分之一以上（含二分之一）通过方为有效；除下列第</w:t>
      </w:r>
      <w:r>
        <w:rPr>
          <w:rFonts w:asciiTheme="minorEastAsia" w:hAnsiTheme="minorEastAsia" w:eastAsiaTheme="minorEastAsia"/>
        </w:rPr>
        <w:t>2</w:t>
      </w:r>
      <w:r>
        <w:rPr>
          <w:rFonts w:hint="eastAsia" w:asciiTheme="minorEastAsia" w:hAnsiTheme="minorEastAsia" w:eastAsiaTheme="minorEastAsia"/>
        </w:rPr>
        <w:t>项所规定的须以特别决议通过事项以外的其他事项均以一般决议的方式通过。</w:t>
      </w:r>
    </w:p>
    <w:p w14:paraId="779723FB">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、特别决议，特别决议应当经参加大会的基金份额持有人或其代理人所持表决权的三分之二以上（含三分之二）通过方可做出。除法律法规、监管</w:t>
      </w:r>
      <w:r>
        <w:rPr>
          <w:rFonts w:asciiTheme="minorEastAsia" w:hAnsiTheme="minorEastAsia" w:eastAsiaTheme="minorEastAsia"/>
        </w:rPr>
        <w:t>机构</w:t>
      </w:r>
      <w:r>
        <w:rPr>
          <w:rFonts w:hint="eastAsia" w:asciiTheme="minorEastAsia" w:hAnsiTheme="minorEastAsia" w:eastAsiaTheme="minorEastAsia"/>
        </w:rPr>
        <w:t>另有规定或本基金合同另有约定外，转换基金运作方式、更换基金管理人或者基金托管人、终止《基金合同》、本基金与其他基金合并以特别决议通过方为有效。</w:t>
      </w:r>
    </w:p>
    <w:p w14:paraId="7E7A246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基金份额持有人大会采取记名方式进行投票表决。</w:t>
      </w:r>
    </w:p>
    <w:p w14:paraId="0F1B549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3A9278A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基金份额持有人大会的各项提案或同一项提案内并列的各项议题应当分开审议、逐项表决。</w:t>
      </w:r>
    </w:p>
    <w:p w14:paraId="2639F0D8">
      <w:pPr>
        <w:adjustRightInd w:val="0"/>
        <w:snapToGrid w:val="0"/>
        <w:spacing w:line="360" w:lineRule="auto"/>
        <w:ind w:firstLine="420" w:firstLineChars="200"/>
        <w:rPr>
          <w:rFonts w:asciiTheme="minorEastAsia" w:hAnsiTheme="minorEastAsia" w:eastAsiaTheme="minorEastAsia"/>
        </w:rPr>
      </w:pPr>
      <w:bookmarkStart w:id="215" w:name="_Toc57530249"/>
      <w:bookmarkStart w:id="216" w:name="_Toc79392590"/>
      <w:bookmarkStart w:id="217" w:name="_Toc15641226"/>
      <w:r>
        <w:rPr>
          <w:rFonts w:hint="eastAsia" w:asciiTheme="minorEastAsia" w:hAnsiTheme="minorEastAsia" w:eastAsiaTheme="minorEastAsia"/>
        </w:rPr>
        <w:t>七、计票</w:t>
      </w:r>
      <w:bookmarkEnd w:id="215"/>
      <w:bookmarkEnd w:id="216"/>
      <w:bookmarkEnd w:id="217"/>
    </w:p>
    <w:p w14:paraId="0CDC148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、现场开会</w:t>
      </w:r>
    </w:p>
    <w:p w14:paraId="4DD8735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CE8641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）监票人应当在基金份额持有人表决后立即进行清点并由大会主持人当场公布计票结果。</w:t>
      </w:r>
    </w:p>
    <w:p w14:paraId="2093233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538257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）计票过程应由公证机关予以公证，基金管理人或基金托管人拒不出席大会的，不影响计票的效力。</w:t>
      </w:r>
    </w:p>
    <w:p w14:paraId="304FE38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、通讯开会</w:t>
      </w:r>
    </w:p>
    <w:p w14:paraId="1BDA9D4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在通讯开会的情况下，计票方式为：由大会召集人授权的两名监督员在基金托管人授权代表（若由基金托管人召集，则为基金管理人授权代表）的监督下进行计票，并由公证机关对其计票过程予以公证</w:t>
      </w:r>
      <w:bookmarkStart w:id="218" w:name="_Toc15641227"/>
      <w:bookmarkStart w:id="219" w:name="_Toc57530250"/>
      <w:bookmarkStart w:id="220" w:name="_Toc79392591"/>
      <w:r>
        <w:rPr>
          <w:rFonts w:hint="eastAsia" w:asciiTheme="minorEastAsia" w:hAnsiTheme="minorEastAsia" w:eastAsiaTheme="minorEastAsia"/>
        </w:rPr>
        <w:t>。基金管理人或基金托管人拒派代表对表决意见的计票进行监督的，不影响计票和表决结果。</w:t>
      </w:r>
    </w:p>
    <w:p w14:paraId="7446E5E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八、生效与公告</w:t>
      </w:r>
      <w:bookmarkEnd w:id="218"/>
      <w:bookmarkEnd w:id="219"/>
      <w:bookmarkEnd w:id="220"/>
    </w:p>
    <w:p w14:paraId="478EA54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基金份额持有人大会的决议，召集人应当自通过之日起</w:t>
      </w:r>
      <w:r>
        <w:rPr>
          <w:rFonts w:asciiTheme="minorEastAsia" w:hAnsiTheme="minorEastAsia" w:eastAsiaTheme="minorEastAsia"/>
        </w:rPr>
        <w:t>5</w:t>
      </w:r>
      <w:r>
        <w:rPr>
          <w:rFonts w:hint="eastAsia" w:asciiTheme="minorEastAsia" w:hAnsiTheme="minorEastAsia" w:eastAsiaTheme="minorEastAsia"/>
        </w:rPr>
        <w:t>日内报中国证监会备案。</w:t>
      </w:r>
    </w:p>
    <w:p w14:paraId="089B459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基金份额持有人大会的决议自表决通过之日起生效。</w:t>
      </w:r>
    </w:p>
    <w:p w14:paraId="774E09C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基金份额持有人大会决议自生效之日起按规定在规定媒介上公告。</w:t>
      </w:r>
      <w:bookmarkStart w:id="221" w:name="_Hlt88820702"/>
      <w:bookmarkEnd w:id="221"/>
      <w:r>
        <w:rPr>
          <w:rFonts w:hint="eastAsia" w:asciiTheme="minorEastAsia" w:hAnsiTheme="minorEastAsia" w:eastAsiaTheme="minorEastAsia"/>
        </w:rPr>
        <w:t>如果采用通讯方式进行表决，在公告基金份额持有人大会决议时，必须将公证书全文、公证机构、公证员姓名等一同公告。</w:t>
      </w:r>
    </w:p>
    <w:p w14:paraId="35713EA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基金管理人、基金托管人和基金份额持有人应当执行生效的基金份额持有人大会的决议。生效的基金份额持有人大会决议对全体基金份额持有人、基金管理人、基金托管人均有约束力。</w:t>
      </w:r>
      <w:bookmarkStart w:id="222" w:name="_Toc725"/>
      <w:bookmarkStart w:id="223" w:name="_Toc139991739"/>
      <w:bookmarkStart w:id="224" w:name="_Toc3963"/>
      <w:bookmarkStart w:id="225" w:name="_Toc10398"/>
      <w:bookmarkStart w:id="226" w:name="_Toc18206"/>
      <w:bookmarkStart w:id="227" w:name="_Toc21735"/>
      <w:bookmarkStart w:id="228" w:name="_Toc31821"/>
      <w:bookmarkStart w:id="229" w:name="_Toc123112237"/>
      <w:bookmarkStart w:id="230" w:name="_Toc3080"/>
      <w:bookmarkStart w:id="231" w:name="_Toc3572"/>
      <w:bookmarkStart w:id="232" w:name="_Toc98560355"/>
      <w:bookmarkStart w:id="233" w:name="_Toc123102456"/>
      <w:bookmarkStart w:id="234" w:name="_Toc18769"/>
      <w:bookmarkStart w:id="235" w:name="_Toc123051455"/>
      <w:bookmarkStart w:id="236" w:name="_Toc141703889"/>
      <w:bookmarkStart w:id="237" w:name="_Toc1745"/>
      <w:bookmarkStart w:id="238" w:name="_Toc16164"/>
    </w:p>
    <w:p w14:paraId="61CFD6B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九、实施侧袋机制期间基金份额持有人大会的特殊约定</w:t>
      </w:r>
    </w:p>
    <w:p w14:paraId="117F577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3712F9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1、基金份额持有人行使提议权、召集权、提名权所需单独或合计代表相关基金份额10%以上（含10%）；</w:t>
      </w:r>
    </w:p>
    <w:p w14:paraId="44FF321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2、现场开会的到会者在权益登记日代表的基金份额不少于本基金在权益登记日相关基金份额的二分之一（含二分之一）；</w:t>
      </w:r>
    </w:p>
    <w:p w14:paraId="620D943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3、通讯开会的直接出具表决意见或授权他人代表出具表决意见的基金份额持有人所持有的基金份额不小于在权益登记日相关基金份额的二分之一（含二分之一）；</w:t>
      </w:r>
    </w:p>
    <w:p w14:paraId="1E9A565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21EE4BC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5、现场开会由出席大会的基金份额持有人和代理人所持表决权的50%以上（含50%）选举产生一名基金份额持有人作为该次基金份额持有人大会的主持人；</w:t>
      </w:r>
    </w:p>
    <w:p w14:paraId="2C7DF8E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6、一般决议须经参加大会的基金份额持有人或其代理人所持表决权的二分之一以上（含二分之一）通过；</w:t>
      </w:r>
    </w:p>
    <w:p w14:paraId="7FC783F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7、特别决议应当经参加大会的基金份额持有人或其代理人所持表决权的三分之二以上（含三分之二）通过。</w:t>
      </w:r>
    </w:p>
    <w:p w14:paraId="460C7FE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71F6036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侧袋机制实施期间，关于基金份额持有人大会的相关规定以本节特殊约定内容为准，本节没有规定的适用上文相关约定。</w:t>
      </w:r>
    </w:p>
    <w:p w14:paraId="0F1F3C0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本部分关于基金份额持有人大会召开事由、召开条件、议事程序、表决条件等规定，凡是直接引用法律法规或监管规定的部分，如将来法律法规或监管规定修改导致相关内容被取消或变更的，基金管理人与基金托管人协商一致并提前公告后，可直接对本部分内容进行修改和调整，无需召开基金份额持有人大会审议。</w:t>
      </w:r>
    </w:p>
    <w:p w14:paraId="28C28EB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十一、鉴于本基金是目标</w:t>
      </w:r>
      <w:r>
        <w:rPr>
          <w:rFonts w:asciiTheme="minorEastAsia" w:hAnsiTheme="minorEastAsia" w:eastAsiaTheme="minorEastAsia"/>
        </w:rPr>
        <w:t>ETF的联接基金，本基金的基金份额持有人可以凭所持有的本基金份额出席或者委派代表出席目标ETF的</w:t>
      </w:r>
      <w:r>
        <w:rPr>
          <w:rFonts w:hint="eastAsia" w:asciiTheme="minorEastAsia" w:hAnsiTheme="minorEastAsia" w:eastAsiaTheme="minorEastAsia"/>
        </w:rPr>
        <w:t>基金份额持有人大会并参与表决，其持有的享有表决权的基金份额数和表决票数为在目标</w:t>
      </w:r>
      <w:r>
        <w:rPr>
          <w:rFonts w:asciiTheme="minorEastAsia" w:hAnsiTheme="minorEastAsia" w:eastAsiaTheme="minorEastAsia"/>
        </w:rPr>
        <w:t>ETF基金份额持有人大会的权益登记日，本基金持有目标ETF份额的总数乘以该持有人所持有的本基金份额占本基金总份额的比例，计算结果按照四舍五入的方法，保留到整数位。</w:t>
      </w:r>
    </w:p>
    <w:p w14:paraId="5269A56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本基金的基金管理人不应以本基金的名义代表本基金的全体基金份额持有人以目标</w:t>
      </w:r>
      <w:r>
        <w:rPr>
          <w:rFonts w:asciiTheme="minorEastAsia" w:hAnsiTheme="minorEastAsia" w:eastAsiaTheme="minorEastAsia"/>
        </w:rPr>
        <w:t>ETF</w:t>
      </w:r>
      <w:r>
        <w:rPr>
          <w:rFonts w:hint="eastAsia" w:asciiTheme="minorEastAsia" w:hAnsiTheme="minorEastAsia" w:eastAsiaTheme="minorEastAsia"/>
        </w:rPr>
        <w:t>的基金份额持有人的身份行使表决权，但可接受本基金的特定基金份额持有人的委托以本基金的基金份额持有人代理人的身份出席目标</w:t>
      </w:r>
      <w:r>
        <w:rPr>
          <w:rFonts w:asciiTheme="minorEastAsia" w:hAnsiTheme="minorEastAsia" w:eastAsiaTheme="minorEastAsia"/>
        </w:rPr>
        <w:t>ETF的基金份额持有人大会并参与表决。</w:t>
      </w:r>
    </w:p>
    <w:p w14:paraId="38264FD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本基金的基金管理人代表本基金的基金份额持有人提议召开或召集目标</w:t>
      </w:r>
      <w:r>
        <w:rPr>
          <w:rFonts w:asciiTheme="minorEastAsia" w:hAnsiTheme="minorEastAsia" w:eastAsiaTheme="minorEastAsia"/>
        </w:rPr>
        <w:t>ETF</w:t>
      </w:r>
      <w:r>
        <w:rPr>
          <w:rFonts w:hint="eastAsia" w:asciiTheme="minorEastAsia" w:hAnsiTheme="minorEastAsia" w:eastAsiaTheme="minorEastAsia"/>
        </w:rPr>
        <w:t>的基金份额持有人大会的，须先遵照本基金基金合同的约定召开本基金的基金份额持有人大会，本基金的基金份额持有人大会决定提议召开或召集目标</w:t>
      </w:r>
      <w:r>
        <w:rPr>
          <w:rFonts w:asciiTheme="minorEastAsia" w:hAnsiTheme="minorEastAsia" w:eastAsiaTheme="minorEastAsia"/>
        </w:rPr>
        <w:t>ETF</w:t>
      </w:r>
      <w:r>
        <w:rPr>
          <w:rFonts w:hint="eastAsia" w:asciiTheme="minorEastAsia" w:hAnsiTheme="minorEastAsia" w:eastAsiaTheme="minorEastAsia"/>
        </w:rPr>
        <w:t>的基金份额持有人大会的，由本基金基金管理人代表本基金的基金份额持有人提议召开或召集目标</w:t>
      </w:r>
      <w:r>
        <w:rPr>
          <w:rFonts w:asciiTheme="minorEastAsia" w:hAnsiTheme="minorEastAsia" w:eastAsiaTheme="minorEastAsia"/>
        </w:rPr>
        <w:t>ETF</w:t>
      </w:r>
      <w:r>
        <w:rPr>
          <w:rFonts w:hint="eastAsia" w:asciiTheme="minorEastAsia" w:hAnsiTheme="minorEastAsia" w:eastAsiaTheme="minorEastAsia"/>
        </w:rPr>
        <w:t>的基金份额持有人大会。</w:t>
      </w:r>
    </w:p>
    <w:p w14:paraId="74C1B201">
      <w:pPr>
        <w:adjustRightInd w:val="0"/>
        <w:snapToGrid w:val="0"/>
        <w:spacing w:line="360" w:lineRule="auto"/>
        <w:rPr>
          <w:rFonts w:cs="Arial" w:asciiTheme="minorEastAsia" w:hAnsiTheme="minorEastAsia" w:eastAsiaTheme="minorEastAsia"/>
          <w:szCs w:val="21"/>
        </w:rPr>
      </w:pPr>
    </w:p>
    <w:p w14:paraId="30030A2C">
      <w:pPr>
        <w:pStyle w:val="3"/>
        <w:adjustRightInd w:val="0"/>
        <w:snapToGrid w:val="0"/>
        <w:spacing w:before="0" w:after="0" w:line="360" w:lineRule="auto"/>
        <w:rPr>
          <w:rFonts w:cs="Arial" w:asciiTheme="minorEastAsia" w:hAnsiTheme="minorEastAsia" w:eastAsiaTheme="minorEastAsia"/>
          <w:sz w:val="21"/>
          <w:szCs w:val="21"/>
        </w:rPr>
        <w:sectPr>
          <w:footerReference r:id="rId11" w:type="default"/>
          <w:pgSz w:w="11906" w:h="16838"/>
          <w:pgMar w:top="1418" w:right="1701" w:bottom="1418" w:left="1701" w:header="851" w:footer="992" w:gutter="0"/>
          <w:pgNumType w:start="1"/>
          <w:cols w:space="425" w:num="1"/>
          <w:docGrid w:type="lines" w:linePitch="312" w:charSpace="0"/>
        </w:sectPr>
      </w:pPr>
      <w:bookmarkStart w:id="239" w:name="_Toc90742395"/>
      <w:bookmarkStart w:id="240" w:name="_Toc90742326"/>
    </w:p>
    <w:bookmarkEnd w:id="195"/>
    <w:p w14:paraId="0A10F4A8">
      <w:pPr>
        <w:pStyle w:val="3"/>
        <w:adjustRightInd w:val="0"/>
        <w:snapToGrid w:val="0"/>
        <w:spacing w:before="312" w:beforeLines="100" w:after="0" w:line="360" w:lineRule="auto"/>
        <w:rPr>
          <w:rFonts w:asciiTheme="minorEastAsia" w:hAnsiTheme="minorEastAsia" w:eastAsiaTheme="minorEastAsia"/>
          <w:sz w:val="21"/>
        </w:rPr>
      </w:pPr>
      <w:bookmarkStart w:id="241" w:name="_Toc16237234"/>
      <w:bookmarkStart w:id="242" w:name="CLAUSE_43f1c9da63534698a495625d2f2bd805"/>
      <w:r>
        <w:rPr>
          <w:rFonts w:hint="eastAsia" w:cs="Arial" w:asciiTheme="minorEastAsia" w:hAnsiTheme="minorEastAsia" w:eastAsiaTheme="minorEastAsia"/>
          <w:sz w:val="21"/>
          <w:szCs w:val="21"/>
        </w:rPr>
        <w:t xml:space="preserve">第九部分 </w:t>
      </w:r>
      <w:bookmarkStart w:id="243" w:name="CTS_43f1c9da63534698a495625d2f2bd805"/>
      <w:bookmarkEnd w:id="243"/>
      <w:r>
        <w:rPr>
          <w:rFonts w:hint="eastAsia" w:asciiTheme="minorEastAsia" w:hAnsiTheme="minorEastAsia" w:eastAsiaTheme="minorEastAsia"/>
          <w:sz w:val="21"/>
        </w:rPr>
        <w:t>基金管理人、基金托管人的更换条件和程序</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35AA4293">
      <w:pPr>
        <w:autoSpaceDE w:val="0"/>
        <w:autoSpaceDN w:val="0"/>
        <w:spacing w:line="360" w:lineRule="auto"/>
        <w:textAlignment w:val="bottom"/>
        <w:rPr>
          <w:rFonts w:asciiTheme="minorEastAsia" w:hAnsiTheme="minorEastAsia" w:eastAsiaTheme="minorEastAsia"/>
          <w:bCs/>
          <w:sz w:val="24"/>
        </w:rPr>
      </w:pPr>
      <w:bookmarkStart w:id="244" w:name="_Toc15118245"/>
      <w:bookmarkStart w:id="245" w:name="_Toc79392593"/>
      <w:bookmarkStart w:id="246" w:name="_Toc57530252"/>
    </w:p>
    <w:p w14:paraId="429F762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一、基金管理人和基金托管人职责终止的情形</w:t>
      </w:r>
      <w:bookmarkEnd w:id="244"/>
      <w:bookmarkEnd w:id="245"/>
      <w:bookmarkEnd w:id="246"/>
    </w:p>
    <w:p w14:paraId="74BC25D8">
      <w:pPr>
        <w:adjustRightInd w:val="0"/>
        <w:snapToGrid w:val="0"/>
        <w:spacing w:line="360" w:lineRule="auto"/>
        <w:ind w:firstLine="420" w:firstLineChars="200"/>
        <w:rPr>
          <w:rFonts w:asciiTheme="minorEastAsia" w:hAnsiTheme="minorEastAsia" w:eastAsiaTheme="minorEastAsia"/>
        </w:rPr>
      </w:pPr>
      <w:bookmarkStart w:id="247" w:name="_Toc22005971"/>
      <w:r>
        <w:rPr>
          <w:rFonts w:hint="eastAsia" w:asciiTheme="minorEastAsia" w:hAnsiTheme="minorEastAsia" w:eastAsiaTheme="minorEastAsia"/>
        </w:rPr>
        <w:t>（一）</w:t>
      </w:r>
      <w:r>
        <w:rPr>
          <w:rFonts w:asciiTheme="minorEastAsia" w:hAnsiTheme="minorEastAsia" w:eastAsiaTheme="minorEastAsia"/>
        </w:rPr>
        <w:tab/>
      </w:r>
      <w:r>
        <w:rPr>
          <w:rFonts w:hint="eastAsia" w:asciiTheme="minorEastAsia" w:hAnsiTheme="minorEastAsia" w:eastAsiaTheme="minorEastAsia"/>
        </w:rPr>
        <w:t>基金管理人职责终止的情形</w:t>
      </w:r>
      <w:bookmarkEnd w:id="247"/>
    </w:p>
    <w:p w14:paraId="4EB6AE0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有下列情形之一的，基金管理人职责终止：</w:t>
      </w:r>
    </w:p>
    <w:p w14:paraId="1175F94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、被依法取消基金管理资格；</w:t>
      </w:r>
    </w:p>
    <w:p w14:paraId="04C668D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、被基金份额持有人大会解任；</w:t>
      </w:r>
    </w:p>
    <w:p w14:paraId="25D014C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、依法解散、被依法撤销或被依法宣告破产；</w:t>
      </w:r>
    </w:p>
    <w:p w14:paraId="13A8BB2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、法律法规及中国证监会规定的和《基金合同》约定的其他情形。</w:t>
      </w:r>
    </w:p>
    <w:p w14:paraId="7460E688">
      <w:pPr>
        <w:adjustRightInd w:val="0"/>
        <w:snapToGrid w:val="0"/>
        <w:spacing w:line="360" w:lineRule="auto"/>
        <w:ind w:firstLine="420" w:firstLineChars="200"/>
        <w:rPr>
          <w:rFonts w:asciiTheme="minorEastAsia" w:hAnsiTheme="minorEastAsia" w:eastAsiaTheme="minorEastAsia"/>
        </w:rPr>
      </w:pPr>
      <w:bookmarkStart w:id="248" w:name="_Toc22005972"/>
      <w:r>
        <w:rPr>
          <w:rFonts w:hint="eastAsia" w:asciiTheme="minorEastAsia" w:hAnsiTheme="minorEastAsia" w:eastAsiaTheme="minorEastAsia"/>
        </w:rPr>
        <w:t>（二）</w:t>
      </w:r>
      <w:r>
        <w:rPr>
          <w:rFonts w:asciiTheme="minorEastAsia" w:hAnsiTheme="minorEastAsia" w:eastAsiaTheme="minorEastAsia"/>
        </w:rPr>
        <w:tab/>
      </w:r>
      <w:r>
        <w:rPr>
          <w:rFonts w:hint="eastAsia" w:asciiTheme="minorEastAsia" w:hAnsiTheme="minorEastAsia" w:eastAsiaTheme="minorEastAsia"/>
        </w:rPr>
        <w:t>基金托管人职责终止的情形</w:t>
      </w:r>
      <w:bookmarkEnd w:id="248"/>
    </w:p>
    <w:p w14:paraId="5424F23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有下列情形之一的，基金托管人职责终止：</w:t>
      </w:r>
    </w:p>
    <w:p w14:paraId="539CC84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、被依法取消基金托管资格；</w:t>
      </w:r>
    </w:p>
    <w:p w14:paraId="408E8BA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、被基金份额持有人大会解任；</w:t>
      </w:r>
    </w:p>
    <w:p w14:paraId="19EC066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、依法解散、被依法撤销或被依法宣告破产；</w:t>
      </w:r>
    </w:p>
    <w:p w14:paraId="6C8F39FB">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、法律法规及中国证监会规定的和《基金合同》约定的其他情形。</w:t>
      </w:r>
    </w:p>
    <w:p w14:paraId="38E76E3E">
      <w:pPr>
        <w:adjustRightInd w:val="0"/>
        <w:snapToGrid w:val="0"/>
        <w:spacing w:line="360" w:lineRule="auto"/>
        <w:ind w:firstLine="420" w:firstLineChars="200"/>
        <w:rPr>
          <w:rFonts w:asciiTheme="minorEastAsia" w:hAnsiTheme="minorEastAsia" w:eastAsiaTheme="minorEastAsia"/>
        </w:rPr>
      </w:pPr>
      <w:bookmarkStart w:id="249" w:name="_Toc15118246"/>
      <w:bookmarkStart w:id="250" w:name="_Toc57530253"/>
      <w:bookmarkStart w:id="251" w:name="_Toc79392594"/>
      <w:r>
        <w:rPr>
          <w:rFonts w:hint="eastAsia" w:asciiTheme="minorEastAsia" w:hAnsiTheme="minorEastAsia" w:eastAsiaTheme="minorEastAsia"/>
        </w:rPr>
        <w:t>二、基金管理人和基金托管人的更换程序</w:t>
      </w:r>
      <w:bookmarkEnd w:id="249"/>
      <w:bookmarkEnd w:id="250"/>
      <w:bookmarkEnd w:id="251"/>
    </w:p>
    <w:p w14:paraId="673E9D0D">
      <w:pPr>
        <w:adjustRightInd w:val="0"/>
        <w:snapToGrid w:val="0"/>
        <w:spacing w:line="360" w:lineRule="auto"/>
        <w:ind w:firstLine="420" w:firstLineChars="200"/>
        <w:rPr>
          <w:rFonts w:asciiTheme="minorEastAsia" w:hAnsiTheme="minorEastAsia" w:eastAsiaTheme="minorEastAsia"/>
        </w:rPr>
      </w:pPr>
      <w:bookmarkStart w:id="252" w:name="_Toc22005974"/>
      <w:r>
        <w:rPr>
          <w:rFonts w:hint="eastAsia" w:asciiTheme="minorEastAsia" w:hAnsiTheme="minorEastAsia" w:eastAsiaTheme="minorEastAsia"/>
        </w:rPr>
        <w:t>（一）</w:t>
      </w:r>
      <w:r>
        <w:rPr>
          <w:rFonts w:asciiTheme="minorEastAsia" w:hAnsiTheme="minorEastAsia" w:eastAsiaTheme="minorEastAsia"/>
        </w:rPr>
        <w:tab/>
      </w:r>
      <w:r>
        <w:rPr>
          <w:rFonts w:hint="eastAsia" w:asciiTheme="minorEastAsia" w:hAnsiTheme="minorEastAsia" w:eastAsiaTheme="minorEastAsia"/>
        </w:rPr>
        <w:t>基金管理人的更换程序</w:t>
      </w:r>
      <w:bookmarkEnd w:id="252"/>
    </w:p>
    <w:p w14:paraId="70C4B9F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、提名：新任基金管理人由基金托管人或由单独或合计持有</w:t>
      </w:r>
      <w:r>
        <w:rPr>
          <w:rFonts w:asciiTheme="minorEastAsia" w:hAnsiTheme="minorEastAsia" w:eastAsiaTheme="minorEastAsia"/>
        </w:rPr>
        <w:t>10%</w:t>
      </w:r>
      <w:r>
        <w:rPr>
          <w:rFonts w:hint="eastAsia" w:asciiTheme="minorEastAsia" w:hAnsiTheme="minorEastAsia" w:eastAsiaTheme="minorEastAsia"/>
        </w:rPr>
        <w:t>以上（含</w:t>
      </w:r>
      <w:r>
        <w:rPr>
          <w:rFonts w:asciiTheme="minorEastAsia" w:hAnsiTheme="minorEastAsia" w:eastAsiaTheme="minorEastAsia"/>
        </w:rPr>
        <w:t>10%</w:t>
      </w:r>
      <w:r>
        <w:rPr>
          <w:rFonts w:hint="eastAsia" w:asciiTheme="minorEastAsia" w:hAnsiTheme="minorEastAsia" w:eastAsiaTheme="minorEastAsia"/>
        </w:rPr>
        <w:t>）基金份额的基金份额持有人提名；</w:t>
      </w:r>
    </w:p>
    <w:p w14:paraId="7BB6112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、决议：基金份额持有人大会在基金管理人职责终止后</w:t>
      </w:r>
      <w:r>
        <w:rPr>
          <w:rFonts w:asciiTheme="minorEastAsia" w:hAnsiTheme="minorEastAsia" w:eastAsiaTheme="minorEastAsia"/>
        </w:rPr>
        <w:t>6</w:t>
      </w:r>
      <w:r>
        <w:rPr>
          <w:rFonts w:hint="eastAsia" w:asciiTheme="minorEastAsia" w:hAnsiTheme="minorEastAsia" w:eastAsiaTheme="minorEastAsia"/>
        </w:rPr>
        <w:t>个月内对被提名的基金管理人形成决议，该决议需经参加大会的基金份额持有人所持表决权的三分之二以上（含三分之二）表决通过，决议自表决通过之日起生效；</w:t>
      </w:r>
    </w:p>
    <w:p w14:paraId="5920183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、临时基金管理人：新任基金管理人产生之前，由中国证监会指定临时基金管理人；</w:t>
      </w:r>
    </w:p>
    <w:p w14:paraId="4C34F5F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、备案：基金份额持有人大会更换基金管理人的决议须报中国证监会备案；</w:t>
      </w:r>
    </w:p>
    <w:p w14:paraId="43B8337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、公告：基金管理人更换后，由基金托管人在更换基金管理人的基金份额持有人大会决议生效后按规定在规定媒介公告；</w:t>
      </w:r>
    </w:p>
    <w:p w14:paraId="526902B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和净值；</w:t>
      </w:r>
    </w:p>
    <w:p w14:paraId="33EE19B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7</w:t>
      </w:r>
      <w:r>
        <w:rPr>
          <w:rFonts w:hint="eastAsia" w:asciiTheme="minorEastAsia" w:hAnsiTheme="minorEastAsia" w:eastAsiaTheme="minorEastAsia"/>
        </w:rPr>
        <w:t>、审计：基金管理人职责终止的，应当按照法律法规规定聘请会计师事务所对基金财产进行审计，并将审计结果予以公告，同时报中国证监会备案，审计费用由基金财产承担；</w:t>
      </w:r>
    </w:p>
    <w:p w14:paraId="6E84353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8</w:t>
      </w:r>
      <w:r>
        <w:rPr>
          <w:rFonts w:hint="eastAsia" w:asciiTheme="minorEastAsia" w:hAnsiTheme="minorEastAsia" w:eastAsiaTheme="minorEastAsia"/>
        </w:rPr>
        <w:t>、基金名称变更：基金管理人更换后，如果原任或新任基金管理人要求，应按其要求替换或删除基金名称中与原基金管理人有关的名称字样。</w:t>
      </w:r>
    </w:p>
    <w:p w14:paraId="22A51B22">
      <w:pPr>
        <w:adjustRightInd w:val="0"/>
        <w:snapToGrid w:val="0"/>
        <w:spacing w:line="360" w:lineRule="auto"/>
        <w:ind w:firstLine="420" w:firstLineChars="200"/>
        <w:rPr>
          <w:rFonts w:asciiTheme="minorEastAsia" w:hAnsiTheme="minorEastAsia" w:eastAsiaTheme="minorEastAsia"/>
        </w:rPr>
      </w:pPr>
      <w:bookmarkStart w:id="253" w:name="_Toc22005975"/>
      <w:r>
        <w:rPr>
          <w:rFonts w:hint="eastAsia" w:asciiTheme="minorEastAsia" w:hAnsiTheme="minorEastAsia" w:eastAsiaTheme="minorEastAsia"/>
        </w:rPr>
        <w:t>（二）</w:t>
      </w:r>
      <w:r>
        <w:rPr>
          <w:rFonts w:asciiTheme="minorEastAsia" w:hAnsiTheme="minorEastAsia" w:eastAsiaTheme="minorEastAsia"/>
        </w:rPr>
        <w:tab/>
      </w:r>
      <w:r>
        <w:rPr>
          <w:rFonts w:hint="eastAsia" w:asciiTheme="minorEastAsia" w:hAnsiTheme="minorEastAsia" w:eastAsiaTheme="minorEastAsia"/>
        </w:rPr>
        <w:t>基金托管人的更换程序</w:t>
      </w:r>
      <w:bookmarkEnd w:id="253"/>
    </w:p>
    <w:p w14:paraId="343026A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、提名：新任基金托管人由基金管理人或由单独或合计持有</w:t>
      </w:r>
      <w:r>
        <w:rPr>
          <w:rFonts w:asciiTheme="minorEastAsia" w:hAnsiTheme="minorEastAsia" w:eastAsiaTheme="minorEastAsia"/>
        </w:rPr>
        <w:t>10%</w:t>
      </w:r>
      <w:r>
        <w:rPr>
          <w:rFonts w:hint="eastAsia" w:asciiTheme="minorEastAsia" w:hAnsiTheme="minorEastAsia" w:eastAsiaTheme="minorEastAsia"/>
        </w:rPr>
        <w:t>以上（含</w:t>
      </w:r>
      <w:r>
        <w:rPr>
          <w:rFonts w:asciiTheme="minorEastAsia" w:hAnsiTheme="minorEastAsia" w:eastAsiaTheme="minorEastAsia"/>
        </w:rPr>
        <w:t>10%</w:t>
      </w:r>
      <w:r>
        <w:rPr>
          <w:rFonts w:hint="eastAsia" w:asciiTheme="minorEastAsia" w:hAnsiTheme="minorEastAsia" w:eastAsiaTheme="minorEastAsia"/>
        </w:rPr>
        <w:t>）基金份额的基金份额持有人提名；</w:t>
      </w:r>
    </w:p>
    <w:p w14:paraId="7B0F7D1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、决议：基金份额持有人大会在基金托管人职责终止后</w:t>
      </w:r>
      <w:r>
        <w:rPr>
          <w:rFonts w:asciiTheme="minorEastAsia" w:hAnsiTheme="minorEastAsia" w:eastAsiaTheme="minorEastAsia"/>
        </w:rPr>
        <w:t>6</w:t>
      </w:r>
      <w:r>
        <w:rPr>
          <w:rFonts w:hint="eastAsia" w:asciiTheme="minorEastAsia" w:hAnsiTheme="minorEastAsia" w:eastAsiaTheme="minorEastAsia"/>
        </w:rPr>
        <w:t>个月内对被提名的基金托管人形成决议，该决议需经参加大会的基金份额持有人所持表决权的</w:t>
      </w:r>
      <w:r>
        <w:rPr>
          <w:rFonts w:asciiTheme="minorEastAsia" w:hAnsiTheme="minorEastAsia" w:eastAsiaTheme="minorEastAsia"/>
        </w:rPr>
        <w:t xml:space="preserve"> </w:t>
      </w:r>
      <w:r>
        <w:rPr>
          <w:rFonts w:hint="eastAsia" w:asciiTheme="minorEastAsia" w:hAnsiTheme="minorEastAsia" w:eastAsiaTheme="minorEastAsia"/>
        </w:rPr>
        <w:t>三分之二以上（含三分之二）表决通过，决议自表决通过之日起生效；</w:t>
      </w:r>
    </w:p>
    <w:p w14:paraId="6FEA469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、临时基金托管人：新任基金托管人产生之前，由中国证监会指定临时基金托管人；</w:t>
      </w:r>
    </w:p>
    <w:p w14:paraId="58079BF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、备案：基金份额持有人大会更换基金托管人的决议须报中国证监会备案；</w:t>
      </w:r>
    </w:p>
    <w:p w14:paraId="5A9DC9B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、公告：基金托管人更换后，由基金管理人在更换基金托管人的基金份额持有人大会决议生效后按规定在规定媒介公告；</w:t>
      </w:r>
    </w:p>
    <w:p w14:paraId="6CE114F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交接：基金托管人职责终止的，应当妥善保管基金财产和基金托管业务资料，及时办理基金财产和基金托管业务的移交手续，新任基金托管人或者临时基金托管人应当及时接收。新任基金托管人或者临时基金托管人应与基金管理人核对基金资产总值和净值；</w:t>
      </w:r>
      <w:r>
        <w:rPr>
          <w:rFonts w:asciiTheme="minorEastAsia" w:hAnsiTheme="minorEastAsia" w:eastAsiaTheme="minorEastAsia"/>
        </w:rPr>
        <w:t xml:space="preserve"> </w:t>
      </w:r>
    </w:p>
    <w:p w14:paraId="28D553B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7</w:t>
      </w:r>
      <w:r>
        <w:rPr>
          <w:rFonts w:hint="eastAsia" w:asciiTheme="minorEastAsia" w:hAnsiTheme="minorEastAsia" w:eastAsiaTheme="minorEastAsia"/>
        </w:rPr>
        <w:t>、审计：基金托管人职责终止的，应当按照法律法规规定聘请会计师事务所对基金财产进行审计，并将审计结果予以公告，同时报中国证监会备案，审计费用由基金财产承担。</w:t>
      </w:r>
    </w:p>
    <w:p w14:paraId="1C818B8E">
      <w:pPr>
        <w:adjustRightInd w:val="0"/>
        <w:snapToGrid w:val="0"/>
        <w:spacing w:line="360" w:lineRule="auto"/>
        <w:ind w:firstLine="420" w:firstLineChars="200"/>
        <w:rPr>
          <w:rFonts w:asciiTheme="minorEastAsia" w:hAnsiTheme="minorEastAsia" w:eastAsiaTheme="minorEastAsia"/>
        </w:rPr>
      </w:pPr>
      <w:bookmarkStart w:id="254" w:name="_Toc1357"/>
      <w:r>
        <w:rPr>
          <w:rFonts w:hint="eastAsia" w:asciiTheme="minorEastAsia" w:hAnsiTheme="minorEastAsia" w:eastAsiaTheme="minorEastAsia"/>
        </w:rPr>
        <w:t>（三）基金管理人与基金托管人同时更换的条件和程序</w:t>
      </w:r>
      <w:bookmarkEnd w:id="254"/>
    </w:p>
    <w:p w14:paraId="19B6677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、提名：如果基金管理人和基金托管人同时更换，由单独或合计持有基金总份额</w:t>
      </w:r>
      <w:r>
        <w:rPr>
          <w:rFonts w:asciiTheme="minorEastAsia" w:hAnsiTheme="minorEastAsia" w:eastAsiaTheme="minorEastAsia"/>
        </w:rPr>
        <w:t>10%</w:t>
      </w:r>
      <w:r>
        <w:rPr>
          <w:rFonts w:hint="eastAsia" w:asciiTheme="minorEastAsia" w:hAnsiTheme="minorEastAsia" w:eastAsiaTheme="minorEastAsia"/>
        </w:rPr>
        <w:t>以上（含</w:t>
      </w:r>
      <w:r>
        <w:rPr>
          <w:rFonts w:asciiTheme="minorEastAsia" w:hAnsiTheme="minorEastAsia" w:eastAsiaTheme="minorEastAsia"/>
        </w:rPr>
        <w:t>10%</w:t>
      </w:r>
      <w:r>
        <w:rPr>
          <w:rFonts w:hint="eastAsia" w:asciiTheme="minorEastAsia" w:hAnsiTheme="minorEastAsia" w:eastAsiaTheme="minorEastAsia"/>
        </w:rPr>
        <w:t>）的基金份额持有人提名新的基金管理人和基金托管人；</w:t>
      </w:r>
    </w:p>
    <w:p w14:paraId="435D2C4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、基金管理人和基金托管人的更换分别按上述程序进行；</w:t>
      </w:r>
    </w:p>
    <w:p w14:paraId="3C9D2AE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、公告：新任基金管理人和新任基金托管人应在更换基金管理人和基金托管人的基金份额持有人大会决议生效后按规定在规定媒介上联合公告。</w:t>
      </w:r>
    </w:p>
    <w:p w14:paraId="25861CE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229A1DD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1956CA34">
      <w:pPr>
        <w:adjustRightInd w:val="0"/>
        <w:snapToGrid w:val="0"/>
        <w:spacing w:line="360" w:lineRule="auto"/>
        <w:rPr>
          <w:rFonts w:cs="Arial" w:asciiTheme="minorEastAsia" w:hAnsiTheme="minorEastAsia" w:eastAsiaTheme="minorEastAsia"/>
          <w:szCs w:val="21"/>
        </w:rPr>
      </w:pPr>
    </w:p>
    <w:bookmarkEnd w:id="242"/>
    <w:p w14:paraId="7AB813F5">
      <w:pPr>
        <w:pStyle w:val="3"/>
        <w:adjustRightInd w:val="0"/>
        <w:snapToGrid w:val="0"/>
        <w:spacing w:before="0" w:after="0" w:line="360" w:lineRule="auto"/>
        <w:rPr>
          <w:rFonts w:cs="Arial" w:asciiTheme="minorEastAsia" w:hAnsiTheme="minorEastAsia" w:eastAsiaTheme="minorEastAsia"/>
          <w:sz w:val="21"/>
          <w:szCs w:val="21"/>
        </w:rPr>
        <w:sectPr>
          <w:footerReference r:id="rId12" w:type="default"/>
          <w:pgSz w:w="11906" w:h="16838"/>
          <w:pgMar w:top="1418" w:right="1701" w:bottom="1418" w:left="1701" w:header="851" w:footer="992" w:gutter="0"/>
          <w:pgNumType w:start="1"/>
          <w:cols w:space="425" w:num="1"/>
          <w:docGrid w:type="lines" w:linePitch="312" w:charSpace="0"/>
        </w:sectPr>
      </w:pPr>
    </w:p>
    <w:p w14:paraId="26F66C73">
      <w:pPr>
        <w:pStyle w:val="3"/>
        <w:adjustRightInd w:val="0"/>
        <w:snapToGrid w:val="0"/>
        <w:spacing w:before="312" w:beforeLines="100" w:after="312" w:afterLines="100" w:line="360" w:lineRule="auto"/>
        <w:rPr>
          <w:rFonts w:asciiTheme="minorEastAsia" w:hAnsiTheme="minorEastAsia" w:eastAsiaTheme="minorEastAsia"/>
          <w:sz w:val="21"/>
        </w:rPr>
      </w:pPr>
      <w:bookmarkStart w:id="255" w:name="_Toc16237235"/>
      <w:r>
        <w:rPr>
          <w:rFonts w:hint="eastAsia" w:cs="Arial" w:asciiTheme="minorEastAsia" w:hAnsiTheme="minorEastAsia" w:eastAsiaTheme="minorEastAsia"/>
          <w:sz w:val="21"/>
          <w:szCs w:val="21"/>
        </w:rPr>
        <w:t xml:space="preserve">第十部分 </w:t>
      </w:r>
      <w:bookmarkStart w:id="256" w:name="CTS_f249a802b1844aff89a424f58a928bf5"/>
      <w:bookmarkEnd w:id="256"/>
      <w:r>
        <w:rPr>
          <w:rFonts w:hint="eastAsia" w:asciiTheme="minorEastAsia" w:hAnsiTheme="minorEastAsia" w:eastAsiaTheme="minorEastAsia"/>
          <w:sz w:val="21"/>
        </w:rPr>
        <w:t>基金的托管</w:t>
      </w:r>
      <w:bookmarkEnd w:id="255"/>
    </w:p>
    <w:p w14:paraId="72481C7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基金财产由</w:t>
      </w:r>
      <w:r>
        <w:rPr>
          <w:rFonts w:hint="eastAsia" w:asciiTheme="minorEastAsia" w:hAnsiTheme="minorEastAsia" w:eastAsiaTheme="minorEastAsia"/>
        </w:rPr>
        <w:t>基金托管</w:t>
      </w:r>
      <w:r>
        <w:rPr>
          <w:rFonts w:asciiTheme="minorEastAsia" w:hAnsiTheme="minorEastAsia" w:eastAsiaTheme="minorEastAsia"/>
        </w:rPr>
        <w:t>人保管。</w:t>
      </w:r>
      <w:r>
        <w:rPr>
          <w:rFonts w:hint="eastAsia" w:asciiTheme="minorEastAsia" w:hAnsiTheme="minorEastAsia" w:eastAsiaTheme="minorEastAsia"/>
        </w:rPr>
        <w:t>基金托管</w:t>
      </w:r>
      <w:r>
        <w:rPr>
          <w:rFonts w:asciiTheme="minorEastAsia" w:hAnsiTheme="minorEastAsia" w:eastAsiaTheme="minorEastAsia"/>
        </w:rPr>
        <w:t>人</w:t>
      </w:r>
      <w:r>
        <w:rPr>
          <w:rFonts w:hint="eastAsia" w:asciiTheme="minorEastAsia" w:hAnsiTheme="minorEastAsia" w:eastAsiaTheme="minorEastAsia"/>
        </w:rPr>
        <w:t>和</w:t>
      </w:r>
      <w:r>
        <w:rPr>
          <w:rFonts w:asciiTheme="minorEastAsia" w:hAnsiTheme="minorEastAsia" w:eastAsiaTheme="minorEastAsia"/>
        </w:rPr>
        <w:t>基金</w:t>
      </w:r>
      <w:r>
        <w:rPr>
          <w:rFonts w:hint="eastAsia" w:asciiTheme="minorEastAsia" w:hAnsiTheme="minorEastAsia" w:eastAsiaTheme="minorEastAsia"/>
        </w:rPr>
        <w:t>管理人按照《基金法》、《</w:t>
      </w:r>
      <w:r>
        <w:rPr>
          <w:rFonts w:asciiTheme="minorEastAsia" w:hAnsiTheme="minorEastAsia" w:eastAsiaTheme="minorEastAsia"/>
        </w:rPr>
        <w:t>基金合同</w:t>
      </w:r>
      <w:r>
        <w:rPr>
          <w:rFonts w:hint="eastAsia" w:asciiTheme="minorEastAsia" w:hAnsiTheme="minorEastAsia" w:eastAsiaTheme="minorEastAsia"/>
        </w:rPr>
        <w:t>》</w:t>
      </w:r>
      <w:r>
        <w:rPr>
          <w:rFonts w:asciiTheme="minorEastAsia" w:hAnsiTheme="minorEastAsia" w:eastAsiaTheme="minorEastAsia"/>
        </w:rPr>
        <w:t>及</w:t>
      </w:r>
      <w:r>
        <w:rPr>
          <w:rFonts w:hint="eastAsia" w:asciiTheme="minorEastAsia" w:hAnsiTheme="minorEastAsia" w:eastAsiaTheme="minorEastAsia"/>
        </w:rPr>
        <w:t>其他有关规定订立</w:t>
      </w:r>
      <w:r>
        <w:rPr>
          <w:rFonts w:asciiTheme="minorEastAsia" w:hAnsiTheme="minorEastAsia" w:eastAsiaTheme="minorEastAsia"/>
        </w:rPr>
        <w:t>托管协议。</w:t>
      </w:r>
    </w:p>
    <w:p w14:paraId="09AEBD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bookmarkStart w:id="257" w:name="_Toc141703891"/>
      <w:bookmarkStart w:id="258" w:name="_Toc2255"/>
      <w:bookmarkStart w:id="259" w:name="_Toc26084"/>
      <w:bookmarkStart w:id="260" w:name="_Toc123112239"/>
      <w:bookmarkStart w:id="261" w:name="_Toc139991741"/>
      <w:bookmarkStart w:id="262" w:name="_Toc98560357"/>
      <w:bookmarkStart w:id="263" w:name="_Toc48649710"/>
      <w:bookmarkStart w:id="264" w:name="_Toc26383"/>
      <w:bookmarkStart w:id="265" w:name="_Toc16789"/>
      <w:bookmarkStart w:id="266" w:name="_Toc14725"/>
      <w:bookmarkStart w:id="267" w:name="_Toc19520"/>
      <w:bookmarkStart w:id="268" w:name="_Toc123102458"/>
      <w:bookmarkStart w:id="269" w:name="_Toc31469"/>
      <w:bookmarkStart w:id="270" w:name="_Toc22674"/>
      <w:bookmarkStart w:id="271" w:name="_Toc123051457"/>
      <w:bookmarkStart w:id="272" w:name="_Toc79392624"/>
      <w:bookmarkStart w:id="273" w:name="_Toc3244"/>
      <w:bookmarkStart w:id="274" w:name="_Toc21886"/>
      <w:bookmarkStart w:id="275" w:name="_Toc26152"/>
    </w:p>
    <w:p w14:paraId="676FE54E">
      <w:pPr>
        <w:pStyle w:val="3"/>
        <w:adjustRightInd w:val="0"/>
        <w:snapToGrid w:val="0"/>
        <w:spacing w:before="0" w:after="0" w:line="360" w:lineRule="auto"/>
        <w:rPr>
          <w:rFonts w:cs="Arial" w:asciiTheme="minorEastAsia" w:hAnsiTheme="minorEastAsia" w:eastAsiaTheme="minorEastAsia"/>
          <w:sz w:val="21"/>
          <w:szCs w:val="21"/>
        </w:rPr>
        <w:sectPr>
          <w:footerReference r:id="rId13" w:type="default"/>
          <w:pgSz w:w="11906" w:h="16838"/>
          <w:pgMar w:top="1418" w:right="1701" w:bottom="1418" w:left="1701" w:header="851" w:footer="992" w:gutter="0"/>
          <w:pgNumType w:start="1"/>
          <w:cols w:space="425" w:num="1"/>
          <w:docGrid w:type="lines" w:linePitch="312" w:charSpace="0"/>
        </w:sectPr>
      </w:pPr>
      <w:bookmarkStart w:id="276" w:name="_Toc520693892"/>
      <w:bookmarkStart w:id="277" w:name="_Toc34450839"/>
      <w:bookmarkStart w:id="278" w:name="_Toc56568455"/>
      <w:bookmarkStart w:id="279" w:name="_Toc90742328"/>
      <w:bookmarkStart w:id="280" w:name="_Toc90742397"/>
      <w:bookmarkStart w:id="281" w:name="_Toc36792665"/>
      <w:bookmarkStart w:id="282" w:name="_Toc520693794"/>
      <w:bookmarkStart w:id="283" w:name="_Toc88376147"/>
    </w:p>
    <w:p w14:paraId="61183A05">
      <w:pPr>
        <w:pStyle w:val="3"/>
        <w:adjustRightInd w:val="0"/>
        <w:snapToGrid w:val="0"/>
        <w:spacing w:before="312" w:beforeLines="100" w:after="0" w:line="360" w:lineRule="auto"/>
        <w:rPr>
          <w:rFonts w:asciiTheme="minorEastAsia" w:hAnsiTheme="minorEastAsia" w:eastAsiaTheme="minorEastAsia"/>
          <w:sz w:val="21"/>
        </w:rPr>
      </w:pPr>
      <w:bookmarkStart w:id="284" w:name="_Toc16237236"/>
      <w:bookmarkStart w:id="285" w:name="CLAUSE_7559614905c249a4930bb10b639777df"/>
      <w:r>
        <w:rPr>
          <w:rFonts w:hint="eastAsia" w:cs="Arial" w:asciiTheme="minorEastAsia" w:hAnsiTheme="minorEastAsia" w:eastAsiaTheme="minorEastAsia"/>
          <w:sz w:val="21"/>
          <w:szCs w:val="21"/>
        </w:rPr>
        <w:t xml:space="preserve">第十一部分 </w:t>
      </w:r>
      <w:bookmarkStart w:id="286" w:name="CTS_7559614905c249a4930bb10b639777df"/>
      <w:bookmarkEnd w:id="286"/>
      <w:r>
        <w:rPr>
          <w:rFonts w:hint="eastAsia" w:asciiTheme="minorEastAsia" w:hAnsiTheme="minorEastAsia" w:eastAsiaTheme="minorEastAsia"/>
          <w:sz w:val="21"/>
        </w:rPr>
        <w:t>基金份额的登记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6ABFEFD0">
      <w:pPr>
        <w:autoSpaceDE w:val="0"/>
        <w:autoSpaceDN w:val="0"/>
        <w:spacing w:line="360" w:lineRule="auto"/>
        <w:textAlignment w:val="bottom"/>
        <w:rPr>
          <w:rFonts w:asciiTheme="minorEastAsia" w:hAnsiTheme="minorEastAsia" w:eastAsiaTheme="minorEastAsia"/>
          <w:bCs/>
          <w:sz w:val="24"/>
        </w:rPr>
      </w:pPr>
    </w:p>
    <w:p w14:paraId="459D0D9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一、基金份额的登记业务</w:t>
      </w:r>
    </w:p>
    <w:p w14:paraId="73FB6CD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14:paraId="3BF5857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二、基金登记业务办理机构</w:t>
      </w:r>
    </w:p>
    <w:p w14:paraId="405F335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63B1633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三、基金登记机构的权利</w:t>
      </w:r>
      <w:bookmarkStart w:id="287" w:name="_Hlt88820748"/>
      <w:bookmarkEnd w:id="287"/>
    </w:p>
    <w:p w14:paraId="5E2B3CD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基金登记机构享有以下权利：</w:t>
      </w:r>
    </w:p>
    <w:p w14:paraId="53DD39B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、取得登记费；</w:t>
      </w:r>
    </w:p>
    <w:p w14:paraId="34FB586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、建立和管理投资者基金账户；</w:t>
      </w:r>
    </w:p>
    <w:p w14:paraId="7315D4D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、保管基金份额持有人开户资料、交易资料、基金份额持有人名册等；</w:t>
      </w:r>
    </w:p>
    <w:p w14:paraId="10C0859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、在法律法规允许的范围内，对登记业务的办理时间进行调整，并依照有关规定于开始实施前在规定媒介上公告；</w:t>
      </w:r>
    </w:p>
    <w:p w14:paraId="3520D4D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、法律法规及中国证监会规定的和《基金合同》约定的其他权利。</w:t>
      </w:r>
    </w:p>
    <w:p w14:paraId="70AD1F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四、基金登记机构的义务</w:t>
      </w:r>
    </w:p>
    <w:p w14:paraId="65552C9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基金登记机构承担以下义务：</w:t>
      </w:r>
    </w:p>
    <w:p w14:paraId="0B0472D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、配备足够的专业人员办理本基金份额的登记业务；</w:t>
      </w:r>
    </w:p>
    <w:p w14:paraId="5D7F5FC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、严格按照法律法规和《基金合同》规定的条件办理本基金份额的登记业务；</w:t>
      </w:r>
    </w:p>
    <w:p w14:paraId="796506C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、妥善保存登记数据，并将基金份额持有人名称、身份信息及基金份额明细等数据备份至中国证监会认定的机构。其保存期限自基金账户销户之日起不得少于</w:t>
      </w:r>
      <w:r>
        <w:rPr>
          <w:rFonts w:asciiTheme="minorEastAsia" w:hAnsiTheme="minorEastAsia" w:eastAsiaTheme="minorEastAsia"/>
        </w:rPr>
        <w:t>20年；</w:t>
      </w:r>
    </w:p>
    <w:p w14:paraId="68AE98F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对基金份额持有人的基金账户信息负有保密义务，因违反该保密义务对投资者或基金带来的损失，须承担相应的赔偿责任，但司法强制检查情形及法律法规及中国证监会规定的和《基金合同》约定的其他情形除外；</w:t>
      </w:r>
    </w:p>
    <w:p w14:paraId="727D515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、按《基金合同》及招募说明书规定为投资者办理非交易过户业务、提供其他必要的服务；</w:t>
      </w:r>
    </w:p>
    <w:p w14:paraId="244354B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、接受基金管理人的监督；</w:t>
      </w:r>
    </w:p>
    <w:p w14:paraId="0FAAC7E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7</w:t>
      </w:r>
      <w:r>
        <w:rPr>
          <w:rFonts w:hint="eastAsia" w:asciiTheme="minorEastAsia" w:hAnsiTheme="minorEastAsia" w:eastAsiaTheme="minorEastAsia"/>
        </w:rPr>
        <w:t>、法律法规及中国证监会规定的和《基金合同》约定的其他义务。</w:t>
      </w:r>
    </w:p>
    <w:p w14:paraId="5BF6FBED">
      <w:pPr>
        <w:pStyle w:val="3"/>
        <w:adjustRightInd w:val="0"/>
        <w:snapToGrid w:val="0"/>
        <w:spacing w:before="0" w:after="0" w:line="360" w:lineRule="auto"/>
        <w:rPr>
          <w:rFonts w:cs="Arial" w:asciiTheme="minorEastAsia" w:hAnsiTheme="minorEastAsia" w:eastAsiaTheme="minorEastAsia"/>
          <w:sz w:val="21"/>
          <w:szCs w:val="21"/>
        </w:rPr>
        <w:sectPr>
          <w:footerReference r:id="rId14" w:type="default"/>
          <w:pgSz w:w="11906" w:h="16838"/>
          <w:pgMar w:top="1418" w:right="1701" w:bottom="1418" w:left="1701" w:header="851" w:footer="992" w:gutter="0"/>
          <w:pgNumType w:start="1"/>
          <w:cols w:space="425" w:num="1"/>
          <w:docGrid w:type="lines" w:linePitch="312" w:charSpace="0"/>
        </w:sectPr>
      </w:pPr>
      <w:bookmarkStart w:id="288" w:name="_Toc90742398"/>
      <w:bookmarkStart w:id="289" w:name="_Toc11351"/>
      <w:bookmarkStart w:id="290" w:name="_Toc22538"/>
      <w:bookmarkStart w:id="291" w:name="_Toc2981"/>
      <w:bookmarkStart w:id="292" w:name="_Toc90742329"/>
      <w:bookmarkStart w:id="293" w:name="_Toc801"/>
      <w:bookmarkStart w:id="294" w:name="_Toc5477"/>
      <w:bookmarkStart w:id="295" w:name="_Toc13343"/>
      <w:bookmarkStart w:id="296" w:name="_Toc21917"/>
      <w:bookmarkStart w:id="297" w:name="_Toc11395"/>
      <w:bookmarkStart w:id="298" w:name="_Toc578"/>
      <w:bookmarkStart w:id="299" w:name="_Toc3872"/>
      <w:bookmarkStart w:id="300" w:name="_Toc16437"/>
    </w:p>
    <w:bookmarkEnd w:id="285"/>
    <w:p w14:paraId="0D7E4CDE">
      <w:pPr>
        <w:pStyle w:val="3"/>
        <w:adjustRightInd w:val="0"/>
        <w:snapToGrid w:val="0"/>
        <w:spacing w:before="312" w:beforeLines="100" w:after="0" w:line="360" w:lineRule="auto"/>
        <w:rPr>
          <w:rFonts w:asciiTheme="minorEastAsia" w:hAnsiTheme="minorEastAsia" w:eastAsiaTheme="minorEastAsia"/>
          <w:sz w:val="21"/>
        </w:rPr>
      </w:pPr>
      <w:bookmarkStart w:id="301" w:name="_Toc16237237"/>
      <w:bookmarkStart w:id="302" w:name="CLAUSE_192634c22c8249988cce0f7a4de97503"/>
      <w:r>
        <w:rPr>
          <w:rFonts w:hint="eastAsia" w:cs="Arial" w:asciiTheme="minorEastAsia" w:hAnsiTheme="minorEastAsia" w:eastAsiaTheme="minorEastAsia"/>
          <w:sz w:val="21"/>
          <w:szCs w:val="21"/>
        </w:rPr>
        <w:t xml:space="preserve">第十二部分 </w:t>
      </w:r>
      <w:bookmarkStart w:id="303" w:name="CTS_192634c22c8249988cce0f7a4de97503"/>
      <w:bookmarkEnd w:id="303"/>
      <w:r>
        <w:rPr>
          <w:rFonts w:hint="eastAsia" w:asciiTheme="minorEastAsia" w:hAnsiTheme="minorEastAsia" w:eastAsiaTheme="minorEastAsia"/>
          <w:sz w:val="21"/>
        </w:rPr>
        <w:t>基金的投资</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2463BFFF">
      <w:pPr>
        <w:spacing w:line="360" w:lineRule="auto"/>
        <w:ind w:firstLine="480" w:firstLineChars="200"/>
        <w:rPr>
          <w:rFonts w:asciiTheme="minorEastAsia" w:hAnsiTheme="minorEastAsia" w:eastAsiaTheme="minorEastAsia"/>
          <w:bCs/>
          <w:sz w:val="24"/>
        </w:rPr>
      </w:pPr>
    </w:p>
    <w:p w14:paraId="53459E7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一、投资目标</w:t>
      </w:r>
    </w:p>
    <w:p w14:paraId="7C5BED8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通过主要投资于目标ETF，紧密跟踪标的指数即恒生港股通红利指数的表现，追求跟踪偏离度和跟踪误差的最小化。</w:t>
      </w:r>
    </w:p>
    <w:p w14:paraId="48FE7F9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二、投资范围</w:t>
      </w:r>
    </w:p>
    <w:p w14:paraId="6C27BC4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rPr>
        <w:t>本基金主要投资于目标ETF、标的指数即恒生港股通红利指数成份股和备选成份股票（含存托凭证），为更好地实现基金的投资目标，本基金可能会</w:t>
      </w:r>
      <w:r>
        <w:rPr>
          <w:rFonts w:asciiTheme="minorEastAsia" w:hAnsiTheme="minorEastAsia" w:eastAsiaTheme="minorEastAsia"/>
        </w:rPr>
        <w:t>少量</w:t>
      </w:r>
      <w:r>
        <w:rPr>
          <w:rFonts w:hint="eastAsia" w:asciiTheme="minorEastAsia" w:hAnsiTheme="minorEastAsia" w:eastAsiaTheme="minorEastAsia"/>
        </w:rPr>
        <w:t>投资</w:t>
      </w:r>
      <w:r>
        <w:rPr>
          <w:rFonts w:asciiTheme="minorEastAsia" w:hAnsiTheme="minorEastAsia" w:eastAsiaTheme="minorEastAsia"/>
        </w:rPr>
        <w:t>于</w:t>
      </w:r>
      <w:r>
        <w:rPr>
          <w:rFonts w:hint="eastAsia" w:asciiTheme="minorEastAsia" w:hAnsiTheme="minorEastAsia"/>
          <w:color w:val="0D0D0D" w:themeColor="text1" w:themeTint="F2"/>
          <w14:textFill>
            <w14:solidFill>
              <w14:schemeClr w14:val="tx1">
                <w14:lumMod w14:val="95000"/>
                <w14:lumOff w14:val="5000"/>
              </w14:schemeClr>
            </w14:solidFill>
          </w14:textFill>
        </w:rPr>
        <w:t>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4A2BDA5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本基金可根据相关法律法规和基金合同的约定参与融资和转融通证券出借业务。</w:t>
      </w:r>
    </w:p>
    <w:p w14:paraId="692A28C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如法律法规或监管机构以后允许基金投资其他品种，基金管理人在履行适当程序后，可以将其纳入投资范围。</w:t>
      </w:r>
    </w:p>
    <w:p w14:paraId="4DE5D74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于目标ETF的资产比例不低于基金资产净值的90%，股指期货、国债期货、股票期权及其他金融工具的投资比例依照法律法规或监管机构的规定执行。本基金每个交易日日终在扣除股指期货、国债期货和股票期权合约需缴纳的交易保证金后，对现金或者到期日在一年以内的政府债券的投资比例不低于基金资产净值的5%，其中，现金不包括结算备付金、存出保证金、应收申购款等。</w:t>
      </w:r>
    </w:p>
    <w:p w14:paraId="15EB314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如果法律法规或中国证监会变更投资品种的投资比例限制，基金管理人在履行适当程序后，可以调整上述投资品种的投资比例。</w:t>
      </w:r>
    </w:p>
    <w:p w14:paraId="221BC73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lang w:val="en-US" w:eastAsia="zh-CN"/>
        </w:rPr>
        <w:t>三</w:t>
      </w:r>
      <w:r>
        <w:rPr>
          <w:rFonts w:hint="eastAsia" w:asciiTheme="minorEastAsia" w:hAnsiTheme="minorEastAsia" w:eastAsiaTheme="minorEastAsia"/>
        </w:rPr>
        <w:t>、投资策略</w:t>
      </w:r>
    </w:p>
    <w:p w14:paraId="2686F4D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本基金主要投资于目标</w:t>
      </w:r>
      <w:r>
        <w:rPr>
          <w:rFonts w:asciiTheme="minorEastAsia" w:hAnsiTheme="minorEastAsia" w:eastAsiaTheme="minorEastAsia"/>
        </w:rPr>
        <w:t>ETF</w:t>
      </w:r>
      <w:r>
        <w:rPr>
          <w:rFonts w:hint="eastAsia" w:asciiTheme="minorEastAsia" w:hAnsiTheme="minorEastAsia" w:eastAsiaTheme="minorEastAsia"/>
        </w:rPr>
        <w:t>，方便特定的客户群通过本基金投资目标</w:t>
      </w:r>
      <w:r>
        <w:rPr>
          <w:rFonts w:asciiTheme="minorEastAsia" w:hAnsiTheme="minorEastAsia" w:eastAsiaTheme="minorEastAsia"/>
        </w:rPr>
        <w:t>ETF</w:t>
      </w:r>
      <w:r>
        <w:rPr>
          <w:rFonts w:hint="eastAsia" w:asciiTheme="minorEastAsia" w:hAnsiTheme="minorEastAsia" w:eastAsiaTheme="minorEastAsia"/>
        </w:rPr>
        <w:t>。本基金不参与目标</w:t>
      </w:r>
      <w:r>
        <w:rPr>
          <w:rFonts w:asciiTheme="minorEastAsia" w:hAnsiTheme="minorEastAsia" w:eastAsiaTheme="minorEastAsia"/>
        </w:rPr>
        <w:t>ETF</w:t>
      </w:r>
      <w:r>
        <w:rPr>
          <w:rFonts w:hint="eastAsia" w:asciiTheme="minorEastAsia" w:hAnsiTheme="minorEastAsia" w:eastAsiaTheme="minorEastAsia"/>
        </w:rPr>
        <w:t>的投资管理。</w:t>
      </w:r>
    </w:p>
    <w:p w14:paraId="502F1A4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1、资产配置策略</w:t>
      </w:r>
    </w:p>
    <w:p w14:paraId="1C61F80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为实现投资目标，本基金将以不低于基金资产净值90%的资产投资于目标ETF。其余资产可投资于</w:t>
      </w:r>
      <w:r>
        <w:rPr>
          <w:rFonts w:hint="eastAsia" w:asciiTheme="minorEastAsia" w:hAnsiTheme="minorEastAsia"/>
          <w:color w:val="0D0D0D" w:themeColor="text1" w:themeTint="F2"/>
          <w14:textFill>
            <w14:solidFill>
              <w14:schemeClr w14:val="tx1">
                <w14:lumMod w14:val="95000"/>
                <w14:lumOff w14:val="5000"/>
              </w14:schemeClr>
            </w14:solidFill>
          </w14:textFill>
        </w:rPr>
        <w:t>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r>
        <w:rPr>
          <w:rFonts w:hint="eastAsia" w:asciiTheme="minorEastAsia" w:hAnsiTheme="minorEastAsia" w:eastAsiaTheme="minorEastAsia"/>
        </w:rPr>
        <w:t>其目的是为了使本基金在保障日常申购赎回的前提下，更好地跟踪标的指数。</w:t>
      </w:r>
    </w:p>
    <w:p w14:paraId="0316478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正常市场情况下，本基金力争净值增长率与业绩比较基准之间的预期日均跟踪偏离度绝对值不超过0.35%，预期年化跟踪误差不超过4%。如因指数编制规则调整或其他因素导致跟踪误差超过上述范围，基金管理人应采取合理措施避免跟踪误差进一步扩大。</w:t>
      </w:r>
    </w:p>
    <w:p w14:paraId="5249269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2、基金投资策略</w:t>
      </w:r>
    </w:p>
    <w:p w14:paraId="4F895FB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（1）投资组合的构建</w:t>
      </w:r>
    </w:p>
    <w:p w14:paraId="3F61330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基金合同生效后，本基金将主要按照目标ETF法律文件的约定申购赎回目标ETF，也可部分在二级市场买入目标ETF，使本基金投资于目标ETF的比例不低于基金资产净值的90%。</w:t>
      </w:r>
    </w:p>
    <w:p w14:paraId="1C297FC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（2）投资组合的投资方式</w:t>
      </w:r>
    </w:p>
    <w:p w14:paraId="79F0D65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本基金投资目标ETF的三种方式如下：</w:t>
      </w:r>
    </w:p>
    <w:p w14:paraId="66F0405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1）申购和赎回：目标ETF开放申购赎回后，按照目标ETF法律文件的约定申购赎回目标ETF。</w:t>
      </w:r>
    </w:p>
    <w:p w14:paraId="7EBB4B0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二级市场方式：目标ETF上市交易后，在二级市场进行目标ETF份额的交易。本基金投资于目标ETF的方式以申购和赎回为主，但在目标ETF二级市场流动性较好的情况下，为了更好地实现本基金的投资目标，减小与标的指数的跟踪偏离度和跟踪误差，也可以通过二级市场交易买卖目标ETF。</w:t>
      </w:r>
    </w:p>
    <w:p w14:paraId="63B9CA1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3）特殊申购：在目标ETF开放日常申购赎回前，本基金可以用现金特殊申购目标ETF基金份额，申购价格以特殊申购日目标ETF的基金份额净值为基准计算，不收取申购费用。</w:t>
      </w:r>
    </w:p>
    <w:p w14:paraId="5D3B4E2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当目标ETF申购、赎回或交易模式进行了变更或调整，本基金也将作相应的变更或调整，无须召开基金份额持有人大会。</w:t>
      </w:r>
    </w:p>
    <w:p w14:paraId="48CA5DA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在投资运作过程中，本基金将在综合考虑合规、风险、效率、成本等因素的基础上，灵活选用上述方式进行目标ETF的买卖。</w:t>
      </w:r>
    </w:p>
    <w:p w14:paraId="1CC647A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3、标的指数成份股、备选成份股投资策略</w:t>
      </w:r>
    </w:p>
    <w:p w14:paraId="5B6E01F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w:t>
      </w:r>
    </w:p>
    <w:p w14:paraId="5F63392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4、存托凭证投资策略</w:t>
      </w:r>
    </w:p>
    <w:p w14:paraId="6705A4C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本基金将根据本基金的投资目标和股票投资策略，基于对基础证券投资价值的深入研究判断，进行存托凭证的投资。</w:t>
      </w:r>
    </w:p>
    <w:p w14:paraId="469159B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、债券投资策略</w:t>
      </w:r>
    </w:p>
    <w:p w14:paraId="27ABC3C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本基金债券投资组合将着重考虑基金的流动性管理及策略性投资的需要，选取到期日在一年以内的政府债券进行配置。债券投资者的目的是保证基金资产流动性，有效利用基金资产，提高基金资产的投资收益。</w:t>
      </w:r>
    </w:p>
    <w:p w14:paraId="6AD63B7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、资产支持证券的投资策略</w:t>
      </w:r>
    </w:p>
    <w:p w14:paraId="5D3B0E4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1455C8B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7</w:t>
      </w:r>
      <w:r>
        <w:rPr>
          <w:rFonts w:hint="eastAsia" w:asciiTheme="minorEastAsia" w:hAnsiTheme="minorEastAsia" w:eastAsiaTheme="minorEastAsia"/>
        </w:rPr>
        <w:t>、可转换债券及可交换债券投资策略</w:t>
      </w:r>
    </w:p>
    <w:p w14:paraId="12B0000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43D982E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0D9E688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rPr>
        <w:t>8</w:t>
      </w:r>
      <w:r>
        <w:rPr>
          <w:rFonts w:hint="eastAsia" w:asciiTheme="minorEastAsia" w:hAnsiTheme="minorEastAsia" w:eastAsiaTheme="minorEastAsia"/>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非成份股的股票投资策略</w:t>
      </w:r>
    </w:p>
    <w:p w14:paraId="7CA51E9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在特殊情况下，本基金将少量投资于非成份股的港股通标的股票等其他股票。</w:t>
      </w:r>
    </w:p>
    <w:p w14:paraId="65C219B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9</w:t>
      </w:r>
      <w:r>
        <w:rPr>
          <w:rFonts w:hint="eastAsia" w:asciiTheme="minorEastAsia" w:hAnsiTheme="minorEastAsia" w:eastAsiaTheme="minorEastAsia"/>
        </w:rPr>
        <w:t>、衍生产品投资策略</w:t>
      </w:r>
    </w:p>
    <w:p w14:paraId="5EAECA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可以参与股指期货交易，但必须根据风险管理的原则，以套期保值为目的。本基金将根据对现货和期货市场的分析，采取多头或空头套期保值等策略进行套期保值操作。股指期货的具体投资策略包括：（1）对冲投资组合的系统性风险；（2）有效管理现金流量、降低建仓或调仓过程中的冲击成本等。</w:t>
      </w:r>
    </w:p>
    <w:p w14:paraId="7B0C86F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本基金将根据风险管理的原则，以套期保值为目的，在风险可控的前提下，本着谨慎原则，参与国债期货的投资，以管理投资组合的系统性风险，改善组合的风险收益特性。</w:t>
      </w:r>
    </w:p>
    <w:p w14:paraId="42223A0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股票期权为本基金辅助性投资工具。股票期权的投资原则为有利于基金资产增值、控制下跌风险、实现保值和锁定收益。</w:t>
      </w:r>
    </w:p>
    <w:p w14:paraId="441E17E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将关注国内其他金融衍生产品的推出情况，如法律法规或监管机构允许基金投资该衍生工具，本基金将制定与本基金投资目标相适应的投资策略，在充分评估衍生产品的风险和收益的基础上，谨慎地进行投资。</w:t>
      </w:r>
    </w:p>
    <w:p w14:paraId="025967E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10</w:t>
      </w:r>
      <w:r>
        <w:rPr>
          <w:rFonts w:hint="eastAsia" w:asciiTheme="minorEastAsia" w:hAnsiTheme="minorEastAsia" w:eastAsiaTheme="minorEastAsia"/>
        </w:rPr>
        <w:t>、融资及转融通证券出借业务</w:t>
      </w:r>
      <w:r>
        <w:rPr>
          <w:rFonts w:asciiTheme="minorEastAsia" w:hAnsiTheme="minorEastAsia" w:eastAsiaTheme="minorEastAsia"/>
        </w:rPr>
        <w:t>的投资策略</w:t>
      </w:r>
    </w:p>
    <w:p w14:paraId="07B8537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品类、期限和比例。若相关融资及转融通证券出借业务法律法规发生变化，本基金将从其最新规定，以符合上述法律法规和监管要求的变化。</w:t>
      </w:r>
    </w:p>
    <w:p w14:paraId="1AB1AFB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11</w:t>
      </w:r>
      <w:r>
        <w:rPr>
          <w:rFonts w:hint="eastAsia" w:asciiTheme="minorEastAsia" w:hAnsiTheme="minorEastAsia" w:eastAsiaTheme="minorEastAsia"/>
        </w:rPr>
        <w:t>、流通受限证券投资策略</w:t>
      </w:r>
    </w:p>
    <w:p w14:paraId="6BCAF17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本基金将在制度许可范围内和充分考虑风险收益特征的基础上，审慎参与投资非公开发行股票、公开发行股票网下配售部分、战略配售股票等在发行时明确一定期限锁定期的可交易证券。</w:t>
      </w:r>
    </w:p>
    <w:p w14:paraId="523320F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本基金从估值水平和发展前景两个角度出发，精选具有估值优势和成长优势的股票进行投资，追求基金资产的长期稳定增值。</w:t>
      </w:r>
    </w:p>
    <w:p w14:paraId="7EF2F39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今后，随着证券市场的发展、金融工具的丰富和交易方式的创新等，基金还将积极寻求其他投资机会，如法律法规或监管机构以后允许基金投资其他品种，本基金将在履行适当程序后，将其纳入投资范围以丰富组合投资策略。</w:t>
      </w:r>
    </w:p>
    <w:p w14:paraId="1EA16AC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lang w:val="en-US" w:eastAsia="zh-CN"/>
        </w:rPr>
        <w:t>四</w:t>
      </w:r>
      <w:r>
        <w:rPr>
          <w:rFonts w:hint="eastAsia" w:asciiTheme="minorEastAsia" w:hAnsiTheme="minorEastAsia" w:eastAsiaTheme="minorEastAsia"/>
        </w:rPr>
        <w:t>、投资禁止行为与限制</w:t>
      </w:r>
    </w:p>
    <w:p w14:paraId="3212C7F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、基金投资组合比例限制</w:t>
      </w:r>
    </w:p>
    <w:p w14:paraId="56EA91B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（1）本基金投资于目标ETF的资产比例不低于基金资产净值的90%；</w:t>
      </w:r>
    </w:p>
    <w:p w14:paraId="3A720AE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每个交易日日终在扣除股指期货、国债期货和股票期权合约需缴纳的交易保证金后，本基金持有的现金或者到期日在一年以内的政府债券的比例不低于基金资产净值的5%，其中现金不包括结算备付金、存出保证金、应收申购款等；</w:t>
      </w:r>
    </w:p>
    <w:p w14:paraId="006020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（3）本基金投资于同一原始权益人的各类资产支持证券的比例，不得超过基金资产净值的10％；</w:t>
      </w:r>
    </w:p>
    <w:p w14:paraId="23A220A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（4）本基金持有的全部资产支持证券，其市值不得超过基金资产净值的20％；</w:t>
      </w:r>
    </w:p>
    <w:p w14:paraId="1FBB39B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（5）本基金持有的同一(指同一信用级别)资产支持证券的比例，不得超过该资产支持证券规模的10％；</w:t>
      </w:r>
    </w:p>
    <w:p w14:paraId="2748A53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（6）本基金管理人管理的全部基金投资于同一原始权益人的各类资产支持证券，不得超过其各类资产支持证券合计规模的10％；</w:t>
      </w:r>
    </w:p>
    <w:p w14:paraId="73971D6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（7）本基金应投资于信用级别评级为BBB以上(含BBB)的资产支持证券。基金持有资产支持证券期间，如果其信用等级下降、不再符合投资标准，应在评级报告发布之日起3个月内予以全部卖出；</w:t>
      </w:r>
    </w:p>
    <w:p w14:paraId="13FCCD1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（8）基金财产参与股票发行申购，本</w:t>
      </w:r>
      <w:r>
        <w:rPr>
          <w:rFonts w:asciiTheme="minorEastAsia" w:hAnsiTheme="minorEastAsia" w:eastAsiaTheme="minorEastAsia"/>
        </w:rPr>
        <w:t>基金</w:t>
      </w:r>
      <w:r>
        <w:rPr>
          <w:rFonts w:hint="eastAsia" w:asciiTheme="minorEastAsia" w:hAnsiTheme="minorEastAsia" w:eastAsiaTheme="minorEastAsia"/>
        </w:rPr>
        <w:t>所申报的金额不超过本基金的总资产，本基金所申报的股票数量不超过拟发行股票公司本次发行股票的总量；</w:t>
      </w:r>
    </w:p>
    <w:p w14:paraId="1E10D0A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（9）本基金进入全国银行间同业市场进行债券回购的资金余额不得超过基金资产净值的40%，进入全国银行间同业市场进行债券回购的最长期限为1年，债券回购到期后不得展期；</w:t>
      </w:r>
    </w:p>
    <w:p w14:paraId="342993A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（10）本基金参与股指期货和国债期货投资的，应遵循下列限制：</w:t>
      </w:r>
    </w:p>
    <w:p w14:paraId="777DE1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1）本基金在任何交易日日终，持有的买入股指期货合约价值，不得超过基金资产净值的10%；</w:t>
      </w:r>
    </w:p>
    <w:p w14:paraId="32DAADD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2）在任何交易日日终，本基金持有的买入股指期货、国债期货合约价值和有价证券市值之和，不得超过基金资产净值的</w:t>
      </w:r>
      <w:r>
        <w:rPr>
          <w:rFonts w:asciiTheme="minorEastAsia" w:hAnsiTheme="minorEastAsia" w:eastAsiaTheme="minorEastAsia"/>
        </w:rPr>
        <w:t>100</w:t>
      </w:r>
      <w:r>
        <w:rPr>
          <w:rFonts w:hint="eastAsia" w:asciiTheme="minorEastAsia" w:hAnsiTheme="minorEastAsia" w:eastAsiaTheme="minorEastAsia"/>
        </w:rPr>
        <w:t>%；其中，有价证券指股票、债券（不含到期日在一年以内的政府债券）、资产支持证券、买入返售金融资产（不含质押式回购）等；</w:t>
      </w:r>
    </w:p>
    <w:p w14:paraId="7CEF75C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3）本基金在任何交易日日终，持有的卖出股指期货合约价值不得超过基金持有的股票总市值的20%；</w:t>
      </w:r>
    </w:p>
    <w:p w14:paraId="5D1E902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4）本基金在任何交易日内交易（不包括平仓）的股指期货合约的成交金额不得超过上一交易日基金资产净值的20%；</w:t>
      </w:r>
    </w:p>
    <w:p w14:paraId="658F2DF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5）本基金所持有的股票市值和买入、卖出股指期货合约价值，合计（轧差计算）应当符合本基金合同关于股票投资比例的有关规定； </w:t>
      </w:r>
    </w:p>
    <w:p w14:paraId="287AC45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6）本基金在任何交易日日终，持有的买入国债期货合约价值，不得超过基金资产净值的15%；</w:t>
      </w:r>
    </w:p>
    <w:p w14:paraId="06CD154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7）本基金在任何交易日日终，持有的卖出国债期货合约价值不得超过基金持有的债券总市值的30%；</w:t>
      </w:r>
    </w:p>
    <w:p w14:paraId="08849EA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8）本基金在任何交易日内交易（不包括平仓）的国债期货合约的成交金额不得超过上一交易日基金资产净值的30%；</w:t>
      </w:r>
    </w:p>
    <w:p w14:paraId="3760EF9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9）本基金所持有的债券（不含到期日在一年以内的政府债券）市值和买入、卖出国债期货合约价值，合计（轧差计算）应当符合基金合同关于债券投资比例的有关约定；</w:t>
      </w:r>
    </w:p>
    <w:p w14:paraId="11B3180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（11）本基金参与股票期权交易的，需遵守下列规定：</w:t>
      </w:r>
    </w:p>
    <w:p w14:paraId="6B88738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1）因未平仓的股票期权合约支付和收取的权利金总额不得超过基金资产净值的10%；</w:t>
      </w:r>
    </w:p>
    <w:p w14:paraId="6E58DB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2）开仓卖出认购股票期权的，应持有足额标的证券；开仓卖出认沽股票期权的，应持有合约行权所需的全额现金或交易所规则认可的可冲抵股票期权保证金的现金等价物；</w:t>
      </w:r>
    </w:p>
    <w:p w14:paraId="500ABCD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3）未平仓的股票期权合约面值不得超过基金资产净值的 20%。其中，合约面值按照行权价乘以合约乘数计算；</w:t>
      </w:r>
    </w:p>
    <w:p w14:paraId="5BC0E4E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（12）本基金参与转融通证券出借交易的，需遵守下列规定：</w:t>
      </w:r>
    </w:p>
    <w:p w14:paraId="30B6AA1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1）出借证券资产不得超过基金资产净值的 30%，出借期限在10个交易日以上的出借证券应纳入《流动性风险管理规定》所述流动性受限证券的范围； </w:t>
      </w:r>
    </w:p>
    <w:p w14:paraId="0E52132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2）参与出借业务的单只证券不得超过基金持有该证券总量的50%；</w:t>
      </w:r>
    </w:p>
    <w:p w14:paraId="3E82E93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3）最近6个月内日均基金资产净值不得低于2亿元；</w:t>
      </w:r>
    </w:p>
    <w:p w14:paraId="6FFFC66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4）证券出借的平均剩余期限不得超过30天，平均剩余期限按照市值加权平均计算；</w:t>
      </w:r>
    </w:p>
    <w:p w14:paraId="279D6E1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5）因证券市场波动、证券发行人合并、基金规模变动等基金管理人之外的因素致使基金投资不符合上述规定的，基金管理人不得新增出借业务；</w:t>
      </w:r>
    </w:p>
    <w:p w14:paraId="6DA37F0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55AE2A4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（14）本基金与私募类证券资管产品及中国证监会认定的其他主体为交易对手开展逆回购交易的，可接受质押品的资质要求应当与本基金合同约定的投资范围保持一致；</w:t>
      </w:r>
    </w:p>
    <w:p w14:paraId="4200A72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（15）本基金资产总值不超过基金资产净值的140%；</w:t>
      </w:r>
    </w:p>
    <w:p w14:paraId="709BE5C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6</w:t>
      </w:r>
      <w:r>
        <w:rPr>
          <w:rFonts w:hint="eastAsia" w:asciiTheme="minorEastAsia" w:hAnsiTheme="minorEastAsia" w:eastAsiaTheme="minorEastAsia"/>
        </w:rPr>
        <w:t>）本基金投资存托凭证的比例限制依照境内上市交易的股票执行；</w:t>
      </w:r>
    </w:p>
    <w:p w14:paraId="5004206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7</w:t>
      </w:r>
      <w:r>
        <w:rPr>
          <w:rFonts w:hint="eastAsia" w:asciiTheme="minorEastAsia" w:hAnsiTheme="minorEastAsia" w:eastAsiaTheme="minorEastAsia"/>
        </w:rPr>
        <w:t>）本基金参与融资的，每个交易日日终，本基金持有的融资买入股票与其他有价证券市值之和，不得超过基金资产净值的95%；</w:t>
      </w:r>
    </w:p>
    <w:p w14:paraId="725ACC8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8</w:t>
      </w:r>
      <w:r>
        <w:rPr>
          <w:rFonts w:hint="eastAsia" w:asciiTheme="minorEastAsia" w:hAnsiTheme="minorEastAsia" w:eastAsiaTheme="minorEastAsia"/>
        </w:rPr>
        <w:t>）法律法规及中国证监会规定的和《基金合同》约定的其他投资限制。</w:t>
      </w:r>
    </w:p>
    <w:p w14:paraId="302B2B2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bCs/>
        </w:rPr>
        <w:t>因证券市场波动、基金规模变动等基金管理人之外的因素致使基金投资比例不符合上述第（1）项投资比例的，基金管理人应当在20个交易日内进行调整；</w:t>
      </w:r>
      <w:r>
        <w:rPr>
          <w:rFonts w:hint="eastAsia" w:asciiTheme="minorEastAsia" w:hAnsiTheme="minorEastAsia" w:eastAsiaTheme="minorEastAsia"/>
        </w:rPr>
        <w:t>除上述（1）、（2）、（7）、（12）、（13）、（14）情形之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法律法规另有规定的，从其规定。</w:t>
      </w:r>
    </w:p>
    <w:p w14:paraId="1B724AD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自基金合同生效之日起6个月内使基金的投资组合比例符合基金合同的有关约定。在上述期间内，本基金的投资范围、投资策略应当符合本基金合同的约定。基金托管人对基金的投资的监督与检查自基金合同生效之日起开始。</w:t>
      </w:r>
    </w:p>
    <w:p w14:paraId="59408F6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如果法律法规对基金合同约定投资组合比例限制进行变更的，以变更后的规定为准。法律法规或监管部门取消上述限制，如适用于本基金，在履行适当程序后，则本基金投资不再受相关限制。</w:t>
      </w:r>
    </w:p>
    <w:p w14:paraId="6E62F77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、禁止行为</w:t>
      </w:r>
    </w:p>
    <w:p w14:paraId="170F1D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为维护基金份额持有人的合法权益，基金财产不得用于下列投资或者活动：</w:t>
      </w:r>
    </w:p>
    <w:p w14:paraId="36A1E82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1）承销证券；</w:t>
      </w:r>
    </w:p>
    <w:p w14:paraId="627FE6F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违反规定向他人贷款或者提供担保；</w:t>
      </w:r>
    </w:p>
    <w:p w14:paraId="00BC7BC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3）从事承担无限责任的投资；</w:t>
      </w:r>
    </w:p>
    <w:p w14:paraId="226E740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4）买卖</w:t>
      </w:r>
      <w:r>
        <w:rPr>
          <w:rFonts w:hint="eastAsia" w:asciiTheme="minorEastAsia" w:hAnsiTheme="minorEastAsia" w:eastAsiaTheme="minorEastAsia"/>
        </w:rPr>
        <w:t>除目标</w:t>
      </w:r>
      <w:r>
        <w:rPr>
          <w:rFonts w:asciiTheme="minorEastAsia" w:hAnsiTheme="minorEastAsia" w:eastAsiaTheme="minorEastAsia"/>
        </w:rPr>
        <w:t>ETF外的其他基金份额，但是</w:t>
      </w:r>
      <w:r>
        <w:rPr>
          <w:rFonts w:hint="eastAsia" w:asciiTheme="minorEastAsia" w:hAnsiTheme="minorEastAsia" w:eastAsiaTheme="minorEastAsia"/>
        </w:rPr>
        <w:t>中国证监会另有规定的除外；</w:t>
      </w:r>
    </w:p>
    <w:p w14:paraId="1015B2D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5）向</w:t>
      </w:r>
      <w:r>
        <w:rPr>
          <w:rFonts w:hint="eastAsia" w:asciiTheme="minorEastAsia" w:hAnsiTheme="minorEastAsia" w:eastAsiaTheme="minorEastAsia"/>
        </w:rPr>
        <w:t>其</w:t>
      </w:r>
      <w:r>
        <w:rPr>
          <w:rFonts w:asciiTheme="minorEastAsia" w:hAnsiTheme="minorEastAsia" w:eastAsiaTheme="minorEastAsia"/>
        </w:rPr>
        <w:t>基金管理人、基金托管人出资</w:t>
      </w:r>
      <w:r>
        <w:rPr>
          <w:rFonts w:hint="eastAsia" w:asciiTheme="minorEastAsia" w:hAnsiTheme="minorEastAsia" w:eastAsiaTheme="minorEastAsia"/>
        </w:rPr>
        <w:t>；</w:t>
      </w:r>
    </w:p>
    <w:p w14:paraId="192E8EB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）从事内幕交易、操纵证券交易价格及其他不正当的证券交易活动；</w:t>
      </w:r>
    </w:p>
    <w:p w14:paraId="24AA63D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）法律、行政法规和中国证监会规定禁止的其他活动。</w:t>
      </w:r>
    </w:p>
    <w:p w14:paraId="021C85E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F97105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法律、行政法规或监管部门取消或变更上述限制，如适用于本基金，在履行适当程序后，则本基金投资不再受相关限制或按变更后的规定执行。</w:t>
      </w:r>
    </w:p>
    <w:p w14:paraId="0852884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lang w:val="en-US" w:eastAsia="zh-CN"/>
        </w:rPr>
        <w:t>五</w:t>
      </w:r>
      <w:r>
        <w:rPr>
          <w:rFonts w:hint="eastAsia" w:asciiTheme="minorEastAsia" w:hAnsiTheme="minorEastAsia" w:eastAsiaTheme="minorEastAsia"/>
        </w:rPr>
        <w:t>、标的指数和业绩比较基准</w:t>
      </w:r>
      <w:bookmarkStart w:id="484" w:name="_GoBack"/>
      <w:bookmarkEnd w:id="484"/>
    </w:p>
    <w:p w14:paraId="6A38D6D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本基金的标的指数为恒生港股通红利指数。</w:t>
      </w:r>
    </w:p>
    <w:p w14:paraId="381F75B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本基金的业绩比较基准为：恒生港股通红利指数（港元）收益率×95%+活期存款基准利率×5%</w:t>
      </w:r>
    </w:p>
    <w:p w14:paraId="318305D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1、业绩比较基准设定的原因</w:t>
      </w:r>
    </w:p>
    <w:p w14:paraId="4F5958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为股票型ETF联接基金,主要投资于目标ETF即博时恒生港股通红利交易型开放式指数证券投资基金，以“紧密跟踪标的指数即恒生港股通红利指数的表现，追求跟踪偏离度和跟踪误差的最小化”为投资目标，在投资中将不低于基金资产净值的90%，且不低于非现金基金资产的80%的资产投资于目标ETF。本基金的标的指数为恒生港股通红利指数，相应选取恒生港股通红利指数和活期存款基准利率作为基准要素，同时将恒生港股通红利指数的基准要素权重设置为95%；选取活期存款基准利率作为流动性管理部分的业绩比较基准，同时将活期存款基准利率的基准要素权重设置为5%。</w:t>
      </w:r>
    </w:p>
    <w:p w14:paraId="3D753A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综上，本基金选取的业绩比较基准与基金投资目标、投资范围、投资策略、投资比例限制相匹配。</w:t>
      </w:r>
    </w:p>
    <w:p w14:paraId="76059F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2、业绩比较基准要素的基本信息</w:t>
      </w:r>
    </w:p>
    <w:p w14:paraId="50E82F9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恒生港股通红利指数由恒生指数有限公司编制发布，指数代码为HSSCHKY，具体信息详见恒生指数有限公司网站，网址：https://www.hsi.com.hk/schi。</w:t>
      </w:r>
    </w:p>
    <w:p w14:paraId="5AD4606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活期存款基准利率由中国人民银行发布，具体信息详见中国人民银行网站，网址：www.pbc.gov.cn。</w:t>
      </w:r>
    </w:p>
    <w:p w14:paraId="69F4A3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3、业绩比较基准的计算方法</w:t>
      </w:r>
    </w:p>
    <w:p w14:paraId="20EE2A50">
      <w:pPr>
        <w:adjustRightInd w:val="0"/>
        <w:snapToGrid w:val="0"/>
        <w:spacing w:line="360" w:lineRule="auto"/>
        <w:ind w:firstLine="420" w:firstLineChars="200"/>
        <w:rPr>
          <w:rFonts w:asciiTheme="minorEastAsia" w:hAnsiTheme="minorEastAsia" w:eastAsiaTheme="minorEastAsia"/>
          <w:color w:val="auto"/>
          <w:sz w:val="21"/>
        </w:rPr>
      </w:pPr>
      <w:r>
        <w:rPr>
          <w:rFonts w:hint="eastAsia" w:asciiTheme="minorEastAsia" w:hAnsiTheme="minorEastAsia" w:eastAsiaTheme="minorEastAsia"/>
        </w:rPr>
        <w:t>本基金业绩比较基准收益率的计算方法以每日收益率为基础，以时间加权为计算原则。本基金先分别计算业绩比较基准中恒生港股通红利指数</w:t>
      </w:r>
      <w:r>
        <w:rPr>
          <w:rFonts w:hint="eastAsia" w:asciiTheme="minorEastAsia" w:hAnsiTheme="minorEastAsia" w:eastAsiaTheme="minorEastAsia"/>
          <w:color w:val="auto"/>
          <w:sz w:val="21"/>
        </w:rPr>
        <w:t>（港元）</w:t>
      </w:r>
      <w:r>
        <w:rPr>
          <w:rFonts w:hint="eastAsia" w:asciiTheme="minorEastAsia" w:hAnsiTheme="minorEastAsia" w:eastAsiaTheme="minorEastAsia"/>
        </w:rPr>
        <w:t>和活期存款基准利率的每日收益率，再按照预设权重比例计算当日组合要素基准的日收益率，并连乘每日收益率。恒生港股通红利指数</w:t>
      </w:r>
      <w:r>
        <w:rPr>
          <w:rFonts w:hint="eastAsia" w:asciiTheme="minorEastAsia" w:hAnsiTheme="minorEastAsia" w:eastAsiaTheme="minorEastAsia"/>
          <w:color w:val="auto"/>
          <w:sz w:val="21"/>
        </w:rPr>
        <w:t>（港元）收益率采用估值汇率进行调整，由港元计价折算为人民币计价后，再纳入计算。</w:t>
      </w:r>
    </w:p>
    <w:p w14:paraId="23A2811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4、管理投资偏离业绩比较基准的定性或定量方法</w:t>
      </w:r>
    </w:p>
    <w:p w14:paraId="3A33DC5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w:t>
      </w:r>
    </w:p>
    <w:p w14:paraId="5A584F7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5、未来可能变更业绩比较基准的情况和程序</w:t>
      </w:r>
    </w:p>
    <w:p w14:paraId="7FCC73C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若本基金调整业绩比较基准的要素权重，本基金将根据法律法规、中国证监会的规定和基金合同约定履行相关程序。</w:t>
      </w:r>
    </w:p>
    <w:p w14:paraId="65A92C6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未来若出现标的指数不符合要求（因成份股价格波动等指数编制方法变动之外的因素致使标的指数不符合要求以及法律法规、监管机构另有规定的情形除外）、指数编制机构退出等情形，除法律法规、监管机构另有规定或基金合同另有规定除外，基金管理人应当自该情形发生之日起十个工作日内向中国证监会报告并提出解决方案，如转换运作方式、与其他基金合并或者终止基金合同等，并在6个月内召集基金份额持有人大会。</w:t>
      </w:r>
    </w:p>
    <w:p w14:paraId="74F7D69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自指数编制机构停止标的指数的编制及发布至解决方案确定期间，基金管理人应按照指数编制机构提供的最近一个交易日的指数信息遵循基金份额持有人利益优先原则维持基金投资运作。</w:t>
      </w:r>
    </w:p>
    <w:p w14:paraId="50C236F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法律法规或监管机构另有规定的，从其规定。</w:t>
      </w:r>
    </w:p>
    <w:p w14:paraId="64DF7B3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lang w:val="en-US" w:eastAsia="zh-CN"/>
        </w:rPr>
        <w:t>六</w:t>
      </w:r>
      <w:r>
        <w:rPr>
          <w:rFonts w:hint="eastAsia" w:asciiTheme="minorEastAsia" w:hAnsiTheme="minorEastAsia" w:eastAsiaTheme="minorEastAsia"/>
        </w:rPr>
        <w:t>、风险收益特征</w:t>
      </w:r>
    </w:p>
    <w:p w14:paraId="1B5A781A">
      <w:pPr>
        <w:adjustRightInd w:val="0"/>
        <w:snapToGrid w:val="0"/>
        <w:spacing w:line="360" w:lineRule="auto"/>
        <w:ind w:firstLine="420" w:firstLineChars="200"/>
        <w:rPr>
          <w:rFonts w:asciiTheme="minorEastAsia" w:hAnsiTheme="minorEastAsia" w:eastAsiaTheme="minorEastAsia"/>
        </w:rPr>
      </w:pPr>
      <w:bookmarkStart w:id="304" w:name="_Toc93226145"/>
      <w:bookmarkStart w:id="305" w:name="_Toc92662704"/>
      <w:bookmarkStart w:id="306" w:name="_Toc141703893"/>
      <w:bookmarkStart w:id="307" w:name="_Toc21642"/>
      <w:bookmarkStart w:id="308" w:name="_Toc3054"/>
      <w:bookmarkStart w:id="309" w:name="_Toc26114"/>
      <w:bookmarkStart w:id="310" w:name="_Toc139991743"/>
      <w:bookmarkStart w:id="311" w:name="_Toc20102"/>
      <w:bookmarkStart w:id="312" w:name="_Toc32030"/>
      <w:bookmarkStart w:id="313" w:name="_Toc31611"/>
      <w:bookmarkStart w:id="314" w:name="_Toc24474"/>
      <w:bookmarkStart w:id="315" w:name="_Toc20782"/>
      <w:bookmarkStart w:id="316" w:name="_Toc29561"/>
      <w:bookmarkStart w:id="317" w:name="_Toc13819"/>
      <w:bookmarkStart w:id="318" w:name="_Toc18000"/>
      <w:bookmarkStart w:id="319" w:name="_Toc128310496"/>
      <w:r>
        <w:rPr>
          <w:rFonts w:hint="eastAsia" w:asciiTheme="minorEastAsia" w:hAnsiTheme="minorEastAsia" w:eastAsiaTheme="minorEastAsia"/>
        </w:rPr>
        <w:t>本基金为ETF联接基金，通过投资于目标</w:t>
      </w:r>
      <w:r>
        <w:rPr>
          <w:rFonts w:asciiTheme="minorEastAsia" w:hAnsiTheme="minorEastAsia" w:eastAsiaTheme="minorEastAsia"/>
        </w:rPr>
        <w:t>ETF跟踪标的指数表现，具有与标的指数以及标的指数所代表的证券市场相似的风险收益特征。</w:t>
      </w:r>
    </w:p>
    <w:p w14:paraId="1E089065">
      <w:pPr>
        <w:adjustRightInd w:val="0"/>
        <w:snapToGrid w:val="0"/>
        <w:spacing w:line="360" w:lineRule="auto"/>
        <w:ind w:firstLine="420" w:firstLineChars="200"/>
      </w:pPr>
      <w:r>
        <w:rPr>
          <w:rFonts w:hint="eastAsia" w:asciiTheme="minorEastAsia" w:hAnsiTheme="minorEastAsia" w:eastAsiaTheme="minorEastAsia"/>
        </w:rPr>
        <w:t>同时，本基金为被动式投资的股票指数基金，跟踪恒生港股通红利指数，其预期风险与预期收益高于债券型基金、</w:t>
      </w:r>
      <w:r>
        <w:rPr>
          <w:rFonts w:hint="eastAsia"/>
        </w:rPr>
        <w:t>混合型基金、</w:t>
      </w:r>
      <w:r>
        <w:rPr>
          <w:rFonts w:hint="eastAsia" w:asciiTheme="minorEastAsia" w:hAnsiTheme="minorEastAsia" w:eastAsiaTheme="minorEastAsia"/>
        </w:rPr>
        <w:t>货币市场基金。</w:t>
      </w:r>
    </w:p>
    <w:p w14:paraId="687DC45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本基金通过主要投资于目标ETF，间接投资于香港证券市场，需承担港股通机制下因投资环境、投资标的、市场制度以及交易规则等差异带来的特有风险。</w:t>
      </w:r>
    </w:p>
    <w:p w14:paraId="51E7B9C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lang w:val="en-US" w:eastAsia="zh-CN"/>
        </w:rPr>
        <w:t>七</w:t>
      </w:r>
      <w:r>
        <w:rPr>
          <w:rFonts w:hint="eastAsia" w:asciiTheme="minorEastAsia" w:hAnsiTheme="minorEastAsia" w:eastAsiaTheme="minorEastAsia"/>
        </w:rPr>
        <w:t>、目标ETF发生相关变更情形时的处理</w:t>
      </w:r>
    </w:p>
    <w:p w14:paraId="3CAA925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除标的指数不符合要求（因成份股价格波动等指数编制方法变动之外的因素致使标的指数不符合要求以及法律法规、监管机构另有规定的情形除外）、指数编制机构退出等原因外，目标ETF出现下述情形之一的，本基金将在履行适当程序后由投资于目标ETF的联接基金变更为直接投资标的指数的指数基金，无需召开基金份额持有人大会；若届时本基金管理人已有以该指数作为标的指数的指数基金，则本基金将本着维护投资人合法权益的原则，履行适当的程序后选取其他合适的指数作为标的指数。相应地，本基金基金合同中将删除关于目标ETF的表述部分，或将变更标的指数，届时将由基金管理人另行公告。</w:t>
      </w:r>
    </w:p>
    <w:p w14:paraId="3EF71D4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1、目标ETF交易方式发生重大变更致使本基金的投资策略难以实现；</w:t>
      </w:r>
    </w:p>
    <w:p w14:paraId="54A4B61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2、目标ETF终止上市；</w:t>
      </w:r>
    </w:p>
    <w:p w14:paraId="23EDD79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3、目标ETF基金合同终止；</w:t>
      </w:r>
    </w:p>
    <w:p w14:paraId="39014F1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4、目标ETF与其他基金进行合并；</w:t>
      </w:r>
    </w:p>
    <w:p w14:paraId="7C41EFC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、目标ETF的基金管理人发生变更（但变更后的本基金与目标ETF的基金管理人相同的除外）；</w:t>
      </w:r>
    </w:p>
    <w:p w14:paraId="05F4680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6、中国证监会规定的其他情形。</w:t>
      </w:r>
    </w:p>
    <w:p w14:paraId="4CCB64E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若目标ETF变更标的指数，本基金将在履行适当程序后相应变更标的指数且继续投资于该目标ETF。但目标ETF召开基金份额持有人大会审议变更目标ETF标的指数事项的，本基金的基金份额持有人可出席目标ETF基金份额持有人大会并进行表决，目标ETF基金份额持有人大会审议通过变更标的指数事项的，本基金可不召开基金份额持有人大会相应变更标的指数并仍为该目标ETF的联接基金。</w:t>
      </w:r>
    </w:p>
    <w:p w14:paraId="45FD266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lang w:val="en-US" w:eastAsia="zh-CN"/>
        </w:rPr>
        <w:t>八</w:t>
      </w:r>
      <w:r>
        <w:rPr>
          <w:rFonts w:hint="eastAsia" w:asciiTheme="minorEastAsia" w:hAnsiTheme="minorEastAsia" w:eastAsiaTheme="minorEastAsia"/>
        </w:rPr>
        <w:t>、基金管理人代表基金行使股东或债权人权利的处理原则及方法</w:t>
      </w:r>
    </w:p>
    <w:p w14:paraId="6DB2ED0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1、基金管理人按照国家有关规定代表基金独立行使股东或债权人权利，保护基金份额持有人的利益；</w:t>
      </w:r>
    </w:p>
    <w:p w14:paraId="4B669D8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2、不谋求对上市公司的控股；</w:t>
      </w:r>
    </w:p>
    <w:p w14:paraId="3FBBE53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3、有利于基金财产的安全与增值；</w:t>
      </w:r>
    </w:p>
    <w:p w14:paraId="31B4A03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4、不通过关联交易为自身、雇员、授权代理人或任何存在利害关系的第三人牟取任何不当利益。</w:t>
      </w:r>
    </w:p>
    <w:p w14:paraId="687B013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十、侧袋机制的实施和投资运作安排</w:t>
      </w:r>
    </w:p>
    <w:p w14:paraId="1A8B98D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24BE3A3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侧袋机制实施期间，本部分约定的投资组合比例、投资策略、组合限制、业绩比较基准、风险收益特征等约定仅适用于主袋账户。</w:t>
      </w:r>
    </w:p>
    <w:p w14:paraId="22AFE3A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侧袋账户的实施条件、实施程序、运作安排、投资安排、特定资产的处置变现和支付等对投资者权益有重大影响的事项详见招募说明书的规定。</w:t>
      </w:r>
    </w:p>
    <w:bookmarkEnd w:id="302"/>
    <w:p w14:paraId="5A9B8D20">
      <w:pPr>
        <w:adjustRightInd w:val="0"/>
        <w:snapToGrid w:val="0"/>
        <w:spacing w:line="360" w:lineRule="auto"/>
        <w:ind w:firstLine="420" w:firstLineChars="200"/>
        <w:rPr>
          <w:rFonts w:cs="Arial" w:asciiTheme="minorEastAsia" w:hAnsiTheme="minorEastAsia" w:eastAsiaTheme="minorEastAsia"/>
          <w:szCs w:val="21"/>
        </w:rPr>
        <w:sectPr>
          <w:footerReference r:id="rId15" w:type="default"/>
          <w:pgSz w:w="11906" w:h="16838"/>
          <w:pgMar w:top="1418" w:right="1701" w:bottom="1418" w:left="1701" w:header="851" w:footer="992" w:gutter="0"/>
          <w:pgNumType w:start="1"/>
          <w:cols w:space="425" w:num="1"/>
          <w:docGrid w:type="lines" w:linePitch="312" w:charSpace="0"/>
        </w:sectPr>
      </w:pPr>
    </w:p>
    <w:p w14:paraId="27CB2BA2">
      <w:pPr>
        <w:adjustRightInd w:val="0"/>
        <w:snapToGrid w:val="0"/>
        <w:spacing w:line="360" w:lineRule="auto"/>
        <w:rPr>
          <w:rFonts w:cs="Arial" w:asciiTheme="minorEastAsia" w:hAnsiTheme="minorEastAsia" w:eastAsiaTheme="minorEastAsia"/>
          <w:szCs w:val="21"/>
        </w:rPr>
      </w:pPr>
      <w:bookmarkStart w:id="320" w:name="CTS_c9e69c0aca64452da0c3ec6152cebfa8"/>
      <w:bookmarkEnd w:id="320"/>
      <w:bookmarkStart w:id="321" w:name="CLAUSE_c9e69c0aca64452da0c3ec6152cebfa8"/>
    </w:p>
    <w:p w14:paraId="66CF517F">
      <w:pPr>
        <w:pStyle w:val="3"/>
        <w:adjustRightInd w:val="0"/>
        <w:snapToGrid w:val="0"/>
        <w:spacing w:before="0" w:after="0" w:line="360" w:lineRule="auto"/>
        <w:rPr>
          <w:rFonts w:asciiTheme="minorEastAsia" w:hAnsiTheme="minorEastAsia" w:eastAsiaTheme="minorEastAsia"/>
          <w:sz w:val="21"/>
        </w:rPr>
      </w:pPr>
      <w:bookmarkStart w:id="322" w:name="_Toc90742399"/>
      <w:bookmarkStart w:id="323" w:name="_Toc16237238"/>
      <w:bookmarkStart w:id="324" w:name="_Toc90742330"/>
      <w:r>
        <w:rPr>
          <w:rFonts w:hint="eastAsia" w:cs="Arial" w:asciiTheme="minorEastAsia" w:hAnsiTheme="minorEastAsia" w:eastAsiaTheme="minorEastAsia"/>
          <w:sz w:val="21"/>
          <w:szCs w:val="21"/>
        </w:rPr>
        <w:t xml:space="preserve">第十三部分 </w:t>
      </w:r>
      <w:r>
        <w:rPr>
          <w:rFonts w:hint="eastAsia" w:asciiTheme="minorEastAsia" w:hAnsiTheme="minorEastAsia" w:eastAsiaTheme="minorEastAsia"/>
          <w:sz w:val="21"/>
        </w:rPr>
        <w:t>基金</w:t>
      </w:r>
      <w:bookmarkEnd w:id="304"/>
      <w:bookmarkEnd w:id="305"/>
      <w:r>
        <w:rPr>
          <w:rFonts w:hint="eastAsia" w:asciiTheme="minorEastAsia" w:hAnsiTheme="minorEastAsia" w:eastAsiaTheme="minorEastAsia"/>
          <w:sz w:val="21"/>
        </w:rPr>
        <w:t>的财产</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2"/>
      <w:bookmarkEnd w:id="323"/>
      <w:bookmarkEnd w:id="324"/>
    </w:p>
    <w:p w14:paraId="73543A31">
      <w:pPr>
        <w:spacing w:line="360" w:lineRule="auto"/>
        <w:ind w:firstLine="480" w:firstLineChars="200"/>
        <w:rPr>
          <w:rFonts w:asciiTheme="minorEastAsia" w:hAnsiTheme="minorEastAsia" w:eastAsiaTheme="minorEastAsia"/>
          <w:bCs/>
          <w:sz w:val="24"/>
        </w:rPr>
      </w:pPr>
    </w:p>
    <w:p w14:paraId="4A4D930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一、基金资产总值</w:t>
      </w:r>
    </w:p>
    <w:p w14:paraId="531AAA0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基金资产总值是指基金拥有的目标ETF基金份额、各类有价证券、银行存款本息、基金应收款项及其他资产的价值总和。</w:t>
      </w:r>
    </w:p>
    <w:p w14:paraId="20D29B0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二、基金资产净值</w:t>
      </w:r>
    </w:p>
    <w:p w14:paraId="31A88C6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基金资产净值是指基金资产总值减去基金负债后的价值。</w:t>
      </w:r>
    </w:p>
    <w:p w14:paraId="2E70CC1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三、基金财产的账户</w:t>
      </w:r>
    </w:p>
    <w:p w14:paraId="3C1F28B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bookmarkStart w:id="325" w:name="_Hlt88841837"/>
      <w:bookmarkEnd w:id="325"/>
    </w:p>
    <w:p w14:paraId="55DB8B9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四、基金财产的保管和处分</w:t>
      </w:r>
      <w:bookmarkStart w:id="326" w:name="_Hlt88900062"/>
      <w:bookmarkEnd w:id="326"/>
    </w:p>
    <w:p w14:paraId="76D5D96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42C9246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6B16F740">
      <w:pPr>
        <w:adjustRightInd w:val="0"/>
        <w:snapToGrid w:val="0"/>
        <w:spacing w:line="360" w:lineRule="auto"/>
        <w:rPr>
          <w:rFonts w:cs="Arial" w:asciiTheme="minorEastAsia" w:hAnsiTheme="minorEastAsia" w:eastAsiaTheme="minorEastAsia"/>
          <w:szCs w:val="21"/>
        </w:rPr>
      </w:pPr>
      <w:bookmarkStart w:id="327" w:name="_Toc27832"/>
      <w:bookmarkStart w:id="328" w:name="_Toc31917"/>
      <w:bookmarkStart w:id="329" w:name="_Toc19714"/>
      <w:bookmarkStart w:id="330" w:name="_Toc17782"/>
      <w:bookmarkStart w:id="331" w:name="_Toc2623"/>
      <w:bookmarkStart w:id="332" w:name="_Toc871"/>
      <w:bookmarkStart w:id="333" w:name="_Toc7802"/>
      <w:bookmarkStart w:id="334" w:name="_Toc139991744"/>
      <w:bookmarkStart w:id="335" w:name="_Toc141703894"/>
    </w:p>
    <w:p w14:paraId="4B3D6DA1">
      <w:pPr>
        <w:pStyle w:val="3"/>
        <w:adjustRightInd w:val="0"/>
        <w:snapToGrid w:val="0"/>
        <w:spacing w:before="0" w:after="0" w:line="360" w:lineRule="auto"/>
        <w:rPr>
          <w:rFonts w:cs="Arial" w:asciiTheme="minorEastAsia" w:hAnsiTheme="minorEastAsia" w:eastAsiaTheme="minorEastAsia"/>
          <w:sz w:val="21"/>
          <w:szCs w:val="21"/>
        </w:rPr>
        <w:sectPr>
          <w:footerReference r:id="rId16" w:type="default"/>
          <w:pgSz w:w="11906" w:h="16838"/>
          <w:pgMar w:top="1418" w:right="1701" w:bottom="1418" w:left="1701" w:header="851" w:footer="992" w:gutter="0"/>
          <w:pgNumType w:start="1"/>
          <w:cols w:space="425" w:num="1"/>
          <w:docGrid w:type="lines" w:linePitch="312" w:charSpace="0"/>
        </w:sectPr>
      </w:pPr>
      <w:bookmarkStart w:id="336" w:name="_Toc90742331"/>
      <w:bookmarkStart w:id="337" w:name="_Toc90742400"/>
    </w:p>
    <w:bookmarkEnd w:id="321"/>
    <w:p w14:paraId="6FEE534F">
      <w:pPr>
        <w:pStyle w:val="3"/>
        <w:adjustRightInd w:val="0"/>
        <w:snapToGrid w:val="0"/>
        <w:spacing w:before="312" w:beforeLines="100" w:after="0" w:line="360" w:lineRule="auto"/>
        <w:rPr>
          <w:rFonts w:asciiTheme="minorEastAsia" w:hAnsiTheme="minorEastAsia" w:eastAsiaTheme="minorEastAsia"/>
          <w:sz w:val="21"/>
        </w:rPr>
      </w:pPr>
      <w:bookmarkStart w:id="338" w:name="_Toc16237239"/>
      <w:bookmarkStart w:id="339" w:name="CLAUSE_50a5d7145af6454c87d2942e4846f137"/>
      <w:r>
        <w:rPr>
          <w:rFonts w:hint="eastAsia" w:cs="Arial" w:asciiTheme="minorEastAsia" w:hAnsiTheme="minorEastAsia" w:eastAsiaTheme="minorEastAsia"/>
          <w:sz w:val="21"/>
          <w:szCs w:val="21"/>
        </w:rPr>
        <w:t xml:space="preserve">第十四部分 </w:t>
      </w:r>
      <w:bookmarkStart w:id="340" w:name="CTS_50a5d7145af6454c87d2942e4846f137"/>
      <w:bookmarkEnd w:id="340"/>
      <w:r>
        <w:rPr>
          <w:rFonts w:hint="eastAsia" w:asciiTheme="minorEastAsia" w:hAnsiTheme="minorEastAsia" w:eastAsiaTheme="minorEastAsia"/>
          <w:sz w:val="21"/>
        </w:rPr>
        <w:t>基金资产估值</w:t>
      </w:r>
      <w:bookmarkEnd w:id="327"/>
      <w:bookmarkEnd w:id="328"/>
      <w:bookmarkEnd w:id="329"/>
      <w:bookmarkEnd w:id="330"/>
      <w:bookmarkEnd w:id="331"/>
      <w:bookmarkEnd w:id="332"/>
      <w:bookmarkEnd w:id="333"/>
      <w:bookmarkEnd w:id="336"/>
      <w:bookmarkEnd w:id="337"/>
      <w:bookmarkEnd w:id="338"/>
    </w:p>
    <w:bookmarkEnd w:id="334"/>
    <w:bookmarkEnd w:id="335"/>
    <w:p w14:paraId="60D4ADC2">
      <w:pPr>
        <w:spacing w:line="360" w:lineRule="auto"/>
        <w:ind w:firstLine="480" w:firstLineChars="200"/>
        <w:rPr>
          <w:rFonts w:asciiTheme="minorEastAsia" w:hAnsiTheme="minorEastAsia" w:eastAsiaTheme="minorEastAsia"/>
          <w:bCs/>
          <w:sz w:val="24"/>
        </w:rPr>
      </w:pPr>
    </w:p>
    <w:p w14:paraId="34DCDEF3">
      <w:pPr>
        <w:adjustRightInd w:val="0"/>
        <w:snapToGrid w:val="0"/>
        <w:spacing w:line="360" w:lineRule="auto"/>
        <w:ind w:firstLine="420" w:firstLineChars="200"/>
        <w:rPr>
          <w:rFonts w:asciiTheme="minorEastAsia" w:hAnsiTheme="minorEastAsia" w:eastAsiaTheme="minorEastAsia"/>
        </w:rPr>
      </w:pPr>
      <w:bookmarkStart w:id="341" w:name="_Toc32046"/>
      <w:bookmarkStart w:id="342" w:name="_Toc139991745"/>
      <w:bookmarkStart w:id="343" w:name="_Toc141703895"/>
      <w:r>
        <w:rPr>
          <w:rFonts w:hint="eastAsia" w:asciiTheme="minorEastAsia" w:hAnsiTheme="minorEastAsia" w:eastAsiaTheme="minorEastAsia"/>
        </w:rPr>
        <w:t>一、估值日</w:t>
      </w:r>
    </w:p>
    <w:p w14:paraId="2E67A4B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本基金的估值日为本基金相关的证券交易场所的交易日以及国家法律法规规定需要对外披露基金净值的非交易日。</w:t>
      </w:r>
    </w:p>
    <w:p w14:paraId="6A586C2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二、估值对象</w:t>
      </w:r>
    </w:p>
    <w:p w14:paraId="3F8A0C1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基金所拥有的目标</w:t>
      </w:r>
      <w:r>
        <w:rPr>
          <w:rFonts w:asciiTheme="minorEastAsia" w:hAnsiTheme="minorEastAsia" w:eastAsiaTheme="minorEastAsia"/>
        </w:rPr>
        <w:t>ETF</w:t>
      </w:r>
      <w:r>
        <w:rPr>
          <w:rFonts w:hint="eastAsia" w:asciiTheme="minorEastAsia" w:hAnsiTheme="minorEastAsia" w:eastAsiaTheme="minorEastAsia"/>
        </w:rPr>
        <w:t>基金</w:t>
      </w:r>
      <w:r>
        <w:rPr>
          <w:rFonts w:asciiTheme="minorEastAsia" w:hAnsiTheme="minorEastAsia" w:eastAsiaTheme="minorEastAsia"/>
        </w:rPr>
        <w:t>份额、</w:t>
      </w:r>
      <w:r>
        <w:rPr>
          <w:rFonts w:hint="eastAsia" w:asciiTheme="minorEastAsia" w:hAnsiTheme="minorEastAsia" w:eastAsiaTheme="minorEastAsia"/>
        </w:rPr>
        <w:t>股票、债券、资产支持证券、国债期货合约、股指期货合约、股票期权合约和银行存款本息、应收款项、其它投资等资产及负债。</w:t>
      </w:r>
    </w:p>
    <w:p w14:paraId="441CAA6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三、估值原则</w:t>
      </w:r>
    </w:p>
    <w:p w14:paraId="1FFBEF1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基金管理人在确定相关金融资产和金融负债的公允价值时，应符合《企业会计准则》、监管部门有关规定。</w:t>
      </w:r>
    </w:p>
    <w:p w14:paraId="1EB6C10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1F98A00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3C165A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72DD61C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（三）如经济环境发生重大变化或证券发行人发生影响证券价格的重大事件，使潜在估值调整对前一估值日的基金资产净值的影响在0.25%以上的，应对估值进行调整并确定公允价值。</w:t>
      </w:r>
    </w:p>
    <w:p w14:paraId="4F16DC0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四、估值方法</w:t>
      </w:r>
    </w:p>
    <w:p w14:paraId="5E0F3DC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1、本基金持有的目标ETF基金份额以其当日基金份额净值估值，当日无基金份额净值的，以最近工作日的基金份额净值估值。</w:t>
      </w:r>
    </w:p>
    <w:p w14:paraId="01D4EFB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2、证券交易所上市的有价证券（目标ETF除外）的估值</w:t>
      </w:r>
    </w:p>
    <w:p w14:paraId="0FC36B7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39AA05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）交易所市场上市交易或挂牌转让的固定收益品种（本合同另有约定的除外），选取估值日第三方估值机构提供的相应品种对应的估值净价估值，具体估值机构由基金管理人与基金托管人共同确定；</w:t>
      </w:r>
    </w:p>
    <w:p w14:paraId="414603E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030E6DF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交易所上市实行全价交易的固定收益品种（可转换债券除外），选取第三方估值机构提供的估值全价减去估值全价中所含的固定收益品种（税后）应收利息得到的净价进行估值；</w:t>
      </w:r>
    </w:p>
    <w:p w14:paraId="01A1534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（4）交易所上市不存在活跃市场的有价证券，采用估值技术确定公允价值。交易所上市的资产支持证券，采用估值技术确定公允价值，在估值技术难以可靠计量公允价值的情况下，按成本估值。</w:t>
      </w:r>
    </w:p>
    <w:p w14:paraId="5A5D686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3、处于未上市或者未挂牌期间的有价证券应区分如下情况处理：</w:t>
      </w:r>
    </w:p>
    <w:p w14:paraId="1AD56BB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）送股、转增股、配股和公开增发的新股，按估值日在证券交易所挂牌的同一股票的估值方法估值；该日无交易的，以最近一日的市价（收盘价）估值；</w:t>
      </w:r>
    </w:p>
    <w:p w14:paraId="015570C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）首次公开发行未上市或者未挂牌的股票、债券，采用估值技术确定公允价值，在估值技术难以可靠计量公允价值的情况下，按成本估值；</w:t>
      </w:r>
    </w:p>
    <w:p w14:paraId="5D8F1A5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1C7F3E1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64F2319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5、同一证券同时在两个或两个以上市场交易的，按证券所处的市场分别估值。</w:t>
      </w:r>
    </w:p>
    <w:p w14:paraId="7B620F4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6、本基金投资股指期货合约、国债期货合约，一般以估值当日结算价进行估值，估值当日无结算价的，且最近交易日后经济环境未发生重大变化的，采用最近交易日结算价估值。</w:t>
      </w:r>
    </w:p>
    <w:p w14:paraId="6D4606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7、本基金投资股票期权，根据相关法律法规以及监管部门的规定估值。</w:t>
      </w:r>
    </w:p>
    <w:p w14:paraId="6D5EDF4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8、本基金投资存托凭证的估值核算，依照境内上市交易的股票执行。</w:t>
      </w:r>
    </w:p>
    <w:p w14:paraId="6CD6960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9</w:t>
      </w:r>
      <w:r>
        <w:rPr>
          <w:rFonts w:hint="eastAsia" w:asciiTheme="minorEastAsia" w:hAnsiTheme="minorEastAsia" w:eastAsiaTheme="minorEastAsia"/>
        </w:rPr>
        <w:t>、本基金参与融资及转融通证券出借业务的，应参照行业协会的相关规定进行估值，确保估值的公允性。</w:t>
      </w:r>
    </w:p>
    <w:p w14:paraId="0AEDE0C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10</w:t>
      </w:r>
      <w:r>
        <w:rPr>
          <w:rFonts w:hint="eastAsia" w:asciiTheme="minorEastAsia" w:hAnsiTheme="minorEastAsia" w:eastAsiaTheme="minorEastAsia"/>
        </w:rPr>
        <w:t>、汇率</w:t>
      </w:r>
    </w:p>
    <w:p w14:paraId="50888A8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11587A8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11</w:t>
      </w:r>
      <w:r>
        <w:rPr>
          <w:rFonts w:hint="eastAsia" w:asciiTheme="minorEastAsia" w:hAnsiTheme="minorEastAsia" w:eastAsiaTheme="minorEastAsia"/>
        </w:rPr>
        <w:t>、当发生大额申购或赎回情形时，基金管理人可以采用摆动定价机制，以确保基金估值的公平性。具体处理原则与操作规范遵循相关法律法规以及监管部门、自律规则的规定。</w:t>
      </w:r>
    </w:p>
    <w:p w14:paraId="2CCE733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2</w:t>
      </w:r>
      <w:r>
        <w:rPr>
          <w:rFonts w:hint="eastAsia" w:asciiTheme="minorEastAsia" w:hAnsiTheme="minorEastAsia" w:eastAsiaTheme="minorEastAsia"/>
        </w:rPr>
        <w:t>、如有确凿证据表明按上述方法进行估值不能客观反映其公允价值的，基金管理人可根据具体情况与基金托管人商定后，按最能反映公允价值的价格估值。</w:t>
      </w:r>
    </w:p>
    <w:p w14:paraId="56E1C97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13</w:t>
      </w:r>
      <w:r>
        <w:rPr>
          <w:rFonts w:hint="eastAsia" w:asciiTheme="minorEastAsia" w:hAnsiTheme="minorEastAsia" w:eastAsiaTheme="minorEastAsia"/>
        </w:rPr>
        <w:t>、相关法律法规以及监管部门有强制规定的，从其规定。如有新增事项，按国家最新规定估值。</w:t>
      </w:r>
    </w:p>
    <w:p w14:paraId="2B9D2C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如基金管理人或基金托管人发现基金估值违反基金合同订明的估值方法、程序及相关法律法规的规定或者未能充分维护基金份额持有人利益时，应立即通知对方，共同查明原因，双方协商解决。</w:t>
      </w:r>
    </w:p>
    <w:p w14:paraId="6EC57BB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627E43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五、估值程序</w:t>
      </w:r>
    </w:p>
    <w:p w14:paraId="4950F53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各类</w:t>
      </w:r>
      <w:r>
        <w:rPr>
          <w:rFonts w:asciiTheme="minorEastAsia" w:hAnsiTheme="minorEastAsia" w:eastAsiaTheme="minorEastAsia"/>
        </w:rPr>
        <w:t>基金份额净值是按照每个工作日闭市后，</w:t>
      </w:r>
      <w:r>
        <w:rPr>
          <w:rFonts w:hint="eastAsia" w:asciiTheme="minorEastAsia" w:hAnsiTheme="minorEastAsia" w:eastAsiaTheme="minorEastAsia"/>
        </w:rPr>
        <w:t>各类</w:t>
      </w:r>
      <w:r>
        <w:rPr>
          <w:rFonts w:asciiTheme="minorEastAsia" w:hAnsiTheme="minorEastAsia" w:eastAsiaTheme="minorEastAsia"/>
        </w:rPr>
        <w:t>基金资产净值除以当日该类基金份额的余额数量计算，均精确到0.0001</w:t>
      </w:r>
      <w:r>
        <w:rPr>
          <w:rFonts w:hint="eastAsia" w:asciiTheme="minorEastAsia" w:hAnsiTheme="minorEastAsia" w:eastAsiaTheme="minorEastAsia"/>
        </w:rPr>
        <w:t>元，小数点后第5位四舍五入，由此产生的误差计入基金财产。基金管理人可以设立大额赎回情形下的净值精度应急调整机制。国家另有规定的，从其规定。</w:t>
      </w:r>
    </w:p>
    <w:p w14:paraId="786A5CF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基金管理人于每个工作日计算基金资产净值及各类基金份额净值，并按规定公告。</w:t>
      </w:r>
    </w:p>
    <w:p w14:paraId="2AACC1B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2、基金管理人</w:t>
      </w:r>
      <w:r>
        <w:rPr>
          <w:rFonts w:hint="eastAsia" w:asciiTheme="minorEastAsia" w:hAnsiTheme="minorEastAsia" w:eastAsiaTheme="minorEastAsia"/>
        </w:rPr>
        <w:t>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约定对外公布。</w:t>
      </w:r>
    </w:p>
    <w:p w14:paraId="705E525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六、估值错误的处理</w:t>
      </w:r>
    </w:p>
    <w:p w14:paraId="3A4DA3C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基金管理人和基金托管人将采取必要、适当、合理的措施确保基金资产估值的准确性、及时性。当任一类基金份额净值小数点后</w:t>
      </w:r>
      <w:r>
        <w:rPr>
          <w:rFonts w:asciiTheme="minorEastAsia" w:hAnsiTheme="minorEastAsia" w:eastAsiaTheme="minorEastAsia"/>
        </w:rPr>
        <w:t>4</w:t>
      </w:r>
      <w:r>
        <w:rPr>
          <w:rFonts w:hint="eastAsia" w:asciiTheme="minorEastAsia" w:hAnsiTheme="minorEastAsia" w:eastAsiaTheme="minorEastAsia"/>
        </w:rPr>
        <w:t>位以内</w:t>
      </w:r>
      <w:r>
        <w:rPr>
          <w:rFonts w:asciiTheme="minorEastAsia" w:hAnsiTheme="minorEastAsia" w:eastAsiaTheme="minorEastAsia"/>
        </w:rPr>
        <w:t>(含第4</w:t>
      </w:r>
      <w:r>
        <w:rPr>
          <w:rFonts w:hint="eastAsia" w:asciiTheme="minorEastAsia" w:hAnsiTheme="minorEastAsia" w:eastAsiaTheme="minorEastAsia"/>
        </w:rPr>
        <w:t>位</w:t>
      </w:r>
      <w:r>
        <w:rPr>
          <w:rFonts w:asciiTheme="minorEastAsia" w:hAnsiTheme="minorEastAsia" w:eastAsiaTheme="minorEastAsia"/>
        </w:rPr>
        <w:t>)发生估值错误时，视为</w:t>
      </w:r>
      <w:r>
        <w:rPr>
          <w:rFonts w:hint="eastAsia" w:asciiTheme="minorEastAsia" w:hAnsiTheme="minorEastAsia" w:eastAsiaTheme="minorEastAsia"/>
        </w:rPr>
        <w:t>该类</w:t>
      </w:r>
      <w:r>
        <w:rPr>
          <w:rFonts w:asciiTheme="minorEastAsia" w:hAnsiTheme="minorEastAsia" w:eastAsiaTheme="minorEastAsia"/>
        </w:rPr>
        <w:t>基金份额净值错误。</w:t>
      </w:r>
    </w:p>
    <w:p w14:paraId="080EE7D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本基金合同的当事人应按照以下约定处理：</w:t>
      </w:r>
    </w:p>
    <w:p w14:paraId="307A567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1、估值错误类型</w:t>
      </w:r>
    </w:p>
    <w:p w14:paraId="4EB5E0C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asciiTheme="minorEastAsia" w:hAnsiTheme="minorEastAsia" w:eastAsiaTheme="minorEastAsia"/>
        </w:rPr>
        <w:t>(“受损方”)的直接损失按下述“估值错误处理原则”给予赔偿，承担赔偿责任。</w:t>
      </w:r>
    </w:p>
    <w:p w14:paraId="74FDA24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上述估值错误的主要类型包括但不限于：资料申报差错、数据传输差错、数据计算差错、系统故障差错、下达指令差错等。</w:t>
      </w:r>
    </w:p>
    <w:p w14:paraId="39C2441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2、估值错误处理原则</w:t>
      </w:r>
    </w:p>
    <w:p w14:paraId="1821334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64FD26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2）估值错误的责任方对有关当事人的直接损失负责，不对间接损失负责，并且仅对估值错误的有关直接当事人负责，不对第三方负责。</w:t>
      </w:r>
    </w:p>
    <w:p w14:paraId="389BCA3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3）因估值错误而获得不当得利的当事人负有及时返还不当得利的义务。但估值错误责任方仍应对估值错误负责。如果由于获得不当得利的当事人</w:t>
      </w:r>
      <w:r>
        <w:rPr>
          <w:rFonts w:hint="eastAsia" w:asciiTheme="minorEastAsia" w:hAnsiTheme="minorEastAsia" w:eastAsiaTheme="minorEastAsia"/>
        </w:rPr>
        <w:t>不返还或不全部返还不当得利造成其他当事人的利益损失</w:t>
      </w:r>
      <w:r>
        <w:rPr>
          <w:rFonts w:asciiTheme="minorEastAsia" w:hAnsiTheme="minorEastAsia" w:eastAsiaTheme="minorEastAsia"/>
        </w:rPr>
        <w:t>(“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13EF9B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4）估值错误调整采用尽量恢复至假设未发生估值错误的正确情形的方式。</w:t>
      </w:r>
    </w:p>
    <w:p w14:paraId="5B2E02B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3、估值错误处理程序</w:t>
      </w:r>
    </w:p>
    <w:p w14:paraId="1515665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估值错误被发现后，有关的当事人应当及时进行处理，处理的程序如下：</w:t>
      </w:r>
    </w:p>
    <w:p w14:paraId="01784AF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1）查明估值错误发生的原因，列明所有的当事人，并根据估值错误发生的原因确定估</w:t>
      </w:r>
      <w:r>
        <w:rPr>
          <w:rFonts w:hint="eastAsia" w:asciiTheme="minorEastAsia" w:hAnsiTheme="minorEastAsia" w:eastAsiaTheme="minorEastAsia"/>
        </w:rPr>
        <w:t>值错误的责任方；</w:t>
      </w:r>
    </w:p>
    <w:p w14:paraId="5B7CB2A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2）根据估值错误处理原则或当事人协商的方法对因估值错误造成的损失进行评估；</w:t>
      </w:r>
    </w:p>
    <w:p w14:paraId="337E10B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3）根据估值错误处理原则或当事人协商的方法由估值错误的责任方进行更正和赔偿损失；</w:t>
      </w:r>
    </w:p>
    <w:p w14:paraId="483CBC3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4）根据估值错误处理的方法，需要修改基金登记机构交易数据的，由基金登记机构进行更正，并就估值错误的更正向有关当事人进行确认。</w:t>
      </w:r>
    </w:p>
    <w:p w14:paraId="073BA4F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4、基金份额净值估值错误处理的方法如下：</w:t>
      </w:r>
    </w:p>
    <w:p w14:paraId="55E8017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（1）基金份额净值计算出现错误时，基金管理人应当立即予以纠正，通报基金托管人，并采取合理的措施防止损失进一步扩大。</w:t>
      </w:r>
    </w:p>
    <w:p w14:paraId="6C89B4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（2）错误偏差达到该类基金份额净值的0.25%时，基金管理人应当通报基金托管人并报中国证监会备案；错误偏差达到该类基金份额净值的0.5%时，基金管理人应当公告，并报中国证监会备案。</w:t>
      </w:r>
    </w:p>
    <w:p w14:paraId="5540543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（3）基金管理人和基金托管人由于各自技术系统设置而产生的净值计算尾差，以基金管理人计算结果为准。</w:t>
      </w:r>
    </w:p>
    <w:p w14:paraId="292C9B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（4）前述内容如法律法规或监管机关另有规定的，从其规定处理。如果行业另有通行做法，基金管理人、基金托管人应本着平等和保护基金份额持有人利益的原则进行协商。</w:t>
      </w:r>
    </w:p>
    <w:p w14:paraId="0486B70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七、暂停估值的情形</w:t>
      </w:r>
    </w:p>
    <w:p w14:paraId="64A6301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1、基金投资所涉及的证券、期货交易所或</w:t>
      </w:r>
      <w:r>
        <w:rPr>
          <w:rFonts w:asciiTheme="minorEastAsia" w:hAnsiTheme="minorEastAsia" w:eastAsiaTheme="minorEastAsia"/>
        </w:rPr>
        <w:t>外汇市场</w:t>
      </w:r>
      <w:r>
        <w:rPr>
          <w:rFonts w:hint="eastAsia" w:asciiTheme="minorEastAsia" w:hAnsiTheme="minorEastAsia" w:eastAsiaTheme="minorEastAsia"/>
        </w:rPr>
        <w:t>遇法定节假日或因其他原因暂停营业时；</w:t>
      </w:r>
    </w:p>
    <w:p w14:paraId="614879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2、因不可抗力致使基金管理人、基金托管人无法准确评估基金资产价值时；</w:t>
      </w:r>
    </w:p>
    <w:p w14:paraId="2AE49F4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3、所投资的目标ETF暂停估值、暂停公告基金份额净值时；</w:t>
      </w:r>
    </w:p>
    <w:p w14:paraId="1FB750E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4、当特定资产占前一估值日基金资产净值50%以上的，经与基金托管人协商确认后，基金管理人应当暂停估值；</w:t>
      </w:r>
    </w:p>
    <w:p w14:paraId="5CCA015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5、中国证监会和基金合同认定的其他情形。</w:t>
      </w:r>
    </w:p>
    <w:p w14:paraId="5475EC9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八、基金净值的确认</w:t>
      </w:r>
    </w:p>
    <w:p w14:paraId="545A9CE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按规定对基金净值予以公布。</w:t>
      </w:r>
    </w:p>
    <w:p w14:paraId="5EA4B90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九、特殊情形的处理</w:t>
      </w:r>
    </w:p>
    <w:p w14:paraId="4224125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、基金管理人或基金托管人按估值方法的第1</w:t>
      </w:r>
      <w:r>
        <w:rPr>
          <w:rFonts w:asciiTheme="minorEastAsia" w:hAnsiTheme="minorEastAsia" w:eastAsiaTheme="minorEastAsia"/>
        </w:rPr>
        <w:t>2</w:t>
      </w:r>
      <w:r>
        <w:rPr>
          <w:rFonts w:hint="eastAsia" w:asciiTheme="minorEastAsia" w:hAnsiTheme="minorEastAsia" w:eastAsiaTheme="minorEastAsia"/>
        </w:rPr>
        <w:t>项进行估值时，所造成的误差不作为基金份额净值错误处理。</w:t>
      </w:r>
    </w:p>
    <w:p w14:paraId="5BF28336">
      <w:pPr>
        <w:adjustRightInd w:val="0"/>
        <w:snapToGrid w:val="0"/>
        <w:spacing w:line="360" w:lineRule="auto"/>
        <w:ind w:firstLine="420" w:firstLineChars="200"/>
        <w:rPr>
          <w:rFonts w:asciiTheme="minorEastAsia" w:hAnsiTheme="minorEastAsia" w:eastAsiaTheme="minorEastAsia"/>
        </w:rPr>
      </w:pPr>
      <w:bookmarkStart w:id="344" w:name="_Toc19752"/>
      <w:bookmarkStart w:id="345" w:name="_Toc12105"/>
      <w:bookmarkStart w:id="346" w:name="_Toc3365"/>
      <w:bookmarkStart w:id="347" w:name="_Toc15779"/>
      <w:bookmarkStart w:id="348" w:name="_Toc6493"/>
      <w:bookmarkStart w:id="349" w:name="_Toc19706"/>
      <w:bookmarkStart w:id="350" w:name="_Toc32041"/>
      <w:bookmarkStart w:id="351" w:name="_Toc24601"/>
      <w:bookmarkStart w:id="352" w:name="_Toc32227"/>
      <w:bookmarkStart w:id="353" w:name="_Toc13987"/>
      <w:r>
        <w:rPr>
          <w:rFonts w:asciiTheme="minorEastAsia" w:hAnsiTheme="minorEastAsia" w:eastAsiaTheme="minorEastAsia"/>
        </w:rPr>
        <w:t>2、由于不可抗力原因，或由于证券</w:t>
      </w:r>
      <w:r>
        <w:rPr>
          <w:rFonts w:hint="eastAsia" w:asciiTheme="minorEastAsia" w:hAnsiTheme="minorEastAsia" w:eastAsiaTheme="minorEastAsia"/>
        </w:rPr>
        <w:t>、期货交易所、指数编制机构及登记结算公司等机构发送的数据错误等原因，基金管理人和基金托管人虽然已经采取必要、适当、合理的措施进行检查，但未能发现错误的，由此造成的基金财产估值错误，基金管理人和基金托管人免除赔偿责任。但基金管理人、基金托管人应当积极采取必要的措施消除或减轻由此造成的影响。</w:t>
      </w:r>
    </w:p>
    <w:p w14:paraId="2AC5162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十、实施侧袋机制期间的基金资产估值</w:t>
      </w:r>
    </w:p>
    <w:p w14:paraId="62FFD94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本基金实施侧袋机制的，应根据本部分的约定对主袋账户资产进行估值并披露主袋账户的基金净值信息，暂停披露侧袋账户基金净值信息。</w:t>
      </w:r>
    </w:p>
    <w:p w14:paraId="0C8230DF">
      <w:pPr>
        <w:pStyle w:val="3"/>
        <w:adjustRightInd w:val="0"/>
        <w:snapToGrid w:val="0"/>
        <w:spacing w:before="0" w:after="0" w:line="360" w:lineRule="auto"/>
        <w:rPr>
          <w:rFonts w:asciiTheme="minorEastAsia" w:hAnsiTheme="minorEastAsia" w:eastAsiaTheme="minorEastAsia"/>
          <w:sz w:val="21"/>
        </w:rPr>
        <w:sectPr>
          <w:footerReference r:id="rId17" w:type="default"/>
          <w:pgSz w:w="11906" w:h="16838"/>
          <w:pgMar w:top="1418" w:right="1701" w:bottom="1418" w:left="1701" w:header="851" w:footer="992" w:gutter="0"/>
          <w:pgNumType w:start="1"/>
          <w:cols w:space="425" w:num="1"/>
          <w:docGrid w:type="lines" w:linePitch="312" w:charSpace="0"/>
        </w:sectPr>
      </w:pPr>
      <w:bookmarkStart w:id="354" w:name="_Toc90742332"/>
      <w:bookmarkStart w:id="355" w:name="_Toc90742401"/>
    </w:p>
    <w:bookmarkEnd w:id="339"/>
    <w:p w14:paraId="7822A53F">
      <w:pPr>
        <w:pStyle w:val="3"/>
        <w:adjustRightInd w:val="0"/>
        <w:snapToGrid w:val="0"/>
        <w:spacing w:before="312" w:beforeLines="100" w:after="0" w:line="360" w:lineRule="auto"/>
        <w:rPr>
          <w:rFonts w:asciiTheme="minorEastAsia" w:hAnsiTheme="minorEastAsia" w:eastAsiaTheme="minorEastAsia"/>
          <w:sz w:val="21"/>
        </w:rPr>
      </w:pPr>
      <w:bookmarkStart w:id="356" w:name="_Toc16237240"/>
      <w:bookmarkStart w:id="357" w:name="CLAUSE_4160d57082f24892a414e74b190fe07e"/>
      <w:r>
        <w:rPr>
          <w:rFonts w:hint="eastAsia" w:cs="Arial" w:asciiTheme="minorEastAsia" w:hAnsiTheme="minorEastAsia" w:eastAsiaTheme="minorEastAsia"/>
          <w:sz w:val="21"/>
          <w:szCs w:val="21"/>
        </w:rPr>
        <w:t xml:space="preserve">第十五部分 </w:t>
      </w:r>
      <w:bookmarkStart w:id="358" w:name="CTS_4160d57082f24892a414e74b190fe07e"/>
      <w:bookmarkEnd w:id="358"/>
      <w:r>
        <w:rPr>
          <w:rFonts w:asciiTheme="minorEastAsia" w:hAnsiTheme="minorEastAsia" w:eastAsiaTheme="minorEastAsia"/>
          <w:sz w:val="21"/>
        </w:rPr>
        <w:t>基金</w:t>
      </w:r>
      <w:r>
        <w:rPr>
          <w:rFonts w:hint="eastAsia" w:asciiTheme="minorEastAsia" w:hAnsiTheme="minorEastAsia" w:eastAsiaTheme="minorEastAsia"/>
          <w:sz w:val="21"/>
        </w:rPr>
        <w:t>费用与税收</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569B3076">
      <w:pPr>
        <w:spacing w:line="360" w:lineRule="auto"/>
        <w:ind w:firstLine="480" w:firstLineChars="200"/>
        <w:rPr>
          <w:rFonts w:asciiTheme="minorEastAsia" w:hAnsiTheme="minorEastAsia" w:eastAsiaTheme="minorEastAsia"/>
          <w:bCs/>
          <w:sz w:val="24"/>
        </w:rPr>
      </w:pPr>
    </w:p>
    <w:p w14:paraId="5BC45B6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一、基金费用的种类</w:t>
      </w:r>
    </w:p>
    <w:p w14:paraId="2F3558F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基金管理人的管理费；</w:t>
      </w:r>
    </w:p>
    <w:p w14:paraId="5D2FE92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基金托管人的托管费；</w:t>
      </w:r>
    </w:p>
    <w:p w14:paraId="2711854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3.C类基金份额的销售服务费；</w:t>
      </w:r>
    </w:p>
    <w:p w14:paraId="3FA51D1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w:t>
      </w:r>
      <w:r>
        <w:rPr>
          <w:rFonts w:asciiTheme="minorEastAsia" w:hAnsiTheme="minorEastAsia" w:eastAsiaTheme="minorEastAsia"/>
        </w:rPr>
        <w:t>.</w:t>
      </w:r>
      <w:r>
        <w:rPr>
          <w:rFonts w:hint="eastAsia" w:asciiTheme="minorEastAsia" w:hAnsiTheme="minorEastAsia" w:eastAsiaTheme="minorEastAsia"/>
        </w:rPr>
        <w:t>《</w:t>
      </w:r>
      <w:r>
        <w:rPr>
          <w:rFonts w:asciiTheme="minorEastAsia" w:hAnsiTheme="minorEastAsia" w:eastAsiaTheme="minorEastAsia"/>
        </w:rPr>
        <w:t>基金合同</w:t>
      </w:r>
      <w:r>
        <w:rPr>
          <w:rFonts w:hint="eastAsia" w:asciiTheme="minorEastAsia" w:hAnsiTheme="minorEastAsia" w:eastAsiaTheme="minorEastAsia"/>
        </w:rPr>
        <w:t>》</w:t>
      </w:r>
      <w:r>
        <w:rPr>
          <w:rFonts w:asciiTheme="minorEastAsia" w:hAnsiTheme="minorEastAsia" w:eastAsiaTheme="minorEastAsia"/>
        </w:rPr>
        <w:t>生效后</w:t>
      </w:r>
      <w:r>
        <w:rPr>
          <w:rFonts w:hint="eastAsia" w:asciiTheme="minorEastAsia" w:hAnsiTheme="minorEastAsia" w:eastAsiaTheme="minorEastAsia"/>
        </w:rPr>
        <w:t>与</w:t>
      </w:r>
      <w:r>
        <w:rPr>
          <w:rFonts w:asciiTheme="minorEastAsia" w:hAnsiTheme="minorEastAsia" w:eastAsiaTheme="minorEastAsia"/>
        </w:rPr>
        <w:t>基金</w:t>
      </w:r>
      <w:r>
        <w:rPr>
          <w:rFonts w:hint="eastAsia" w:asciiTheme="minorEastAsia" w:hAnsiTheme="minorEastAsia" w:eastAsiaTheme="minorEastAsia"/>
        </w:rPr>
        <w:t>相关的</w:t>
      </w:r>
      <w:r>
        <w:rPr>
          <w:rFonts w:asciiTheme="minorEastAsia" w:hAnsiTheme="minorEastAsia" w:eastAsiaTheme="minorEastAsia"/>
        </w:rPr>
        <w:t>信息披露费用</w:t>
      </w:r>
      <w:r>
        <w:rPr>
          <w:rFonts w:hint="eastAsia" w:asciiTheme="minorEastAsia" w:hAnsiTheme="minorEastAsia" w:eastAsiaTheme="minorEastAsia"/>
        </w:rPr>
        <w:t>，法律法规、中国证监会另有规定的除外</w:t>
      </w:r>
      <w:r>
        <w:rPr>
          <w:rFonts w:asciiTheme="minorEastAsia" w:hAnsiTheme="minorEastAsia" w:eastAsiaTheme="minorEastAsia"/>
        </w:rPr>
        <w:t>；</w:t>
      </w:r>
    </w:p>
    <w:p w14:paraId="7D299B1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w:t>
      </w:r>
      <w:r>
        <w:rPr>
          <w:rFonts w:asciiTheme="minorEastAsia" w:hAnsiTheme="minorEastAsia" w:eastAsiaTheme="minorEastAsia"/>
        </w:rPr>
        <w:t>.</w:t>
      </w:r>
      <w:r>
        <w:rPr>
          <w:rFonts w:hint="eastAsia" w:asciiTheme="minorEastAsia" w:hAnsiTheme="minorEastAsia" w:eastAsiaTheme="minorEastAsia"/>
        </w:rPr>
        <w:t>《</w:t>
      </w:r>
      <w:r>
        <w:rPr>
          <w:rFonts w:asciiTheme="minorEastAsia" w:hAnsiTheme="minorEastAsia" w:eastAsiaTheme="minorEastAsia"/>
        </w:rPr>
        <w:t>基金合同</w:t>
      </w:r>
      <w:r>
        <w:rPr>
          <w:rFonts w:hint="eastAsia" w:asciiTheme="minorEastAsia" w:hAnsiTheme="minorEastAsia" w:eastAsiaTheme="minorEastAsia"/>
        </w:rPr>
        <w:t>》生效后与基金相</w:t>
      </w:r>
      <w:r>
        <w:rPr>
          <w:rFonts w:asciiTheme="minorEastAsia" w:hAnsiTheme="minorEastAsia" w:eastAsiaTheme="minorEastAsia"/>
        </w:rPr>
        <w:t>关</w:t>
      </w:r>
      <w:r>
        <w:rPr>
          <w:rFonts w:hint="eastAsia" w:asciiTheme="minorEastAsia" w:hAnsiTheme="minorEastAsia" w:eastAsiaTheme="minorEastAsia"/>
        </w:rPr>
        <w:t>的会计师费、律师费、仲裁费、诉讼费和公证费；</w:t>
      </w:r>
    </w:p>
    <w:p w14:paraId="5013955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6.基金份额持有人大会费用；</w:t>
      </w:r>
    </w:p>
    <w:p w14:paraId="3FC926B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w:t>
      </w:r>
      <w:r>
        <w:rPr>
          <w:rFonts w:hint="eastAsia" w:asciiTheme="minorEastAsia" w:hAnsiTheme="minorEastAsia" w:eastAsiaTheme="minorEastAsia"/>
        </w:rPr>
        <w:t>基金的证券、期货、期权交易、结算费用；</w:t>
      </w:r>
    </w:p>
    <w:p w14:paraId="597AF7B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w:t>
      </w:r>
      <w:r>
        <w:rPr>
          <w:rFonts w:asciiTheme="minorEastAsia" w:hAnsiTheme="minorEastAsia" w:eastAsiaTheme="minorEastAsia"/>
        </w:rPr>
        <w:t>.基金</w:t>
      </w:r>
      <w:r>
        <w:rPr>
          <w:rFonts w:hint="eastAsia" w:asciiTheme="minorEastAsia" w:hAnsiTheme="minorEastAsia" w:eastAsiaTheme="minorEastAsia"/>
        </w:rPr>
        <w:t>的银行汇划费用</w:t>
      </w:r>
      <w:r>
        <w:rPr>
          <w:rFonts w:asciiTheme="minorEastAsia" w:hAnsiTheme="minorEastAsia" w:eastAsiaTheme="minorEastAsia"/>
        </w:rPr>
        <w:t>；</w:t>
      </w:r>
    </w:p>
    <w:p w14:paraId="5E21191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9.账户开户费用、账户维护费用；</w:t>
      </w:r>
    </w:p>
    <w:p w14:paraId="37A8CD9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10.因投资港股通标的股票而产生的各项合理费用；</w:t>
      </w:r>
    </w:p>
    <w:p w14:paraId="4384E5B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eastAsiaTheme="minorEastAsia"/>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依照有关法律法规应当缴纳的，购买或处置证券有关的任何税收、征费、关税、印花税及预扣提税（以及与前述各项有关的任何利息及费用）（简称“税收”），及基金缴纳税收有关的手续费、汇款费、顾问费等；</w:t>
      </w:r>
    </w:p>
    <w:p w14:paraId="7F6F4F0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12</w:t>
      </w:r>
      <w:r>
        <w:rPr>
          <w:rFonts w:hint="eastAsia" w:asciiTheme="minorEastAsia" w:hAnsiTheme="minorEastAsia" w:eastAsiaTheme="minorEastAsia"/>
        </w:rPr>
        <w:t>.基金投资目标ETF的相关费用；</w:t>
      </w:r>
    </w:p>
    <w:p w14:paraId="1D483B4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3</w:t>
      </w:r>
      <w:r>
        <w:rPr>
          <w:rFonts w:hint="eastAsia" w:asciiTheme="minorEastAsia" w:hAnsiTheme="minorEastAsia" w:eastAsiaTheme="minorEastAsia"/>
        </w:rPr>
        <w:t>.按照国家有关规定和《基金合同》约定，可以在基金财产中列支的其他费用。</w:t>
      </w:r>
    </w:p>
    <w:p w14:paraId="35C577B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二、基金费用计提方法、计提标准和支付方式</w:t>
      </w:r>
    </w:p>
    <w:p w14:paraId="6EEC6D5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基金管理人的管理费</w:t>
      </w:r>
    </w:p>
    <w:p w14:paraId="2AEE456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本基金管理费按前一日基金资产净值的</w:t>
      </w:r>
      <w:r>
        <w:rPr>
          <w:rFonts w:asciiTheme="minorEastAsia" w:hAnsiTheme="minorEastAsia" w:eastAsiaTheme="minorEastAsia"/>
        </w:rPr>
        <w:t>0.</w:t>
      </w:r>
      <w:r>
        <w:rPr>
          <w:rFonts w:hint="eastAsia" w:asciiTheme="minorEastAsia" w:hAnsiTheme="minorEastAsia" w:eastAsiaTheme="minorEastAsia"/>
        </w:rPr>
        <w:t>50</w:t>
      </w:r>
      <w:r>
        <w:rPr>
          <w:rFonts w:asciiTheme="minorEastAsia" w:hAnsiTheme="minorEastAsia" w:eastAsiaTheme="minorEastAsia"/>
        </w:rPr>
        <w:t>%</w:t>
      </w:r>
      <w:r>
        <w:rPr>
          <w:rFonts w:hint="eastAsia" w:asciiTheme="minorEastAsia" w:hAnsiTheme="minorEastAsia" w:eastAsiaTheme="minorEastAsia"/>
        </w:rPr>
        <w:t>年费率计提。管理费的计算方法如下：</w:t>
      </w:r>
    </w:p>
    <w:p w14:paraId="42C4B88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w:t>
      </w:r>
      <w:r>
        <w:rPr>
          <w:rFonts w:asciiTheme="minorEastAsia" w:hAnsiTheme="minorEastAsia" w:eastAsiaTheme="minorEastAsia"/>
        </w:rPr>
        <w:t>E×年管理费率÷</w:t>
      </w:r>
      <w:r>
        <w:rPr>
          <w:rFonts w:hint="eastAsia" w:asciiTheme="minorEastAsia" w:hAnsiTheme="minorEastAsia" w:eastAsiaTheme="minorEastAsia"/>
        </w:rPr>
        <w:t>当年天数</w:t>
      </w:r>
    </w:p>
    <w:p w14:paraId="3E4DFD7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为每日应计提的基金管理费</w:t>
      </w:r>
    </w:p>
    <w:p w14:paraId="3EE4643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E为前一日</w:t>
      </w:r>
      <w:r>
        <w:rPr>
          <w:rFonts w:hint="eastAsia" w:asciiTheme="minorEastAsia" w:hAnsiTheme="minorEastAsia" w:eastAsiaTheme="minorEastAsia"/>
        </w:rPr>
        <w:t>的</w:t>
      </w:r>
      <w:r>
        <w:rPr>
          <w:rFonts w:asciiTheme="minorEastAsia" w:hAnsiTheme="minorEastAsia" w:eastAsiaTheme="minorEastAsia"/>
        </w:rPr>
        <w:t>基金资产净值</w:t>
      </w:r>
    </w:p>
    <w:p w14:paraId="543D594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w:t>
      </w:r>
      <w:r>
        <w:rPr>
          <w:rFonts w:asciiTheme="minorEastAsia" w:hAnsiTheme="minorEastAsia" w:eastAsiaTheme="minorEastAsia"/>
        </w:rPr>
        <w:t>管理人对本基金投资组合中投资于</w:t>
      </w:r>
      <w:r>
        <w:rPr>
          <w:rFonts w:hint="eastAsia" w:asciiTheme="minorEastAsia" w:hAnsiTheme="minorEastAsia" w:eastAsiaTheme="minorEastAsia"/>
        </w:rPr>
        <w:t>目标</w:t>
      </w:r>
      <w:r>
        <w:rPr>
          <w:rFonts w:asciiTheme="minorEastAsia" w:hAnsiTheme="minorEastAsia" w:eastAsiaTheme="minorEastAsia"/>
        </w:rPr>
        <w:t>ETF部分的基金资产净值不计提基金管理费。</w:t>
      </w:r>
    </w:p>
    <w:p w14:paraId="53FF8E7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前一日的基金资产净值为已扣除本基金投资于</w:t>
      </w:r>
      <w:r>
        <w:rPr>
          <w:rFonts w:hint="eastAsia" w:asciiTheme="minorEastAsia" w:hAnsiTheme="minorEastAsia" w:eastAsiaTheme="minorEastAsia"/>
        </w:rPr>
        <w:t>目标</w:t>
      </w:r>
      <w:r>
        <w:rPr>
          <w:rFonts w:asciiTheme="minorEastAsia" w:hAnsiTheme="minorEastAsia" w:eastAsiaTheme="minorEastAsia"/>
        </w:rPr>
        <w:t>ETF部分基金资产净值后的净额，金额为负时以零计。</w:t>
      </w:r>
    </w:p>
    <w:p w14:paraId="66DE6B7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基金管理费每日计算，逐日累计至每月月末，按月支付，经基金管理人与基金托管人双方核对无误后，基金托管人按照与基金管理人协商一致的方式于次月首日起</w:t>
      </w:r>
      <w:r>
        <w:rPr>
          <w:rFonts w:asciiTheme="minorEastAsia" w:hAnsiTheme="minorEastAsia" w:eastAsiaTheme="minorEastAsia"/>
        </w:rPr>
        <w:t>3</w:t>
      </w:r>
      <w:r>
        <w:rPr>
          <w:rFonts w:hint="eastAsia" w:asciiTheme="minorEastAsia" w:hAnsiTheme="minorEastAsia" w:eastAsiaTheme="minorEastAsia"/>
        </w:rPr>
        <w:t>个工作日内从基金财产中一次性支付给基金管理人。若遇法定节假日、公休日或不可抗力等致使无法按时支付的，支付日期顺延。</w:t>
      </w:r>
    </w:p>
    <w:p w14:paraId="4E7C6D4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基金托管人的托管费</w:t>
      </w:r>
    </w:p>
    <w:p w14:paraId="285FBA8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基金托管费按前一日基金资产净值的</w:t>
      </w:r>
      <w:r>
        <w:rPr>
          <w:rFonts w:asciiTheme="minorEastAsia" w:hAnsiTheme="minorEastAsia" w:eastAsiaTheme="minorEastAsia"/>
        </w:rPr>
        <w:t>0.</w:t>
      </w:r>
      <w:r>
        <w:rPr>
          <w:rFonts w:hint="eastAsia" w:asciiTheme="minorEastAsia" w:hAnsiTheme="minorEastAsia" w:eastAsiaTheme="minorEastAsia"/>
        </w:rPr>
        <w:t>10</w:t>
      </w:r>
      <w:r>
        <w:rPr>
          <w:rFonts w:asciiTheme="minorEastAsia" w:hAnsiTheme="minorEastAsia" w:eastAsiaTheme="minorEastAsia"/>
        </w:rPr>
        <w:t>%</w:t>
      </w:r>
      <w:r>
        <w:rPr>
          <w:rFonts w:hint="eastAsia" w:asciiTheme="minorEastAsia" w:hAnsiTheme="minorEastAsia" w:eastAsiaTheme="minorEastAsia"/>
        </w:rPr>
        <w:t>年费率计提。托管费的计算方法如下：</w:t>
      </w:r>
    </w:p>
    <w:p w14:paraId="5F0E618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w:t>
      </w:r>
      <w:r>
        <w:rPr>
          <w:rFonts w:asciiTheme="minorEastAsia" w:hAnsiTheme="minorEastAsia" w:eastAsiaTheme="minorEastAsia"/>
        </w:rPr>
        <w:t>E×年托管费率÷</w:t>
      </w:r>
      <w:r>
        <w:rPr>
          <w:rFonts w:hint="eastAsia" w:asciiTheme="minorEastAsia" w:hAnsiTheme="minorEastAsia" w:eastAsiaTheme="minorEastAsia"/>
        </w:rPr>
        <w:t>当年天数</w:t>
      </w:r>
    </w:p>
    <w:p w14:paraId="7343FE0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为每日应计提的基金托管费</w:t>
      </w:r>
    </w:p>
    <w:p w14:paraId="2377DCE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E</w:t>
      </w:r>
      <w:r>
        <w:rPr>
          <w:rFonts w:hint="eastAsia" w:asciiTheme="minorEastAsia" w:hAnsiTheme="minorEastAsia" w:eastAsiaTheme="minorEastAsia"/>
        </w:rPr>
        <w:t>为前一日的基金资产净值</w:t>
      </w:r>
    </w:p>
    <w:p w14:paraId="6120FA4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w:t>
      </w:r>
      <w:r>
        <w:rPr>
          <w:rFonts w:asciiTheme="minorEastAsia" w:hAnsiTheme="minorEastAsia" w:eastAsiaTheme="minorEastAsia"/>
        </w:rPr>
        <w:t>托管人对本基金投资组合中投资于</w:t>
      </w:r>
      <w:r>
        <w:rPr>
          <w:rFonts w:hint="eastAsia" w:asciiTheme="minorEastAsia" w:hAnsiTheme="minorEastAsia" w:eastAsiaTheme="minorEastAsia"/>
        </w:rPr>
        <w:t>目标</w:t>
      </w:r>
      <w:r>
        <w:rPr>
          <w:rFonts w:asciiTheme="minorEastAsia" w:hAnsiTheme="minorEastAsia" w:eastAsiaTheme="minorEastAsia"/>
        </w:rPr>
        <w:t>ETF部分</w:t>
      </w:r>
      <w:r>
        <w:rPr>
          <w:rFonts w:hint="eastAsia" w:asciiTheme="minorEastAsia" w:hAnsiTheme="minorEastAsia" w:eastAsiaTheme="minorEastAsia"/>
        </w:rPr>
        <w:t>的</w:t>
      </w:r>
      <w:r>
        <w:rPr>
          <w:rFonts w:asciiTheme="minorEastAsia" w:hAnsiTheme="minorEastAsia" w:eastAsiaTheme="minorEastAsia"/>
        </w:rPr>
        <w:t>基金资产</w:t>
      </w:r>
      <w:r>
        <w:rPr>
          <w:rFonts w:hint="eastAsia" w:asciiTheme="minorEastAsia" w:hAnsiTheme="minorEastAsia" w:eastAsiaTheme="minorEastAsia"/>
        </w:rPr>
        <w:t>净值</w:t>
      </w:r>
      <w:r>
        <w:rPr>
          <w:rFonts w:asciiTheme="minorEastAsia" w:hAnsiTheme="minorEastAsia" w:eastAsiaTheme="minorEastAsia"/>
        </w:rPr>
        <w:t>不计提基金托管费。</w:t>
      </w:r>
    </w:p>
    <w:p w14:paraId="4C518BC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前一日的基金资产净值为已扣除本基金投资于</w:t>
      </w:r>
      <w:r>
        <w:rPr>
          <w:rFonts w:hint="eastAsia" w:asciiTheme="minorEastAsia" w:hAnsiTheme="minorEastAsia" w:eastAsiaTheme="minorEastAsia"/>
        </w:rPr>
        <w:t>目标</w:t>
      </w:r>
      <w:r>
        <w:rPr>
          <w:rFonts w:asciiTheme="minorEastAsia" w:hAnsiTheme="minorEastAsia" w:eastAsiaTheme="minorEastAsia"/>
        </w:rPr>
        <w:t>ETF部分基金资产净值后的净额，金额为负时以零计。</w:t>
      </w:r>
    </w:p>
    <w:p w14:paraId="22BA879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基金托管费每日计算，逐日累计至每月月末，按月支付，经基金管理人与基金托管人双方核对无误后，基金托管人按照与基金管理人协商一致的方式于次月首日起</w:t>
      </w:r>
      <w:r>
        <w:rPr>
          <w:rFonts w:asciiTheme="minorEastAsia" w:hAnsiTheme="minorEastAsia" w:eastAsiaTheme="minorEastAsia"/>
        </w:rPr>
        <w:t>3</w:t>
      </w:r>
      <w:r>
        <w:rPr>
          <w:rFonts w:hint="eastAsia" w:asciiTheme="minorEastAsia" w:hAnsiTheme="minorEastAsia" w:eastAsiaTheme="minorEastAsia"/>
        </w:rPr>
        <w:t>个工作日内从基金财产中一次性支取。若遇法定节假日、公休日或不可抗力等致使无法按时支付的，支付日期顺延。</w:t>
      </w:r>
    </w:p>
    <w:p w14:paraId="5AE1811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3.C类基金份额的</w:t>
      </w:r>
      <w:r>
        <w:rPr>
          <w:rFonts w:hint="eastAsia" w:asciiTheme="minorEastAsia" w:hAnsiTheme="minorEastAsia" w:eastAsiaTheme="minorEastAsia"/>
        </w:rPr>
        <w:t>销售服务费</w:t>
      </w:r>
    </w:p>
    <w:p w14:paraId="0C21177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w:t>
      </w:r>
      <w:r>
        <w:rPr>
          <w:rFonts w:asciiTheme="minorEastAsia" w:hAnsiTheme="minorEastAsia" w:eastAsiaTheme="minorEastAsia"/>
        </w:rPr>
        <w:t>A类基金份额不收取销售服务费，C</w:t>
      </w:r>
      <w:r>
        <w:rPr>
          <w:rFonts w:hint="eastAsia" w:asciiTheme="minorEastAsia" w:hAnsiTheme="minorEastAsia" w:eastAsiaTheme="minorEastAsia"/>
        </w:rPr>
        <w:t>类基金份额的销售服务费年费率为</w:t>
      </w:r>
      <w:r>
        <w:rPr>
          <w:rFonts w:asciiTheme="minorEastAsia" w:hAnsiTheme="minorEastAsia" w:eastAsiaTheme="minorEastAsia"/>
        </w:rPr>
        <w:t>0.</w:t>
      </w:r>
      <w:r>
        <w:rPr>
          <w:rFonts w:hint="eastAsia" w:asciiTheme="minorEastAsia" w:hAnsiTheme="minorEastAsia" w:eastAsiaTheme="minorEastAsia"/>
        </w:rPr>
        <w:t>4</w:t>
      </w:r>
      <w:r>
        <w:rPr>
          <w:rFonts w:asciiTheme="minorEastAsia" w:hAnsiTheme="minorEastAsia" w:eastAsiaTheme="minorEastAsia"/>
        </w:rPr>
        <w:t>0%</w:t>
      </w:r>
      <w:r>
        <w:rPr>
          <w:rFonts w:hint="eastAsia" w:asciiTheme="minorEastAsia" w:hAnsiTheme="minorEastAsia" w:eastAsiaTheme="minorEastAsia"/>
        </w:rPr>
        <w:t>。</w:t>
      </w:r>
    </w:p>
    <w:p w14:paraId="6F3D2C3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本基金销售服务费按前一日</w:t>
      </w:r>
      <w:r>
        <w:rPr>
          <w:rFonts w:asciiTheme="minorEastAsia" w:hAnsiTheme="minorEastAsia" w:eastAsiaTheme="minorEastAsia"/>
        </w:rPr>
        <w:t>C</w:t>
      </w:r>
      <w:r>
        <w:rPr>
          <w:rFonts w:hint="eastAsia" w:asciiTheme="minorEastAsia" w:hAnsiTheme="minorEastAsia" w:eastAsiaTheme="minorEastAsia"/>
        </w:rPr>
        <w:t>类基金份额的基金资产净值的</w:t>
      </w:r>
      <w:r>
        <w:rPr>
          <w:rFonts w:asciiTheme="minorEastAsia" w:hAnsiTheme="minorEastAsia" w:eastAsiaTheme="minorEastAsia"/>
        </w:rPr>
        <w:t>0.</w:t>
      </w:r>
      <w:r>
        <w:rPr>
          <w:rFonts w:hint="eastAsia" w:asciiTheme="minorEastAsia" w:hAnsiTheme="minorEastAsia" w:eastAsiaTheme="minorEastAsia"/>
        </w:rPr>
        <w:t>4</w:t>
      </w:r>
      <w:r>
        <w:rPr>
          <w:rFonts w:asciiTheme="minorEastAsia" w:hAnsiTheme="minorEastAsia" w:eastAsiaTheme="minorEastAsia"/>
        </w:rPr>
        <w:t>0%</w:t>
      </w:r>
      <w:r>
        <w:rPr>
          <w:rFonts w:hint="eastAsia" w:asciiTheme="minorEastAsia" w:hAnsiTheme="minorEastAsia" w:eastAsiaTheme="minorEastAsia"/>
        </w:rPr>
        <w:t>年费率计提。销售服务费的计算方法如下：</w:t>
      </w:r>
      <w:r>
        <w:rPr>
          <w:rFonts w:asciiTheme="minorEastAsia" w:hAnsiTheme="minorEastAsia" w:eastAsiaTheme="minorEastAsia"/>
        </w:rPr>
        <w:t xml:space="preserve"> </w:t>
      </w:r>
    </w:p>
    <w:p w14:paraId="62D4387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H=E</w:t>
      </w:r>
      <w:r>
        <w:rPr>
          <w:rFonts w:hint="eastAsia" w:asciiTheme="minorEastAsia" w:hAnsiTheme="minorEastAsia" w:eastAsiaTheme="minorEastAsia"/>
        </w:rPr>
        <w:t>×年销售服务费率÷当年天数</w:t>
      </w:r>
    </w:p>
    <w:p w14:paraId="066030B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为</w:t>
      </w:r>
      <w:r>
        <w:rPr>
          <w:rFonts w:asciiTheme="minorEastAsia" w:hAnsiTheme="minorEastAsia" w:eastAsiaTheme="minorEastAsia"/>
        </w:rPr>
        <w:t>C</w:t>
      </w:r>
      <w:r>
        <w:rPr>
          <w:rFonts w:hint="eastAsia" w:asciiTheme="minorEastAsia" w:hAnsiTheme="minorEastAsia" w:eastAsiaTheme="minorEastAsia"/>
        </w:rPr>
        <w:t>类基金份额每日应计提的销售服务费</w:t>
      </w:r>
    </w:p>
    <w:p w14:paraId="369E079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E</w:t>
      </w:r>
      <w:r>
        <w:rPr>
          <w:rFonts w:hint="eastAsia" w:asciiTheme="minorEastAsia" w:hAnsiTheme="minorEastAsia" w:eastAsiaTheme="minorEastAsia"/>
        </w:rPr>
        <w:t>为</w:t>
      </w:r>
      <w:r>
        <w:rPr>
          <w:rFonts w:asciiTheme="minorEastAsia" w:hAnsiTheme="minorEastAsia" w:eastAsiaTheme="minorEastAsia"/>
        </w:rPr>
        <w:t>C</w:t>
      </w:r>
      <w:r>
        <w:rPr>
          <w:rFonts w:hint="eastAsia" w:asciiTheme="minorEastAsia" w:hAnsiTheme="minorEastAsia" w:eastAsiaTheme="minorEastAsia"/>
        </w:rPr>
        <w:t>类基金份额前一日基金资产净值</w:t>
      </w:r>
    </w:p>
    <w:p w14:paraId="1A5E7E9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销售服务费每</w:t>
      </w:r>
      <w:r>
        <w:rPr>
          <w:rFonts w:asciiTheme="minorEastAsia" w:hAnsiTheme="minorEastAsia" w:eastAsiaTheme="minorEastAsia"/>
        </w:rPr>
        <w:t>日计</w:t>
      </w:r>
      <w:r>
        <w:rPr>
          <w:rFonts w:hint="eastAsia" w:asciiTheme="minorEastAsia" w:hAnsiTheme="minorEastAsia" w:eastAsiaTheme="minorEastAsia"/>
        </w:rPr>
        <w:t>算</w:t>
      </w:r>
      <w:r>
        <w:rPr>
          <w:rFonts w:asciiTheme="minorEastAsia" w:hAnsiTheme="minorEastAsia" w:eastAsiaTheme="minorEastAsia"/>
        </w:rPr>
        <w:t>，</w:t>
      </w:r>
      <w:r>
        <w:rPr>
          <w:rFonts w:hint="eastAsia" w:asciiTheme="minorEastAsia" w:hAnsiTheme="minorEastAsia" w:eastAsiaTheme="minorEastAsia"/>
        </w:rPr>
        <w:t>逐日累计至每月月末，</w:t>
      </w:r>
      <w:r>
        <w:rPr>
          <w:rFonts w:asciiTheme="minorEastAsia" w:hAnsiTheme="minorEastAsia" w:eastAsiaTheme="minorEastAsia"/>
        </w:rPr>
        <w:t>按月支付</w:t>
      </w:r>
      <w:r>
        <w:rPr>
          <w:rFonts w:hint="eastAsia" w:asciiTheme="minorEastAsia" w:hAnsiTheme="minorEastAsia" w:eastAsiaTheme="minorEastAsia"/>
        </w:rPr>
        <w:t>，经基金管理人与基金托管人双方核对无误后，基金托管人按照与基金管理人协商一致的方式于次月首日起</w:t>
      </w:r>
      <w:r>
        <w:rPr>
          <w:rFonts w:asciiTheme="minorEastAsia" w:hAnsiTheme="minorEastAsia" w:eastAsiaTheme="minorEastAsia"/>
        </w:rPr>
        <w:t>3</w:t>
      </w:r>
      <w:r>
        <w:rPr>
          <w:rFonts w:hint="eastAsia" w:asciiTheme="minorEastAsia" w:hAnsiTheme="minorEastAsia" w:eastAsiaTheme="minorEastAsia"/>
        </w:rPr>
        <w:t xml:space="preserve">个工作日内从基金财产中一次性划出，由登记机构代收，登记机构收到后按相关合同规定支付给基金销售机构。若遇法定节假日、公休日或不可抗力等致使无法按时支付的，支付日期顺延。 </w:t>
      </w:r>
    </w:p>
    <w:p w14:paraId="3F54BE0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上述“一、基金费用的种类”中第4－1</w:t>
      </w:r>
      <w:r>
        <w:rPr>
          <w:rFonts w:asciiTheme="minorEastAsia" w:hAnsiTheme="minorEastAsia" w:eastAsiaTheme="minorEastAsia"/>
        </w:rPr>
        <w:t>3</w:t>
      </w:r>
      <w:r>
        <w:rPr>
          <w:rFonts w:hint="eastAsia" w:asciiTheme="minorEastAsia" w:hAnsiTheme="minorEastAsia" w:eastAsiaTheme="minorEastAsia"/>
        </w:rPr>
        <w:t>项费用，根据有关法规及相应协议规定，按费用实际支出金额列入当期费用，由基金托管人从基金财产中支付。</w:t>
      </w:r>
    </w:p>
    <w:p w14:paraId="74D1B9A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三、不列入基金费用的项目</w:t>
      </w:r>
      <w:r>
        <w:rPr>
          <w:rFonts w:asciiTheme="minorEastAsia" w:hAnsiTheme="minorEastAsia" w:eastAsiaTheme="minorEastAsia"/>
        </w:rPr>
        <w:tab/>
      </w:r>
    </w:p>
    <w:p w14:paraId="0E4EFCF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1、基金管理人和基金托管人因未履行或未完全履行义务导致的费用支出或基金财产的损失；</w:t>
      </w:r>
    </w:p>
    <w:p w14:paraId="127C988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2、基金管理人和基金托管人处理与基金运作无关的事项发生的费用；</w:t>
      </w:r>
    </w:p>
    <w:p w14:paraId="471691B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3、《基金合同》生效前的相关费用；</w:t>
      </w:r>
    </w:p>
    <w:p w14:paraId="7313B7A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4、其他根据相关法律法规及中国证监会的有关规定不得列入基金费用的项目。</w:t>
      </w:r>
    </w:p>
    <w:p w14:paraId="3A83624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四、实施侧袋机制期间的基金费用</w:t>
      </w:r>
    </w:p>
    <w:p w14:paraId="1522187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本基金实施侧袋机制的，与侧袋账户有关的费用可以从侧袋账户中列支，但应待侧袋账户资产变现后方可列支，有关费用可酌情收取或减免，但不得收取管理费，详见招募说明书的规定。</w:t>
      </w:r>
    </w:p>
    <w:p w14:paraId="5CF4068E">
      <w:pPr>
        <w:adjustRightInd w:val="0"/>
        <w:snapToGrid w:val="0"/>
        <w:spacing w:line="360" w:lineRule="auto"/>
        <w:ind w:firstLine="420" w:firstLineChars="200"/>
        <w:rPr>
          <w:rFonts w:asciiTheme="minorEastAsia" w:hAnsiTheme="minorEastAsia" w:eastAsiaTheme="minorEastAsia"/>
        </w:rPr>
      </w:pPr>
      <w:bookmarkStart w:id="359" w:name="_Hlt88827255"/>
      <w:bookmarkEnd w:id="359"/>
      <w:r>
        <w:rPr>
          <w:rFonts w:hint="eastAsia" w:asciiTheme="minorEastAsia" w:hAnsiTheme="minorEastAsia" w:eastAsiaTheme="minorEastAsia"/>
        </w:rPr>
        <w:t>五、基金税收</w:t>
      </w:r>
    </w:p>
    <w:p w14:paraId="7D15160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本基金运作过程中涉及的各纳税主体，其纳税义务按国家税收法律、法规执行。基金财产投资的相关税收，由基金份额持有人承担，基金管理人或者其他扣缴义务人按照国家有关税收征收的规定代扣代缴。</w:t>
      </w:r>
      <w:bookmarkStart w:id="360" w:name="_Toc92662707"/>
      <w:bookmarkStart w:id="361" w:name="_Toc93226149"/>
      <w:bookmarkStart w:id="362" w:name="_Toc139991746"/>
      <w:bookmarkStart w:id="363" w:name="_Toc21829"/>
      <w:bookmarkStart w:id="364" w:name="_Toc20052"/>
      <w:bookmarkStart w:id="365" w:name="_Toc141703896"/>
      <w:bookmarkStart w:id="366" w:name="_Toc25883"/>
      <w:bookmarkStart w:id="367" w:name="_Toc15351"/>
      <w:bookmarkStart w:id="368" w:name="_Toc128310499"/>
      <w:bookmarkStart w:id="369" w:name="_Toc178"/>
      <w:bookmarkStart w:id="370" w:name="_Toc22552"/>
      <w:bookmarkStart w:id="371" w:name="_Toc12761"/>
      <w:bookmarkStart w:id="372" w:name="_Toc15525"/>
      <w:bookmarkStart w:id="373" w:name="_Toc1617"/>
      <w:bookmarkStart w:id="374" w:name="_Toc19558"/>
      <w:bookmarkStart w:id="375" w:name="_Toc3656"/>
    </w:p>
    <w:p w14:paraId="28F5232F">
      <w:pPr>
        <w:pStyle w:val="3"/>
        <w:adjustRightInd w:val="0"/>
        <w:snapToGrid w:val="0"/>
        <w:spacing w:before="0" w:after="0" w:line="360" w:lineRule="auto"/>
        <w:rPr>
          <w:rFonts w:cs="Arial" w:asciiTheme="minorEastAsia" w:hAnsiTheme="minorEastAsia" w:eastAsiaTheme="minorEastAsia"/>
          <w:sz w:val="21"/>
          <w:szCs w:val="21"/>
        </w:rPr>
        <w:sectPr>
          <w:footerReference r:id="rId18" w:type="default"/>
          <w:pgSz w:w="11906" w:h="16838"/>
          <w:pgMar w:top="1418" w:right="1701" w:bottom="1418" w:left="1701" w:header="851" w:footer="992" w:gutter="0"/>
          <w:pgNumType w:start="1"/>
          <w:cols w:space="425" w:num="1"/>
          <w:docGrid w:type="lines" w:linePitch="312" w:charSpace="0"/>
        </w:sectPr>
      </w:pPr>
      <w:bookmarkStart w:id="376" w:name="_Toc90742333"/>
      <w:bookmarkStart w:id="377" w:name="_Toc90742402"/>
    </w:p>
    <w:bookmarkEnd w:id="357"/>
    <w:p w14:paraId="4169200E">
      <w:pPr>
        <w:pStyle w:val="3"/>
        <w:adjustRightInd w:val="0"/>
        <w:snapToGrid w:val="0"/>
        <w:spacing w:before="312" w:beforeLines="100" w:after="0" w:line="360" w:lineRule="auto"/>
        <w:rPr>
          <w:rFonts w:asciiTheme="minorEastAsia" w:hAnsiTheme="minorEastAsia" w:eastAsiaTheme="minorEastAsia"/>
          <w:sz w:val="21"/>
        </w:rPr>
      </w:pPr>
      <w:bookmarkStart w:id="378" w:name="_Toc16237241"/>
      <w:bookmarkStart w:id="379" w:name="CLAUSE_d9d9bc6d5f834393a32cae1e55ad010a"/>
      <w:r>
        <w:rPr>
          <w:rFonts w:hint="eastAsia" w:cs="Arial" w:asciiTheme="minorEastAsia" w:hAnsiTheme="minorEastAsia" w:eastAsiaTheme="minorEastAsia"/>
          <w:sz w:val="21"/>
          <w:szCs w:val="21"/>
        </w:rPr>
        <w:t xml:space="preserve">第十六部分 </w:t>
      </w:r>
      <w:bookmarkStart w:id="380" w:name="CTS_d9d9bc6d5f834393a32cae1e55ad010a"/>
      <w:bookmarkEnd w:id="380"/>
      <w:r>
        <w:rPr>
          <w:rFonts w:hint="eastAsia" w:asciiTheme="minorEastAsia" w:hAnsiTheme="minorEastAsia" w:eastAsiaTheme="minorEastAsia"/>
          <w:sz w:val="21"/>
        </w:rPr>
        <w:t>基金</w:t>
      </w:r>
      <w:bookmarkEnd w:id="360"/>
      <w:bookmarkEnd w:id="361"/>
      <w:r>
        <w:rPr>
          <w:rFonts w:hint="eastAsia" w:asciiTheme="minorEastAsia" w:hAnsiTheme="minorEastAsia" w:eastAsiaTheme="minorEastAsia"/>
          <w:sz w:val="21"/>
        </w:rPr>
        <w:t>的收益与分配</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F1348F1">
      <w:pPr>
        <w:rPr>
          <w:rFonts w:asciiTheme="minorEastAsia" w:hAnsiTheme="minorEastAsia" w:eastAsiaTheme="minorEastAsia"/>
          <w:bCs/>
        </w:rPr>
      </w:pPr>
    </w:p>
    <w:p w14:paraId="6940415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一、基金利润的构成</w:t>
      </w:r>
    </w:p>
    <w:p w14:paraId="6292293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基金利润指基金利息收入、投资收益、公允价值变动收益和其他收入扣除相关费用后的余额，基金已实现收益指基金利润减去公允价值变动收益后的余额。</w:t>
      </w:r>
    </w:p>
    <w:p w14:paraId="192F592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二、基金可供分配利润</w:t>
      </w:r>
    </w:p>
    <w:p w14:paraId="59F569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基金可供分配利润指截至收益分配基准日基金未分配利润与未分配利润中已实现收益的孰低数。</w:t>
      </w:r>
    </w:p>
    <w:p w14:paraId="1B5DFAB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三、基金收益分配原则</w:t>
      </w:r>
    </w:p>
    <w:p w14:paraId="23BED6AB">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本基金收益分配应遵循下列原则：</w:t>
      </w:r>
    </w:p>
    <w:p w14:paraId="2D10A00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3938132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、基金收益分配后各类基金份额净值不能低于面值，即基金收益分配基准日的各类基金份额净值减去每单位该类基金份额收益分配金额后不能低于面值；</w:t>
      </w:r>
    </w:p>
    <w:p w14:paraId="5CDB128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、由于本基金A类基金份额不收取销售服务费，C类基金份额收取销售服务费，各基金份额类别对应的可分配收益将有所不同。本基金同一类别每一基金份额享有同等分配权；</w:t>
      </w:r>
    </w:p>
    <w:p w14:paraId="2D548CD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、法律法规或监管机关另有规定的，从其规定。</w:t>
      </w:r>
    </w:p>
    <w:p w14:paraId="3790D66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在不违反法律法规且对基金份额持有人利益无实质性不利影响的前提下，基金管理人可对基金收益分配的有关业务规则进行调整，并及时公告，此项调整不需要召开基金份额持有人大会。</w:t>
      </w:r>
    </w:p>
    <w:p w14:paraId="53C5941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四、收益分配方案</w:t>
      </w:r>
    </w:p>
    <w:p w14:paraId="7554462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基金收益分配方案中应载明截至收益分配基准日的可供分配利润、基金收益分配对象、</w:t>
      </w:r>
      <w:r>
        <w:rPr>
          <w:rFonts w:asciiTheme="minorEastAsia" w:hAnsiTheme="minorEastAsia" w:eastAsiaTheme="minorEastAsia"/>
        </w:rPr>
        <w:t>分配</w:t>
      </w:r>
      <w:r>
        <w:rPr>
          <w:rFonts w:hint="eastAsia" w:asciiTheme="minorEastAsia" w:hAnsiTheme="minorEastAsia" w:eastAsiaTheme="minorEastAsia"/>
        </w:rPr>
        <w:t>时间、分配数额及比例、分配方式等内容。</w:t>
      </w:r>
    </w:p>
    <w:p w14:paraId="3E43D79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五、收益分配方案的确定、公告与实施</w:t>
      </w:r>
    </w:p>
    <w:p w14:paraId="0A78690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本基金收益分配方案由基金管理人拟定，并由基金托管人复核，</w:t>
      </w:r>
      <w:r>
        <w:rPr>
          <w:rFonts w:hint="eastAsia"/>
          <w:bCs/>
          <w:szCs w:val="21"/>
        </w:rPr>
        <w:t>依照</w:t>
      </w:r>
      <w:r>
        <w:rPr>
          <w:bCs/>
          <w:szCs w:val="21"/>
        </w:rPr>
        <w:t>《</w:t>
      </w:r>
      <w:r>
        <w:rPr>
          <w:rFonts w:hint="eastAsia"/>
          <w:bCs/>
          <w:szCs w:val="21"/>
        </w:rPr>
        <w:t>信息</w:t>
      </w:r>
      <w:r>
        <w:rPr>
          <w:bCs/>
          <w:szCs w:val="21"/>
        </w:rPr>
        <w:t>披露办法》</w:t>
      </w:r>
      <w:r>
        <w:rPr>
          <w:rFonts w:hint="eastAsia"/>
          <w:bCs/>
          <w:szCs w:val="21"/>
        </w:rPr>
        <w:t>的有关</w:t>
      </w:r>
      <w:r>
        <w:rPr>
          <w:bCs/>
          <w:szCs w:val="21"/>
        </w:rPr>
        <w:t>规定在</w:t>
      </w:r>
      <w:r>
        <w:rPr>
          <w:rFonts w:hint="eastAsia"/>
          <w:bCs/>
          <w:szCs w:val="21"/>
        </w:rPr>
        <w:t>规定媒介</w:t>
      </w:r>
      <w:r>
        <w:rPr>
          <w:bCs/>
          <w:szCs w:val="21"/>
        </w:rPr>
        <w:t>公告</w:t>
      </w:r>
      <w:r>
        <w:rPr>
          <w:rFonts w:hint="eastAsia" w:asciiTheme="minorEastAsia" w:hAnsiTheme="minorEastAsia" w:eastAsiaTheme="minorEastAsia"/>
        </w:rPr>
        <w:t>。</w:t>
      </w:r>
    </w:p>
    <w:p w14:paraId="5695678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六、基金收益分配中发生的费用</w:t>
      </w:r>
    </w:p>
    <w:p w14:paraId="2CB12C8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bookmarkStart w:id="381" w:name="_Toc92662708"/>
      <w:bookmarkStart w:id="382" w:name="_Toc93226150"/>
      <w:bookmarkStart w:id="383" w:name="_Toc29695"/>
      <w:bookmarkStart w:id="384" w:name="_Toc18747"/>
      <w:bookmarkStart w:id="385" w:name="_Toc17499"/>
      <w:bookmarkStart w:id="386" w:name="_Toc31736"/>
      <w:bookmarkStart w:id="387" w:name="_Toc13255"/>
      <w:bookmarkStart w:id="388" w:name="_Toc21206"/>
      <w:bookmarkStart w:id="389" w:name="_Toc28961"/>
      <w:bookmarkStart w:id="390" w:name="_Toc18007"/>
      <w:bookmarkStart w:id="391" w:name="_Toc1043"/>
      <w:bookmarkStart w:id="392" w:name="_Toc10894"/>
      <w:bookmarkStart w:id="393" w:name="_Toc139991747"/>
      <w:bookmarkStart w:id="394" w:name="_Toc23859"/>
      <w:bookmarkStart w:id="395" w:name="_Toc128310500"/>
      <w:bookmarkStart w:id="396" w:name="_Toc141703897"/>
    </w:p>
    <w:p w14:paraId="606E626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七、实施侧袋机制期间的收益分配</w:t>
      </w:r>
    </w:p>
    <w:p w14:paraId="14C521A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本基金实施侧袋机制的，侧袋账户不进行收益分配，详见招募说明书的规定。</w:t>
      </w:r>
    </w:p>
    <w:p w14:paraId="3E766945">
      <w:pPr>
        <w:pStyle w:val="3"/>
        <w:adjustRightInd w:val="0"/>
        <w:snapToGrid w:val="0"/>
        <w:spacing w:before="0" w:after="0" w:line="360" w:lineRule="auto"/>
        <w:rPr>
          <w:rFonts w:cs="Arial" w:asciiTheme="minorEastAsia" w:hAnsiTheme="minorEastAsia" w:eastAsiaTheme="minorEastAsia"/>
          <w:sz w:val="21"/>
          <w:szCs w:val="21"/>
        </w:rPr>
        <w:sectPr>
          <w:footerReference r:id="rId19" w:type="default"/>
          <w:pgSz w:w="11906" w:h="16838"/>
          <w:pgMar w:top="1418" w:right="1701" w:bottom="1418" w:left="1701" w:header="851" w:footer="992" w:gutter="0"/>
          <w:pgNumType w:start="1"/>
          <w:cols w:space="425" w:num="1"/>
          <w:docGrid w:type="lines" w:linePitch="312" w:charSpace="0"/>
        </w:sectPr>
      </w:pPr>
      <w:bookmarkStart w:id="397" w:name="_Toc90742403"/>
      <w:bookmarkStart w:id="398" w:name="_Toc90742334"/>
    </w:p>
    <w:bookmarkEnd w:id="379"/>
    <w:p w14:paraId="4DF9D439">
      <w:pPr>
        <w:pStyle w:val="3"/>
        <w:adjustRightInd w:val="0"/>
        <w:snapToGrid w:val="0"/>
        <w:spacing w:before="312" w:beforeLines="100" w:after="0" w:line="360" w:lineRule="auto"/>
        <w:rPr>
          <w:rFonts w:asciiTheme="minorEastAsia" w:hAnsiTheme="minorEastAsia" w:eastAsiaTheme="minorEastAsia"/>
          <w:sz w:val="21"/>
        </w:rPr>
      </w:pPr>
      <w:bookmarkStart w:id="399" w:name="_Toc16237242"/>
      <w:bookmarkStart w:id="400" w:name="CLAUSE_024133fad1fb495e9002605c3c2bdd33"/>
      <w:r>
        <w:rPr>
          <w:rFonts w:hint="eastAsia" w:cs="Arial" w:asciiTheme="minorEastAsia" w:hAnsiTheme="minorEastAsia" w:eastAsiaTheme="minorEastAsia"/>
          <w:sz w:val="21"/>
          <w:szCs w:val="21"/>
        </w:rPr>
        <w:t xml:space="preserve">第十七部分 </w:t>
      </w:r>
      <w:bookmarkStart w:id="401" w:name="CTS_024133fad1fb495e9002605c3c2bdd33"/>
      <w:bookmarkEnd w:id="401"/>
      <w:r>
        <w:rPr>
          <w:rFonts w:asciiTheme="minorEastAsia" w:hAnsiTheme="minorEastAsia" w:eastAsiaTheme="minorEastAsia"/>
          <w:sz w:val="21"/>
        </w:rPr>
        <w:t>基金的会计</w:t>
      </w:r>
      <w:r>
        <w:rPr>
          <w:rFonts w:cs="Arial" w:asciiTheme="minorEastAsia" w:hAnsiTheme="minorEastAsia" w:eastAsiaTheme="minorEastAsia"/>
          <w:sz w:val="21"/>
          <w:szCs w:val="21"/>
        </w:rPr>
        <w:t>和</w:t>
      </w:r>
      <w:r>
        <w:rPr>
          <w:rFonts w:asciiTheme="minorEastAsia" w:hAnsiTheme="minorEastAsia" w:eastAsiaTheme="minorEastAsia"/>
          <w:sz w:val="21"/>
        </w:rPr>
        <w:t>审计</w:t>
      </w:r>
      <w:bookmarkEnd w:id="397"/>
      <w:bookmarkEnd w:id="398"/>
      <w:bookmarkEnd w:id="399"/>
    </w:p>
    <w:p w14:paraId="0D6FDFAF">
      <w:pPr>
        <w:spacing w:line="360" w:lineRule="auto"/>
        <w:ind w:firstLine="480" w:firstLineChars="200"/>
        <w:rPr>
          <w:rFonts w:asciiTheme="minorEastAsia" w:hAnsiTheme="minorEastAsia" w:eastAsiaTheme="minorEastAsia"/>
          <w:bCs/>
          <w:sz w:val="24"/>
        </w:rPr>
      </w:pPr>
    </w:p>
    <w:p w14:paraId="7CF0577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w:t>
      </w:r>
      <w:bookmarkEnd w:id="381"/>
      <w:bookmarkEnd w:id="382"/>
      <w:r>
        <w:rPr>
          <w:rFonts w:hint="eastAsia" w:asciiTheme="minorEastAsia" w:hAnsiTheme="minorEastAsia" w:eastAsiaTheme="minorEastAsia"/>
        </w:rPr>
        <w:t>会计</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hint="eastAsia" w:asciiTheme="minorEastAsia" w:hAnsiTheme="minorEastAsia" w:eastAsiaTheme="minorEastAsia"/>
        </w:rPr>
        <w:t>政策</w:t>
      </w:r>
    </w:p>
    <w:p w14:paraId="5CFEB5D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基金管理人为本基金的基金会计责任方；</w:t>
      </w:r>
    </w:p>
    <w:p w14:paraId="626F594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2.本基金的会计年度为公历年度的</w:t>
      </w:r>
      <w:r>
        <w:rPr>
          <w:rFonts w:asciiTheme="minorEastAsia" w:hAnsiTheme="minorEastAsia" w:eastAsiaTheme="minorEastAsia"/>
        </w:rPr>
        <w:t>1</w:t>
      </w:r>
      <w:r>
        <w:rPr>
          <w:rFonts w:hint="eastAsia" w:asciiTheme="minorEastAsia" w:hAnsiTheme="minorEastAsia" w:eastAsiaTheme="minorEastAsia"/>
        </w:rPr>
        <w:t>月</w:t>
      </w:r>
      <w:r>
        <w:rPr>
          <w:rFonts w:asciiTheme="minorEastAsia" w:hAnsiTheme="minorEastAsia" w:eastAsiaTheme="minorEastAsia"/>
        </w:rPr>
        <w:t>1</w:t>
      </w:r>
      <w:r>
        <w:rPr>
          <w:rFonts w:hint="eastAsia" w:asciiTheme="minorEastAsia" w:hAnsiTheme="minorEastAsia" w:eastAsiaTheme="minorEastAsia"/>
        </w:rPr>
        <w:t>日至</w:t>
      </w:r>
      <w:r>
        <w:rPr>
          <w:rFonts w:asciiTheme="minorEastAsia" w:hAnsiTheme="minorEastAsia" w:eastAsiaTheme="minorEastAsia"/>
        </w:rPr>
        <w:t>12</w:t>
      </w:r>
      <w:r>
        <w:rPr>
          <w:rFonts w:hint="eastAsia" w:asciiTheme="minorEastAsia" w:hAnsiTheme="minorEastAsia" w:eastAsiaTheme="minorEastAsia"/>
        </w:rPr>
        <w:t>月</w:t>
      </w:r>
      <w:r>
        <w:rPr>
          <w:rFonts w:asciiTheme="minorEastAsia" w:hAnsiTheme="minorEastAsia" w:eastAsiaTheme="minorEastAsia"/>
        </w:rPr>
        <w:t>31</w:t>
      </w:r>
      <w:r>
        <w:rPr>
          <w:rFonts w:hint="eastAsia" w:asciiTheme="minorEastAsia" w:hAnsiTheme="minorEastAsia" w:eastAsiaTheme="minorEastAsia"/>
        </w:rPr>
        <w:t>日，基金首次募集的会计年度按如下原则：如果《基金合同》生效少于</w:t>
      </w:r>
      <w:r>
        <w:rPr>
          <w:rFonts w:asciiTheme="minorEastAsia" w:hAnsiTheme="minorEastAsia" w:eastAsiaTheme="minorEastAsia"/>
        </w:rPr>
        <w:t>2</w:t>
      </w:r>
      <w:r>
        <w:rPr>
          <w:rFonts w:hint="eastAsia" w:asciiTheme="minorEastAsia" w:hAnsiTheme="minorEastAsia" w:eastAsiaTheme="minorEastAsia"/>
        </w:rPr>
        <w:t>个月，可以并入下一个会计年度披露；</w:t>
      </w:r>
      <w:r>
        <w:rPr>
          <w:rFonts w:asciiTheme="minorEastAsia" w:hAnsiTheme="minorEastAsia" w:eastAsiaTheme="minorEastAsia"/>
        </w:rPr>
        <w:t xml:space="preserve"> </w:t>
      </w:r>
    </w:p>
    <w:p w14:paraId="21BC028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3.本基金核算以人民币为记账本位币，以人民币元为记账单位；</w:t>
      </w:r>
    </w:p>
    <w:p w14:paraId="73D867C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会计制度执行国家有关会计制度；</w:t>
      </w:r>
    </w:p>
    <w:p w14:paraId="14F3273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本基金独立建账、独立核算；</w:t>
      </w:r>
    </w:p>
    <w:p w14:paraId="257D4354">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基金管理人及基金托管人各自保留完整的会计账目、凭证并进行日常的会计核算，按照有关规定编制基金会计报表；</w:t>
      </w:r>
    </w:p>
    <w:p w14:paraId="5DB9026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7.</w:t>
      </w:r>
      <w:r>
        <w:rPr>
          <w:rFonts w:hint="eastAsia" w:asciiTheme="minorEastAsia" w:hAnsiTheme="minorEastAsia" w:eastAsiaTheme="minorEastAsia"/>
        </w:rPr>
        <w:t>基金托管人每月与基金管理人就基金的会计核算、报表编制等进行核对并以书面方式确认。</w:t>
      </w:r>
    </w:p>
    <w:p w14:paraId="6A3B137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二、基金的年度审计</w:t>
      </w:r>
    </w:p>
    <w:p w14:paraId="3550166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基金管理人聘请与基金管理人、基金托管人相互独立的符合《中华人民共和国证券法》规定的会计师事务所及其注册会计师对本基金的年度财务报表进行审计。</w:t>
      </w:r>
    </w:p>
    <w:p w14:paraId="41D6175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会计师事务所更换经办注册会计师，应事先征得基金管理人同意。</w:t>
      </w:r>
    </w:p>
    <w:p w14:paraId="477FC52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bookmarkStart w:id="402" w:name="_Hlt4221115"/>
      <w:bookmarkEnd w:id="402"/>
      <w:r>
        <w:rPr>
          <w:rFonts w:hint="eastAsia" w:asciiTheme="minorEastAsia" w:hAnsiTheme="minorEastAsia" w:eastAsiaTheme="minorEastAsia"/>
        </w:rPr>
        <w:t>基金管理人认为有充足理由更换会计师事务所，须通报基金托管人。更换会计师事务所需按照《信息披露办法》的有关规定</w:t>
      </w:r>
      <w:r>
        <w:rPr>
          <w:rFonts w:asciiTheme="minorEastAsia" w:hAnsiTheme="minorEastAsia" w:eastAsiaTheme="minorEastAsia"/>
        </w:rPr>
        <w:t>在规定媒介</w:t>
      </w:r>
      <w:r>
        <w:rPr>
          <w:rFonts w:hint="eastAsia" w:asciiTheme="minorEastAsia" w:hAnsiTheme="minorEastAsia" w:eastAsiaTheme="minorEastAsia"/>
        </w:rPr>
        <w:t>公告。</w:t>
      </w:r>
    </w:p>
    <w:p w14:paraId="77C90145">
      <w:pPr>
        <w:adjustRightInd w:val="0"/>
        <w:snapToGrid w:val="0"/>
        <w:spacing w:line="360" w:lineRule="auto"/>
        <w:rPr>
          <w:rFonts w:cs="Arial" w:asciiTheme="minorEastAsia" w:hAnsiTheme="minorEastAsia" w:eastAsiaTheme="minorEastAsia"/>
          <w:szCs w:val="21"/>
        </w:rPr>
      </w:pPr>
      <w:bookmarkStart w:id="403" w:name="_Toc93226151"/>
      <w:bookmarkStart w:id="404" w:name="_Toc92662709"/>
      <w:bookmarkStart w:id="405" w:name="_Toc193"/>
      <w:bookmarkStart w:id="406" w:name="_Toc21351"/>
      <w:bookmarkStart w:id="407" w:name="_Toc128310501"/>
      <w:bookmarkStart w:id="408" w:name="_Toc11802"/>
      <w:bookmarkStart w:id="409" w:name="_Toc12028"/>
      <w:bookmarkStart w:id="410" w:name="_Toc11049"/>
      <w:bookmarkStart w:id="411" w:name="_Toc1421"/>
      <w:bookmarkStart w:id="412" w:name="_Toc141703898"/>
      <w:bookmarkStart w:id="413" w:name="_Toc1173"/>
      <w:bookmarkStart w:id="414" w:name="_Toc3056"/>
      <w:bookmarkStart w:id="415" w:name="_Toc8512"/>
      <w:bookmarkStart w:id="416" w:name="_Toc29289"/>
      <w:bookmarkStart w:id="417" w:name="_Toc139991748"/>
      <w:bookmarkStart w:id="418" w:name="_Toc31866"/>
    </w:p>
    <w:p w14:paraId="3E542920">
      <w:pPr>
        <w:pStyle w:val="3"/>
        <w:adjustRightInd w:val="0"/>
        <w:snapToGrid w:val="0"/>
        <w:spacing w:before="0" w:after="0" w:line="360" w:lineRule="auto"/>
        <w:rPr>
          <w:rFonts w:cs="Arial" w:asciiTheme="minorEastAsia" w:hAnsiTheme="minorEastAsia" w:eastAsiaTheme="minorEastAsia"/>
          <w:sz w:val="21"/>
          <w:szCs w:val="21"/>
        </w:rPr>
        <w:sectPr>
          <w:footerReference r:id="rId20" w:type="default"/>
          <w:pgSz w:w="11906" w:h="16838"/>
          <w:pgMar w:top="1418" w:right="1701" w:bottom="1418" w:left="1701" w:header="851" w:footer="992" w:gutter="0"/>
          <w:pgNumType w:start="1"/>
          <w:cols w:space="425" w:num="1"/>
          <w:docGrid w:type="lines" w:linePitch="312" w:charSpace="0"/>
        </w:sectPr>
      </w:pPr>
      <w:bookmarkStart w:id="419" w:name="_Toc90742335"/>
      <w:bookmarkStart w:id="420" w:name="_Toc90742404"/>
    </w:p>
    <w:bookmarkEnd w:id="400"/>
    <w:p w14:paraId="76AA0CE3">
      <w:pPr>
        <w:pStyle w:val="3"/>
        <w:adjustRightInd w:val="0"/>
        <w:snapToGrid w:val="0"/>
        <w:spacing w:before="312" w:beforeLines="100" w:after="0" w:line="360" w:lineRule="auto"/>
        <w:rPr>
          <w:rFonts w:asciiTheme="minorEastAsia" w:hAnsiTheme="minorEastAsia" w:eastAsiaTheme="minorEastAsia"/>
          <w:sz w:val="21"/>
        </w:rPr>
      </w:pPr>
      <w:bookmarkStart w:id="421" w:name="_Toc16237243"/>
      <w:bookmarkStart w:id="422" w:name="CLAUSE_04c2cf45ac084b839da136ea1fdc734b"/>
      <w:r>
        <w:rPr>
          <w:rFonts w:hint="eastAsia" w:cs="Arial" w:asciiTheme="minorEastAsia" w:hAnsiTheme="minorEastAsia" w:eastAsiaTheme="minorEastAsia"/>
          <w:sz w:val="21"/>
          <w:szCs w:val="21"/>
        </w:rPr>
        <w:t xml:space="preserve">第十八部分 </w:t>
      </w:r>
      <w:bookmarkStart w:id="423" w:name="CTS_04c2cf45ac084b839da136ea1fdc734b"/>
      <w:bookmarkEnd w:id="423"/>
      <w:r>
        <w:rPr>
          <w:rFonts w:hint="eastAsia" w:asciiTheme="minorEastAsia" w:hAnsiTheme="minorEastAsia" w:eastAsiaTheme="minorEastAsia"/>
          <w:sz w:val="21"/>
        </w:rPr>
        <w:t>基金</w:t>
      </w:r>
      <w:bookmarkEnd w:id="403"/>
      <w:bookmarkEnd w:id="404"/>
      <w:r>
        <w:rPr>
          <w:rFonts w:hint="eastAsia" w:asciiTheme="minorEastAsia" w:hAnsiTheme="minorEastAsia" w:eastAsiaTheme="minorEastAsia"/>
          <w:sz w:val="21"/>
        </w:rPr>
        <w:t>的信息披露</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1D51E764">
      <w:pPr>
        <w:spacing w:line="360" w:lineRule="auto"/>
        <w:ind w:firstLine="480" w:firstLineChars="200"/>
        <w:rPr>
          <w:rFonts w:asciiTheme="minorEastAsia" w:hAnsiTheme="minorEastAsia" w:eastAsiaTheme="minorEastAsia"/>
          <w:bCs/>
          <w:sz w:val="24"/>
        </w:rPr>
      </w:pPr>
    </w:p>
    <w:p w14:paraId="05A33A5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一、基金的信息披露应符合《基金法》、《运作办法》、《信息披露办法》、《流动性风险管理规定》、《</w:t>
      </w:r>
      <w:r>
        <w:rPr>
          <w:rFonts w:asciiTheme="minorEastAsia" w:hAnsiTheme="minorEastAsia" w:eastAsiaTheme="minorEastAsia"/>
        </w:rPr>
        <w:t>基金合同</w:t>
      </w:r>
      <w:r>
        <w:rPr>
          <w:rFonts w:hint="eastAsia" w:asciiTheme="minorEastAsia" w:hAnsiTheme="minorEastAsia" w:eastAsiaTheme="minorEastAsia"/>
        </w:rPr>
        <w:t>》及</w:t>
      </w:r>
      <w:r>
        <w:rPr>
          <w:rFonts w:asciiTheme="minorEastAsia" w:hAnsiTheme="minorEastAsia" w:eastAsiaTheme="minorEastAsia"/>
        </w:rPr>
        <w:t>其他有关规定。</w:t>
      </w:r>
      <w:r>
        <w:rPr>
          <w:rFonts w:hint="eastAsia" w:asciiTheme="minorEastAsia" w:hAnsiTheme="minorEastAsia" w:eastAsiaTheme="minorEastAsia"/>
        </w:rPr>
        <w:t>相关法律法规关于信息披露的披露方式、登载媒介、报备方式等规定发生变化时，本基金从其最新规定。</w:t>
      </w:r>
    </w:p>
    <w:p w14:paraId="20D1B8C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二、信息披露义务人</w:t>
      </w:r>
    </w:p>
    <w:p w14:paraId="36F484F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本基金信息披露义务人包括基金管理人、基金托管人、召集基金份额持有人大会的基金份额持有人及其日常机构等法律、行政法规和中国证监会规定的自然人、法人和非法人组织。</w:t>
      </w:r>
    </w:p>
    <w:p w14:paraId="543761B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本基金信息披露义务人以保护基金份额持有人利益为根本出发点，按照法律法规和中国证监会的规定披露基金信息，并保证所披露信息的真实性、准确性、完整性、及时性、简明性和易得性。</w:t>
      </w:r>
    </w:p>
    <w:p w14:paraId="1FDDC29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信息披露义务人应当在中国证监会规定时间内，将应予披露的基金信息通过符合中国证监会规定条件的用以进行信息披露的全国性报刊（以下简称“规定报刊”）及《信息披露办法》规定的互联网网站（以下简称“规定网站”）等媒介披露，并保证基金投资者能够按照《基金合同》约定的时间和方式查阅或者复制公开披露的信息资料。</w:t>
      </w:r>
    </w:p>
    <w:p w14:paraId="04E3BCB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三、本基金信息披露义务人承诺公开披露的基金信息，不得有下列行为：</w:t>
      </w:r>
    </w:p>
    <w:p w14:paraId="1D97AD9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虚假记载、误导性陈述或者重大遗漏；</w:t>
      </w:r>
    </w:p>
    <w:p w14:paraId="71C6A50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对证券投资业绩进行预测；</w:t>
      </w:r>
    </w:p>
    <w:p w14:paraId="21F45EC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违规承诺收益或者承担损失；</w:t>
      </w:r>
    </w:p>
    <w:p w14:paraId="41BB7AA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诋毁其他基金管理人、基金托管人或者基金销售机构；</w:t>
      </w:r>
    </w:p>
    <w:p w14:paraId="38A3B3D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登载任何自然人、法人和非法人组织的祝贺性、恭维性或推荐性的文字；</w:t>
      </w:r>
    </w:p>
    <w:p w14:paraId="259135E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中国证监会禁止的其他行为。</w:t>
      </w:r>
    </w:p>
    <w:p w14:paraId="45DF858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四、本基金公开披露的信息应采用中文文本。如同时采用外文文本的，基金信息披露义务人应保证不同文本的内容一致。不同文本之间发生歧义的，以中文文本为准。</w:t>
      </w:r>
    </w:p>
    <w:p w14:paraId="79F0F8E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本基金公开披露的信息采用阿拉伯数字；除特别说明外，货币单位为人民币元。</w:t>
      </w:r>
    </w:p>
    <w:p w14:paraId="0A0E129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w:t>
      </w:r>
      <w:r>
        <w:rPr>
          <w:rFonts w:asciiTheme="minorEastAsia" w:hAnsiTheme="minorEastAsia" w:eastAsiaTheme="minorEastAsia"/>
        </w:rPr>
        <w:t>公开披露的基金信息</w:t>
      </w:r>
    </w:p>
    <w:p w14:paraId="4C2B040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公开披露的基金信息包括：</w:t>
      </w:r>
    </w:p>
    <w:p w14:paraId="6589572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（一）基金招募说明书、《基金合同》、基金托管协议、基金产品资料概要</w:t>
      </w:r>
    </w:p>
    <w:p w14:paraId="1FB2DDA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1、《基金合同》是界定《基金合同》当事人的各项权利、义务关系，明确基金份额持有人大会召开的规则及具体程序，说明基金产品的特性等涉及基金投资者重大利益的事项的法律文件。</w:t>
      </w:r>
    </w:p>
    <w:p w14:paraId="431C0F9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7A0541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3、基金托管协议是界定基金托管人和基金管理人在基金财产保管及基金运作监督等活动中的权利、义务关系的法律文件。</w:t>
      </w:r>
    </w:p>
    <w:p w14:paraId="2630C7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37B608E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基金募集申请经中国证监会注册后，基金管理人应当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0228F1D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（二）基金份额发售公告</w:t>
      </w:r>
    </w:p>
    <w:p w14:paraId="3466887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基金管理人应当就基金份额发售的具体事宜编制基金份额发售公告，并在披露招募说明书的当日登载于规定媒介上。</w:t>
      </w:r>
    </w:p>
    <w:p w14:paraId="7BB5A4F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（三）《基金合同》生效公告</w:t>
      </w:r>
    </w:p>
    <w:p w14:paraId="6A7F47F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基金管理人应当在收到中国证监会确认文件的次日在规定媒介上登载《基金合同》生效公告。</w:t>
      </w:r>
    </w:p>
    <w:p w14:paraId="43DFEF9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（四）基金净值信息</w:t>
      </w:r>
    </w:p>
    <w:p w14:paraId="198E33FE">
      <w:pPr>
        <w:spacing w:line="360" w:lineRule="auto"/>
        <w:ind w:firstLine="420" w:firstLineChars="200"/>
        <w:rPr>
          <w:bCs/>
          <w:szCs w:val="21"/>
        </w:rPr>
      </w:pPr>
      <w:r>
        <w:rPr>
          <w:bCs/>
          <w:szCs w:val="21"/>
        </w:rPr>
        <w:t>《基金合同》生效后，在开始办理基金份额申购或者赎回前，基金管理人应当至少每周</w:t>
      </w:r>
      <w:r>
        <w:rPr>
          <w:rFonts w:hint="eastAsia"/>
          <w:bCs/>
          <w:szCs w:val="21"/>
        </w:rPr>
        <w:t>在</w:t>
      </w:r>
      <w:r>
        <w:rPr>
          <w:bCs/>
          <w:szCs w:val="21"/>
        </w:rPr>
        <w:t>规定网站披露一次</w:t>
      </w:r>
      <w:r>
        <w:rPr>
          <w:rFonts w:hint="eastAsia"/>
          <w:bCs/>
          <w:szCs w:val="21"/>
        </w:rPr>
        <w:t>各类</w:t>
      </w:r>
      <w:r>
        <w:rPr>
          <w:bCs/>
          <w:szCs w:val="21"/>
        </w:rPr>
        <w:t>基金</w:t>
      </w:r>
      <w:r>
        <w:rPr>
          <w:rFonts w:hint="eastAsia"/>
          <w:bCs/>
          <w:szCs w:val="21"/>
        </w:rPr>
        <w:t>份额</w:t>
      </w:r>
      <w:r>
        <w:rPr>
          <w:bCs/>
          <w:szCs w:val="21"/>
        </w:rPr>
        <w:t>净值和</w:t>
      </w:r>
      <w:r>
        <w:rPr>
          <w:rFonts w:hint="eastAsia"/>
          <w:bCs/>
          <w:szCs w:val="21"/>
        </w:rPr>
        <w:t>各类</w:t>
      </w:r>
      <w:r>
        <w:rPr>
          <w:bCs/>
          <w:szCs w:val="21"/>
        </w:rPr>
        <w:t>基金</w:t>
      </w:r>
      <w:r>
        <w:rPr>
          <w:rFonts w:hint="eastAsia"/>
          <w:bCs/>
          <w:szCs w:val="21"/>
        </w:rPr>
        <w:t>份额累计</w:t>
      </w:r>
      <w:r>
        <w:rPr>
          <w:bCs/>
          <w:szCs w:val="21"/>
        </w:rPr>
        <w:t>净值。</w:t>
      </w:r>
    </w:p>
    <w:p w14:paraId="6B6BDB26">
      <w:pPr>
        <w:spacing w:line="360" w:lineRule="auto"/>
        <w:ind w:firstLine="420" w:firstLineChars="200"/>
        <w:rPr>
          <w:bCs/>
          <w:szCs w:val="21"/>
        </w:rPr>
      </w:pPr>
      <w:r>
        <w:rPr>
          <w:bCs/>
          <w:szCs w:val="21"/>
        </w:rPr>
        <w:t>在开始办理基金份额申购或者赎回后，基金管理人应当在</w:t>
      </w:r>
      <w:r>
        <w:rPr>
          <w:rFonts w:hint="eastAsia"/>
          <w:bCs/>
          <w:szCs w:val="21"/>
        </w:rPr>
        <w:t>不晚于</w:t>
      </w:r>
      <w:r>
        <w:rPr>
          <w:bCs/>
          <w:szCs w:val="21"/>
        </w:rPr>
        <w:t>每个开放日的次日，通过</w:t>
      </w:r>
      <w:r>
        <w:rPr>
          <w:rFonts w:hint="eastAsia"/>
          <w:bCs/>
          <w:szCs w:val="21"/>
        </w:rPr>
        <w:t>其</w:t>
      </w:r>
      <w:r>
        <w:rPr>
          <w:bCs/>
          <w:szCs w:val="21"/>
        </w:rPr>
        <w:t>规定网站、基金销售机构网站或营业网点披露开放日的</w:t>
      </w:r>
      <w:r>
        <w:rPr>
          <w:rFonts w:hint="eastAsia"/>
          <w:bCs/>
          <w:szCs w:val="21"/>
        </w:rPr>
        <w:t>各类</w:t>
      </w:r>
      <w:r>
        <w:rPr>
          <w:bCs/>
          <w:szCs w:val="21"/>
        </w:rPr>
        <w:t>基金份额净值和</w:t>
      </w:r>
      <w:r>
        <w:rPr>
          <w:rFonts w:hint="eastAsia"/>
          <w:bCs/>
          <w:szCs w:val="21"/>
        </w:rPr>
        <w:t>各类</w:t>
      </w:r>
      <w:r>
        <w:rPr>
          <w:bCs/>
          <w:szCs w:val="21"/>
        </w:rPr>
        <w:t>基金份额累计净值。</w:t>
      </w:r>
    </w:p>
    <w:p w14:paraId="7CEA3ADD">
      <w:pPr>
        <w:adjustRightInd w:val="0"/>
        <w:snapToGrid w:val="0"/>
        <w:spacing w:line="360" w:lineRule="auto"/>
        <w:ind w:firstLine="420" w:firstLineChars="200"/>
        <w:rPr>
          <w:rFonts w:asciiTheme="minorEastAsia" w:hAnsiTheme="minorEastAsia" w:eastAsiaTheme="minorEastAsia"/>
        </w:rPr>
      </w:pPr>
      <w:r>
        <w:rPr>
          <w:bCs/>
          <w:szCs w:val="21"/>
        </w:rPr>
        <w:t>基金管理人应</w:t>
      </w:r>
      <w:r>
        <w:rPr>
          <w:rFonts w:hint="eastAsia"/>
          <w:bCs/>
          <w:szCs w:val="21"/>
        </w:rPr>
        <w:t>在</w:t>
      </w:r>
      <w:r>
        <w:rPr>
          <w:bCs/>
          <w:szCs w:val="21"/>
        </w:rPr>
        <w:t>不晚于半年度和年度最后一日</w:t>
      </w:r>
      <w:r>
        <w:rPr>
          <w:rFonts w:hint="eastAsia"/>
          <w:bCs/>
          <w:szCs w:val="21"/>
        </w:rPr>
        <w:t>的</w:t>
      </w:r>
      <w:r>
        <w:rPr>
          <w:bCs/>
          <w:szCs w:val="21"/>
        </w:rPr>
        <w:t>次日，在</w:t>
      </w:r>
      <w:r>
        <w:rPr>
          <w:rFonts w:hint="eastAsia"/>
          <w:bCs/>
          <w:szCs w:val="21"/>
        </w:rPr>
        <w:t>规定</w:t>
      </w:r>
      <w:r>
        <w:rPr>
          <w:bCs/>
          <w:szCs w:val="21"/>
        </w:rPr>
        <w:t>网站披露半年度和年度最后一日的</w:t>
      </w:r>
      <w:r>
        <w:rPr>
          <w:rFonts w:hint="eastAsia"/>
          <w:bCs/>
          <w:szCs w:val="21"/>
        </w:rPr>
        <w:t>各类</w:t>
      </w:r>
      <w:r>
        <w:rPr>
          <w:bCs/>
          <w:szCs w:val="21"/>
        </w:rPr>
        <w:t>基金</w:t>
      </w:r>
      <w:r>
        <w:rPr>
          <w:rFonts w:hint="eastAsia"/>
          <w:bCs/>
          <w:szCs w:val="21"/>
        </w:rPr>
        <w:t>份额</w:t>
      </w:r>
      <w:r>
        <w:rPr>
          <w:bCs/>
          <w:szCs w:val="21"/>
        </w:rPr>
        <w:t>净值和</w:t>
      </w:r>
      <w:r>
        <w:rPr>
          <w:rFonts w:hint="eastAsia"/>
          <w:bCs/>
          <w:szCs w:val="21"/>
        </w:rPr>
        <w:t>各类</w:t>
      </w:r>
      <w:r>
        <w:rPr>
          <w:bCs/>
          <w:szCs w:val="21"/>
        </w:rPr>
        <w:t>基金</w:t>
      </w:r>
      <w:r>
        <w:rPr>
          <w:rFonts w:hint="eastAsia"/>
          <w:bCs/>
          <w:szCs w:val="21"/>
        </w:rPr>
        <w:t>份额累计</w:t>
      </w:r>
      <w:r>
        <w:rPr>
          <w:bCs/>
          <w:szCs w:val="21"/>
        </w:rPr>
        <w:t>净值。</w:t>
      </w:r>
    </w:p>
    <w:p w14:paraId="7DF758D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（五）基金份额申购、赎回价格</w:t>
      </w:r>
    </w:p>
    <w:p w14:paraId="2A30737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基金管理人应当在《</w:t>
      </w:r>
      <w:r>
        <w:rPr>
          <w:rFonts w:asciiTheme="minorEastAsia" w:hAnsiTheme="minorEastAsia" w:eastAsiaTheme="minorEastAsia"/>
        </w:rPr>
        <w:t>基金合同</w:t>
      </w:r>
      <w:r>
        <w:rPr>
          <w:rFonts w:hint="eastAsia" w:asciiTheme="minorEastAsia" w:hAnsiTheme="minorEastAsia" w:eastAsiaTheme="minorEastAsia"/>
        </w:rPr>
        <w:t>》、招募说明书等信息披露文件上载明基金份额申购、赎回价格的计算方式及有关申购、赎回费率，并保证</w:t>
      </w:r>
      <w:r>
        <w:rPr>
          <w:rFonts w:asciiTheme="minorEastAsia" w:hAnsiTheme="minorEastAsia" w:eastAsiaTheme="minorEastAsia"/>
        </w:rPr>
        <w:t>投资</w:t>
      </w:r>
      <w:r>
        <w:rPr>
          <w:rFonts w:hint="eastAsia" w:asciiTheme="minorEastAsia" w:hAnsiTheme="minorEastAsia" w:eastAsiaTheme="minorEastAsia"/>
        </w:rPr>
        <w:t>者能够在基金</w:t>
      </w:r>
      <w:r>
        <w:rPr>
          <w:rFonts w:hint="eastAsia"/>
          <w:bCs/>
          <w:szCs w:val="21"/>
        </w:rPr>
        <w:t>销售机构网站或营业网点</w:t>
      </w:r>
      <w:r>
        <w:rPr>
          <w:rFonts w:hint="eastAsia" w:asciiTheme="minorEastAsia" w:hAnsiTheme="minorEastAsia" w:eastAsiaTheme="minorEastAsia"/>
        </w:rPr>
        <w:t>查阅或者复制前述信息资料。</w:t>
      </w:r>
    </w:p>
    <w:p w14:paraId="323DBEB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（六）基金定期报告，包括基金年度报告、基金中期报告和基金季度报告</w:t>
      </w:r>
    </w:p>
    <w:p w14:paraId="7CB0F85F">
      <w:pPr>
        <w:spacing w:line="360" w:lineRule="auto"/>
        <w:ind w:firstLine="420" w:firstLineChars="200"/>
        <w:rPr>
          <w:bCs/>
          <w:szCs w:val="21"/>
        </w:rPr>
      </w:pPr>
      <w:r>
        <w:rPr>
          <w:rFonts w:hint="eastAsia"/>
          <w:bCs/>
          <w:szCs w:val="21"/>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14:paraId="4D4DC84D">
      <w:pPr>
        <w:spacing w:line="360" w:lineRule="auto"/>
        <w:ind w:firstLine="420" w:firstLineChars="200"/>
        <w:rPr>
          <w:bCs/>
          <w:szCs w:val="21"/>
        </w:rPr>
      </w:pPr>
      <w:r>
        <w:rPr>
          <w:rFonts w:hint="eastAsia"/>
          <w:bCs/>
          <w:szCs w:val="21"/>
        </w:rPr>
        <w:t>基金管理人应当在上半年结束之日起两个月内，编制完成基金中期报告，将中期报告登载在规定网站上，并将中期报告提示性公告登载在规定报刊上。</w:t>
      </w:r>
    </w:p>
    <w:p w14:paraId="253DB92A">
      <w:pPr>
        <w:adjustRightInd w:val="0"/>
        <w:snapToGrid w:val="0"/>
        <w:spacing w:line="360" w:lineRule="auto"/>
        <w:ind w:firstLine="420" w:firstLineChars="200"/>
        <w:rPr>
          <w:rFonts w:asciiTheme="minorEastAsia" w:hAnsiTheme="minorEastAsia" w:eastAsiaTheme="minorEastAsia"/>
        </w:rPr>
      </w:pPr>
      <w:r>
        <w:rPr>
          <w:rFonts w:hint="eastAsia"/>
          <w:bCs/>
          <w:szCs w:val="21"/>
        </w:rPr>
        <w:t>基金管理人应当在季度结束之日起</w:t>
      </w:r>
      <w:r>
        <w:rPr>
          <w:bCs/>
          <w:szCs w:val="21"/>
        </w:rPr>
        <w:t>15</w:t>
      </w:r>
      <w:r>
        <w:rPr>
          <w:rFonts w:hint="eastAsia"/>
          <w:bCs/>
          <w:szCs w:val="21"/>
        </w:rPr>
        <w:t>个工作日内，编制完成基金季度报告，将季度报告登载在规定网站上，并将季度报告提示性公告登载在规定报刊上。</w:t>
      </w:r>
    </w:p>
    <w:p w14:paraId="368CD17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《基金合同》生效不足</w:t>
      </w:r>
      <w:r>
        <w:rPr>
          <w:rFonts w:asciiTheme="minorEastAsia" w:hAnsiTheme="minorEastAsia" w:eastAsiaTheme="minorEastAsia"/>
        </w:rPr>
        <w:t>2</w:t>
      </w:r>
      <w:r>
        <w:rPr>
          <w:rFonts w:hint="eastAsia" w:asciiTheme="minorEastAsia" w:hAnsiTheme="minorEastAsia" w:eastAsiaTheme="minorEastAsia"/>
        </w:rPr>
        <w:t>个月的，基金管理人可以不编制当期季度报告、中期报告或者年度报告。</w:t>
      </w:r>
    </w:p>
    <w:p w14:paraId="16DC18E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报告期内出现单一投资人持有基金份额达到或超过基金总份额20%的情形，为保障其他投资人的权益，基金管理人至少应当在定期报告“影响投资者决策的其他重要信息”项下披露该投资人的类别、报告期末持有份额及占比、报告期内持有份额变化情况及本基金的特有风险，中国证监会认定的特殊情形除外。</w:t>
      </w:r>
    </w:p>
    <w:p w14:paraId="7D1AED6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本基金持续运作过程中，基金管理人应当在基金年度报告和中期报告中披露基金组合资产情况及其流动性风险分析等。</w:t>
      </w:r>
    </w:p>
    <w:p w14:paraId="5A89A89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（七）临时报告</w:t>
      </w:r>
    </w:p>
    <w:p w14:paraId="1DA467A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本基金发生重大事件，有关信息披露义务人应按规定编制临时报告书，</w:t>
      </w:r>
      <w:r>
        <w:rPr>
          <w:rFonts w:hint="eastAsia"/>
          <w:bCs/>
          <w:szCs w:val="21"/>
        </w:rPr>
        <w:t>并登载在规定报刊和规定网站上</w:t>
      </w:r>
      <w:r>
        <w:rPr>
          <w:rFonts w:hint="eastAsia" w:asciiTheme="minorEastAsia" w:hAnsiTheme="minorEastAsia" w:eastAsiaTheme="minorEastAsia"/>
        </w:rPr>
        <w:t>。</w:t>
      </w:r>
    </w:p>
    <w:p w14:paraId="548207B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前款所称重大事件，是指可能对基金份额持有人权益或者基金份额的价格产生重大影响的下列事件</w:t>
      </w:r>
      <w:r>
        <w:rPr>
          <w:rFonts w:asciiTheme="minorEastAsia" w:hAnsiTheme="minorEastAsia" w:eastAsiaTheme="minorEastAsia"/>
        </w:rPr>
        <w:t>：</w:t>
      </w:r>
    </w:p>
    <w:p w14:paraId="2E23420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基金份额持有人大会的召开及决定的事项；</w:t>
      </w:r>
    </w:p>
    <w:p w14:paraId="3947C4F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2.基金合同</w:t>
      </w:r>
      <w:r>
        <w:rPr>
          <w:rFonts w:hint="eastAsia" w:asciiTheme="minorEastAsia" w:hAnsiTheme="minorEastAsia" w:eastAsiaTheme="minorEastAsia"/>
        </w:rPr>
        <w:t>终止、基金清算；</w:t>
      </w:r>
    </w:p>
    <w:p w14:paraId="531D33A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转换基金运作方式、基金合并；</w:t>
      </w:r>
    </w:p>
    <w:p w14:paraId="3102BE3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更换基金管理人、基金托管人、基金份额登记机构，基金改聘会计师事务所；</w:t>
      </w:r>
    </w:p>
    <w:p w14:paraId="35F8922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w:t>
      </w:r>
      <w:r>
        <w:rPr>
          <w:rFonts w:asciiTheme="minorEastAsia" w:hAnsiTheme="minorEastAsia" w:eastAsiaTheme="minorEastAsia"/>
        </w:rPr>
        <w:t>.</w:t>
      </w:r>
      <w:r>
        <w:rPr>
          <w:rFonts w:hint="eastAsia" w:asciiTheme="minorEastAsia" w:hAnsiTheme="minorEastAsia" w:eastAsiaTheme="minorEastAsia"/>
        </w:rPr>
        <w:t>基金管理人委托基金服务机构代为办理基金的份额登记、核算、估值等事项，基金托管人委托基金服务机构代为办理基金的核算、估值、复核等事项；</w:t>
      </w:r>
    </w:p>
    <w:p w14:paraId="657DF3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w:t>
      </w:r>
      <w:r>
        <w:rPr>
          <w:rFonts w:asciiTheme="minorEastAsia" w:hAnsiTheme="minorEastAsia" w:eastAsiaTheme="minorEastAsia"/>
        </w:rPr>
        <w:t>.</w:t>
      </w:r>
      <w:r>
        <w:rPr>
          <w:rFonts w:hint="eastAsia" w:asciiTheme="minorEastAsia" w:hAnsiTheme="minorEastAsia" w:eastAsiaTheme="minorEastAsia"/>
        </w:rPr>
        <w:t>基金管理人、基金托管人的法定名称、住所发生变更；</w:t>
      </w:r>
    </w:p>
    <w:p w14:paraId="7764C6CF">
      <w:pPr>
        <w:spacing w:line="360" w:lineRule="auto"/>
        <w:ind w:firstLine="420" w:firstLineChars="200"/>
        <w:rPr>
          <w:bCs/>
          <w:szCs w:val="21"/>
        </w:rPr>
      </w:pPr>
      <w:r>
        <w:rPr>
          <w:bCs/>
          <w:szCs w:val="21"/>
        </w:rPr>
        <w:t>7</w:t>
      </w:r>
      <w:r>
        <w:rPr>
          <w:rFonts w:asciiTheme="minorEastAsia" w:hAnsiTheme="minorEastAsia" w:eastAsiaTheme="minorEastAsia"/>
        </w:rPr>
        <w:t>.</w:t>
      </w:r>
      <w:r>
        <w:rPr>
          <w:rFonts w:hint="eastAsia"/>
          <w:bCs/>
          <w:szCs w:val="21"/>
        </w:rPr>
        <w:t>基金管理人变更持有百分之五以上股权的股东、变更基金管理人的实际控制人；</w:t>
      </w:r>
    </w:p>
    <w:p w14:paraId="2DB93E5B">
      <w:pPr>
        <w:spacing w:line="360" w:lineRule="auto"/>
        <w:ind w:firstLine="420" w:firstLineChars="200"/>
        <w:rPr>
          <w:bCs/>
          <w:szCs w:val="21"/>
        </w:rPr>
      </w:pPr>
      <w:r>
        <w:rPr>
          <w:bCs/>
          <w:szCs w:val="21"/>
        </w:rPr>
        <w:t>8</w:t>
      </w:r>
      <w:r>
        <w:rPr>
          <w:rFonts w:asciiTheme="minorEastAsia" w:hAnsiTheme="minorEastAsia" w:eastAsiaTheme="minorEastAsia"/>
        </w:rPr>
        <w:t>.</w:t>
      </w:r>
      <w:r>
        <w:rPr>
          <w:rFonts w:hint="eastAsia"/>
          <w:bCs/>
          <w:szCs w:val="21"/>
        </w:rPr>
        <w:t>基金募集期延长或提前结束募集；</w:t>
      </w:r>
    </w:p>
    <w:p w14:paraId="1BB9C6A1">
      <w:pPr>
        <w:adjustRightInd w:val="0"/>
        <w:snapToGrid w:val="0"/>
        <w:spacing w:line="360" w:lineRule="auto"/>
        <w:ind w:firstLine="420" w:firstLineChars="200"/>
        <w:rPr>
          <w:rFonts w:asciiTheme="minorEastAsia" w:hAnsiTheme="minorEastAsia" w:eastAsiaTheme="minorEastAsia"/>
        </w:rPr>
      </w:pPr>
      <w:r>
        <w:rPr>
          <w:bCs/>
          <w:szCs w:val="21"/>
        </w:rPr>
        <w:t>9</w:t>
      </w:r>
      <w:r>
        <w:rPr>
          <w:rFonts w:asciiTheme="minorEastAsia" w:hAnsiTheme="minorEastAsia" w:eastAsiaTheme="minorEastAsia"/>
        </w:rPr>
        <w:t>.</w:t>
      </w:r>
      <w:r>
        <w:rPr>
          <w:rFonts w:hint="eastAsia"/>
          <w:bCs/>
          <w:szCs w:val="21"/>
        </w:rPr>
        <w:t>基金管理人的高级管理人员、基金经理和基金托管人专门基金托管部门负责人发生变动；</w:t>
      </w:r>
    </w:p>
    <w:p w14:paraId="3E8A01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w:t>
      </w:r>
      <w:r>
        <w:rPr>
          <w:rFonts w:asciiTheme="minorEastAsia" w:hAnsiTheme="minorEastAsia" w:eastAsiaTheme="minorEastAsia"/>
        </w:rPr>
        <w:t>.基金管理人的董事在</w:t>
      </w:r>
      <w:r>
        <w:rPr>
          <w:rFonts w:hint="eastAsia" w:asciiTheme="minorEastAsia" w:hAnsiTheme="minorEastAsia" w:eastAsiaTheme="minorEastAsia"/>
        </w:rPr>
        <w:t>最近12个月</w:t>
      </w:r>
      <w:r>
        <w:rPr>
          <w:rFonts w:asciiTheme="minorEastAsia" w:hAnsiTheme="minorEastAsia" w:eastAsiaTheme="minorEastAsia"/>
        </w:rPr>
        <w:t>内变更超过</w:t>
      </w:r>
      <w:r>
        <w:rPr>
          <w:rFonts w:hint="eastAsia" w:asciiTheme="minorEastAsia" w:hAnsiTheme="minorEastAsia" w:eastAsiaTheme="minorEastAsia"/>
        </w:rPr>
        <w:t>百分之五十；基金管理人、基金托管人专门基金托管部门的主要业务人员在最近12个月内变动超过</w:t>
      </w:r>
      <w:r>
        <w:rPr>
          <w:rFonts w:asciiTheme="minorEastAsia" w:hAnsiTheme="minorEastAsia" w:eastAsiaTheme="minorEastAsia"/>
        </w:rPr>
        <w:t>30%</w:t>
      </w:r>
      <w:r>
        <w:rPr>
          <w:rFonts w:hint="eastAsia" w:asciiTheme="minorEastAsia" w:hAnsiTheme="minorEastAsia" w:eastAsiaTheme="minorEastAsia"/>
        </w:rPr>
        <w:t>；</w:t>
      </w:r>
    </w:p>
    <w:p w14:paraId="3D76C06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11.</w:t>
      </w:r>
      <w:r>
        <w:rPr>
          <w:rFonts w:hint="eastAsia" w:asciiTheme="minorEastAsia" w:hAnsiTheme="minorEastAsia" w:eastAsiaTheme="minorEastAsia"/>
        </w:rPr>
        <w:t>涉及基金管理业务、基金财产、基金托管业务的诉讼或仲裁；</w:t>
      </w:r>
    </w:p>
    <w:p w14:paraId="56FBEFF0">
      <w:pPr>
        <w:adjustRightInd w:val="0"/>
        <w:snapToGrid w:val="0"/>
        <w:spacing w:line="360" w:lineRule="auto"/>
        <w:ind w:firstLine="420" w:firstLineChars="200"/>
        <w:rPr>
          <w:bCs/>
          <w:szCs w:val="21"/>
        </w:rPr>
      </w:pPr>
      <w:r>
        <w:rPr>
          <w:rFonts w:asciiTheme="minorEastAsia" w:hAnsiTheme="minorEastAsia" w:eastAsiaTheme="minorEastAsia"/>
        </w:rPr>
        <w:t>12.</w:t>
      </w:r>
      <w:r>
        <w:rPr>
          <w:rFonts w:hint="eastAsia" w:asciiTheme="minorEastAsia" w:hAnsiTheme="minorEastAsia" w:eastAsiaTheme="minorEastAsia"/>
        </w:rPr>
        <w:t>基金管理人或其高级管理人员、基金经理因基金管理业务相关行为受到重大行政处罚、刑事处罚，基</w:t>
      </w:r>
      <w:r>
        <w:rPr>
          <w:rFonts w:hint="eastAsia"/>
          <w:bCs/>
          <w:szCs w:val="21"/>
        </w:rPr>
        <w:t>金托管人或其专门基金托管部门负责人因基金托管业务相关行为受到重大行政处罚、刑事处罚；</w:t>
      </w:r>
    </w:p>
    <w:p w14:paraId="5F4160CF">
      <w:pPr>
        <w:adjustRightInd w:val="0"/>
        <w:snapToGrid w:val="0"/>
        <w:spacing w:line="360" w:lineRule="auto"/>
        <w:ind w:firstLine="420" w:firstLineChars="200"/>
        <w:rPr>
          <w:rFonts w:asciiTheme="minorEastAsia" w:hAnsiTheme="minorEastAsia" w:eastAsiaTheme="minorEastAsia"/>
        </w:rPr>
      </w:pPr>
      <w:r>
        <w:rPr>
          <w:bCs/>
          <w:szCs w:val="21"/>
        </w:rPr>
        <w:t>13</w:t>
      </w:r>
      <w:r>
        <w:rPr>
          <w:rFonts w:asciiTheme="minorEastAsia" w:hAnsiTheme="minorEastAsia" w:eastAsiaTheme="minorEastAsia"/>
        </w:rPr>
        <w:t>.</w:t>
      </w:r>
      <w:r>
        <w:rPr>
          <w:rFonts w:hint="eastAsia"/>
          <w:bCs/>
          <w:szCs w:val="21"/>
        </w:rPr>
        <w:t>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7E86DC8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14.</w:t>
      </w:r>
      <w:r>
        <w:rPr>
          <w:rFonts w:hint="eastAsia" w:asciiTheme="minorEastAsia" w:hAnsiTheme="minorEastAsia" w:eastAsiaTheme="minorEastAsia"/>
        </w:rPr>
        <w:t>基金收益分配事项；</w:t>
      </w:r>
    </w:p>
    <w:p w14:paraId="674C147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15</w:t>
      </w:r>
      <w:r>
        <w:rPr>
          <w:rFonts w:asciiTheme="minorEastAsia" w:hAnsiTheme="minorEastAsia" w:eastAsiaTheme="minorEastAsia"/>
        </w:rPr>
        <w:t>.</w:t>
      </w:r>
      <w:r>
        <w:rPr>
          <w:rFonts w:hint="eastAsia" w:asciiTheme="minorEastAsia" w:hAnsiTheme="minorEastAsia" w:eastAsiaTheme="minorEastAsia"/>
        </w:rPr>
        <w:t>管理费、托管费、销售服务费、申购费、赎回费等费用计提标准、计提方式和费率发生变更；</w:t>
      </w:r>
    </w:p>
    <w:p w14:paraId="35D7CF8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16</w:t>
      </w:r>
      <w:r>
        <w:rPr>
          <w:rFonts w:asciiTheme="minorEastAsia" w:hAnsiTheme="minorEastAsia" w:eastAsiaTheme="minorEastAsia"/>
        </w:rPr>
        <w:t>.</w:t>
      </w:r>
      <w:r>
        <w:rPr>
          <w:rFonts w:hint="eastAsia" w:asciiTheme="minorEastAsia" w:hAnsiTheme="minorEastAsia" w:eastAsiaTheme="minorEastAsia"/>
        </w:rPr>
        <w:t>任一类</w:t>
      </w:r>
      <w:r>
        <w:rPr>
          <w:rFonts w:asciiTheme="minorEastAsia" w:hAnsiTheme="minorEastAsia" w:eastAsiaTheme="minorEastAsia"/>
        </w:rPr>
        <w:t>基金份额净值计价错误达</w:t>
      </w:r>
      <w:r>
        <w:rPr>
          <w:rFonts w:hint="eastAsia" w:asciiTheme="minorEastAsia" w:hAnsiTheme="minorEastAsia" w:eastAsiaTheme="minorEastAsia"/>
        </w:rPr>
        <w:t>该类</w:t>
      </w:r>
      <w:r>
        <w:rPr>
          <w:rFonts w:asciiTheme="minorEastAsia" w:hAnsiTheme="minorEastAsia" w:eastAsiaTheme="minorEastAsia"/>
        </w:rPr>
        <w:t>基金份额净值</w:t>
      </w:r>
      <w:r>
        <w:rPr>
          <w:rFonts w:hint="eastAsia" w:asciiTheme="minorEastAsia" w:hAnsiTheme="minorEastAsia" w:eastAsiaTheme="minorEastAsia"/>
        </w:rPr>
        <w:t>百分之零点五</w:t>
      </w:r>
      <w:r>
        <w:rPr>
          <w:rFonts w:asciiTheme="minorEastAsia" w:hAnsiTheme="minorEastAsia" w:eastAsiaTheme="minorEastAsia"/>
        </w:rPr>
        <w:t>；</w:t>
      </w:r>
    </w:p>
    <w:p w14:paraId="5A6D1EF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17</w:t>
      </w:r>
      <w:r>
        <w:rPr>
          <w:rFonts w:asciiTheme="minorEastAsia" w:hAnsiTheme="minorEastAsia" w:eastAsiaTheme="minorEastAsia"/>
        </w:rPr>
        <w:t>.</w:t>
      </w:r>
      <w:r>
        <w:rPr>
          <w:rFonts w:hint="eastAsia" w:asciiTheme="minorEastAsia" w:hAnsiTheme="minorEastAsia" w:eastAsiaTheme="minorEastAsia"/>
        </w:rPr>
        <w:t>本基金开始办理申购、赎回；</w:t>
      </w:r>
    </w:p>
    <w:p w14:paraId="2B60F34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18</w:t>
      </w:r>
      <w:r>
        <w:rPr>
          <w:rFonts w:asciiTheme="minorEastAsia" w:hAnsiTheme="minorEastAsia" w:eastAsiaTheme="minorEastAsia"/>
        </w:rPr>
        <w:t>.本基金发生巨额赎回并延期</w:t>
      </w:r>
      <w:r>
        <w:rPr>
          <w:rFonts w:hint="eastAsia" w:asciiTheme="minorEastAsia" w:hAnsiTheme="minorEastAsia" w:eastAsiaTheme="minorEastAsia"/>
        </w:rPr>
        <w:t>办理</w:t>
      </w:r>
      <w:r>
        <w:rPr>
          <w:rFonts w:asciiTheme="minorEastAsia" w:hAnsiTheme="minorEastAsia" w:eastAsiaTheme="minorEastAsia"/>
        </w:rPr>
        <w:t>；</w:t>
      </w:r>
    </w:p>
    <w:p w14:paraId="5D8400F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19</w:t>
      </w:r>
      <w:r>
        <w:rPr>
          <w:rFonts w:asciiTheme="minorEastAsia" w:hAnsiTheme="minorEastAsia" w:eastAsiaTheme="minorEastAsia"/>
        </w:rPr>
        <w:t>.</w:t>
      </w:r>
      <w:r>
        <w:rPr>
          <w:rFonts w:hint="eastAsia" w:asciiTheme="minorEastAsia" w:hAnsiTheme="minorEastAsia" w:eastAsiaTheme="minorEastAsia"/>
        </w:rPr>
        <w:t>本基金连续发生巨额赎回并暂停接受赎回申请或延缓支付赎回款项；</w:t>
      </w:r>
    </w:p>
    <w:p w14:paraId="1B21D2A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20</w:t>
      </w:r>
      <w:r>
        <w:rPr>
          <w:rFonts w:asciiTheme="minorEastAsia" w:hAnsiTheme="minorEastAsia" w:eastAsiaTheme="minorEastAsia"/>
        </w:rPr>
        <w:t>.</w:t>
      </w:r>
      <w:r>
        <w:rPr>
          <w:rFonts w:hint="eastAsia" w:asciiTheme="minorEastAsia" w:hAnsiTheme="minorEastAsia" w:eastAsiaTheme="minorEastAsia"/>
        </w:rPr>
        <w:t>本基金暂停接受申购、赎回申请或重新接受申购、赎回申请；</w:t>
      </w:r>
    </w:p>
    <w:p w14:paraId="4D5B48C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21.发生涉及基金申购、赎回事项调整或潜在影响投资者赎回等重大事项时；</w:t>
      </w:r>
    </w:p>
    <w:p w14:paraId="6490CA2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22.基金管理人采用摆动定价机制进行估值；</w:t>
      </w:r>
    </w:p>
    <w:p w14:paraId="7DFD67C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23.变更目标ETF；</w:t>
      </w:r>
    </w:p>
    <w:p w14:paraId="5A9D7F4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24.本基金变更标的指数；</w:t>
      </w:r>
    </w:p>
    <w:p w14:paraId="0F170EB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25</w:t>
      </w:r>
      <w:r>
        <w:rPr>
          <w:rFonts w:asciiTheme="minorEastAsia" w:hAnsiTheme="minorEastAsia" w:eastAsiaTheme="minorEastAsia"/>
        </w:rPr>
        <w:t>.</w:t>
      </w:r>
      <w:r>
        <w:rPr>
          <w:rFonts w:hint="eastAsia" w:asciiTheme="minorEastAsia" w:hAnsiTheme="minorEastAsia" w:eastAsiaTheme="minorEastAsia"/>
        </w:rPr>
        <w:t>调整基金份额类别的设置；</w:t>
      </w:r>
    </w:p>
    <w:p w14:paraId="6B43880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26.基金推出新业务或服务；</w:t>
      </w:r>
    </w:p>
    <w:p w14:paraId="24DE119C">
      <w:pPr>
        <w:adjustRightInd w:val="0"/>
        <w:snapToGrid w:val="0"/>
        <w:spacing w:line="360" w:lineRule="auto"/>
        <w:ind w:firstLine="420" w:firstLineChars="200"/>
        <w:rPr>
          <w:rFonts w:asciiTheme="minorEastAsia" w:hAnsiTheme="minorEastAsia" w:eastAsiaTheme="minorEastAsia"/>
        </w:rPr>
      </w:pPr>
      <w:r>
        <w:rPr>
          <w:rFonts w:hint="eastAsia"/>
        </w:rPr>
        <w:t>2</w:t>
      </w:r>
      <w:r>
        <w:t>7</w:t>
      </w:r>
      <w:r>
        <w:rPr>
          <w:rFonts w:asciiTheme="minorEastAsia" w:hAnsiTheme="minorEastAsia" w:eastAsiaTheme="minorEastAsia"/>
        </w:rPr>
        <w:t>.</w:t>
      </w:r>
      <w:r>
        <w:rPr>
          <w:rFonts w:hint="eastAsia" w:asciiTheme="minorEastAsia" w:hAnsiTheme="minorEastAsia" w:eastAsiaTheme="minorEastAsia"/>
        </w:rPr>
        <w:t>基金信息披露义务人认为可能对基金份额持有人权益或者基金份额的价格产生重大影响的其他事项或中国证监会规定的和《</w:t>
      </w:r>
      <w:r>
        <w:rPr>
          <w:rFonts w:asciiTheme="minorEastAsia" w:hAnsiTheme="minorEastAsia" w:eastAsiaTheme="minorEastAsia"/>
        </w:rPr>
        <w:t>基金合同</w:t>
      </w:r>
      <w:r>
        <w:rPr>
          <w:rFonts w:hint="eastAsia" w:asciiTheme="minorEastAsia" w:hAnsiTheme="minorEastAsia" w:eastAsiaTheme="minorEastAsia"/>
        </w:rPr>
        <w:t>》约定的其他事项。</w:t>
      </w:r>
    </w:p>
    <w:p w14:paraId="5E3FBA5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（八）澄清公告</w:t>
      </w:r>
    </w:p>
    <w:p w14:paraId="6E62458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w:t>
      </w:r>
      <w:r>
        <w:rPr>
          <w:rFonts w:asciiTheme="minorEastAsia" w:hAnsiTheme="minorEastAsia" w:eastAsiaTheme="minorEastAsia"/>
        </w:rPr>
        <w:t>基金合同</w:t>
      </w:r>
      <w:r>
        <w:rPr>
          <w:rFonts w:hint="eastAsia" w:asciiTheme="minorEastAsia" w:hAnsiTheme="minorEastAsia" w:eastAsiaTheme="minorEastAsia"/>
        </w:rPr>
        <w:t>》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285737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（九）基金份额持有人大会决议</w:t>
      </w:r>
    </w:p>
    <w:p w14:paraId="09E9718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基金份额持有人大会决定的事项，应当依法报中国证监会备案，并予以公告。</w:t>
      </w:r>
    </w:p>
    <w:p w14:paraId="4B198B9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（十）清算报告</w:t>
      </w:r>
    </w:p>
    <w:p w14:paraId="1BCA196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基金合同终止的，基金管理人应当依法组织基金财产清算小组对基金财产进行清算并作出清算报告。基金财产清算小组应当将清算报告登载在规定网站上，并将清算报告提示性公告登载在规定报刊上。</w:t>
      </w:r>
    </w:p>
    <w:p w14:paraId="5E5E040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（十一）投资国债期货的信息披露</w:t>
      </w:r>
    </w:p>
    <w:p w14:paraId="56DFCAF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w:t>
      </w:r>
    </w:p>
    <w:p w14:paraId="5353E7B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（十二）投资股指期货的信息披露</w:t>
      </w:r>
    </w:p>
    <w:p w14:paraId="27E1830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14:paraId="4E6D47D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（十三）投资资产支持证券的信息披露</w:t>
      </w:r>
    </w:p>
    <w:p w14:paraId="0BBF3E6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6498994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（十四）投资股票期权的信息披露</w:t>
      </w:r>
    </w:p>
    <w:p w14:paraId="2514775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股票期权的，基金管理人应当在季度报告、中期报告、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w:t>
      </w:r>
    </w:p>
    <w:p w14:paraId="3FCE290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（十五）参与融资和转融通证券出借业务的信息披露</w:t>
      </w:r>
    </w:p>
    <w:p w14:paraId="550A8F9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参与融资和转融通证券出借交易的，基金管理人应当在季度报告、中期报告、年度报告等定期报告和招募说明书（更新）等文件中披露参与融资和转融通证券出借交易情况，包括投资策略、业务开展情况、损益情况、风险及其管理情况等，并就报告期内本基金参与转融通证券出借业务发生的重大关联交易事项做详细说明。</w:t>
      </w:r>
    </w:p>
    <w:p w14:paraId="0AD8A7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（十六）投资目标ETF的信息披露</w:t>
      </w:r>
    </w:p>
    <w:p w14:paraId="59BB7FF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本基金在招募说明书（更新）及定期报告等文件中应当设立专门章节披露所持目标ETF以下情况，并揭示相关风险：</w:t>
      </w:r>
    </w:p>
    <w:p w14:paraId="1C2CD16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1、投资策略、持仓情况、损益情况、净值披露时间等；</w:t>
      </w:r>
    </w:p>
    <w:p w14:paraId="1FA66E2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2、交易及持有目标ETF产生的费用，包括申购费、赎回费、管理费、托管费等，招募说明书（更新）中应当列明计算方法并举例说明；</w:t>
      </w:r>
    </w:p>
    <w:p w14:paraId="31781B3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3、持有的目标ETF发生的重大影响事件，如转换运作方式、与其他基金合并、终止基金合同以及召开基金份额持有人大会等；</w:t>
      </w:r>
    </w:p>
    <w:p w14:paraId="7976B41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4、本基金投资于基金管理人以及基金管理人关联方所管理基金的情况。</w:t>
      </w:r>
    </w:p>
    <w:p w14:paraId="763B5E4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（十七）投资流通受限证券的信息披露</w:t>
      </w:r>
    </w:p>
    <w:p w14:paraId="6642B746">
      <w:pPr>
        <w:snapToGrid w:val="0"/>
        <w:spacing w:line="360" w:lineRule="auto"/>
        <w:ind w:firstLine="420" w:firstLineChars="200"/>
        <w:rPr>
          <w:rFonts w:asciiTheme="minorEastAsia" w:hAnsiTheme="minorEastAsia" w:eastAsiaTheme="minorEastAsia"/>
          <w:szCs w:val="22"/>
        </w:rPr>
      </w:pPr>
      <w:r>
        <w:rPr>
          <w:rFonts w:hint="eastAsia" w:asciiTheme="minorEastAsia" w:hAnsiTheme="minorEastAsia" w:eastAsiaTheme="minorEastAsia"/>
          <w:szCs w:val="22"/>
        </w:rPr>
        <w:t xml:space="preserve">基金管理人应在基金投资非公开发行股票后两个交易日内，在中国证监会规定媒介披露所投资非公开发行股票的名称、数量、总成本、账面价值，以及总成本和账面价值占基金资产净值的比例、锁定期等信息。 </w:t>
      </w:r>
    </w:p>
    <w:p w14:paraId="0A485A1E">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（十八）投资港股通标的股票信息披露</w:t>
      </w:r>
    </w:p>
    <w:p w14:paraId="5548FBDB">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在基金季度报告、中期报告、年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若中国证监会对公开募集证券投资基金通过内地与香港股票市场交易互联互通机制投资香港股票市场的信息披露另有规定的，从其规定。</w:t>
      </w:r>
    </w:p>
    <w:p w14:paraId="0AEE984C">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（十九）实施侧袋机制期间的信息披露</w:t>
      </w:r>
    </w:p>
    <w:p w14:paraId="38B7EA0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本基金实施侧袋机制的，相关信息披露义务人应当根据法律法规、基金合同和招募说明书的规定进行信息披露，详见招募说明书的规定。</w:t>
      </w:r>
    </w:p>
    <w:p w14:paraId="4851CFFC">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（二十）发起资金认购份额报告</w:t>
      </w:r>
    </w:p>
    <w:p w14:paraId="7EFA7CA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14:paraId="1E2748C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（二十一）中国证监会规定的其他信息</w:t>
      </w:r>
    </w:p>
    <w:p w14:paraId="71BBDBA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六、信息披露事务管理</w:t>
      </w:r>
    </w:p>
    <w:p w14:paraId="7D27EA5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基金管理人、基金托管人应当建立健全信息披露管理制度，指定专门部门及高级管理人员负责管理信息披露事务。</w:t>
      </w:r>
    </w:p>
    <w:p w14:paraId="412162E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基金信息披露义务人公开披露基金信息，应当符合中国证监会相关基金信息披露内容与格式准则等法规的规定。</w:t>
      </w:r>
    </w:p>
    <w:p w14:paraId="7F72496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14:paraId="4471AA6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基金管理人、基金托管人应当在规定报刊中选择一家报刊披露本基金信息。基金管理人、基金托管人应当向中国证监会基金电子披露网站报送拟披露的基金信息，并保证相关报送信息的真实、准确、完整、及时。</w:t>
      </w:r>
    </w:p>
    <w:p w14:paraId="31D1867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基金管理人、基金托管人除依法在规定媒介上披露信息外，还可以根据需要在其他公共媒介披露信息，但是其他公共媒介不得早于规定媒介披露信息，并且在不同媒介上披露同一信息的内容应当一致。</w:t>
      </w:r>
    </w:p>
    <w:p w14:paraId="4DA632A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36B7C3E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为基金信息披露义务人公开披露的基金信息出具审计报告、法律意见书的专业机构，应当制作工作底稿，并将相关档案至少保存到《基金合同》终止后</w:t>
      </w:r>
      <w:r>
        <w:rPr>
          <w:rFonts w:asciiTheme="minorEastAsia" w:hAnsiTheme="minorEastAsia" w:eastAsiaTheme="minorEastAsia"/>
        </w:rPr>
        <w:t>10</w:t>
      </w:r>
      <w:r>
        <w:rPr>
          <w:rFonts w:hint="eastAsia" w:asciiTheme="minorEastAsia" w:hAnsiTheme="minorEastAsia" w:eastAsiaTheme="minorEastAsia"/>
        </w:rPr>
        <w:t>年。</w:t>
      </w:r>
    </w:p>
    <w:p w14:paraId="744ED91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七、信息披露文件的存放与查阅</w:t>
      </w:r>
    </w:p>
    <w:p w14:paraId="6FF8738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依法必须披露的信息发布后，基金管理人、基金托管人应当按照相关法律法规规定将信息置备于公司住所，供社会公众查阅、复制。</w:t>
      </w:r>
    </w:p>
    <w:p w14:paraId="6AA6C66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八、暂停或延迟信息披露的情形</w:t>
      </w:r>
    </w:p>
    <w:p w14:paraId="1DAA8F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1、因不可抗力或其他情形致使基金管理人、基金托管人无法准确评估基金资产价值时；</w:t>
      </w:r>
    </w:p>
    <w:p w14:paraId="1D57EA3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2、基金投资所涉及的证券、期货交易所或</w:t>
      </w:r>
      <w:r>
        <w:rPr>
          <w:rFonts w:asciiTheme="minorEastAsia" w:hAnsiTheme="minorEastAsia" w:eastAsiaTheme="minorEastAsia"/>
        </w:rPr>
        <w:t>外汇市场</w:t>
      </w:r>
      <w:r>
        <w:rPr>
          <w:rFonts w:hint="eastAsia" w:asciiTheme="minorEastAsia" w:hAnsiTheme="minorEastAsia" w:eastAsiaTheme="minorEastAsia"/>
        </w:rPr>
        <w:t>遇法定节假日或因其他原因暂停营业时；</w:t>
      </w:r>
    </w:p>
    <w:p w14:paraId="00B4EA8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3、所投资的目标ETF暂停估值、暂停公告基金份额净值时；</w:t>
      </w:r>
    </w:p>
    <w:p w14:paraId="5827A48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4、当特定资产占前一估值日基金资产净值50%以上的，经与基金托管人协商确认后，基金管理人应当暂停估值；</w:t>
      </w:r>
    </w:p>
    <w:p w14:paraId="0DACD78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5、法律法规、中国证监会规定的或基金合同认定的其他情形。</w:t>
      </w:r>
    </w:p>
    <w:p w14:paraId="3A7318FC">
      <w:pPr>
        <w:adjustRightInd w:val="0"/>
        <w:snapToGrid w:val="0"/>
        <w:spacing w:line="360" w:lineRule="auto"/>
        <w:ind w:firstLine="420" w:firstLineChars="200"/>
        <w:rPr>
          <w:rFonts w:asciiTheme="minorEastAsia" w:hAnsiTheme="minorEastAsia" w:eastAsiaTheme="minorEastAsia"/>
        </w:rPr>
        <w:sectPr>
          <w:footerReference r:id="rId21" w:type="default"/>
          <w:pgSz w:w="11906" w:h="16838"/>
          <w:pgMar w:top="1418" w:right="1701" w:bottom="1418" w:left="1701" w:header="851" w:footer="992" w:gutter="0"/>
          <w:pgNumType w:start="1"/>
          <w:cols w:space="425" w:num="1"/>
          <w:docGrid w:type="lines" w:linePitch="312" w:charSpace="0"/>
        </w:sectPr>
      </w:pPr>
    </w:p>
    <w:bookmarkEnd w:id="422"/>
    <w:p w14:paraId="79268001">
      <w:pPr>
        <w:pStyle w:val="3"/>
        <w:adjustRightInd w:val="0"/>
        <w:snapToGrid w:val="0"/>
        <w:spacing w:before="312" w:beforeLines="100" w:after="0" w:line="360" w:lineRule="auto"/>
        <w:rPr>
          <w:rFonts w:cs="Arial" w:asciiTheme="minorEastAsia" w:hAnsiTheme="minorEastAsia" w:eastAsiaTheme="minorEastAsia"/>
          <w:sz w:val="21"/>
          <w:szCs w:val="21"/>
        </w:rPr>
      </w:pPr>
      <w:bookmarkStart w:id="424" w:name="_Toc90742405"/>
      <w:bookmarkStart w:id="425" w:name="_Toc16237244"/>
      <w:bookmarkStart w:id="426" w:name="_Toc90742336"/>
      <w:bookmarkStart w:id="427" w:name="CLAUSE_eb1f854d6636425faf420d223c57a37d"/>
      <w:r>
        <w:rPr>
          <w:rFonts w:hint="eastAsia" w:cs="Arial" w:asciiTheme="minorEastAsia" w:hAnsiTheme="minorEastAsia" w:eastAsiaTheme="minorEastAsia"/>
          <w:sz w:val="21"/>
          <w:szCs w:val="21"/>
        </w:rPr>
        <w:t xml:space="preserve">第十九部分 </w:t>
      </w:r>
      <w:bookmarkStart w:id="428" w:name="CTS_eb1f854d6636425faf420d223c57a37d"/>
      <w:bookmarkEnd w:id="428"/>
      <w:bookmarkStart w:id="429" w:name="_Hlt88828593"/>
      <w:r>
        <w:rPr>
          <w:rFonts w:hint="eastAsia" w:cs="Arial" w:asciiTheme="minorEastAsia" w:hAnsiTheme="minorEastAsia" w:eastAsiaTheme="minorEastAsia"/>
          <w:sz w:val="21"/>
          <w:szCs w:val="21"/>
        </w:rPr>
        <w:t>基金合同</w:t>
      </w:r>
      <w:bookmarkEnd w:id="429"/>
      <w:r>
        <w:rPr>
          <w:rFonts w:hint="eastAsia" w:cs="Arial" w:asciiTheme="minorEastAsia" w:hAnsiTheme="minorEastAsia" w:eastAsiaTheme="minorEastAsia"/>
          <w:sz w:val="21"/>
          <w:szCs w:val="21"/>
        </w:rPr>
        <w:t>的变更、终止与基金财产的清算</w:t>
      </w:r>
      <w:bookmarkEnd w:id="424"/>
      <w:bookmarkEnd w:id="425"/>
      <w:bookmarkEnd w:id="426"/>
    </w:p>
    <w:p w14:paraId="4D218FCD">
      <w:pPr>
        <w:spacing w:line="360" w:lineRule="auto"/>
        <w:ind w:firstLine="480" w:firstLineChars="200"/>
        <w:rPr>
          <w:rFonts w:asciiTheme="minorEastAsia" w:hAnsiTheme="minorEastAsia" w:eastAsiaTheme="minorEastAsia"/>
          <w:bCs/>
          <w:sz w:val="24"/>
        </w:rPr>
      </w:pPr>
      <w:bookmarkStart w:id="430" w:name="_Toc79392639"/>
    </w:p>
    <w:p w14:paraId="1A4417A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一、《基金合同》的变更</w:t>
      </w:r>
      <w:bookmarkEnd w:id="430"/>
    </w:p>
    <w:p w14:paraId="72D865BB">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6094752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、关于《基金合同》变更的基金份额持有人大会决议自生效后方可执行，并自决议生效后按规定在规定媒介公告。</w:t>
      </w:r>
    </w:p>
    <w:p w14:paraId="1938A15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二、《基金合同》的终止事由</w:t>
      </w:r>
    </w:p>
    <w:p w14:paraId="2E0CA1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有下列情形之一的，经履行相关程序后，《基金合同》应当终止：</w:t>
      </w:r>
    </w:p>
    <w:p w14:paraId="240EDF1A">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、基金份额持有人大会决定终止的；</w:t>
      </w:r>
    </w:p>
    <w:p w14:paraId="3E66DD7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、基金管理人、基金托管人职责终止，在</w:t>
      </w:r>
      <w:r>
        <w:rPr>
          <w:rFonts w:asciiTheme="minorEastAsia" w:hAnsiTheme="minorEastAsia" w:eastAsiaTheme="minorEastAsia"/>
        </w:rPr>
        <w:t>6</w:t>
      </w:r>
      <w:r>
        <w:rPr>
          <w:rFonts w:hint="eastAsia" w:asciiTheme="minorEastAsia" w:hAnsiTheme="minorEastAsia" w:eastAsiaTheme="minorEastAsia"/>
        </w:rPr>
        <w:t>个月内没有新基金管理人、新基金托管人承接的；</w:t>
      </w:r>
    </w:p>
    <w:p w14:paraId="39B24AB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4244613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4、《基金合同》约定的其他情形；</w:t>
      </w:r>
    </w:p>
    <w:p w14:paraId="0597223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5、相关法律法规和中国证监会规定的其他情况。</w:t>
      </w:r>
    </w:p>
    <w:p w14:paraId="60942EF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三、基金财产的清算</w:t>
      </w:r>
    </w:p>
    <w:p w14:paraId="2225C52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、基金财产清算小组：自出现《基金合同》终止事由之日起</w:t>
      </w:r>
      <w:r>
        <w:rPr>
          <w:rFonts w:asciiTheme="minorEastAsia" w:hAnsiTheme="minorEastAsia" w:eastAsiaTheme="minorEastAsia"/>
        </w:rPr>
        <w:t>30</w:t>
      </w:r>
      <w:r>
        <w:rPr>
          <w:rFonts w:hint="eastAsia" w:asciiTheme="minorEastAsia" w:hAnsiTheme="minorEastAsia" w:eastAsiaTheme="minorEastAsia"/>
        </w:rPr>
        <w:t>个工作日内成立基金财产清算小组，基金管理人组织基金财产清算小组并在中国证监会的监督下进行基金清算。</w:t>
      </w:r>
    </w:p>
    <w:p w14:paraId="094B12C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财产清算小组组成：基金财产清算小组成员由基金管理人、基金托管人、符合《中华人民共和国证券法》规定的注册会计师、律师以及中国证监会指定的人员组成。基金财产清算小组可以聘用必要的工作人员。</w:t>
      </w:r>
    </w:p>
    <w:p w14:paraId="2BBDFB5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、基金财产清算小组职责：基金财产清算小组负责基金财产的保管、清理、估价、变现和分配。基金财产清算小组可以依法进行必要的民事活动。</w:t>
      </w:r>
    </w:p>
    <w:p w14:paraId="1E1C35B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、基金财产清算程序：</w:t>
      </w:r>
    </w:p>
    <w:p w14:paraId="635C922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）《基金合同》终止情形出现时，由基金财产清算小组统一接管基金；</w:t>
      </w:r>
    </w:p>
    <w:p w14:paraId="3B9AF1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）对基金财产和债权债务进行清理和确认；</w:t>
      </w:r>
    </w:p>
    <w:p w14:paraId="516DB42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）对基金财产进行估值和变现；</w:t>
      </w:r>
    </w:p>
    <w:p w14:paraId="154E372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）制作清算报告；</w:t>
      </w:r>
    </w:p>
    <w:p w14:paraId="3903E39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）聘请会计师事务所对清算报告进行外部审计，聘请律师事务所对清算报告出具法律意见书；</w:t>
      </w:r>
    </w:p>
    <w:p w14:paraId="228E301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）将清算报告报中国证监会备案并公告；</w:t>
      </w:r>
    </w:p>
    <w:p w14:paraId="67C9AEC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）对基金剩余财产进行分配。</w:t>
      </w:r>
    </w:p>
    <w:p w14:paraId="2CAD453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、基金财产清算的期限为6个月，但因本基金所持证券的流动性受到限制而不能及时变现的，清算期限相应顺延。</w:t>
      </w:r>
    </w:p>
    <w:p w14:paraId="6632B05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四、清算费用</w:t>
      </w:r>
    </w:p>
    <w:p w14:paraId="32FD0CC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清算费用是指基金财产清算小组在进行基金清算过程中发生的所有合理费用，清算费用由基金财产清算小组优先从基金财产中支付。</w:t>
      </w:r>
    </w:p>
    <w:p w14:paraId="61EB938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五、基金财产清算剩余资产的分配</w:t>
      </w:r>
    </w:p>
    <w:p w14:paraId="15DB3AE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依据基金财产清算的分配方案，将基金财产清算后的全部剩余资产扣除基金财产清算费用、交纳所欠税款并清偿基金债务后，按基金份额持有人持有的基金份额比例进行分配。</w:t>
      </w:r>
    </w:p>
    <w:p w14:paraId="5CA1484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六、基金财产清算的公告</w:t>
      </w:r>
    </w:p>
    <w:p w14:paraId="54CB56E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w:t>
      </w:r>
      <w:r>
        <w:rPr>
          <w:rFonts w:asciiTheme="minorEastAsia" w:hAnsiTheme="minorEastAsia" w:eastAsiaTheme="minorEastAsia"/>
        </w:rPr>
        <w:t>5</w:t>
      </w:r>
      <w:r>
        <w:rPr>
          <w:rFonts w:hint="eastAsia" w:asciiTheme="minorEastAsia" w:hAnsiTheme="minorEastAsia" w:eastAsiaTheme="minorEastAsia"/>
        </w:rPr>
        <w:t>个工作日内由基金财产清算小组进行公告。</w:t>
      </w:r>
    </w:p>
    <w:p w14:paraId="1E799A7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七、基金财产清算账册及文件的保存</w:t>
      </w:r>
    </w:p>
    <w:p w14:paraId="00304E3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基金财产清算账册及有关文件由基金托管人保存</w:t>
      </w:r>
      <w:r>
        <w:rPr>
          <w:rFonts w:asciiTheme="minorEastAsia" w:hAnsiTheme="minorEastAsia" w:eastAsiaTheme="minorEastAsia"/>
        </w:rPr>
        <w:t>20</w:t>
      </w:r>
      <w:r>
        <w:rPr>
          <w:rFonts w:hint="eastAsia" w:asciiTheme="minorEastAsia" w:hAnsiTheme="minorEastAsia" w:eastAsiaTheme="minorEastAsia"/>
        </w:rPr>
        <w:t>年以上，法律法规或监管规则另有规定的从其规定。</w:t>
      </w:r>
    </w:p>
    <w:p w14:paraId="68FBF39D">
      <w:pPr>
        <w:adjustRightInd w:val="0"/>
        <w:snapToGrid w:val="0"/>
        <w:spacing w:line="360" w:lineRule="auto"/>
        <w:ind w:firstLine="420"/>
        <w:rPr>
          <w:rFonts w:asciiTheme="minorEastAsia" w:hAnsiTheme="minorEastAsia" w:eastAsiaTheme="minorEastAsia"/>
        </w:rPr>
      </w:pPr>
    </w:p>
    <w:p w14:paraId="61C534F1">
      <w:pPr>
        <w:pStyle w:val="3"/>
        <w:adjustRightInd w:val="0"/>
        <w:snapToGrid w:val="0"/>
        <w:spacing w:before="0" w:after="0" w:line="360" w:lineRule="auto"/>
        <w:rPr>
          <w:rFonts w:asciiTheme="minorEastAsia" w:hAnsiTheme="minorEastAsia" w:eastAsiaTheme="minorEastAsia"/>
          <w:sz w:val="21"/>
        </w:rPr>
        <w:sectPr>
          <w:pgSz w:w="11906" w:h="16838"/>
          <w:pgMar w:top="1418" w:right="1701" w:bottom="1418" w:left="1701" w:header="851" w:footer="992" w:gutter="0"/>
          <w:pgNumType w:start="1"/>
          <w:cols w:space="425" w:num="1"/>
          <w:docGrid w:type="lines" w:linePitch="312" w:charSpace="0"/>
        </w:sectPr>
      </w:pPr>
      <w:bookmarkStart w:id="431" w:name="_Toc139991750"/>
      <w:bookmarkStart w:id="432" w:name="_Toc9708"/>
      <w:bookmarkStart w:id="433" w:name="_Toc23166"/>
      <w:bookmarkStart w:id="434" w:name="_Toc48649720"/>
      <w:bookmarkStart w:id="435" w:name="_Toc21240"/>
      <w:bookmarkStart w:id="436" w:name="_Toc123102467"/>
      <w:bookmarkStart w:id="437" w:name="_Toc7367"/>
      <w:bookmarkStart w:id="438" w:name="_Toc27058"/>
      <w:bookmarkStart w:id="439" w:name="_Toc79392641"/>
      <w:bookmarkStart w:id="440" w:name="_Toc90742337"/>
      <w:bookmarkStart w:id="441" w:name="_Toc8710"/>
      <w:bookmarkStart w:id="442" w:name="_Toc12191"/>
      <w:bookmarkStart w:id="443" w:name="_Toc141703901"/>
      <w:bookmarkStart w:id="444" w:name="_Toc123112248"/>
      <w:bookmarkStart w:id="445" w:name="_Toc28549"/>
      <w:bookmarkStart w:id="446" w:name="_Toc23022"/>
      <w:bookmarkStart w:id="447" w:name="_Toc30645"/>
      <w:bookmarkStart w:id="448" w:name="_Toc98560365"/>
      <w:bookmarkStart w:id="449" w:name="_Toc123051466"/>
      <w:bookmarkStart w:id="450" w:name="_Toc13398"/>
      <w:bookmarkStart w:id="451" w:name="_Toc90742406"/>
    </w:p>
    <w:bookmarkEnd w:id="427"/>
    <w:p w14:paraId="251B3FDF">
      <w:pPr>
        <w:pStyle w:val="3"/>
        <w:adjustRightInd w:val="0"/>
        <w:snapToGrid w:val="0"/>
        <w:spacing w:before="312" w:beforeLines="100" w:after="0" w:line="360" w:lineRule="auto"/>
        <w:rPr>
          <w:rFonts w:asciiTheme="minorEastAsia" w:hAnsiTheme="minorEastAsia" w:eastAsiaTheme="minorEastAsia"/>
          <w:sz w:val="21"/>
        </w:rPr>
      </w:pPr>
      <w:bookmarkStart w:id="452" w:name="_Toc16237245"/>
      <w:bookmarkStart w:id="453" w:name="CLAUSE_ad84e37c9f19467ca047e5e92341fb4b"/>
      <w:r>
        <w:rPr>
          <w:rFonts w:hint="eastAsia" w:cs="Arial" w:asciiTheme="minorEastAsia" w:hAnsiTheme="minorEastAsia" w:eastAsiaTheme="minorEastAsia"/>
          <w:sz w:val="21"/>
          <w:szCs w:val="21"/>
        </w:rPr>
        <w:t xml:space="preserve">第二十部分 </w:t>
      </w:r>
      <w:bookmarkStart w:id="454" w:name="CTS_ad84e37c9f19467ca047e5e92341fb4b"/>
      <w:bookmarkEnd w:id="454"/>
      <w:r>
        <w:rPr>
          <w:rFonts w:hint="eastAsia" w:asciiTheme="minorEastAsia" w:hAnsiTheme="minorEastAsia" w:eastAsiaTheme="minorEastAsia"/>
          <w:sz w:val="21"/>
        </w:rPr>
        <w:t>违约责任</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365910B8">
      <w:pPr>
        <w:spacing w:line="360" w:lineRule="auto"/>
        <w:ind w:firstLine="480" w:firstLineChars="200"/>
        <w:rPr>
          <w:rFonts w:asciiTheme="minorEastAsia" w:hAnsiTheme="minorEastAsia" w:eastAsiaTheme="minorEastAsia"/>
          <w:bCs/>
          <w:sz w:val="24"/>
        </w:rPr>
      </w:pPr>
    </w:p>
    <w:p w14:paraId="77409A5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但是发生下列情况的，当事人免责：</w:t>
      </w:r>
    </w:p>
    <w:p w14:paraId="17106208">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、不可抗力；</w:t>
      </w:r>
    </w:p>
    <w:p w14:paraId="505DA2E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、基金管理人和</w:t>
      </w:r>
      <w:r>
        <w:rPr>
          <w:rFonts w:asciiTheme="minorEastAsia" w:hAnsiTheme="minorEastAsia" w:eastAsiaTheme="minorEastAsia"/>
        </w:rPr>
        <w:t>/</w:t>
      </w:r>
      <w:r>
        <w:rPr>
          <w:rFonts w:hint="eastAsia" w:asciiTheme="minorEastAsia" w:hAnsiTheme="minorEastAsia" w:eastAsiaTheme="minorEastAsia"/>
        </w:rPr>
        <w:t>或基金托管人按照当时有效的法律法规、规章或中国证监会的规定作为或不作为而造成的损失等；</w:t>
      </w:r>
    </w:p>
    <w:p w14:paraId="26F81DF2">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、基金管理人由于按照基金合同规定</w:t>
      </w:r>
      <w:r>
        <w:rPr>
          <w:rFonts w:hint="eastAsia" w:ascii="宋体" w:hAnsi="宋体" w:cs="Arial"/>
          <w:szCs w:val="21"/>
        </w:rPr>
        <w:t>的投资原则</w:t>
      </w:r>
      <w:r>
        <w:rPr>
          <w:rFonts w:hint="eastAsia" w:asciiTheme="minorEastAsia" w:hAnsiTheme="minorEastAsia" w:eastAsiaTheme="minorEastAsia"/>
        </w:rPr>
        <w:t>行使或不行使其投资权而造成的损失等。</w:t>
      </w:r>
    </w:p>
    <w:p w14:paraId="0FA5FEE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r>
        <w:rPr>
          <w:rFonts w:asciiTheme="minorEastAsia" w:hAnsiTheme="minorEastAsia" w:eastAsiaTheme="minorEastAsia"/>
        </w:rPr>
        <w:t xml:space="preserve"> </w:t>
      </w:r>
    </w:p>
    <w:p w14:paraId="4DAFF08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bookmarkStart w:id="455" w:name="_Toc90742407"/>
      <w:bookmarkStart w:id="456" w:name="_Toc90742338"/>
      <w:bookmarkStart w:id="457" w:name="_Toc6110"/>
      <w:bookmarkStart w:id="458" w:name="_Toc1790"/>
      <w:bookmarkStart w:id="459" w:name="_Toc139991751"/>
      <w:bookmarkStart w:id="460" w:name="_Toc21983"/>
      <w:bookmarkStart w:id="461" w:name="_Toc123102468"/>
      <w:bookmarkStart w:id="462" w:name="_Toc6202"/>
      <w:bookmarkStart w:id="463" w:name="_Toc3319"/>
      <w:bookmarkStart w:id="464" w:name="_Toc141703902"/>
      <w:bookmarkStart w:id="465" w:name="_Toc8636"/>
      <w:bookmarkStart w:id="466" w:name="_Toc98560366"/>
      <w:bookmarkStart w:id="467" w:name="_Toc123051467"/>
      <w:bookmarkStart w:id="468" w:name="_Toc7288"/>
      <w:bookmarkStart w:id="469" w:name="_Toc123112249"/>
      <w:bookmarkStart w:id="470" w:name="_Toc25651"/>
      <w:bookmarkStart w:id="471" w:name="_Toc24923"/>
      <w:bookmarkStart w:id="472" w:name="_Toc23999"/>
      <w:bookmarkStart w:id="473" w:name="_Toc30350"/>
    </w:p>
    <w:bookmarkEnd w:id="453"/>
    <w:p w14:paraId="69890CDA">
      <w:pPr>
        <w:pStyle w:val="3"/>
        <w:adjustRightInd w:val="0"/>
        <w:snapToGrid w:val="0"/>
        <w:spacing w:before="0" w:after="0" w:line="360" w:lineRule="auto"/>
        <w:rPr>
          <w:rFonts w:cs="Arial" w:asciiTheme="minorEastAsia" w:hAnsiTheme="minorEastAsia" w:eastAsiaTheme="minorEastAsia"/>
          <w:sz w:val="21"/>
          <w:szCs w:val="21"/>
        </w:rPr>
        <w:sectPr>
          <w:footerReference r:id="rId22" w:type="default"/>
          <w:pgSz w:w="11906" w:h="16838"/>
          <w:pgMar w:top="1418" w:right="1701" w:bottom="1418" w:left="1701" w:header="851" w:footer="992" w:gutter="0"/>
          <w:pgNumType w:start="1"/>
          <w:cols w:space="425" w:num="1"/>
          <w:docGrid w:type="lines" w:linePitch="312" w:charSpace="0"/>
        </w:sectPr>
      </w:pPr>
    </w:p>
    <w:p w14:paraId="6F9F65DD">
      <w:pPr>
        <w:pStyle w:val="3"/>
        <w:adjustRightInd w:val="0"/>
        <w:snapToGrid w:val="0"/>
        <w:spacing w:before="312" w:beforeLines="100" w:after="0" w:line="360" w:lineRule="auto"/>
        <w:rPr>
          <w:rFonts w:asciiTheme="minorEastAsia" w:hAnsiTheme="minorEastAsia" w:eastAsiaTheme="minorEastAsia"/>
          <w:sz w:val="21"/>
        </w:rPr>
      </w:pPr>
      <w:bookmarkStart w:id="474" w:name="_Toc16237246"/>
      <w:bookmarkStart w:id="475" w:name="CLAUSE_94144077724847c5a464b8d90f200a7e"/>
      <w:r>
        <w:rPr>
          <w:rFonts w:hint="eastAsia" w:cs="Arial" w:asciiTheme="minorEastAsia" w:hAnsiTheme="minorEastAsia" w:eastAsiaTheme="minorEastAsia"/>
          <w:sz w:val="21"/>
          <w:szCs w:val="21"/>
        </w:rPr>
        <w:t xml:space="preserve">第二十一部分 </w:t>
      </w:r>
      <w:bookmarkStart w:id="476" w:name="CTS_94144077724847c5a464b8d90f200a7e"/>
      <w:bookmarkEnd w:id="476"/>
      <w:r>
        <w:rPr>
          <w:rFonts w:hint="eastAsia" w:asciiTheme="minorEastAsia" w:hAnsiTheme="minorEastAsia" w:eastAsiaTheme="minorEastAsia"/>
          <w:sz w:val="21"/>
        </w:rPr>
        <w:t>争议的处理</w:t>
      </w:r>
      <w:bookmarkEnd w:id="455"/>
      <w:bookmarkEnd w:id="456"/>
      <w:r>
        <w:rPr>
          <w:rFonts w:hint="eastAsia" w:asciiTheme="minorEastAsia" w:hAnsiTheme="minorEastAsia" w:eastAsiaTheme="minorEastAsia"/>
          <w:sz w:val="21"/>
        </w:rPr>
        <w:t>和适用的法律</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3FA0BFC9">
      <w:pPr>
        <w:spacing w:line="360" w:lineRule="auto"/>
        <w:ind w:firstLine="480" w:firstLineChars="200"/>
        <w:rPr>
          <w:rFonts w:asciiTheme="minorEastAsia" w:hAnsiTheme="minorEastAsia" w:eastAsiaTheme="minorEastAsia"/>
          <w:bCs/>
          <w:sz w:val="24"/>
        </w:rPr>
      </w:pPr>
    </w:p>
    <w:p w14:paraId="22C84E28">
      <w:pPr>
        <w:adjustRightInd w:val="0"/>
        <w:snapToGrid w:val="0"/>
        <w:spacing w:line="360" w:lineRule="auto"/>
        <w:ind w:firstLine="422" w:firstLineChars="200"/>
        <w:rPr>
          <w:rFonts w:asciiTheme="minorEastAsia" w:hAnsiTheme="minorEastAsia" w:eastAsiaTheme="minorEastAsia"/>
          <w:b/>
          <w:bCs/>
          <w:i/>
          <w:iCs/>
        </w:rPr>
      </w:pPr>
      <w:r>
        <w:rPr>
          <w:rFonts w:asciiTheme="minorEastAsia" w:hAnsiTheme="minorEastAsia" w:eastAsiaTheme="minorEastAsia"/>
          <w:b/>
          <w:bCs/>
          <w:i/>
          <w:iCs/>
        </w:rPr>
        <w:t>对于</w:t>
      </w:r>
      <w:r>
        <w:rPr>
          <w:rFonts w:hint="eastAsia" w:asciiTheme="minorEastAsia" w:hAnsiTheme="minorEastAsia" w:eastAsiaTheme="minorEastAsia"/>
          <w:b/>
          <w:bCs/>
          <w:i/>
          <w:iCs/>
        </w:rPr>
        <w:t>因</w:t>
      </w:r>
      <w:r>
        <w:rPr>
          <w:rFonts w:asciiTheme="minorEastAsia" w:hAnsiTheme="minorEastAsia" w:eastAsiaTheme="minorEastAsia"/>
          <w:b/>
          <w:bCs/>
          <w:i/>
          <w:iCs/>
        </w:rPr>
        <w:t>基金合同的订立、内容、履行和解释</w:t>
      </w:r>
      <w:r>
        <w:rPr>
          <w:rFonts w:hint="eastAsia" w:asciiTheme="minorEastAsia" w:hAnsiTheme="minorEastAsia" w:eastAsiaTheme="minorEastAsia"/>
          <w:b/>
          <w:bCs/>
          <w:i/>
          <w:iCs/>
        </w:rPr>
        <w:t>或与</w:t>
      </w:r>
      <w:r>
        <w:rPr>
          <w:rFonts w:asciiTheme="minorEastAsia" w:hAnsiTheme="minorEastAsia" w:eastAsiaTheme="minorEastAsia"/>
          <w:b/>
          <w:bCs/>
          <w:i/>
          <w:iCs/>
        </w:rPr>
        <w:t>基金合同</w:t>
      </w:r>
      <w:r>
        <w:rPr>
          <w:rFonts w:hint="eastAsia" w:asciiTheme="minorEastAsia" w:hAnsiTheme="minorEastAsia" w:eastAsiaTheme="minorEastAsia"/>
          <w:b/>
          <w:bCs/>
          <w:i/>
          <w:iCs/>
        </w:rPr>
        <w:t>有关的争议，</w:t>
      </w:r>
      <w:r>
        <w:rPr>
          <w:rFonts w:asciiTheme="minorEastAsia" w:hAnsiTheme="minorEastAsia" w:eastAsiaTheme="minorEastAsia"/>
          <w:b/>
          <w:bCs/>
          <w:i/>
          <w:iCs/>
        </w:rPr>
        <w:t>基金合同当事人应尽量通过</w:t>
      </w:r>
      <w:r>
        <w:rPr>
          <w:rFonts w:hint="eastAsia" w:asciiTheme="minorEastAsia" w:hAnsiTheme="minorEastAsia" w:eastAsiaTheme="minorEastAsia"/>
          <w:b/>
          <w:bCs/>
          <w:i/>
          <w:iCs/>
        </w:rPr>
        <w:t>协商</w:t>
      </w:r>
      <w:r>
        <w:rPr>
          <w:rFonts w:asciiTheme="minorEastAsia" w:hAnsiTheme="minorEastAsia" w:eastAsiaTheme="minorEastAsia"/>
          <w:b/>
          <w:bCs/>
          <w:i/>
          <w:iCs/>
        </w:rPr>
        <w:t>、调解途径解决。不愿或者不能通过协商、调解</w:t>
      </w:r>
      <w:r>
        <w:rPr>
          <w:rFonts w:hint="eastAsia" w:asciiTheme="minorEastAsia" w:hAnsiTheme="minorEastAsia" w:eastAsiaTheme="minorEastAsia"/>
          <w:b/>
          <w:bCs/>
          <w:i/>
          <w:iCs/>
        </w:rPr>
        <w:t>解决的，</w:t>
      </w:r>
      <w:r>
        <w:rPr>
          <w:rFonts w:asciiTheme="minorEastAsia" w:hAnsiTheme="minorEastAsia" w:eastAsiaTheme="minorEastAsia"/>
          <w:b/>
          <w:bCs/>
          <w:i/>
          <w:iCs/>
        </w:rPr>
        <w:t>任何一方均有权将争议</w:t>
      </w:r>
      <w:r>
        <w:rPr>
          <w:rFonts w:hint="eastAsia" w:asciiTheme="minorEastAsia" w:hAnsiTheme="minorEastAsia" w:eastAsiaTheme="minorEastAsia"/>
          <w:b/>
          <w:bCs/>
          <w:i/>
          <w:iCs/>
        </w:rPr>
        <w:t>提交中国国际经济贸易仲裁委员会</w:t>
      </w:r>
      <w:r>
        <w:rPr>
          <w:rFonts w:asciiTheme="minorEastAsia" w:hAnsiTheme="minorEastAsia" w:eastAsiaTheme="minorEastAsia"/>
          <w:b/>
          <w:bCs/>
          <w:i/>
          <w:iCs/>
        </w:rPr>
        <w:t>，</w:t>
      </w:r>
      <w:r>
        <w:rPr>
          <w:rFonts w:hint="eastAsia" w:asciiTheme="minorEastAsia" w:hAnsiTheme="minorEastAsia" w:eastAsiaTheme="minorEastAsia"/>
          <w:b/>
          <w:bCs/>
          <w:i/>
          <w:iCs/>
        </w:rPr>
        <w:t>按照其</w:t>
      </w:r>
      <w:r>
        <w:rPr>
          <w:rFonts w:asciiTheme="minorEastAsia" w:hAnsiTheme="minorEastAsia" w:eastAsiaTheme="minorEastAsia"/>
          <w:b/>
          <w:bCs/>
          <w:i/>
          <w:iCs/>
        </w:rPr>
        <w:t>届时有效</w:t>
      </w:r>
      <w:r>
        <w:rPr>
          <w:rFonts w:hint="eastAsia" w:asciiTheme="minorEastAsia" w:hAnsiTheme="minorEastAsia" w:eastAsiaTheme="minorEastAsia"/>
          <w:b/>
          <w:bCs/>
          <w:i/>
          <w:iCs/>
        </w:rPr>
        <w:t>的仲裁</w:t>
      </w:r>
      <w:r>
        <w:rPr>
          <w:rFonts w:asciiTheme="minorEastAsia" w:hAnsiTheme="minorEastAsia" w:eastAsiaTheme="minorEastAsia"/>
          <w:b/>
          <w:bCs/>
          <w:i/>
          <w:iCs/>
        </w:rPr>
        <w:t>规则进行仲裁。</w:t>
      </w:r>
      <w:r>
        <w:rPr>
          <w:rFonts w:hint="eastAsia" w:asciiTheme="minorEastAsia" w:hAnsiTheme="minorEastAsia" w:eastAsiaTheme="minorEastAsia"/>
          <w:b/>
          <w:bCs/>
          <w:i/>
          <w:iCs/>
        </w:rPr>
        <w:t>仲裁地点</w:t>
      </w:r>
      <w:r>
        <w:rPr>
          <w:rFonts w:asciiTheme="minorEastAsia" w:hAnsiTheme="minorEastAsia" w:eastAsiaTheme="minorEastAsia"/>
          <w:b/>
          <w:bCs/>
          <w:i/>
          <w:iCs/>
        </w:rPr>
        <w:t>为</w:t>
      </w:r>
      <w:r>
        <w:rPr>
          <w:rFonts w:hint="eastAsia" w:asciiTheme="minorEastAsia" w:hAnsiTheme="minorEastAsia" w:eastAsiaTheme="minorEastAsia"/>
          <w:b/>
          <w:bCs/>
          <w:i/>
          <w:iCs/>
        </w:rPr>
        <w:t>北京</w:t>
      </w:r>
      <w:r>
        <w:rPr>
          <w:rFonts w:asciiTheme="minorEastAsia" w:hAnsiTheme="minorEastAsia" w:eastAsiaTheme="minorEastAsia"/>
          <w:b/>
          <w:bCs/>
          <w:i/>
          <w:iCs/>
        </w:rPr>
        <w:t>市。仲裁裁决是终局</w:t>
      </w:r>
      <w:r>
        <w:rPr>
          <w:rFonts w:hint="eastAsia" w:asciiTheme="minorEastAsia" w:hAnsiTheme="minorEastAsia" w:eastAsiaTheme="minorEastAsia"/>
          <w:b/>
          <w:bCs/>
          <w:i/>
          <w:iCs/>
        </w:rPr>
        <w:t>的</w:t>
      </w:r>
      <w:r>
        <w:rPr>
          <w:rFonts w:asciiTheme="minorEastAsia" w:hAnsiTheme="minorEastAsia" w:eastAsiaTheme="minorEastAsia"/>
          <w:b/>
          <w:bCs/>
          <w:i/>
          <w:iCs/>
        </w:rPr>
        <w:t>，对各方当事人均有约束力</w:t>
      </w:r>
      <w:r>
        <w:rPr>
          <w:rFonts w:hint="eastAsia" w:asciiTheme="minorEastAsia" w:hAnsiTheme="minorEastAsia" w:eastAsiaTheme="minorEastAsia"/>
          <w:b/>
          <w:bCs/>
          <w:i/>
          <w:iCs/>
        </w:rPr>
        <w:t>。除裁决另有规定的，</w:t>
      </w:r>
      <w:r>
        <w:rPr>
          <w:rFonts w:asciiTheme="minorEastAsia" w:hAnsiTheme="minorEastAsia" w:eastAsiaTheme="minorEastAsia"/>
          <w:b/>
          <w:bCs/>
          <w:i/>
          <w:iCs/>
        </w:rPr>
        <w:t>仲裁费用由败诉方承担。</w:t>
      </w:r>
    </w:p>
    <w:p w14:paraId="4DBB4CC5">
      <w:pPr>
        <w:adjustRightInd w:val="0"/>
        <w:snapToGrid w:val="0"/>
        <w:spacing w:line="360" w:lineRule="auto"/>
        <w:ind w:firstLine="422" w:firstLineChars="200"/>
        <w:rPr>
          <w:rFonts w:asciiTheme="minorEastAsia" w:hAnsiTheme="minorEastAsia" w:eastAsiaTheme="minorEastAsia"/>
          <w:b/>
          <w:bCs/>
          <w:i/>
          <w:iCs/>
        </w:rPr>
      </w:pPr>
      <w:r>
        <w:rPr>
          <w:rFonts w:asciiTheme="minorEastAsia" w:hAnsiTheme="minorEastAsia" w:eastAsiaTheme="minorEastAsia"/>
          <w:b/>
          <w:bCs/>
          <w:i/>
          <w:iCs/>
        </w:rPr>
        <w:t>争议处理期间，</w:t>
      </w:r>
      <w:r>
        <w:rPr>
          <w:rFonts w:hint="eastAsia" w:asciiTheme="minorEastAsia" w:hAnsiTheme="minorEastAsia" w:eastAsiaTheme="minorEastAsia"/>
          <w:b/>
          <w:bCs/>
          <w:i/>
          <w:iCs/>
        </w:rPr>
        <w:t>基金</w:t>
      </w:r>
      <w:r>
        <w:rPr>
          <w:rFonts w:asciiTheme="minorEastAsia" w:hAnsiTheme="minorEastAsia" w:eastAsiaTheme="minorEastAsia"/>
          <w:b/>
          <w:bCs/>
          <w:i/>
          <w:iCs/>
        </w:rPr>
        <w:t>合同</w:t>
      </w:r>
      <w:r>
        <w:rPr>
          <w:rFonts w:hint="eastAsia" w:asciiTheme="minorEastAsia" w:hAnsiTheme="minorEastAsia" w:eastAsiaTheme="minorEastAsia"/>
          <w:b/>
          <w:bCs/>
          <w:i/>
          <w:iCs/>
        </w:rPr>
        <w:t>当事人</w:t>
      </w:r>
      <w:r>
        <w:rPr>
          <w:rFonts w:asciiTheme="minorEastAsia" w:hAnsiTheme="minorEastAsia" w:eastAsiaTheme="minorEastAsia"/>
          <w:b/>
          <w:bCs/>
          <w:i/>
          <w:iCs/>
        </w:rPr>
        <w:t>应恪守各自</w:t>
      </w:r>
      <w:r>
        <w:rPr>
          <w:rFonts w:hint="eastAsia" w:asciiTheme="minorEastAsia" w:hAnsiTheme="minorEastAsia" w:eastAsiaTheme="minorEastAsia"/>
          <w:b/>
          <w:bCs/>
          <w:i/>
          <w:iCs/>
        </w:rPr>
        <w:t>的</w:t>
      </w:r>
      <w:r>
        <w:rPr>
          <w:rFonts w:asciiTheme="minorEastAsia" w:hAnsiTheme="minorEastAsia" w:eastAsiaTheme="minorEastAsia"/>
          <w:b/>
          <w:bCs/>
          <w:i/>
          <w:iCs/>
        </w:rPr>
        <w:t>职责，继续忠实、勤勉、尽责地履行基金合同规定</w:t>
      </w:r>
      <w:r>
        <w:rPr>
          <w:rFonts w:hint="eastAsia" w:asciiTheme="minorEastAsia" w:hAnsiTheme="minorEastAsia" w:eastAsiaTheme="minorEastAsia"/>
          <w:b/>
          <w:bCs/>
          <w:i/>
          <w:iCs/>
        </w:rPr>
        <w:t>的</w:t>
      </w:r>
      <w:r>
        <w:rPr>
          <w:rFonts w:asciiTheme="minorEastAsia" w:hAnsiTheme="minorEastAsia" w:eastAsiaTheme="minorEastAsia"/>
          <w:b/>
          <w:bCs/>
          <w:i/>
          <w:iCs/>
        </w:rPr>
        <w:t>义务，维护基金份额持有人</w:t>
      </w:r>
      <w:r>
        <w:rPr>
          <w:rFonts w:hint="eastAsia" w:asciiTheme="minorEastAsia" w:hAnsiTheme="minorEastAsia" w:eastAsiaTheme="minorEastAsia"/>
          <w:b/>
          <w:bCs/>
          <w:i/>
          <w:iCs/>
        </w:rPr>
        <w:t>的</w:t>
      </w:r>
      <w:r>
        <w:rPr>
          <w:rFonts w:asciiTheme="minorEastAsia" w:hAnsiTheme="minorEastAsia" w:eastAsiaTheme="minorEastAsia"/>
          <w:b/>
          <w:bCs/>
          <w:i/>
          <w:iCs/>
        </w:rPr>
        <w:t>合法权益。</w:t>
      </w:r>
    </w:p>
    <w:p w14:paraId="46453C56">
      <w:pPr>
        <w:adjustRightInd w:val="0"/>
        <w:snapToGrid w:val="0"/>
        <w:spacing w:line="360" w:lineRule="auto"/>
        <w:ind w:firstLine="422" w:firstLineChars="200"/>
        <w:rPr>
          <w:rFonts w:asciiTheme="minorEastAsia" w:hAnsiTheme="minorEastAsia" w:eastAsiaTheme="minorEastAsia"/>
          <w:b/>
          <w:bCs/>
          <w:i/>
          <w:iCs/>
        </w:rPr>
      </w:pPr>
      <w:r>
        <w:rPr>
          <w:rFonts w:asciiTheme="minorEastAsia" w:hAnsiTheme="minorEastAsia" w:eastAsiaTheme="minorEastAsia"/>
          <w:b/>
          <w:bCs/>
          <w:i/>
          <w:iCs/>
        </w:rPr>
        <w:t>本基金合同</w:t>
      </w:r>
      <w:r>
        <w:rPr>
          <w:rFonts w:hint="eastAsia" w:asciiTheme="minorEastAsia" w:hAnsiTheme="minorEastAsia" w:eastAsiaTheme="minorEastAsia"/>
          <w:b/>
          <w:bCs/>
          <w:i/>
          <w:iCs/>
        </w:rPr>
        <w:t>受中国法律（不含港澳台立法）管辖并从其解释。</w:t>
      </w:r>
    </w:p>
    <w:p w14:paraId="30D0DC8C">
      <w:pPr>
        <w:adjustRightInd w:val="0"/>
        <w:snapToGrid w:val="0"/>
        <w:spacing w:line="360" w:lineRule="auto"/>
        <w:ind w:firstLine="420"/>
        <w:rPr>
          <w:rFonts w:asciiTheme="minorEastAsia" w:hAnsiTheme="minorEastAsia" w:eastAsiaTheme="minorEastAsia"/>
        </w:rPr>
      </w:pPr>
    </w:p>
    <w:bookmarkEnd w:id="475"/>
    <w:p w14:paraId="37D503CD">
      <w:pPr>
        <w:pStyle w:val="3"/>
        <w:adjustRightInd w:val="0"/>
        <w:snapToGrid w:val="0"/>
        <w:spacing w:before="0" w:after="0" w:line="360" w:lineRule="auto"/>
        <w:rPr>
          <w:rFonts w:cs="Arial" w:asciiTheme="minorEastAsia" w:hAnsiTheme="minorEastAsia" w:eastAsiaTheme="minorEastAsia"/>
          <w:sz w:val="21"/>
          <w:szCs w:val="21"/>
        </w:rPr>
        <w:sectPr>
          <w:footerReference r:id="rId23" w:type="default"/>
          <w:pgSz w:w="11906" w:h="16838"/>
          <w:pgMar w:top="1418" w:right="1701" w:bottom="1418" w:left="1701" w:header="851" w:footer="992" w:gutter="0"/>
          <w:pgNumType w:start="1"/>
          <w:cols w:space="425" w:num="1"/>
          <w:docGrid w:type="lines" w:linePitch="312" w:charSpace="0"/>
        </w:sectPr>
      </w:pPr>
    </w:p>
    <w:p w14:paraId="47B274F0">
      <w:pPr>
        <w:pStyle w:val="3"/>
        <w:adjustRightInd w:val="0"/>
        <w:snapToGrid w:val="0"/>
        <w:spacing w:before="312" w:beforeLines="100" w:after="0" w:line="360" w:lineRule="auto"/>
        <w:rPr>
          <w:rFonts w:asciiTheme="minorEastAsia" w:hAnsiTheme="minorEastAsia" w:eastAsiaTheme="minorEastAsia"/>
          <w:sz w:val="21"/>
        </w:rPr>
      </w:pPr>
      <w:bookmarkStart w:id="477" w:name="_Toc16237247"/>
      <w:bookmarkStart w:id="478" w:name="CLAUSE_ba3021fd25cd42a7ace3252ab4467b9e"/>
      <w:r>
        <w:rPr>
          <w:rFonts w:hint="eastAsia" w:cs="Arial" w:asciiTheme="minorEastAsia" w:hAnsiTheme="minorEastAsia" w:eastAsiaTheme="minorEastAsia"/>
          <w:sz w:val="21"/>
          <w:szCs w:val="21"/>
        </w:rPr>
        <w:t xml:space="preserve">第二十二部分 </w:t>
      </w:r>
      <w:bookmarkStart w:id="479" w:name="CTS_ba3021fd25cd42a7ace3252ab4467b9e"/>
      <w:bookmarkEnd w:id="479"/>
      <w:r>
        <w:rPr>
          <w:rFonts w:hint="eastAsia" w:asciiTheme="minorEastAsia" w:hAnsiTheme="minorEastAsia" w:eastAsiaTheme="minorEastAsia"/>
          <w:sz w:val="21"/>
        </w:rPr>
        <w:t>基金合同的效力</w:t>
      </w:r>
      <w:bookmarkEnd w:id="477"/>
    </w:p>
    <w:p w14:paraId="126BE68C">
      <w:pPr>
        <w:adjustRightInd w:val="0"/>
        <w:snapToGrid w:val="0"/>
        <w:spacing w:line="360" w:lineRule="auto"/>
        <w:ind w:firstLine="420" w:firstLineChars="200"/>
        <w:rPr>
          <w:rFonts w:asciiTheme="minorEastAsia" w:hAnsiTheme="minorEastAsia" w:eastAsiaTheme="minorEastAsia"/>
        </w:rPr>
      </w:pPr>
    </w:p>
    <w:p w14:paraId="2B0D78F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基金合同</w:t>
      </w:r>
      <w:r>
        <w:rPr>
          <w:rFonts w:hint="eastAsia" w:asciiTheme="minorEastAsia" w:hAnsiTheme="minorEastAsia" w:eastAsiaTheme="minorEastAsia"/>
        </w:rPr>
        <w:t>》是约定基金合同当事人之间权利义务关系的法律文件。</w:t>
      </w:r>
    </w:p>
    <w:p w14:paraId="5010C7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合同》经基金管理人、基金托管人双方加盖公章（或合同专用章）以及双方法定代表人或授权代表签字（或签章）并在募集结束后经基金管理人向中国证监会办理基金备案手续，并经中国证监会书面确认后生效。</w:t>
      </w:r>
    </w:p>
    <w:p w14:paraId="6062548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2、《基金合同》的有效期自其生效之日起至基金财产清算结果报中国证监会备案并公告之日止。</w:t>
      </w:r>
    </w:p>
    <w:p w14:paraId="515A557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基金合同</w:t>
      </w:r>
      <w:r>
        <w:rPr>
          <w:rFonts w:hint="eastAsia" w:asciiTheme="minorEastAsia" w:hAnsiTheme="minorEastAsia" w:eastAsiaTheme="minorEastAsia"/>
        </w:rPr>
        <w:t>》自生效之日起对包括基金管理人、基金托管人和基金份额持有人在内的《</w:t>
      </w:r>
      <w:r>
        <w:rPr>
          <w:rFonts w:asciiTheme="minorEastAsia" w:hAnsiTheme="minorEastAsia" w:eastAsiaTheme="minorEastAsia"/>
        </w:rPr>
        <w:t>基金合同</w:t>
      </w:r>
      <w:r>
        <w:rPr>
          <w:rFonts w:hint="eastAsia" w:asciiTheme="minorEastAsia" w:hAnsiTheme="minorEastAsia" w:eastAsiaTheme="minorEastAsia"/>
        </w:rPr>
        <w:t>》各方当事人具有同等的法律约束力。</w:t>
      </w:r>
    </w:p>
    <w:p w14:paraId="68B4F46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4、《基金合同》正本一式三份，除上报有关监管机构一份外，基金管理人、基金托管人各持有一份，每份具有同等的法律效力。</w:t>
      </w:r>
    </w:p>
    <w:p w14:paraId="2809F97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w:t>
      </w:r>
      <w:r>
        <w:rPr>
          <w:rFonts w:asciiTheme="minorEastAsia" w:hAnsiTheme="minorEastAsia" w:eastAsiaTheme="minorEastAsia"/>
        </w:rPr>
        <w:t>基金合同</w:t>
      </w:r>
      <w:r>
        <w:rPr>
          <w:rFonts w:hint="eastAsia" w:asciiTheme="minorEastAsia" w:hAnsiTheme="minorEastAsia" w:eastAsiaTheme="minorEastAsia"/>
        </w:rPr>
        <w:t>》可印制成册，供</w:t>
      </w:r>
      <w:r>
        <w:rPr>
          <w:rFonts w:asciiTheme="minorEastAsia" w:hAnsiTheme="minorEastAsia" w:eastAsiaTheme="minorEastAsia"/>
        </w:rPr>
        <w:t>投资人</w:t>
      </w:r>
      <w:r>
        <w:rPr>
          <w:rFonts w:hint="eastAsia" w:asciiTheme="minorEastAsia" w:hAnsiTheme="minorEastAsia" w:eastAsiaTheme="minorEastAsia"/>
        </w:rPr>
        <w:t>在基金管理人、基金托管人、销售机构的办公场所和营业场所查阅。</w:t>
      </w:r>
    </w:p>
    <w:p w14:paraId="45607446">
      <w:pPr>
        <w:adjustRightInd w:val="0"/>
        <w:snapToGrid w:val="0"/>
        <w:spacing w:line="360" w:lineRule="auto"/>
        <w:rPr>
          <w:rFonts w:cs="Arial" w:asciiTheme="minorEastAsia" w:hAnsiTheme="minorEastAsia" w:eastAsiaTheme="minorEastAsia"/>
          <w:szCs w:val="21"/>
        </w:rPr>
      </w:pPr>
    </w:p>
    <w:bookmarkEnd w:id="478"/>
    <w:p w14:paraId="5185D050">
      <w:pPr>
        <w:pStyle w:val="3"/>
        <w:adjustRightInd w:val="0"/>
        <w:snapToGrid w:val="0"/>
        <w:spacing w:before="0" w:after="0" w:line="360" w:lineRule="auto"/>
        <w:rPr>
          <w:rFonts w:cs="Arial" w:asciiTheme="minorEastAsia" w:hAnsiTheme="minorEastAsia" w:eastAsiaTheme="minorEastAsia"/>
          <w:sz w:val="21"/>
          <w:szCs w:val="21"/>
        </w:rPr>
        <w:sectPr>
          <w:footerReference r:id="rId24" w:type="default"/>
          <w:pgSz w:w="11906" w:h="16838"/>
          <w:pgMar w:top="1418" w:right="1701" w:bottom="1418" w:left="1701" w:header="851" w:footer="992" w:gutter="0"/>
          <w:pgNumType w:start="1"/>
          <w:cols w:space="425" w:num="1"/>
          <w:docGrid w:type="lines" w:linePitch="312" w:charSpace="0"/>
        </w:sectPr>
      </w:pPr>
    </w:p>
    <w:p w14:paraId="15C8D9D6">
      <w:pPr>
        <w:pStyle w:val="3"/>
        <w:adjustRightInd w:val="0"/>
        <w:snapToGrid w:val="0"/>
        <w:spacing w:before="312" w:beforeLines="100" w:after="312" w:afterLines="100" w:line="360" w:lineRule="auto"/>
        <w:rPr>
          <w:rFonts w:asciiTheme="minorEastAsia" w:hAnsiTheme="minorEastAsia" w:eastAsiaTheme="minorEastAsia"/>
          <w:sz w:val="21"/>
        </w:rPr>
      </w:pPr>
      <w:bookmarkStart w:id="480" w:name="_Toc16237248"/>
      <w:bookmarkStart w:id="481" w:name="CLAUSE_f81d263af7f84fdfbd744539252f81f0"/>
      <w:r>
        <w:rPr>
          <w:rFonts w:hint="eastAsia" w:cs="Arial" w:asciiTheme="minorEastAsia" w:hAnsiTheme="minorEastAsia" w:eastAsiaTheme="minorEastAsia"/>
          <w:sz w:val="21"/>
          <w:szCs w:val="21"/>
        </w:rPr>
        <w:t xml:space="preserve">第二十三部分 </w:t>
      </w:r>
      <w:bookmarkStart w:id="482" w:name="CTS_f81d263af7f84fdfbd744539252f81f0"/>
      <w:bookmarkEnd w:id="482"/>
      <w:r>
        <w:rPr>
          <w:rFonts w:hint="eastAsia" w:asciiTheme="minorEastAsia" w:hAnsiTheme="minorEastAsia" w:eastAsiaTheme="minorEastAsia"/>
          <w:sz w:val="21"/>
        </w:rPr>
        <w:t>其他事项</w:t>
      </w:r>
      <w:bookmarkEnd w:id="480"/>
    </w:p>
    <w:p w14:paraId="013588C1">
      <w:pPr>
        <w:adjustRightInd w:val="0"/>
        <w:snapToGrid w:val="0"/>
        <w:spacing w:line="360" w:lineRule="auto"/>
        <w:ind w:firstLine="420" w:firstLineChars="200"/>
        <w:rPr>
          <w:rFonts w:asciiTheme="minorEastAsia" w:hAnsiTheme="minorEastAsia" w:eastAsiaTheme="minorEastAsia"/>
        </w:rPr>
        <w:sectPr>
          <w:footerReference r:id="rId25" w:type="default"/>
          <w:pgSz w:w="11906" w:h="16838"/>
          <w:pgMar w:top="1418" w:right="1701" w:bottom="1418" w:left="1701" w:header="851" w:footer="992" w:gutter="0"/>
          <w:pgNumType w:start="1"/>
          <w:cols w:space="425" w:num="1"/>
          <w:docGrid w:type="lines" w:linePitch="312" w:charSpace="0"/>
        </w:sectPr>
      </w:pPr>
      <w:r>
        <w:rPr>
          <w:rFonts w:hint="eastAsia" w:asciiTheme="minorEastAsia" w:hAnsiTheme="minorEastAsia" w:eastAsiaTheme="minorEastAsia"/>
        </w:rPr>
        <w:t>《</w:t>
      </w:r>
      <w:r>
        <w:rPr>
          <w:rFonts w:asciiTheme="minorEastAsia" w:hAnsiTheme="minorEastAsia" w:eastAsiaTheme="minorEastAsia"/>
        </w:rPr>
        <w:t>基金合同</w:t>
      </w:r>
      <w:r>
        <w:rPr>
          <w:rFonts w:hint="eastAsia" w:asciiTheme="minorEastAsia" w:hAnsiTheme="minorEastAsia" w:eastAsiaTheme="minorEastAsia"/>
        </w:rPr>
        <w:t>》</w:t>
      </w:r>
      <w:r>
        <w:rPr>
          <w:rFonts w:asciiTheme="minorEastAsia" w:hAnsiTheme="minorEastAsia" w:eastAsiaTheme="minorEastAsia"/>
        </w:rPr>
        <w:t>如有未尽事宜，由</w:t>
      </w:r>
      <w:r>
        <w:rPr>
          <w:rFonts w:hint="eastAsia" w:asciiTheme="minorEastAsia" w:hAnsiTheme="minorEastAsia" w:eastAsiaTheme="minorEastAsia"/>
        </w:rPr>
        <w:t>《</w:t>
      </w:r>
      <w:r>
        <w:rPr>
          <w:rFonts w:asciiTheme="minorEastAsia" w:hAnsiTheme="minorEastAsia" w:eastAsiaTheme="minorEastAsia"/>
        </w:rPr>
        <w:t>基金合同</w:t>
      </w:r>
      <w:r>
        <w:rPr>
          <w:rFonts w:hint="eastAsia" w:asciiTheme="minorEastAsia" w:hAnsiTheme="minorEastAsia" w:eastAsiaTheme="minorEastAsia"/>
        </w:rPr>
        <w:t>》</w:t>
      </w:r>
      <w:r>
        <w:rPr>
          <w:rFonts w:asciiTheme="minorEastAsia" w:hAnsiTheme="minorEastAsia" w:eastAsiaTheme="minorEastAsia"/>
        </w:rPr>
        <w:t>当事人各方按有关法律法规协商解决。</w:t>
      </w:r>
    </w:p>
    <w:p w14:paraId="1BCBFC78">
      <w:pPr>
        <w:pStyle w:val="3"/>
        <w:adjustRightInd w:val="0"/>
        <w:snapToGrid w:val="0"/>
        <w:spacing w:before="312" w:beforeLines="100" w:after="312" w:afterLines="100" w:line="360" w:lineRule="auto"/>
      </w:pPr>
      <w:bookmarkStart w:id="483" w:name="_Toc16237249"/>
      <w:r>
        <w:rPr>
          <w:rFonts w:hint="eastAsia"/>
        </w:rPr>
        <w:t>第二十四部分 基金合同摘要</w:t>
      </w:r>
      <w:bookmarkEnd w:id="483"/>
    </w:p>
    <w:p w14:paraId="7E4CE59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一、基金管理人、基金托管人及基金份额持有人的权利与义务</w:t>
      </w:r>
    </w:p>
    <w:p w14:paraId="7CF2470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（一）基金管理人的权利与义务</w:t>
      </w:r>
    </w:p>
    <w:p w14:paraId="48F1C5F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、根据《基金法》、《运作办法》及其他有关规定，基金管理人的权利包括但不限于：</w:t>
      </w:r>
    </w:p>
    <w:p w14:paraId="416EB9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）依法募集资金；</w:t>
      </w:r>
    </w:p>
    <w:p w14:paraId="6BB31F8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）自《基金合同》生效之日起，根据法律法规和《基金合同》独立运用并管理基金财产；</w:t>
      </w:r>
    </w:p>
    <w:p w14:paraId="014AE17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）依照《基金合同》收取基金管理费以及法律法规规定或中国证监会批准的其他费用；</w:t>
      </w:r>
    </w:p>
    <w:p w14:paraId="0B1AACE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）销售基金份额；</w:t>
      </w:r>
    </w:p>
    <w:p w14:paraId="2D6B43E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）按照规定召集基金份额持有人大会；</w:t>
      </w:r>
    </w:p>
    <w:p w14:paraId="4259049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）依据《基金合同》及有关法律规定监督基金托管人，如认为基金托管人违反了《基金合同》及国家有关法律规定，应呈报中国证监会和其他监管部门，并采取必要措施保护基金投资者的利益；</w:t>
      </w:r>
    </w:p>
    <w:p w14:paraId="1AB6705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）在基金托管人更换时，提名新的基金托管人；</w:t>
      </w:r>
    </w:p>
    <w:p w14:paraId="5FC5E7F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）选择、更换基金销售机构，对基金销售机构的相关行为进行监督和处理；</w:t>
      </w:r>
      <w:r>
        <w:rPr>
          <w:rFonts w:asciiTheme="minorEastAsia" w:hAnsiTheme="minorEastAsia" w:eastAsiaTheme="minorEastAsia"/>
        </w:rPr>
        <w:t xml:space="preserve"> </w:t>
      </w:r>
    </w:p>
    <w:p w14:paraId="240F243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）担任或委托其他符合条件的机构担任基金登记机构办理基金登记业务并获得《基金合同》规定的费用；</w:t>
      </w:r>
      <w:r>
        <w:rPr>
          <w:rFonts w:asciiTheme="minorEastAsia" w:hAnsiTheme="minorEastAsia" w:eastAsiaTheme="minorEastAsia"/>
        </w:rPr>
        <w:t xml:space="preserve"> </w:t>
      </w:r>
    </w:p>
    <w:p w14:paraId="5AA4C3E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10</w:t>
      </w:r>
      <w:r>
        <w:rPr>
          <w:rFonts w:hint="eastAsia" w:asciiTheme="minorEastAsia" w:hAnsiTheme="minorEastAsia" w:eastAsiaTheme="minorEastAsia"/>
        </w:rPr>
        <w:t>）依据《基金合同》及有关法律规定决定基金收益的分配方案；</w:t>
      </w:r>
      <w:r>
        <w:rPr>
          <w:rFonts w:asciiTheme="minorEastAsia" w:hAnsiTheme="minorEastAsia" w:eastAsiaTheme="minorEastAsia"/>
        </w:rPr>
        <w:tab/>
      </w:r>
    </w:p>
    <w:p w14:paraId="4337604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11</w:t>
      </w:r>
      <w:r>
        <w:rPr>
          <w:rFonts w:hint="eastAsia" w:asciiTheme="minorEastAsia" w:hAnsiTheme="minorEastAsia" w:eastAsiaTheme="minorEastAsia"/>
        </w:rPr>
        <w:t>）在《基金合同》约定的范围内，拒绝或暂停受理申购、赎回或转换申请；</w:t>
      </w:r>
      <w:r>
        <w:rPr>
          <w:rFonts w:asciiTheme="minorEastAsia" w:hAnsiTheme="minorEastAsia" w:eastAsiaTheme="minorEastAsia"/>
        </w:rPr>
        <w:t xml:space="preserve"> </w:t>
      </w:r>
    </w:p>
    <w:p w14:paraId="04A2930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12</w:t>
      </w:r>
      <w:r>
        <w:rPr>
          <w:rFonts w:hint="eastAsia" w:asciiTheme="minorEastAsia" w:hAnsiTheme="minorEastAsia" w:eastAsiaTheme="minorEastAsia"/>
        </w:rPr>
        <w:t>）依照法律法规为基金的利益对被投资公司行使股东权利，为基金的利益行使因基金财产投资于证券所产生的权利；</w:t>
      </w:r>
    </w:p>
    <w:p w14:paraId="153AA87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（13）在法律法规允许的前提下，为基金的利益依法为基金进行融资或参与转融通证券出借业务；</w:t>
      </w:r>
    </w:p>
    <w:p w14:paraId="24F85A7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4</w:t>
      </w:r>
      <w:r>
        <w:rPr>
          <w:rFonts w:asciiTheme="minorEastAsia" w:hAnsiTheme="minorEastAsia" w:eastAsiaTheme="minorEastAsia"/>
        </w:rPr>
        <w:t>）以基金管理人的名义，代表基金份额持有人的利益行使诉讼权利或者实施其他法律行为；</w:t>
      </w:r>
      <w:r>
        <w:rPr>
          <w:rFonts w:asciiTheme="minorEastAsia" w:hAnsiTheme="minorEastAsia" w:eastAsiaTheme="minorEastAsia"/>
        </w:rPr>
        <w:tab/>
      </w:r>
    </w:p>
    <w:p w14:paraId="4FC92CE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5</w:t>
      </w:r>
      <w:r>
        <w:rPr>
          <w:rFonts w:asciiTheme="minorEastAsia" w:hAnsiTheme="minorEastAsia" w:eastAsiaTheme="minorEastAsia"/>
        </w:rPr>
        <w:t>）选择、更换律师事务所、会计师事务所、证券、期货经纪商或其他为基金提供服务的外部机构；</w:t>
      </w:r>
      <w:r>
        <w:rPr>
          <w:rFonts w:asciiTheme="minorEastAsia" w:hAnsiTheme="minorEastAsia" w:eastAsiaTheme="minorEastAsia"/>
        </w:rPr>
        <w:tab/>
      </w:r>
    </w:p>
    <w:p w14:paraId="78A143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6</w:t>
      </w:r>
      <w:r>
        <w:rPr>
          <w:rFonts w:asciiTheme="minorEastAsia" w:hAnsiTheme="minorEastAsia" w:eastAsiaTheme="minorEastAsia"/>
        </w:rPr>
        <w:t>）在符合有关法律、法规的前提下，制订和调整有关基金</w:t>
      </w:r>
      <w:r>
        <w:rPr>
          <w:rFonts w:hint="eastAsia" w:asciiTheme="minorEastAsia" w:hAnsiTheme="minorEastAsia" w:eastAsiaTheme="minorEastAsia"/>
        </w:rPr>
        <w:t>认购、申购、赎回、转换、定期定额投资和非交易过户等业务规则；</w:t>
      </w:r>
    </w:p>
    <w:p w14:paraId="32C85EB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（17）代表基金份额持有人的利益行使因基金财产投资于目标ETF所产生的权利，基金合同另有约定的除外；</w:t>
      </w:r>
    </w:p>
    <w:p w14:paraId="31D2F54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18）法律法规及中国证监会规定的和《基金合同》约定的其他权利。</w:t>
      </w:r>
    </w:p>
    <w:p w14:paraId="0D57D7C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、根据《基金法》、《运作办法》及其他有关规定，基金管理人的义务包括但不限于：</w:t>
      </w:r>
    </w:p>
    <w:p w14:paraId="7F0C227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）依法募集资金，办理或者委托经中国证监会认定的其他机构代为办理基金份额的发售、申购、赎回和登记事宜；</w:t>
      </w:r>
    </w:p>
    <w:p w14:paraId="079B0B9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）办理基金备案手续；</w:t>
      </w:r>
    </w:p>
    <w:p w14:paraId="0D6DA84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）自《基金合同》生效之日起，以诚实信用、谨慎勤勉的原则管理和运用基金财产；</w:t>
      </w:r>
    </w:p>
    <w:p w14:paraId="405A96A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）配备足够的具有专业资格的人员进行基金投资分析、决策，以专业化的经营方式管理和运作基金财产；</w:t>
      </w:r>
    </w:p>
    <w:p w14:paraId="1E6266E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）建立健全内部风险控制、监察与稽核、财务管理及人事管理等制度，保证所管理的基金财产和基金管理人的财产相互独立，对所管理的不同基金分别管理，分别记账，进行证券投资；</w:t>
      </w:r>
    </w:p>
    <w:p w14:paraId="1978D48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）除依据《基金法》、《基金合同》及其他有关规定外，不得利用基金财产为自己及任何第三人谋取利益，不得委托第三人运作基金财产；</w:t>
      </w:r>
    </w:p>
    <w:p w14:paraId="0AA59ED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）依法接受基金托管人的监督；</w:t>
      </w:r>
    </w:p>
    <w:p w14:paraId="1E0859C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8</w:t>
      </w:r>
      <w:r>
        <w:rPr>
          <w:rFonts w:hint="eastAsia" w:asciiTheme="minorEastAsia" w:hAnsiTheme="minorEastAsia" w:eastAsiaTheme="minorEastAsia"/>
        </w:rPr>
        <w:t>）采取适当合理的措施使计算基金份额认购、申购、赎回和注销价格的方法符合《基金合同》等法律文件的规定，按有关规定计算并公告基金净值信息，确定基金份额申购、赎回的价格；</w:t>
      </w:r>
    </w:p>
    <w:p w14:paraId="07EB35F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）进行基金会计核算并编制基金财务会计报告；</w:t>
      </w:r>
    </w:p>
    <w:p w14:paraId="5BBBAB0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10</w:t>
      </w:r>
      <w:r>
        <w:rPr>
          <w:rFonts w:hint="eastAsia" w:asciiTheme="minorEastAsia" w:hAnsiTheme="minorEastAsia" w:eastAsiaTheme="minorEastAsia"/>
        </w:rPr>
        <w:t>）编制季度报告、中期报告和年度报告；</w:t>
      </w:r>
    </w:p>
    <w:p w14:paraId="1951DEF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11</w:t>
      </w:r>
      <w:r>
        <w:rPr>
          <w:rFonts w:hint="eastAsia" w:asciiTheme="minorEastAsia" w:hAnsiTheme="minorEastAsia" w:eastAsiaTheme="minorEastAsia"/>
        </w:rPr>
        <w:t>）严格按照《基金法》、《基金合同》及其他有关规定，履行信息披露及报告义务；</w:t>
      </w:r>
    </w:p>
    <w:p w14:paraId="38ACDE6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12</w:t>
      </w:r>
      <w:r>
        <w:rPr>
          <w:rFonts w:hint="eastAsia" w:asciiTheme="minorEastAsia" w:hAnsiTheme="minorEastAsia" w:eastAsiaTheme="minorEastAsia"/>
        </w:rPr>
        <w:t>）保守基金商业秘密，不泄露基金投资计划、投资意向等。除《基金法》、《基金合同》及其他有关规定另有规定外，在基金信息公开披露前应予保密，不向他人泄露，向审计、法律等外部专业顾问提供的除外；</w:t>
      </w:r>
    </w:p>
    <w:p w14:paraId="50CC428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13</w:t>
      </w:r>
      <w:r>
        <w:rPr>
          <w:rFonts w:hint="eastAsia" w:asciiTheme="minorEastAsia" w:hAnsiTheme="minorEastAsia" w:eastAsiaTheme="minorEastAsia"/>
        </w:rPr>
        <w:t>）按《基金合同》的约定确定基金收益分配方案，及时向基金份额持有人分配基金收益；</w:t>
      </w:r>
    </w:p>
    <w:p w14:paraId="7545026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14</w:t>
      </w:r>
      <w:r>
        <w:rPr>
          <w:rFonts w:hint="eastAsia" w:asciiTheme="minorEastAsia" w:hAnsiTheme="minorEastAsia" w:eastAsiaTheme="minorEastAsia"/>
        </w:rPr>
        <w:t>）按规定受理申购与赎回申请，及时、足额支付赎回款项；</w:t>
      </w:r>
    </w:p>
    <w:p w14:paraId="007ADEB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15</w:t>
      </w:r>
      <w:r>
        <w:rPr>
          <w:rFonts w:hint="eastAsia" w:asciiTheme="minorEastAsia" w:hAnsiTheme="minorEastAsia" w:eastAsiaTheme="minorEastAsia"/>
        </w:rPr>
        <w:t>）依据《基金法》、《基金合同》及其他有关规定召集基金份额持有人大会或配合基金托管人、基金份额持有人依法召集基金份额持有人大会；</w:t>
      </w:r>
    </w:p>
    <w:p w14:paraId="0E14BDC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16</w:t>
      </w:r>
      <w:r>
        <w:rPr>
          <w:rFonts w:hint="eastAsia" w:asciiTheme="minorEastAsia" w:hAnsiTheme="minorEastAsia" w:eastAsiaTheme="minorEastAsia"/>
        </w:rPr>
        <w:t>）按规定保存基金财产管理业务活动的会计账册、报表、记录和其他相关资料，保存期限不低于法律法规规定的最低期限</w:t>
      </w:r>
      <w:r>
        <w:rPr>
          <w:rFonts w:asciiTheme="minorEastAsia" w:hAnsiTheme="minorEastAsia" w:eastAsiaTheme="minorEastAsia"/>
        </w:rPr>
        <w:t>；</w:t>
      </w:r>
    </w:p>
    <w:p w14:paraId="66714BF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17</w:t>
      </w:r>
      <w:r>
        <w:rPr>
          <w:rFonts w:hint="eastAsia" w:asciiTheme="minorEastAsia" w:hAnsiTheme="minorEastAsia" w:eastAsiaTheme="minorEastAsia"/>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2F1739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18</w:t>
      </w:r>
      <w:r>
        <w:rPr>
          <w:rFonts w:hint="eastAsia" w:asciiTheme="minorEastAsia" w:hAnsiTheme="minorEastAsia" w:eastAsiaTheme="minorEastAsia"/>
        </w:rPr>
        <w:t>）组织并参加基金财产清算小组，参与基金财产的保管、清理、估价、变现和分配；</w:t>
      </w:r>
    </w:p>
    <w:p w14:paraId="38A17A5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19</w:t>
      </w:r>
      <w:r>
        <w:rPr>
          <w:rFonts w:hint="eastAsia" w:asciiTheme="minorEastAsia" w:hAnsiTheme="minorEastAsia" w:eastAsiaTheme="minorEastAsia"/>
        </w:rPr>
        <w:t>）面临解散、依法被撤销或者被依法宣告破产时，及时报告中国证监会并通知基金托管人；</w:t>
      </w:r>
    </w:p>
    <w:p w14:paraId="51FE04D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20</w:t>
      </w:r>
      <w:r>
        <w:rPr>
          <w:rFonts w:hint="eastAsia" w:asciiTheme="minorEastAsia" w:hAnsiTheme="minorEastAsia" w:eastAsiaTheme="minorEastAsia"/>
        </w:rPr>
        <w:t>）因违反《基金合同》导致基金财产的损失或损害基金份额持有人合法权益时，应当承担赔偿责任，其赔偿责任不因其退任而免除；</w:t>
      </w:r>
    </w:p>
    <w:p w14:paraId="4418177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21</w:t>
      </w:r>
      <w:r>
        <w:rPr>
          <w:rFonts w:hint="eastAsia" w:asciiTheme="minorEastAsia" w:hAnsiTheme="minorEastAsia" w:eastAsiaTheme="minorEastAsia"/>
        </w:rPr>
        <w:t>）监督基金托管人按法律法规和《基金合同》规定履行自己的义务，基金托管人违反《基金合同》造成基金财产损失时，基金管理人应为基金份额持有人利益向基金托管人追偿；</w:t>
      </w:r>
    </w:p>
    <w:p w14:paraId="6615EE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22</w:t>
      </w:r>
      <w:r>
        <w:rPr>
          <w:rFonts w:hint="eastAsia" w:asciiTheme="minorEastAsia" w:hAnsiTheme="minorEastAsia" w:eastAsiaTheme="minorEastAsia"/>
        </w:rPr>
        <w:t>）当基金管理人将其义务委托第三方处理时，应当对第三方处理有关基金事务的行为承担责任；</w:t>
      </w:r>
    </w:p>
    <w:p w14:paraId="6DF8E6B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23</w:t>
      </w:r>
      <w:r>
        <w:rPr>
          <w:rFonts w:hint="eastAsia" w:asciiTheme="minorEastAsia" w:hAnsiTheme="minorEastAsia" w:eastAsiaTheme="minorEastAsia"/>
        </w:rPr>
        <w:t>）以基金管理人名义，代表基金份额持有人利益行使诉讼权利或实施其他法律行为；</w:t>
      </w:r>
    </w:p>
    <w:p w14:paraId="573F635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24）基金管理人在募集期间未能达到基金</w:t>
      </w:r>
      <w:r>
        <w:rPr>
          <w:rFonts w:hint="eastAsia" w:asciiTheme="minorEastAsia" w:hAnsiTheme="minorEastAsia" w:eastAsiaTheme="minorEastAsia"/>
        </w:rPr>
        <w:t>的备案条件，《基金合同》不能生效，基金管理人承担全部募集费用，将已募集资金并加计银行同期活期存款利息在基金募集期结束后</w:t>
      </w:r>
      <w:r>
        <w:rPr>
          <w:rFonts w:asciiTheme="minorEastAsia" w:hAnsiTheme="minorEastAsia" w:eastAsiaTheme="minorEastAsia"/>
        </w:rPr>
        <w:t>30日内退还基金认购人；</w:t>
      </w:r>
    </w:p>
    <w:p w14:paraId="37B2511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25</w:t>
      </w:r>
      <w:r>
        <w:rPr>
          <w:rFonts w:hint="eastAsia" w:asciiTheme="minorEastAsia" w:hAnsiTheme="minorEastAsia" w:eastAsiaTheme="minorEastAsia"/>
        </w:rPr>
        <w:t>）执行生效的基金份额持有人大会的决议；</w:t>
      </w:r>
    </w:p>
    <w:p w14:paraId="4E6B2D3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26</w:t>
      </w:r>
      <w:r>
        <w:rPr>
          <w:rFonts w:hint="eastAsia" w:asciiTheme="minorEastAsia" w:hAnsiTheme="minorEastAsia" w:eastAsiaTheme="minorEastAsia"/>
        </w:rPr>
        <w:t>）建立并保存基金份额持有人名册；</w:t>
      </w:r>
    </w:p>
    <w:p w14:paraId="661F741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27</w:t>
      </w:r>
      <w:r>
        <w:rPr>
          <w:rFonts w:hint="eastAsia" w:asciiTheme="minorEastAsia" w:hAnsiTheme="minorEastAsia" w:eastAsiaTheme="minorEastAsia"/>
        </w:rPr>
        <w:t>）法律法规及中国证监会规定的和《基金合同》约定的其他义务。</w:t>
      </w:r>
    </w:p>
    <w:p w14:paraId="4162858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（二）基金托管人的权利与义务</w:t>
      </w:r>
    </w:p>
    <w:p w14:paraId="76DAD79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1、根据《基金法》、《运作办法》及其他有关规定，基金托管人的权利包括但不限于：</w:t>
      </w:r>
    </w:p>
    <w:p w14:paraId="62195ED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（1）自《基金合同》生效之日起，依法律法规和《基金合同》的规定安全保管基金财产；</w:t>
      </w:r>
    </w:p>
    <w:p w14:paraId="215A74C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（2）依《基金合同》约定获得基金托管费以及法律法规规定或监管部门批准的其他费用；</w:t>
      </w:r>
    </w:p>
    <w:p w14:paraId="68F65EA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594B15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（4）根据相关市场规则，为基金开设资金账户、证券账户等投资所需账户，为基金办理证券、期货 交易资金清算；</w:t>
      </w:r>
    </w:p>
    <w:p w14:paraId="7467BAE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（5）提议召开或召集基金份额持有人大会；</w:t>
      </w:r>
    </w:p>
    <w:p w14:paraId="2856D5F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（6）在基金管理人更换时，提名新的基金管理人；</w:t>
      </w:r>
    </w:p>
    <w:p w14:paraId="4E52F7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（7）法律法规及中国证监会规定的和《基金合同》约定的其他权利。</w:t>
      </w:r>
    </w:p>
    <w:p w14:paraId="34F4CF7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2、根据《基金法》、《运作办法》及其他有关规定，基金托管人的义务包括但不限于：</w:t>
      </w:r>
    </w:p>
    <w:p w14:paraId="7286F0D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（1）以诚实信用、勤勉尽责的原则持有并安全保管基金财产；</w:t>
      </w:r>
    </w:p>
    <w:p w14:paraId="0E7C6CE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（2）设立专门的基金托管部门，具有符合要求的营业场所，配备足够的、合格的熟悉基金托管业务的专职人员，负责基金财产托管事宜；</w:t>
      </w:r>
    </w:p>
    <w:p w14:paraId="4594B38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C96EAC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（4）除依据《基金法》、《基金合同》及其他有关规定外，不得利用基金财产为自己及任何第三人谋取利益，不得委托第三人托管基金财产；</w:t>
      </w:r>
    </w:p>
    <w:p w14:paraId="2FC1E11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（5）保管由基金管理人代表基金签订的与基金有关的重大合同及有关凭证；</w:t>
      </w:r>
    </w:p>
    <w:p w14:paraId="785C7BD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（6）按规定开设基金财产的资金账户和证券账户等投资所需账户，按照《基金合同》的约定，根据基金管理人的投资指令，及时办理清算、交割事宜；</w:t>
      </w:r>
    </w:p>
    <w:p w14:paraId="205E9EC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（7）保守基金商业秘密，除《基金法》、《基金合同》及其他有关规定另有规定外，在基金信息公开披露前予以保密，不得向他人泄露，向审计、法律等外部专业顾问提供的除外；</w:t>
      </w:r>
    </w:p>
    <w:p w14:paraId="74C66FE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（8）复核、审查基金管理人计算的基金资产净值、各类基金份额净值、基金份额申购、赎回价格；</w:t>
      </w:r>
    </w:p>
    <w:p w14:paraId="74EFA1A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（9）办理与基金托管业务活动有关的信息披露事项；</w:t>
      </w:r>
    </w:p>
    <w:p w14:paraId="0519D98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9022C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（11）保存基金托管业务活动的记录、账册、报表和其他相关资料，保存期限不低于法律法规规定的最低期限；</w:t>
      </w:r>
    </w:p>
    <w:p w14:paraId="7E3D717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（12）从基金管理人或其委托的登记机构处接收并保存基金份额持有人名册；</w:t>
      </w:r>
    </w:p>
    <w:p w14:paraId="1727F0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（13）按规定制作相关账册并与基金管理人核对；</w:t>
      </w:r>
    </w:p>
    <w:p w14:paraId="73B66E2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（14）依据基金管理人的指令或有关规定向基金份额持有人支付基金收益和赎回款项；</w:t>
      </w:r>
    </w:p>
    <w:p w14:paraId="0A2C2A7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（15）依据《基金法》、《基金合同》及其他有关规定，召集基金份额持有人大会或配合基金管理人、基金份额持有人依法召集基金份额持有人大会；</w:t>
      </w:r>
    </w:p>
    <w:p w14:paraId="2F927A6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（16）按照法律法规和《基金合同》的规定监督基金管理人的投资运作；</w:t>
      </w:r>
    </w:p>
    <w:p w14:paraId="310C192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（17）参加基金财产清算小组，参与基金财产的保管、清理、估价、变现和分配；</w:t>
      </w:r>
    </w:p>
    <w:p w14:paraId="28B2E2B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（18）面临解散、依法被撤销或者被依法宣告破产时，及时报告中国证监会，并通知基金管理人；</w:t>
      </w:r>
    </w:p>
    <w:p w14:paraId="300C007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（19）因违反《基金合同》导致基金财产损失时，应承担赔偿责任，其赔偿责任不因其退任而免除；</w:t>
      </w:r>
    </w:p>
    <w:p w14:paraId="7F8C743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（20）按规定监督基金管理人按法律法规和《基金合同》规定履行自己的义务，基金管理人因违反《基金合同》造成基金财产损失时，应为基金份额持有人利益向基金管理人追偿；</w:t>
      </w:r>
    </w:p>
    <w:p w14:paraId="1C82BDF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（21）执行生效的基金份额持有人大会的决议；</w:t>
      </w:r>
    </w:p>
    <w:p w14:paraId="318DF26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（22）法律法规及中国证监会规定的和《基金合同》约定的其他义务。</w:t>
      </w:r>
    </w:p>
    <w:p w14:paraId="039487F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（三）基金份额持有人</w:t>
      </w:r>
    </w:p>
    <w:p w14:paraId="21AC30C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DF10FE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除法律法规另有规定或本基金合同另有约定外，同一类别每份基金份额具有同等的合法权益。</w:t>
      </w:r>
    </w:p>
    <w:p w14:paraId="6A72F06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1、根据《基金法》、《运作办法》及其他有关规定，基金份额持有人的权利包括但不限于：</w:t>
      </w:r>
    </w:p>
    <w:p w14:paraId="6222089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（1）分享基金财产收益；</w:t>
      </w:r>
    </w:p>
    <w:p w14:paraId="16DC491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（2）参与分配清算后的剩余基金财产；</w:t>
      </w:r>
    </w:p>
    <w:p w14:paraId="369DFA5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（3）依法转让或者申请赎回其持有的基金份额；</w:t>
      </w:r>
    </w:p>
    <w:p w14:paraId="52F112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（4）按照规定要求召开基金份额持有人大会或者召集基金份额持有人大会；</w:t>
      </w:r>
    </w:p>
    <w:p w14:paraId="0E4AA0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（5）出席或者委派代表出席本基金或目标ETF的基金份额持有人大会，对本基金或目标ETF的基金份额持有人大会审议事项行使表决权；</w:t>
      </w:r>
    </w:p>
    <w:p w14:paraId="1D8107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（6）查阅或者复制公开披露的基金信息资料；</w:t>
      </w:r>
    </w:p>
    <w:p w14:paraId="5B48BA6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（7）监督基金管理人的投资运作；</w:t>
      </w:r>
    </w:p>
    <w:p w14:paraId="50A4C7E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（8）对基金管理人、基金托管人、基金服务机构损害其合法权益的行为依法提起诉讼或仲裁；</w:t>
      </w:r>
    </w:p>
    <w:p w14:paraId="5EB9CA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（9）法律法规及中国证监会规定的和《基金合同》约定的其他权利。</w:t>
      </w:r>
    </w:p>
    <w:p w14:paraId="1227969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2、根据《基金法》、《运作办法》及其他有关规定，基金份额持有人的义务包括但不限于：</w:t>
      </w:r>
    </w:p>
    <w:p w14:paraId="4C2535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（1）认真阅读并遵守《基金合同》、招募说明书等信息披露文件；</w:t>
      </w:r>
    </w:p>
    <w:p w14:paraId="6155A58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（2）了解所投资基金产品，了解自身风险承受能力，自主判断基金的投资价值，自主做出投资决策，自行承担投资风险；</w:t>
      </w:r>
    </w:p>
    <w:p w14:paraId="65E6117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（3）关注基金信息披露，及时行使权利和履行义务；</w:t>
      </w:r>
    </w:p>
    <w:p w14:paraId="20741D9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（4）交纳基金认购、申购款项及法律法规和《基金合同》所规定的费用；</w:t>
      </w:r>
    </w:p>
    <w:p w14:paraId="258FFA2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（5）在其持有的基金份额范围内，承担基金亏损或者《基金合同》终止的有限责任；</w:t>
      </w:r>
    </w:p>
    <w:p w14:paraId="779E6D7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（6）不从事任何有损基金及其他《基金合同》当事人合法权益的活动；</w:t>
      </w:r>
    </w:p>
    <w:p w14:paraId="289386E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（7）执行生效的基金份额持有人大会的决议；</w:t>
      </w:r>
    </w:p>
    <w:p w14:paraId="47179C4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（8）返还在基金交易过程中因任何原因获得的不当得利；</w:t>
      </w:r>
    </w:p>
    <w:p w14:paraId="68984E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（9）发起资金提供方持有认购的基金份额不少于3年，法律法规或监管机构另有规定的除外；</w:t>
      </w:r>
    </w:p>
    <w:p w14:paraId="3D6AA84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（10）法律法规及中国证监会规定的和《基金合同》约定的其他义务。</w:t>
      </w:r>
    </w:p>
    <w:p w14:paraId="38D75BC0">
      <w:pPr>
        <w:adjustRightInd w:val="0"/>
        <w:snapToGrid w:val="0"/>
        <w:spacing w:line="360" w:lineRule="auto"/>
        <w:ind w:firstLine="420" w:firstLineChars="200"/>
        <w:rPr>
          <w:rFonts w:asciiTheme="minorEastAsia" w:hAnsiTheme="minorEastAsia" w:eastAsiaTheme="minorEastAsia"/>
        </w:rPr>
      </w:pPr>
    </w:p>
    <w:p w14:paraId="065DC88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二、基金份额持有人大会召集、议事及表决的程序和规则</w:t>
      </w:r>
    </w:p>
    <w:p w14:paraId="42CC043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w:t>
      </w:r>
    </w:p>
    <w:p w14:paraId="1098207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本基金份额持有人大会不设日常机构。</w:t>
      </w:r>
    </w:p>
    <w:p w14:paraId="688A0C7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（一）召开事由</w:t>
      </w:r>
    </w:p>
    <w:p w14:paraId="7F83146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1、除法律法规、中国证监会另有规定或基金合同另有约定外，当出现或需要决定下列事由之一的，应当召开基金份额持有人大会：</w:t>
      </w:r>
    </w:p>
    <w:p w14:paraId="73F4577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（1）终止《基金合同》；</w:t>
      </w:r>
    </w:p>
    <w:p w14:paraId="45F920F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（2）更换基金管理人；</w:t>
      </w:r>
    </w:p>
    <w:p w14:paraId="2649552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（3）更换基金托管人；</w:t>
      </w:r>
    </w:p>
    <w:p w14:paraId="0975FE5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（4）转换基金运作方式；</w:t>
      </w:r>
    </w:p>
    <w:p w14:paraId="45F8848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（5）调整基金管理人、基金托管人的报酬标准或提高销售服务费率；</w:t>
      </w:r>
    </w:p>
    <w:p w14:paraId="631EC9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（6）变更基金类别；</w:t>
      </w:r>
    </w:p>
    <w:p w14:paraId="36FB2BE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（7）本基金与其他基金的合并；</w:t>
      </w:r>
    </w:p>
    <w:p w14:paraId="7FEF121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（8）变更基金投资目标、范围或策略；</w:t>
      </w:r>
    </w:p>
    <w:p w14:paraId="30A6CEE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（9）变更基金份额持有人大会程序；</w:t>
      </w:r>
    </w:p>
    <w:p w14:paraId="6E67517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（10）基金管理人或基金托管人要求召开基金份额持有人大会；</w:t>
      </w:r>
    </w:p>
    <w:p w14:paraId="4110421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（11）单独或合计持有本基金总份额10%以上（含10%）基金份额的基金份额持有人（以基金管理人收到提议当日的基金份额计算，下同）就同一事项书面要求召开基金份额持有人大会；</w:t>
      </w:r>
    </w:p>
    <w:p w14:paraId="761BD72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（12）对基金合同当事人权利和义务产生重大影响的其他事项；</w:t>
      </w:r>
    </w:p>
    <w:p w14:paraId="67003C6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（13）法律法规、《基金合同》或中国证监会规定的其他应当召开基金份额持有人大会的事项。</w:t>
      </w:r>
    </w:p>
    <w:p w14:paraId="761C50C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2、在法律法规规定和《基金合同》约定的范围内且对基金份额持有人利益无实质性不利影响的前提下，以下情况可由基金管理人和基金托管人协商后修改，不需召开基金份额持有人大会：</w:t>
      </w:r>
    </w:p>
    <w:p w14:paraId="0D64EC0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）法律法规要求增加的基金费用的收取；</w:t>
      </w:r>
    </w:p>
    <w:p w14:paraId="1137362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）调整本基金的申购费率、调低赎回费率、调低销售服务费率或变更收费方式，调整基金份额类别设置、对基金份额分类办法及规则进行调整；</w:t>
      </w:r>
    </w:p>
    <w:p w14:paraId="25D1176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）因相应的法律法规发生变动而应当对《基金合同》进行修改；</w:t>
      </w:r>
    </w:p>
    <w:p w14:paraId="45E791E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）对《基金合同》的修改对基金份额持有人利益无实质性不利影响或修改不涉及《基金合同》当事人权利义务关系发生重大变化；</w:t>
      </w:r>
    </w:p>
    <w:p w14:paraId="18167C0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5</w:t>
      </w:r>
      <w:r>
        <w:rPr>
          <w:rFonts w:hint="eastAsia" w:asciiTheme="minorEastAsia" w:hAnsiTheme="minorEastAsia" w:eastAsiaTheme="minorEastAsia"/>
        </w:rPr>
        <w:t>）基金管理人、登记机构、基金销售机构调整有关申购、赎回、转换、基金交易、非交易过户、转托管等业务规则；</w:t>
      </w:r>
    </w:p>
    <w:p w14:paraId="233276B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）基金推出新业务或服务；</w:t>
      </w:r>
    </w:p>
    <w:p w14:paraId="3FABA6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）标的指数更名或调整指数编制方法，相应变更标的指数及业绩比较基准的；</w:t>
      </w:r>
    </w:p>
    <w:p w14:paraId="387F0B5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（8）由于目标ETF终止上市或基金合同终止而变更为直接投资该标的指数的指数基金；</w:t>
      </w:r>
    </w:p>
    <w:p w14:paraId="553A5C4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）按照法律法规和《基金合同》规定不需召开基金份额持有人大会的其他情形。</w:t>
      </w:r>
    </w:p>
    <w:p w14:paraId="2CBEA1E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（二）会议召集人及召集方式</w:t>
      </w:r>
    </w:p>
    <w:p w14:paraId="74524D0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1、除法律法规规定或《基金合同》另有约定外，基金份额持有人大会由基金管理人召集。</w:t>
      </w:r>
    </w:p>
    <w:p w14:paraId="3521436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2、基金管理人未按规定召集或不能召集时，由基金托管人召集。</w:t>
      </w:r>
    </w:p>
    <w:p w14:paraId="3468A90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4C57A2A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A137AF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5CE372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6、基金份额持有人会议的召集人负责选择确定开会时间、地点、方式和权益登记日。</w:t>
      </w:r>
    </w:p>
    <w:p w14:paraId="61BB8A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（三）召开基金份额持有人大会的通知时间、通知内容、通知方式</w:t>
      </w:r>
    </w:p>
    <w:p w14:paraId="30B453F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1、召开基金份额持有人大会，召集人应于会议召开前30日在规定媒介公告。基金份额持有人大会通知应至少载明以下内容：</w:t>
      </w:r>
    </w:p>
    <w:p w14:paraId="707FD21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（1）会议召开的时间、地点和会议形式；</w:t>
      </w:r>
    </w:p>
    <w:p w14:paraId="4D82FA2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（2）会议拟审议的事项、议事程序和表决方式；</w:t>
      </w:r>
    </w:p>
    <w:p w14:paraId="0795B87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（3）有权出席基金份额持有人大会的基金份额持有人的权益登记日；</w:t>
      </w:r>
    </w:p>
    <w:p w14:paraId="4324A2D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（4）授权委托证明的内容要求（包括但不限于代理人身份，代理权限和代理有效期限等）、送达时间和地点；</w:t>
      </w:r>
    </w:p>
    <w:p w14:paraId="08F643F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（5）会务常设联系人姓名及联系电话；</w:t>
      </w:r>
    </w:p>
    <w:p w14:paraId="219782D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（6）出席会议者必须准备的文件和必须履行的手续；</w:t>
      </w:r>
    </w:p>
    <w:p w14:paraId="3D692E1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（7）召集人需要通知的其他事项。</w:t>
      </w:r>
    </w:p>
    <w:p w14:paraId="4971A5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BECCEF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5858A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（四）基金份额持有人出席会议的方式</w:t>
      </w:r>
    </w:p>
    <w:p w14:paraId="420CC9E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基金份额持有人大会可通过现场开会方式、通讯开会方式或法律法规、监管机构允许的其他方式召开，会议的召开方式由会议召集人确定。</w:t>
      </w:r>
    </w:p>
    <w:p w14:paraId="17F4907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7B7725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A7E7A2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175FEF5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通讯开会系指基金份额持有人将其对表决事项的投票以书面形式或大会公告载明的其他方式在表决截止日以前送达至召集人指定的地址。通讯开会应以书面方式或大会公告载明的其他方式进行表决。</w:t>
      </w:r>
    </w:p>
    <w:p w14:paraId="3D14AF3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在同时符合以下条件时，通讯开会的方式视为有效：</w:t>
      </w:r>
    </w:p>
    <w:p w14:paraId="4A4449F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（1）会议召集人按《基金合同》约定公布会议通知后，在2个工作日内连续公布相关提示性公告；</w:t>
      </w:r>
    </w:p>
    <w:p w14:paraId="75685E7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23DD2C8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06DBA22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276498E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w:t>
      </w:r>
    </w:p>
    <w:p w14:paraId="5030FE9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B41EE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（五）议事内容与程序</w:t>
      </w:r>
    </w:p>
    <w:p w14:paraId="71C319C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1、议事内容及提案权</w:t>
      </w:r>
    </w:p>
    <w:p w14:paraId="3E05FD0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C8C08C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基金份额持有人大会的召集人发出召集会议的通知后，对原有提案的修改应当在基金份额持有人大会召开前及时公告。</w:t>
      </w:r>
    </w:p>
    <w:p w14:paraId="43C178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基金份额持有人大会不得对未事先公告的议事内容进行表决。</w:t>
      </w:r>
    </w:p>
    <w:p w14:paraId="2B28D57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2、议事程序</w:t>
      </w:r>
    </w:p>
    <w:p w14:paraId="28371A6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w:t>
      </w:r>
    </w:p>
    <w:p w14:paraId="533B5D9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14:paraId="64B5BCD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会议召集人应当制作出席会议人员的签名册。签名册载明参加会议人员姓名（或单位名称）、身份证明文件号码、持有或代表有表决权的基金份额、委托人姓名（或单位名称）和联系方式等事项。</w:t>
      </w:r>
    </w:p>
    <w:p w14:paraId="35AF8B7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w:t>
      </w:r>
    </w:p>
    <w:p w14:paraId="0F6456C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在通讯开会的情况下，首先由召集人提前30日公布提案，在所通知的表决截止日期后2个工作日内在公证机关监督下由召集人统计全部有效表决，在公证机关监督下形成决议。</w:t>
      </w:r>
    </w:p>
    <w:p w14:paraId="1828621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（六）表决</w:t>
      </w:r>
    </w:p>
    <w:p w14:paraId="628A67F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基金份额持有人所持每份基金份额有一票表决权。</w:t>
      </w:r>
    </w:p>
    <w:p w14:paraId="70C0FF5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基金份额持有人大会决议分为一般决议和特别决议：</w:t>
      </w:r>
    </w:p>
    <w:p w14:paraId="2401945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166DA69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特别决议，特别决议应当经参加大会的基金份额持有人或其代理人所持表决权的三分之二以上（含三分之二）通过方可做出。除法律法规、监管机构另有规定或本基金合同另有约定外，转换基金运作方式、更换基金管理人或者基金托管人、终止《基金合同》、本基金与其他基金合并以特别决议通过方为有效。</w:t>
      </w:r>
    </w:p>
    <w:p w14:paraId="650C563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基金份额持有人大会采取记名方式进行投票表决。</w:t>
      </w:r>
    </w:p>
    <w:p w14:paraId="746B22F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191647C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基金份额持有人大会的各项提案或同一项提案内并列的各项议题应当分开审议、逐项表决。</w:t>
      </w:r>
    </w:p>
    <w:p w14:paraId="7078C29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（七）计票</w:t>
      </w:r>
    </w:p>
    <w:p w14:paraId="39052FD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1、现场开会</w:t>
      </w:r>
    </w:p>
    <w:p w14:paraId="00B1EF9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252D3EF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（2）监票人应当在基金份额持有人表决后立即进行清点并由大会主持人当场公布计票结果。</w:t>
      </w:r>
    </w:p>
    <w:p w14:paraId="4743410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D7AB17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（4）计票过程应由公证机关予以公证，基金管理人或基金托管人拒不出席大会的，不影响计票的效力。</w:t>
      </w:r>
    </w:p>
    <w:p w14:paraId="387A3B5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2、通讯开会</w:t>
      </w:r>
    </w:p>
    <w:p w14:paraId="7367BF9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539768F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（八）生效与公告</w:t>
      </w:r>
    </w:p>
    <w:p w14:paraId="1A9D648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基金份额持有人大会的决议，召集人应当自通过之日起5日内报中国证监会备案。</w:t>
      </w:r>
    </w:p>
    <w:p w14:paraId="4CADDC1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基金份额持有人大会的决议自表决通过之日起生效。</w:t>
      </w:r>
    </w:p>
    <w:p w14:paraId="015DD5D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基金份额持有人大会决议自生效之日起按规定在规定媒介上公告。如果采用通讯方式进行表决，在公告基金份额持有人大会决议时，必须将公证书全文、公证机构、公证员姓名等一同公告。</w:t>
      </w:r>
    </w:p>
    <w:p w14:paraId="5AF0C44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基金管理人、基金托管人和基金份额持有人应当执行生效的基金份额持有人大会的决议。生效的基金份额持有人大会决议对全体基金份额持有人、基金管理人、基金托管人均有约束力。</w:t>
      </w:r>
    </w:p>
    <w:p w14:paraId="6A3BD26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（九）实施侧袋机制期间基金份额持有人大会的特殊约定</w:t>
      </w:r>
    </w:p>
    <w:p w14:paraId="5AF0D1B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7C44F4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1、基金份额持有人行使提议权、召集权、提名权所需单独或合计代表相关基金份额10%以上（含10%）；</w:t>
      </w:r>
    </w:p>
    <w:p w14:paraId="341F389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2、现场开会的到会者在权益登记日代表的基金份额不少于本基金在权益登记日相关基金份额的二分之一（含二分之一）；</w:t>
      </w:r>
    </w:p>
    <w:p w14:paraId="626F1E9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3、通讯开会的直接出具表决意见或授权他人代表出具表决意见的基金份额持有人所持有的基金份额不小于在权益登记日相关基金份额的二分之一（含二分之一）；</w:t>
      </w:r>
    </w:p>
    <w:p w14:paraId="3DF1EA1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1C5E53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5、现场开会由出席大会的基金份额持有人和代理人所持表决权的50%以上（含50%）选举产生一名基金份额持有人作为该次基金份额持有人大会的主持人；</w:t>
      </w:r>
    </w:p>
    <w:p w14:paraId="46A0715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6、一般决议须经参加大会的基金份额持有人或其代理人所持表决权的二分之一以上（含二分之一）通过；</w:t>
      </w:r>
    </w:p>
    <w:p w14:paraId="5FBB2A1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7、特别决议应当经参加大会的基金份额持有人或其代理人所持表决权的三分之二以上（含三分之二）通过。</w:t>
      </w:r>
    </w:p>
    <w:p w14:paraId="148F3D2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7DD7A2F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侧袋机制实施期间，关于基金份额持有人大会的相关规定以本节特殊约定内容为准，本节没有规定的适用上文相关约定。</w:t>
      </w:r>
    </w:p>
    <w:p w14:paraId="1996C1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本部分关于基金份额持有人大会召开事由、召开条件、议事程序、表决条件等规定，凡是直接引用法律法规或监管规定的部分，如将来法律法规或监管规定修改导致相关内容被取消或变更的，基金管理人与基金托管人协商一致并提前公告后，可直接对本部分内容进行修改和调整，无需召开基金份额持有人大会审议。</w:t>
      </w:r>
    </w:p>
    <w:p w14:paraId="11DDB55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一）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14:paraId="4104D3C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14:paraId="39E7AC9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w:t>
      </w:r>
    </w:p>
    <w:p w14:paraId="52F583A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三、基金的收益与分配</w:t>
      </w:r>
    </w:p>
    <w:p w14:paraId="76EA3FA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（一）基金利润的构成</w:t>
      </w:r>
    </w:p>
    <w:p w14:paraId="5B56A19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基金利润指基金利息收入、投资收益、公允价值变动收益和其他收入扣除相关费用后的余额，基金已实现收益指基金利润减去公允价值变动收益后的余额。</w:t>
      </w:r>
    </w:p>
    <w:p w14:paraId="3B4B028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（二）基金可供分配利润</w:t>
      </w:r>
    </w:p>
    <w:p w14:paraId="4280DA6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基金可供分配利润指截至收益分配基准日基金未分配利润与未分配利润中已实现收益的孰低数。</w:t>
      </w:r>
    </w:p>
    <w:p w14:paraId="7F64549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（三）基金收益分配原则</w:t>
      </w:r>
    </w:p>
    <w:p w14:paraId="7FEC5A0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本基金收益分配应遵循下列原则：</w:t>
      </w:r>
    </w:p>
    <w:p w14:paraId="71887D8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011446E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2、基金收益分配后各类基金份额净值不能低于面值，即基金收益分配基准日的各类基金份额净值减去每单位该类基金份额收益分配金额后不能低于面值；</w:t>
      </w:r>
    </w:p>
    <w:p w14:paraId="5C08885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3、由于本基金A类基金份额不收取销售服务费，C类基金份额收取销售服务费，各基金份额类别对应的可分配收益将有所不同。本基金同一类别每一基金份额享有同等分配权；</w:t>
      </w:r>
    </w:p>
    <w:p w14:paraId="4A48C56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4、法律法规或监管机关另有规定的，从其规定。</w:t>
      </w:r>
    </w:p>
    <w:p w14:paraId="7D86F0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在不违反法律法规且对基金份额持有人利益无实质性不利影响的前提下，基金管理人可对基金收益分配的有关业务规则进行调整，并及时公告，此项调整不需要召开基金份额持有人大会。</w:t>
      </w:r>
    </w:p>
    <w:p w14:paraId="72A0A33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（四）收益分配方案</w:t>
      </w:r>
    </w:p>
    <w:p w14:paraId="046CEDE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基金收益分配方案中应载明截至收益分配基准日的可供分配利润、基金收益分配对象、分配时间、分配数额及比例、分配方式等内容。</w:t>
      </w:r>
    </w:p>
    <w:p w14:paraId="3F4699D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（五）收益分配方案的确定、公告与实施</w:t>
      </w:r>
    </w:p>
    <w:p w14:paraId="622BA9A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本基金收益分配方案由基金管理人拟定，并由基金托管人复核，</w:t>
      </w:r>
      <w:r>
        <w:rPr>
          <w:rFonts w:hint="eastAsia"/>
          <w:bCs/>
          <w:szCs w:val="21"/>
        </w:rPr>
        <w:t>依照《信息披露办法》的有关规定在规定媒介公告</w:t>
      </w:r>
      <w:r>
        <w:rPr>
          <w:rFonts w:hint="eastAsia" w:asciiTheme="minorEastAsia" w:hAnsiTheme="minorEastAsia" w:eastAsiaTheme="minorEastAsia"/>
        </w:rPr>
        <w:t>。</w:t>
      </w:r>
    </w:p>
    <w:p w14:paraId="433AF2B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（六）基金收益分配中发生的费用</w:t>
      </w:r>
    </w:p>
    <w:p w14:paraId="341D967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6534E9B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（七）实施侧袋机制期间的收益分配</w:t>
      </w:r>
    </w:p>
    <w:p w14:paraId="30671AB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本基金实施侧袋机制的，侧袋账户不进行收益分配，详见招募说明书的规定。</w:t>
      </w:r>
    </w:p>
    <w:p w14:paraId="206DB80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四、基金财产管理、运作有关费用的提取、支付方式与比例</w:t>
      </w:r>
    </w:p>
    <w:p w14:paraId="5938C17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（一）基金费用的种类</w:t>
      </w:r>
    </w:p>
    <w:p w14:paraId="3180081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1.基金管理人的管理费；</w:t>
      </w:r>
    </w:p>
    <w:p w14:paraId="7377071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2.基金托管人的托管费；</w:t>
      </w:r>
    </w:p>
    <w:p w14:paraId="3E32F7E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3.C类基金份额的销售服务费；</w:t>
      </w:r>
    </w:p>
    <w:p w14:paraId="1ABBA67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4.《基金合同》生效后与基金相关的信息披露费用，法律法规、中国证监会另有规定的除外；</w:t>
      </w:r>
    </w:p>
    <w:p w14:paraId="3606FD8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5.《基金合同》生效后与基金相关的会计师费、律师费、仲裁费、诉讼费和公证费；</w:t>
      </w:r>
    </w:p>
    <w:p w14:paraId="6F912AB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6.基金份额持有人大会费用；</w:t>
      </w:r>
    </w:p>
    <w:p w14:paraId="45B8E3E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7.基金的证券、期货、期权交易、结算费用；</w:t>
      </w:r>
    </w:p>
    <w:p w14:paraId="42CCA50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8.基金的银行汇划费用；</w:t>
      </w:r>
    </w:p>
    <w:p w14:paraId="51448D5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9.账户开户费用、账户维护费用；</w:t>
      </w:r>
    </w:p>
    <w:p w14:paraId="08366DE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10.因投资港股通标的股票而产生的各项合理费用；</w:t>
      </w:r>
    </w:p>
    <w:p w14:paraId="4A4E367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基金依照有关法律法规应当缴纳的，购买或处置证券有关的任何税收、征费、关税、印花税及预扣提税（以及与前述各项有关的任何利息及费用）（简称“税收”），及基金缴纳税收有关的手续费、汇款费、顾问费等；</w:t>
      </w:r>
    </w:p>
    <w:p w14:paraId="3D6F96E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12.基金投资目标ETF的相关费用；</w:t>
      </w:r>
    </w:p>
    <w:p w14:paraId="2D05E69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13.按照国家有关规定和《基金合同》约定，可以在基金财产中列支的其他费用。</w:t>
      </w:r>
    </w:p>
    <w:p w14:paraId="4632DEC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（二）基金费用计提方法、计提标准和支付方式</w:t>
      </w:r>
    </w:p>
    <w:p w14:paraId="05A15166">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基金管理人的管理费</w:t>
      </w:r>
    </w:p>
    <w:p w14:paraId="4B66616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本基金管理费按前一日基金资产净值的</w:t>
      </w:r>
      <w:r>
        <w:rPr>
          <w:rFonts w:asciiTheme="minorEastAsia" w:hAnsiTheme="minorEastAsia" w:eastAsiaTheme="minorEastAsia"/>
        </w:rPr>
        <w:t>0.</w:t>
      </w:r>
      <w:r>
        <w:rPr>
          <w:rFonts w:hint="eastAsia" w:asciiTheme="minorEastAsia" w:hAnsiTheme="minorEastAsia" w:eastAsiaTheme="minorEastAsia"/>
        </w:rPr>
        <w:t>50</w:t>
      </w:r>
      <w:r>
        <w:rPr>
          <w:rFonts w:asciiTheme="minorEastAsia" w:hAnsiTheme="minorEastAsia" w:eastAsiaTheme="minorEastAsia"/>
        </w:rPr>
        <w:t>%</w:t>
      </w:r>
      <w:r>
        <w:rPr>
          <w:rFonts w:hint="eastAsia" w:asciiTheme="minorEastAsia" w:hAnsiTheme="minorEastAsia" w:eastAsiaTheme="minorEastAsia"/>
        </w:rPr>
        <w:t>年费率计提。管理费的计算方法如下：</w:t>
      </w:r>
    </w:p>
    <w:p w14:paraId="7B990C0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w:t>
      </w:r>
      <w:r>
        <w:rPr>
          <w:rFonts w:asciiTheme="minorEastAsia" w:hAnsiTheme="minorEastAsia" w:eastAsiaTheme="minorEastAsia"/>
        </w:rPr>
        <w:t>E×年管理费率÷</w:t>
      </w:r>
      <w:r>
        <w:rPr>
          <w:rFonts w:hint="eastAsia" w:asciiTheme="minorEastAsia" w:hAnsiTheme="minorEastAsia" w:eastAsiaTheme="minorEastAsia"/>
        </w:rPr>
        <w:t>当年天数</w:t>
      </w:r>
    </w:p>
    <w:p w14:paraId="4196B96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为每日应计提的基金管理费</w:t>
      </w:r>
    </w:p>
    <w:p w14:paraId="2732683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E为前一日</w:t>
      </w:r>
      <w:r>
        <w:rPr>
          <w:rFonts w:hint="eastAsia" w:asciiTheme="minorEastAsia" w:hAnsiTheme="minorEastAsia" w:eastAsiaTheme="minorEastAsia"/>
        </w:rPr>
        <w:t>的</w:t>
      </w:r>
      <w:r>
        <w:rPr>
          <w:rFonts w:asciiTheme="minorEastAsia" w:hAnsiTheme="minorEastAsia" w:eastAsiaTheme="minorEastAsia"/>
        </w:rPr>
        <w:t>基金资产净值</w:t>
      </w:r>
    </w:p>
    <w:p w14:paraId="5CF28E1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w:t>
      </w:r>
      <w:r>
        <w:rPr>
          <w:rFonts w:asciiTheme="minorEastAsia" w:hAnsiTheme="minorEastAsia" w:eastAsiaTheme="minorEastAsia"/>
        </w:rPr>
        <w:t>管理人对本基金投资组合中投资于</w:t>
      </w:r>
      <w:r>
        <w:rPr>
          <w:rFonts w:hint="eastAsia" w:asciiTheme="minorEastAsia" w:hAnsiTheme="minorEastAsia" w:eastAsiaTheme="minorEastAsia"/>
        </w:rPr>
        <w:t>目标</w:t>
      </w:r>
      <w:r>
        <w:rPr>
          <w:rFonts w:asciiTheme="minorEastAsia" w:hAnsiTheme="minorEastAsia" w:eastAsiaTheme="minorEastAsia"/>
        </w:rPr>
        <w:t>ETF部分的基金资产净值不计提基金管理费。</w:t>
      </w:r>
    </w:p>
    <w:p w14:paraId="766A4AE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前一日的基金资产净值为已扣除本基金投资于</w:t>
      </w:r>
      <w:r>
        <w:rPr>
          <w:rFonts w:hint="eastAsia" w:asciiTheme="minorEastAsia" w:hAnsiTheme="minorEastAsia" w:eastAsiaTheme="minorEastAsia"/>
        </w:rPr>
        <w:t>目标</w:t>
      </w:r>
      <w:r>
        <w:rPr>
          <w:rFonts w:asciiTheme="minorEastAsia" w:hAnsiTheme="minorEastAsia" w:eastAsiaTheme="minorEastAsia"/>
        </w:rPr>
        <w:t>ETF部分基金资产净值后的净额，金额为负时以零计。</w:t>
      </w:r>
    </w:p>
    <w:p w14:paraId="4C49D94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基金管理费每日计算，逐日累计至每月月末，按月支付，经基金管理人与基金托管人双方核对无误后，基金托管人按照与基金管理人协商一致的方式于次月首日起</w:t>
      </w:r>
      <w:r>
        <w:rPr>
          <w:rFonts w:asciiTheme="minorEastAsia" w:hAnsiTheme="minorEastAsia" w:eastAsiaTheme="minorEastAsia"/>
        </w:rPr>
        <w:t>3</w:t>
      </w:r>
      <w:r>
        <w:rPr>
          <w:rFonts w:hint="eastAsia" w:asciiTheme="minorEastAsia" w:hAnsiTheme="minorEastAsia" w:eastAsiaTheme="minorEastAsia"/>
        </w:rPr>
        <w:t>个工作日内从基金财产中一次性支付给基金管理人。若遇法定节假日、公休日或不可抗力等致使无法按时支付的，支付日期顺延。</w:t>
      </w:r>
    </w:p>
    <w:p w14:paraId="67DA140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基金托管人的托管费</w:t>
      </w:r>
    </w:p>
    <w:p w14:paraId="0475872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基金托管费按前一日基金资产净值的</w:t>
      </w:r>
      <w:r>
        <w:rPr>
          <w:rFonts w:asciiTheme="minorEastAsia" w:hAnsiTheme="minorEastAsia" w:eastAsiaTheme="minorEastAsia"/>
        </w:rPr>
        <w:t>0.</w:t>
      </w:r>
      <w:r>
        <w:rPr>
          <w:rFonts w:hint="eastAsia" w:asciiTheme="minorEastAsia" w:hAnsiTheme="minorEastAsia" w:eastAsiaTheme="minorEastAsia"/>
        </w:rPr>
        <w:t>10</w:t>
      </w:r>
      <w:r>
        <w:rPr>
          <w:rFonts w:asciiTheme="minorEastAsia" w:hAnsiTheme="minorEastAsia" w:eastAsiaTheme="minorEastAsia"/>
        </w:rPr>
        <w:t>%</w:t>
      </w:r>
      <w:r>
        <w:rPr>
          <w:rFonts w:hint="eastAsia" w:asciiTheme="minorEastAsia" w:hAnsiTheme="minorEastAsia" w:eastAsiaTheme="minorEastAsia"/>
        </w:rPr>
        <w:t>年费率计提。托管费的计算方法如下：</w:t>
      </w:r>
    </w:p>
    <w:p w14:paraId="4595B28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w:t>
      </w:r>
      <w:r>
        <w:rPr>
          <w:rFonts w:asciiTheme="minorEastAsia" w:hAnsiTheme="minorEastAsia" w:eastAsiaTheme="minorEastAsia"/>
        </w:rPr>
        <w:t>E×年托管费率÷</w:t>
      </w:r>
      <w:r>
        <w:rPr>
          <w:rFonts w:hint="eastAsia" w:asciiTheme="minorEastAsia" w:hAnsiTheme="minorEastAsia" w:eastAsiaTheme="minorEastAsia"/>
        </w:rPr>
        <w:t>当年天数</w:t>
      </w:r>
    </w:p>
    <w:p w14:paraId="5E573B7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为每日应计提的基金托管费</w:t>
      </w:r>
    </w:p>
    <w:p w14:paraId="19D9AE6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E</w:t>
      </w:r>
      <w:r>
        <w:rPr>
          <w:rFonts w:hint="eastAsia" w:asciiTheme="minorEastAsia" w:hAnsiTheme="minorEastAsia" w:eastAsiaTheme="minorEastAsia"/>
        </w:rPr>
        <w:t>为前一日的基金资产净值</w:t>
      </w:r>
    </w:p>
    <w:p w14:paraId="5A6106A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w:t>
      </w:r>
      <w:r>
        <w:rPr>
          <w:rFonts w:asciiTheme="minorEastAsia" w:hAnsiTheme="minorEastAsia" w:eastAsiaTheme="minorEastAsia"/>
        </w:rPr>
        <w:t>托管人对本基金投资组合中投资于</w:t>
      </w:r>
      <w:r>
        <w:rPr>
          <w:rFonts w:hint="eastAsia" w:asciiTheme="minorEastAsia" w:hAnsiTheme="minorEastAsia" w:eastAsiaTheme="minorEastAsia"/>
        </w:rPr>
        <w:t>目标</w:t>
      </w:r>
      <w:r>
        <w:rPr>
          <w:rFonts w:asciiTheme="minorEastAsia" w:hAnsiTheme="minorEastAsia" w:eastAsiaTheme="minorEastAsia"/>
        </w:rPr>
        <w:t>ETF部分</w:t>
      </w:r>
      <w:r>
        <w:rPr>
          <w:rFonts w:hint="eastAsia" w:asciiTheme="minorEastAsia" w:hAnsiTheme="minorEastAsia" w:eastAsiaTheme="minorEastAsia"/>
        </w:rPr>
        <w:t>的</w:t>
      </w:r>
      <w:r>
        <w:rPr>
          <w:rFonts w:asciiTheme="minorEastAsia" w:hAnsiTheme="minorEastAsia" w:eastAsiaTheme="minorEastAsia"/>
        </w:rPr>
        <w:t>基金资产</w:t>
      </w:r>
      <w:r>
        <w:rPr>
          <w:rFonts w:hint="eastAsia" w:asciiTheme="minorEastAsia" w:hAnsiTheme="minorEastAsia" w:eastAsiaTheme="minorEastAsia"/>
        </w:rPr>
        <w:t>净值</w:t>
      </w:r>
      <w:r>
        <w:rPr>
          <w:rFonts w:asciiTheme="minorEastAsia" w:hAnsiTheme="minorEastAsia" w:eastAsiaTheme="minorEastAsia"/>
        </w:rPr>
        <w:t>不计提基金托管费。</w:t>
      </w:r>
    </w:p>
    <w:p w14:paraId="2E12474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前一日的基金资产净值为已扣除本基金投资于</w:t>
      </w:r>
      <w:r>
        <w:rPr>
          <w:rFonts w:hint="eastAsia" w:asciiTheme="minorEastAsia" w:hAnsiTheme="minorEastAsia" w:eastAsiaTheme="minorEastAsia"/>
        </w:rPr>
        <w:t>目标</w:t>
      </w:r>
      <w:r>
        <w:rPr>
          <w:rFonts w:asciiTheme="minorEastAsia" w:hAnsiTheme="minorEastAsia" w:eastAsiaTheme="minorEastAsia"/>
        </w:rPr>
        <w:t>ETF部分基金资产净值后的净额，金额为负时以零计。</w:t>
      </w:r>
    </w:p>
    <w:p w14:paraId="03114C6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基金托管费每日计算，逐日累计至每月月末，按月支付，经基金管理人与基金托管人双方核对无误后，基金托管人按照与基金管理人协商一致的方式于次月首日起</w:t>
      </w:r>
      <w:r>
        <w:rPr>
          <w:rFonts w:asciiTheme="minorEastAsia" w:hAnsiTheme="minorEastAsia" w:eastAsiaTheme="minorEastAsia"/>
        </w:rPr>
        <w:t>3</w:t>
      </w:r>
      <w:r>
        <w:rPr>
          <w:rFonts w:hint="eastAsia" w:asciiTheme="minorEastAsia" w:hAnsiTheme="minorEastAsia" w:eastAsiaTheme="minorEastAsia"/>
        </w:rPr>
        <w:t>个工作日内从基金财产中一次性支取。若遇法定节假日、公休日或不可抗力等致使无法按时支付的，支付日期顺延。</w:t>
      </w:r>
    </w:p>
    <w:p w14:paraId="17F4530C">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3.C类基金份额的</w:t>
      </w:r>
      <w:r>
        <w:rPr>
          <w:rFonts w:hint="eastAsia" w:asciiTheme="minorEastAsia" w:hAnsiTheme="minorEastAsia" w:eastAsiaTheme="minorEastAsia"/>
        </w:rPr>
        <w:t>销售服务费</w:t>
      </w:r>
    </w:p>
    <w:p w14:paraId="6640361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w:t>
      </w:r>
      <w:r>
        <w:rPr>
          <w:rFonts w:asciiTheme="minorEastAsia" w:hAnsiTheme="minorEastAsia" w:eastAsiaTheme="minorEastAsia"/>
        </w:rPr>
        <w:t>A类基金份额不收取销售服务费，C</w:t>
      </w:r>
      <w:r>
        <w:rPr>
          <w:rFonts w:hint="eastAsia" w:asciiTheme="minorEastAsia" w:hAnsiTheme="minorEastAsia" w:eastAsiaTheme="minorEastAsia"/>
        </w:rPr>
        <w:t>类基金份额的销售服务费年费率为</w:t>
      </w:r>
      <w:r>
        <w:rPr>
          <w:rFonts w:asciiTheme="minorEastAsia" w:hAnsiTheme="minorEastAsia" w:eastAsiaTheme="minorEastAsia"/>
        </w:rPr>
        <w:t>0.</w:t>
      </w:r>
      <w:r>
        <w:rPr>
          <w:rFonts w:hint="eastAsia" w:asciiTheme="minorEastAsia" w:hAnsiTheme="minorEastAsia" w:eastAsiaTheme="minorEastAsia"/>
        </w:rPr>
        <w:t>4</w:t>
      </w:r>
      <w:r>
        <w:rPr>
          <w:rFonts w:asciiTheme="minorEastAsia" w:hAnsiTheme="minorEastAsia" w:eastAsiaTheme="minorEastAsia"/>
        </w:rPr>
        <w:t>0%</w:t>
      </w:r>
      <w:r>
        <w:rPr>
          <w:rFonts w:hint="eastAsia" w:asciiTheme="minorEastAsia" w:hAnsiTheme="minorEastAsia" w:eastAsiaTheme="minorEastAsia"/>
        </w:rPr>
        <w:t>。</w:t>
      </w:r>
    </w:p>
    <w:p w14:paraId="212C087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本基金销售服务费按前一日</w:t>
      </w:r>
      <w:r>
        <w:rPr>
          <w:rFonts w:asciiTheme="minorEastAsia" w:hAnsiTheme="minorEastAsia" w:eastAsiaTheme="minorEastAsia"/>
        </w:rPr>
        <w:t>C</w:t>
      </w:r>
      <w:r>
        <w:rPr>
          <w:rFonts w:hint="eastAsia" w:asciiTheme="minorEastAsia" w:hAnsiTheme="minorEastAsia" w:eastAsiaTheme="minorEastAsia"/>
        </w:rPr>
        <w:t>类基金份额的基金资产净值的</w:t>
      </w:r>
      <w:r>
        <w:rPr>
          <w:rFonts w:asciiTheme="minorEastAsia" w:hAnsiTheme="minorEastAsia" w:eastAsiaTheme="minorEastAsia"/>
        </w:rPr>
        <w:t>0.</w:t>
      </w:r>
      <w:r>
        <w:rPr>
          <w:rFonts w:hint="eastAsia" w:asciiTheme="minorEastAsia" w:hAnsiTheme="minorEastAsia" w:eastAsiaTheme="minorEastAsia"/>
        </w:rPr>
        <w:t>4</w:t>
      </w:r>
      <w:r>
        <w:rPr>
          <w:rFonts w:asciiTheme="minorEastAsia" w:hAnsiTheme="minorEastAsia" w:eastAsiaTheme="minorEastAsia"/>
        </w:rPr>
        <w:t>0%</w:t>
      </w:r>
      <w:r>
        <w:rPr>
          <w:rFonts w:hint="eastAsia" w:asciiTheme="minorEastAsia" w:hAnsiTheme="minorEastAsia" w:eastAsiaTheme="minorEastAsia"/>
        </w:rPr>
        <w:t>年费率计提。销售服务费的计算方法如下：</w:t>
      </w:r>
      <w:r>
        <w:rPr>
          <w:rFonts w:asciiTheme="minorEastAsia" w:hAnsiTheme="minorEastAsia" w:eastAsiaTheme="minorEastAsia"/>
        </w:rPr>
        <w:t xml:space="preserve"> </w:t>
      </w:r>
    </w:p>
    <w:p w14:paraId="785AB12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H=E</w:t>
      </w:r>
      <w:r>
        <w:rPr>
          <w:rFonts w:hint="eastAsia" w:asciiTheme="minorEastAsia" w:hAnsiTheme="minorEastAsia" w:eastAsiaTheme="minorEastAsia"/>
        </w:rPr>
        <w:t>×年销售服务费率÷当年天数</w:t>
      </w:r>
    </w:p>
    <w:p w14:paraId="1F9EF47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H</w:t>
      </w:r>
      <w:r>
        <w:rPr>
          <w:rFonts w:hint="eastAsia" w:asciiTheme="minorEastAsia" w:hAnsiTheme="minorEastAsia" w:eastAsiaTheme="minorEastAsia"/>
        </w:rPr>
        <w:t>为</w:t>
      </w:r>
      <w:r>
        <w:rPr>
          <w:rFonts w:asciiTheme="minorEastAsia" w:hAnsiTheme="minorEastAsia" w:eastAsiaTheme="minorEastAsia"/>
        </w:rPr>
        <w:t>C</w:t>
      </w:r>
      <w:r>
        <w:rPr>
          <w:rFonts w:hint="eastAsia" w:asciiTheme="minorEastAsia" w:hAnsiTheme="minorEastAsia" w:eastAsiaTheme="minorEastAsia"/>
        </w:rPr>
        <w:t>类基金份额每日应计提的销售服务费</w:t>
      </w:r>
    </w:p>
    <w:p w14:paraId="4FEB152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E</w:t>
      </w:r>
      <w:r>
        <w:rPr>
          <w:rFonts w:hint="eastAsia" w:asciiTheme="minorEastAsia" w:hAnsiTheme="minorEastAsia" w:eastAsiaTheme="minorEastAsia"/>
        </w:rPr>
        <w:t>为</w:t>
      </w:r>
      <w:r>
        <w:rPr>
          <w:rFonts w:asciiTheme="minorEastAsia" w:hAnsiTheme="minorEastAsia" w:eastAsiaTheme="minorEastAsia"/>
        </w:rPr>
        <w:t>C</w:t>
      </w:r>
      <w:r>
        <w:rPr>
          <w:rFonts w:hint="eastAsia" w:asciiTheme="minorEastAsia" w:hAnsiTheme="minorEastAsia" w:eastAsiaTheme="minorEastAsia"/>
        </w:rPr>
        <w:t>类基金份额前一日基金资产净值</w:t>
      </w:r>
    </w:p>
    <w:p w14:paraId="2123A56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销售服务费每</w:t>
      </w:r>
      <w:r>
        <w:rPr>
          <w:rFonts w:asciiTheme="minorEastAsia" w:hAnsiTheme="minorEastAsia" w:eastAsiaTheme="minorEastAsia"/>
        </w:rPr>
        <w:t>日计</w:t>
      </w:r>
      <w:r>
        <w:rPr>
          <w:rFonts w:hint="eastAsia" w:asciiTheme="minorEastAsia" w:hAnsiTheme="minorEastAsia" w:eastAsiaTheme="minorEastAsia"/>
        </w:rPr>
        <w:t>算</w:t>
      </w:r>
      <w:r>
        <w:rPr>
          <w:rFonts w:asciiTheme="minorEastAsia" w:hAnsiTheme="minorEastAsia" w:eastAsiaTheme="minorEastAsia"/>
        </w:rPr>
        <w:t>，</w:t>
      </w:r>
      <w:r>
        <w:rPr>
          <w:rFonts w:hint="eastAsia" w:asciiTheme="minorEastAsia" w:hAnsiTheme="minorEastAsia" w:eastAsiaTheme="minorEastAsia"/>
        </w:rPr>
        <w:t>逐日累计至每月月末，</w:t>
      </w:r>
      <w:r>
        <w:rPr>
          <w:rFonts w:asciiTheme="minorEastAsia" w:hAnsiTheme="minorEastAsia" w:eastAsiaTheme="minorEastAsia"/>
        </w:rPr>
        <w:t>按月支付</w:t>
      </w:r>
      <w:r>
        <w:rPr>
          <w:rFonts w:hint="eastAsia" w:asciiTheme="minorEastAsia" w:hAnsiTheme="minorEastAsia" w:eastAsiaTheme="minorEastAsia"/>
        </w:rPr>
        <w:t>，经基金管理人与基金托管人双方核对无误后，基金托管人按照与基金管理人协商一致的方式于次月首日起</w:t>
      </w:r>
      <w:r>
        <w:rPr>
          <w:rFonts w:asciiTheme="minorEastAsia" w:hAnsiTheme="minorEastAsia" w:eastAsiaTheme="minorEastAsia"/>
        </w:rPr>
        <w:t>3</w:t>
      </w:r>
      <w:r>
        <w:rPr>
          <w:rFonts w:hint="eastAsia" w:asciiTheme="minorEastAsia" w:hAnsiTheme="minorEastAsia" w:eastAsiaTheme="minorEastAsia"/>
        </w:rPr>
        <w:t xml:space="preserve">个工作日内从基金财产中一次性划出，由登记机构代收，登记机构收到后按相关合同规定支付给基金销售机构。若遇法定节假日、公休日或不可抗力等致使无法按时支付的，支付日期顺延。 </w:t>
      </w:r>
    </w:p>
    <w:p w14:paraId="7C992CE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上述“（一）基金费用的种类”中第4－1</w:t>
      </w:r>
      <w:r>
        <w:rPr>
          <w:rFonts w:asciiTheme="minorEastAsia" w:hAnsiTheme="minorEastAsia" w:eastAsiaTheme="minorEastAsia"/>
        </w:rPr>
        <w:t>3</w:t>
      </w:r>
      <w:r>
        <w:rPr>
          <w:rFonts w:hint="eastAsia" w:asciiTheme="minorEastAsia" w:hAnsiTheme="minorEastAsia" w:eastAsiaTheme="minorEastAsia"/>
        </w:rPr>
        <w:t>项费用，根据有关法规及相应协议规定，按费用实际支出金额列入当期费用，由基金托管人从基金财产中支付。</w:t>
      </w:r>
    </w:p>
    <w:p w14:paraId="0CD26CB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（三）不列入基金费用的项目</w:t>
      </w:r>
      <w:r>
        <w:rPr>
          <w:rFonts w:hint="eastAsia" w:asciiTheme="minorEastAsia" w:hAnsiTheme="minorEastAsia" w:eastAsiaTheme="minorEastAsia"/>
        </w:rPr>
        <w:tab/>
      </w:r>
    </w:p>
    <w:p w14:paraId="3215396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1、基金管理人和基金托管人因未履行或未完全履行义务导致的费用支出或基金财产的损失；</w:t>
      </w:r>
    </w:p>
    <w:p w14:paraId="781A2B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2、基金管理人和基金托管人处理与基金运作无关的事项发生的费用；</w:t>
      </w:r>
    </w:p>
    <w:p w14:paraId="10CBC19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3、《基金合同》生效前的相关费用；</w:t>
      </w:r>
    </w:p>
    <w:p w14:paraId="04C7C6B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4、其他根据相关法律法规及中国证监会的有关规定不得列入基金费用的项目。</w:t>
      </w:r>
    </w:p>
    <w:p w14:paraId="43300AF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（四）实施侧袋机制期间的基金费用</w:t>
      </w:r>
    </w:p>
    <w:p w14:paraId="566B5CF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本基金实施侧袋机制的，与侧袋账户有关的费用可以从侧袋账户中列支，但应待侧袋账户资产变现后方可列支，有关费用可酌情收取或减免，但不得收取管理费，详见招募说明书的规定。</w:t>
      </w:r>
    </w:p>
    <w:p w14:paraId="3D9358F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（五）基金税收</w:t>
      </w:r>
    </w:p>
    <w:p w14:paraId="28DDCCE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3B8DA0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五、基金资产的投资范围和投资限制</w:t>
      </w:r>
    </w:p>
    <w:p w14:paraId="6DAC158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（一）投资范围</w:t>
      </w:r>
    </w:p>
    <w:p w14:paraId="03175B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rPr>
        <w:t>本基金主要投资于目标ETF、标的指数即恒生港股通红利指数成份股和备选成份股票（含存托凭证），为更好地实现基金的投资目标，本基金可能会</w:t>
      </w:r>
      <w:r>
        <w:rPr>
          <w:rFonts w:asciiTheme="minorEastAsia" w:hAnsiTheme="minorEastAsia" w:eastAsiaTheme="minorEastAsia"/>
        </w:rPr>
        <w:t>少量</w:t>
      </w:r>
      <w:r>
        <w:rPr>
          <w:rFonts w:hint="eastAsia" w:asciiTheme="minorEastAsia" w:hAnsiTheme="minorEastAsia" w:eastAsiaTheme="minorEastAsia"/>
        </w:rPr>
        <w:t>投资</w:t>
      </w:r>
      <w:r>
        <w:rPr>
          <w:rFonts w:asciiTheme="minorEastAsia" w:hAnsiTheme="minorEastAsia" w:eastAsiaTheme="minorEastAsia"/>
        </w:rPr>
        <w:t>于</w:t>
      </w:r>
      <w:r>
        <w:rPr>
          <w:rFonts w:hint="eastAsia" w:asciiTheme="minorEastAsia" w:hAnsiTheme="minorEastAsia"/>
          <w:color w:val="0D0D0D" w:themeColor="text1" w:themeTint="F2"/>
          <w14:textFill>
            <w14:solidFill>
              <w14:schemeClr w14:val="tx1">
                <w14:lumMod w14:val="95000"/>
                <w14:lumOff w14:val="5000"/>
              </w14:schemeClr>
            </w14:solidFill>
          </w14:textFill>
        </w:rPr>
        <w:t>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7F82992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本基金可根据相关法律法规和基金合同的约定参与融资和转融通证券出借业务。</w:t>
      </w:r>
    </w:p>
    <w:p w14:paraId="4F0D062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如法律法规或监管机构以后允许基金投资其他品种，基金管理人在履行适当程序后，可以将其纳入投资范围。</w:t>
      </w:r>
    </w:p>
    <w:p w14:paraId="1607F0D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于目标ETF的资产比例不低于基金资产净值的90%，股指期货、国债期货、股票期权及其他金融工具的投资比例依照法律法规或监管机构的规定执行。本基金每个交易日日终在扣除股指期货、国债期货和股票期权合约需缴纳的交易保证金后，对现金或者到期日在一年以内的政府债券的投资比例不低于基金资产净值的5%，其中，现金不包括结算备付金、存出保证金、应收申购款等。</w:t>
      </w:r>
    </w:p>
    <w:p w14:paraId="20A0007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如果法律法规或中国证监会变更投资品种的投资比例限制，基金管理人在履行适当程序后，可以调整上述投资品种的投资比例。</w:t>
      </w:r>
    </w:p>
    <w:p w14:paraId="3FDEC69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（二）投资限制</w:t>
      </w:r>
    </w:p>
    <w:p w14:paraId="32E7859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1、基金投资组合比例限制</w:t>
      </w:r>
    </w:p>
    <w:p w14:paraId="1A10C28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（1）本基金投资于目标ETF的资产比例不低于基金资产净值的90%；</w:t>
      </w:r>
    </w:p>
    <w:p w14:paraId="4CA07D7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每个交易日日终在扣除股指期货、国债期货和股票期权合约需缴纳的交易保证金后，本基金持有的现金或者到期日在一年以内的政府债券的比例不低于基金资产净值的5%，其中现金不包括结算备付金、存出保证金、应收申购款等；</w:t>
      </w:r>
    </w:p>
    <w:p w14:paraId="486C57B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（3）本基金投资于同一原始权益人的各类资产支持证券的比例，不得超过基金资产净值的10％；</w:t>
      </w:r>
    </w:p>
    <w:p w14:paraId="14E92A6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（4）本基金持有的全部资产支持证券，其市值不得超过基金资产净值的20％；</w:t>
      </w:r>
    </w:p>
    <w:p w14:paraId="5FC58AB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（5）本基金持有的同一(指同一信用级别)资产支持证券的比例，不得超过该资产支持证券规模的10％；</w:t>
      </w:r>
    </w:p>
    <w:p w14:paraId="551C51B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（6）本基金管理人管理的全部基金投资于同一原始权益人的各类资产支持证券，不得超过其各类资产支持证券合计规模的10％；</w:t>
      </w:r>
    </w:p>
    <w:p w14:paraId="2AE4454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（7）本基金应投资于信用级别评级为BBB以上(含BBB)的资产支持证券。基金持有资产支持证券期间，如果其信用等级下降、不再符合投资标准，应在评级报告发布之日起3个月内予以全部卖出；</w:t>
      </w:r>
    </w:p>
    <w:p w14:paraId="7761A73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（8）基金财产参与股票发行申购，本</w:t>
      </w:r>
      <w:r>
        <w:rPr>
          <w:rFonts w:asciiTheme="minorEastAsia" w:hAnsiTheme="minorEastAsia" w:eastAsiaTheme="minorEastAsia"/>
        </w:rPr>
        <w:t>基金</w:t>
      </w:r>
      <w:r>
        <w:rPr>
          <w:rFonts w:hint="eastAsia" w:asciiTheme="minorEastAsia" w:hAnsiTheme="minorEastAsia" w:eastAsiaTheme="minorEastAsia"/>
        </w:rPr>
        <w:t>所申报的金额不超过本基金的总资产，本基金所申报的股票数量不超过拟发行股票公司本次发行股票的总量；</w:t>
      </w:r>
    </w:p>
    <w:p w14:paraId="148A425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（9）本基金进入全国银行间同业市场进行债券回购的资金余额不得超过基金资产净值的40%，进入全国银行间同业市场进行债券回购的最长期限为1年，债券回购到期后不得展期；</w:t>
      </w:r>
    </w:p>
    <w:p w14:paraId="4B42923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（10）本基金参与股指期货和国债期货投资的，应遵循下列限制：</w:t>
      </w:r>
    </w:p>
    <w:p w14:paraId="45DE4FD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1）本基金在任何交易日日终，持有的买入股指期货合约价值，不得超过基金资产净值的10%；</w:t>
      </w:r>
    </w:p>
    <w:p w14:paraId="29D6AB6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2）在任何交易日日终，本基金持有的买入股指期货、国债期货合约价值和有价证券市值之和，不得超过基金资产净值的</w:t>
      </w:r>
      <w:r>
        <w:rPr>
          <w:rFonts w:asciiTheme="minorEastAsia" w:hAnsiTheme="minorEastAsia" w:eastAsiaTheme="minorEastAsia"/>
        </w:rPr>
        <w:t>100</w:t>
      </w:r>
      <w:r>
        <w:rPr>
          <w:rFonts w:hint="eastAsia" w:asciiTheme="minorEastAsia" w:hAnsiTheme="minorEastAsia" w:eastAsiaTheme="minorEastAsia"/>
        </w:rPr>
        <w:t>%；其中，有价证券指股票、债券（不含到期日在一年以内的政府债券）、资产支持证券、买入返售金融资产（不含质押式回购）等；</w:t>
      </w:r>
    </w:p>
    <w:p w14:paraId="1F1C827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3）本基金在任何交易日日终，持有的卖出股指期货合约价值不得超过基金持有的股票总市值的20%；</w:t>
      </w:r>
    </w:p>
    <w:p w14:paraId="4B50886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4）本基金在任何交易日内交易（不包括平仓）的股指期货合约的成交金额不得超过上一交易日基金资产净值的20%；</w:t>
      </w:r>
    </w:p>
    <w:p w14:paraId="65248B5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5）本基金所持有的股票市值和买入、卖出股指期货合约价值，合计（轧差计算）应当符合本基金合同关于股票投资比例的有关规定； </w:t>
      </w:r>
    </w:p>
    <w:p w14:paraId="0BDE549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6）本基金在任何交易日日终，持有的买入国债期货合约价值，不得超过基金资产净值的15%；</w:t>
      </w:r>
    </w:p>
    <w:p w14:paraId="46BF5C3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7）本基金在任何交易日日终，持有的卖出国债期货合约价值不得超过基金持有的债券总市值的30%；</w:t>
      </w:r>
    </w:p>
    <w:p w14:paraId="43A95EB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8）本基金在任何交易日内交易（不包括平仓）的国债期货合约的成交金额不得超过上一交易日基金资产净值的30%；</w:t>
      </w:r>
    </w:p>
    <w:p w14:paraId="05BAF81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9）本基金所持有的债券（不含到期日在一年以内的政府债券）市值和买入、卖出国债期货合约价值，合计（轧差计算）应当符合基金合同关于债券投资比例的有关约定；</w:t>
      </w:r>
    </w:p>
    <w:p w14:paraId="769ECE1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（11）本基金参与股票期权交易的，需遵守下列规定：</w:t>
      </w:r>
    </w:p>
    <w:p w14:paraId="45703BA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1）因未平仓的股票期权合约支付和收取的权利金总额不得超过基金资产净值的10%；</w:t>
      </w:r>
    </w:p>
    <w:p w14:paraId="72EBB7C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2）开仓卖出认购股票期权的，应持有足额标的证券；开仓卖出认沽股票期权的，应持有合约行权所需的全额现金或交易所规则认可的可冲抵股票期权保证金的现金等价物；</w:t>
      </w:r>
    </w:p>
    <w:p w14:paraId="1E7828A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3）未平仓的股票期权合约面值不得超过基金资产净值的 20%。其中，合约面值按照行权价乘以合约乘数计算；</w:t>
      </w:r>
    </w:p>
    <w:p w14:paraId="131E1A1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（12）本基金参与转融通证券出借交易的，需遵守下列规定：</w:t>
      </w:r>
    </w:p>
    <w:p w14:paraId="1CDC7F4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1）出借证券资产不得超过基金资产净值的 30%，出借期限在10个交易日以上的出借证券应纳入《流动性风险管理规定》所述流动性受限证券的范围； </w:t>
      </w:r>
    </w:p>
    <w:p w14:paraId="6BCFCFC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2）参与出借业务的单只证券不得超过基金持有该证券总量的50%；</w:t>
      </w:r>
    </w:p>
    <w:p w14:paraId="3EA202C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3）最近6个月内日均基金资产净值不得低于2亿元；</w:t>
      </w:r>
    </w:p>
    <w:p w14:paraId="090203D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4）证券出借的平均剩余期限不得超过30天，平均剩余期限按照市值加权平均计算；</w:t>
      </w:r>
    </w:p>
    <w:p w14:paraId="5963064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5）因证券市场波动、证券发行人合并、基金规模变动等基金管理人之外的因素致使基金投资不符合上述规定的，基金管理人不得新增出借业务；</w:t>
      </w:r>
    </w:p>
    <w:p w14:paraId="735B33C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13）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64E07CB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（14）本基金与私募类证券资管产品及中国证监会认定的其他主体为交易对手开展逆回购交易的，可接受质押品的资质要求应当与本基金合同约定的投资范围保持一致；</w:t>
      </w:r>
    </w:p>
    <w:p w14:paraId="50D2C5A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（15）本基金资产总值不超过基金资产净值的140%；</w:t>
      </w:r>
    </w:p>
    <w:p w14:paraId="0145EF7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6</w:t>
      </w:r>
      <w:r>
        <w:rPr>
          <w:rFonts w:hint="eastAsia" w:asciiTheme="minorEastAsia" w:hAnsiTheme="minorEastAsia" w:eastAsiaTheme="minorEastAsia"/>
        </w:rPr>
        <w:t>）本基金投资存托凭证的比例限制依照境内上市交易的股票执行；</w:t>
      </w:r>
    </w:p>
    <w:p w14:paraId="1375CE4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7</w:t>
      </w:r>
      <w:r>
        <w:rPr>
          <w:rFonts w:hint="eastAsia" w:asciiTheme="minorEastAsia" w:hAnsiTheme="minorEastAsia" w:eastAsiaTheme="minorEastAsia"/>
        </w:rPr>
        <w:t>）本基金参与融资的，每个交易日日终，本基金持有的融资买入股票与其他有价证券市值之和，不得超过基金资产净值的95%；</w:t>
      </w:r>
    </w:p>
    <w:p w14:paraId="03D4376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8</w:t>
      </w:r>
      <w:r>
        <w:rPr>
          <w:rFonts w:hint="eastAsia" w:asciiTheme="minorEastAsia" w:hAnsiTheme="minorEastAsia" w:eastAsiaTheme="minorEastAsia"/>
        </w:rPr>
        <w:t>）法律法规及中国证监会规定的和《基金合同》约定的其他投资限制。</w:t>
      </w:r>
    </w:p>
    <w:p w14:paraId="40F03F7D">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bCs/>
        </w:rPr>
        <w:t>因证券市场波动、基金规模变动等基金管理人之外的因素致使基金投资比例不符合上述第（1）项投资比例的，基金管理人应当在20个交易日内进行调整；</w:t>
      </w:r>
      <w:r>
        <w:rPr>
          <w:rFonts w:hint="eastAsia" w:asciiTheme="minorEastAsia" w:hAnsiTheme="minorEastAsia" w:eastAsiaTheme="minorEastAsia"/>
        </w:rPr>
        <w:t>除上述（1）、（2）、（7）、（12）、（13）、（14）情形之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法律法规另有规定的，从其规定。</w:t>
      </w:r>
    </w:p>
    <w:p w14:paraId="1FFF771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自基金合同生效之日起6个月内使基金的投资组合比例符合基金合同的有关约定。在上述期间内，本基金的投资范围、投资策略应当符合本基金合同的约定。基金托管人对基金的投资的监督与检查自基金合同生效之日起开始。</w:t>
      </w:r>
    </w:p>
    <w:p w14:paraId="2220959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如果法律法规对基金合同约定投资组合比例限制进行变更的，以变更后的规定为准。法律法规或监管部门取消上述限制，如适用于本基金，在履行适当程序后，则本基金投资不再受相关限制。</w:t>
      </w:r>
    </w:p>
    <w:p w14:paraId="4E02E8C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2、禁止行为</w:t>
      </w:r>
    </w:p>
    <w:p w14:paraId="5E3EAE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为维护基金份额持有人的合法权益，基金财产不得用于下列投资或者活动：</w:t>
      </w:r>
    </w:p>
    <w:p w14:paraId="6D386BB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（1）承销证券；</w:t>
      </w:r>
    </w:p>
    <w:p w14:paraId="4F25679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（2）违反规定向他人贷款或者提供担保；</w:t>
      </w:r>
    </w:p>
    <w:p w14:paraId="0FA7CEA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（3）从事承担无限责任的投资；</w:t>
      </w:r>
    </w:p>
    <w:p w14:paraId="051DD0A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（4）买卖除目标ETF外的其他基金份额，但是中国证监会另有规定的除外；</w:t>
      </w:r>
    </w:p>
    <w:p w14:paraId="37BBF8F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（5）向其基金管理人、基金托管人出资；</w:t>
      </w:r>
    </w:p>
    <w:p w14:paraId="1CBC574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（6）从事内幕交易、操纵证券交易价格及其他不正当的证券交易活动；</w:t>
      </w:r>
    </w:p>
    <w:p w14:paraId="0C263CB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（7）法律、行政法规和中国证监会规定禁止的其他活动。</w:t>
      </w:r>
    </w:p>
    <w:p w14:paraId="718BD0C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2D5E63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法律、行政法规或监管部门取消或变更上述限制，如适用于本基金，在履行适当程序后，则本基金投资不再受相关限制或按变更后的规定执行。</w:t>
      </w:r>
    </w:p>
    <w:p w14:paraId="66171DE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六、基金资产净值的计算方法和公告方式</w:t>
      </w:r>
    </w:p>
    <w:p w14:paraId="3DBD2B8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（一）基金资产净值的计算方式</w:t>
      </w:r>
    </w:p>
    <w:p w14:paraId="4EC52B33">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基金资产净值是指基金资产总值减去基金负债后的价值。</w:t>
      </w:r>
    </w:p>
    <w:p w14:paraId="5D6213F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（二）估值对象</w:t>
      </w:r>
    </w:p>
    <w:p w14:paraId="23C749E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基金所拥有的目标</w:t>
      </w:r>
      <w:r>
        <w:rPr>
          <w:rFonts w:asciiTheme="minorEastAsia" w:hAnsiTheme="minorEastAsia" w:eastAsiaTheme="minorEastAsia"/>
        </w:rPr>
        <w:t>ETF</w:t>
      </w:r>
      <w:r>
        <w:rPr>
          <w:rFonts w:hint="eastAsia" w:asciiTheme="minorEastAsia" w:hAnsiTheme="minorEastAsia" w:eastAsiaTheme="minorEastAsia"/>
        </w:rPr>
        <w:t>基金</w:t>
      </w:r>
      <w:r>
        <w:rPr>
          <w:rFonts w:asciiTheme="minorEastAsia" w:hAnsiTheme="minorEastAsia" w:eastAsiaTheme="minorEastAsia"/>
        </w:rPr>
        <w:t>份额、</w:t>
      </w:r>
      <w:r>
        <w:rPr>
          <w:rFonts w:hint="eastAsia" w:asciiTheme="minorEastAsia" w:hAnsiTheme="minorEastAsia" w:eastAsiaTheme="minorEastAsia"/>
        </w:rPr>
        <w:t>股票、债券、资产支持证券、国债期货合约、股指期货合约、股票期权合约和银行存款本息、应收款项、其它投资等资产及负债。</w:t>
      </w:r>
    </w:p>
    <w:p w14:paraId="3737AAE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三</w:t>
      </w:r>
      <w:r>
        <w:rPr>
          <w:rFonts w:asciiTheme="minorEastAsia" w:hAnsiTheme="minorEastAsia" w:eastAsiaTheme="minorEastAsia"/>
        </w:rPr>
        <w:t>）</w:t>
      </w:r>
      <w:r>
        <w:rPr>
          <w:rFonts w:hint="eastAsia" w:asciiTheme="minorEastAsia" w:hAnsiTheme="minorEastAsia" w:eastAsiaTheme="minorEastAsia"/>
        </w:rPr>
        <w:t>估值方法</w:t>
      </w:r>
    </w:p>
    <w:p w14:paraId="15273DF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1、本基金持有的目标ETF基金份额以其当日基金份额净值估值，当日无基金份额净值的，以最近工作日的基金份额净值估值。</w:t>
      </w:r>
    </w:p>
    <w:p w14:paraId="3D5125E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2、证券交易所上市的有价证券（目标ETF除外）的估值</w:t>
      </w:r>
    </w:p>
    <w:p w14:paraId="089BF55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DD45B2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）交易所市场上市交易或挂牌转让的固定收益品种（本合同另有约定的除外），选取估值日第三方估值机构提供的相应品种对应的估值净价估值，具体估值机构由基金管理人与基金托管人共同确定；</w:t>
      </w:r>
    </w:p>
    <w:p w14:paraId="26E3980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01F1CE1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交易所上市实行全价交易的固定收益品种（可转换债券除外），选取第三方估值机构提供的估值全价减去估值全价中所含的固定收益品种（税后）应收利息得到的净价进行估值；</w:t>
      </w:r>
    </w:p>
    <w:p w14:paraId="56C4FBE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（4）交易所上市不存在活跃市场的有价证券，采用估值技术确定公允价值。交易所上市的资产支持证券，采用估值技术确定公允价值，在估值技术难以可靠计量公允价值的情况下，按成本估值。</w:t>
      </w:r>
    </w:p>
    <w:p w14:paraId="55F60E0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3、处于未上市或者未挂牌期间的有价证券应区分如下情况处理：</w:t>
      </w:r>
    </w:p>
    <w:p w14:paraId="71DF33C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w:t>
      </w:r>
      <w:r>
        <w:rPr>
          <w:rFonts w:hint="eastAsia" w:asciiTheme="minorEastAsia" w:hAnsiTheme="minorEastAsia" w:eastAsiaTheme="minorEastAsia"/>
        </w:rPr>
        <w:t>）送股、转增股、配股和公开增发的新股，按估值日在证券交易所挂牌的同一股票的估值方法估值；该日无交易的，以最近一日的市价（收盘价）估值；</w:t>
      </w:r>
    </w:p>
    <w:p w14:paraId="3F438740">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）首次公开发行未上市或者未挂牌的股票、债券，采用估值技术确定公允价值，在估值技术难以可靠计量公允价值的情况下，按成本估值；</w:t>
      </w:r>
    </w:p>
    <w:p w14:paraId="201EC1F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17DCAD2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7D26F13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5、同一证券同时在两个或两个以上市场交易的，按证券所处的市场分别估值。</w:t>
      </w:r>
    </w:p>
    <w:p w14:paraId="6617E83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6、本基金投资股指期货合约、国债期货合约，一般以估值当日结算价进行估值，估值当日无结算价的，且最近交易日后经济环境未发生重大变化的，采用最近交易日结算价估值。</w:t>
      </w:r>
    </w:p>
    <w:p w14:paraId="0AA91FD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7、本基金投资股票期权，根据相关法律法规以及监管部门的规定估值。</w:t>
      </w:r>
    </w:p>
    <w:p w14:paraId="242EB95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8、本基金投资存托凭证的估值核算，依照境内上市交易的股票执行。</w:t>
      </w:r>
    </w:p>
    <w:p w14:paraId="5AAFC021">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9</w:t>
      </w:r>
      <w:r>
        <w:rPr>
          <w:rFonts w:hint="eastAsia" w:asciiTheme="minorEastAsia" w:hAnsiTheme="minorEastAsia" w:eastAsiaTheme="minorEastAsia"/>
        </w:rPr>
        <w:t>、本基金参与融资及转融通证券出借业务的，应参照行业协会的相关规定进行估值，确保估值的公允性。</w:t>
      </w:r>
    </w:p>
    <w:p w14:paraId="701BF42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10</w:t>
      </w:r>
      <w:r>
        <w:rPr>
          <w:rFonts w:hint="eastAsia" w:asciiTheme="minorEastAsia" w:hAnsiTheme="minorEastAsia" w:eastAsiaTheme="minorEastAsia"/>
        </w:rPr>
        <w:t>、汇率</w:t>
      </w:r>
    </w:p>
    <w:p w14:paraId="12956B3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761F4B7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11</w:t>
      </w:r>
      <w:r>
        <w:rPr>
          <w:rFonts w:hint="eastAsia" w:asciiTheme="minorEastAsia" w:hAnsiTheme="minorEastAsia" w:eastAsiaTheme="minorEastAsia"/>
        </w:rPr>
        <w:t>、当发生大额申购或赎回情形时，基金管理人可以采用摆动定价机制，以确保基金估值的公平性。具体处理原则与操作规范遵循相关法律法规以及监管部门、自律规则的规定。</w:t>
      </w:r>
    </w:p>
    <w:p w14:paraId="17D8032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2</w:t>
      </w:r>
      <w:r>
        <w:rPr>
          <w:rFonts w:hint="eastAsia" w:asciiTheme="minorEastAsia" w:hAnsiTheme="minorEastAsia" w:eastAsiaTheme="minorEastAsia"/>
        </w:rPr>
        <w:t>、如有确凿证据表明按上述方法进行估值不能客观反映其公允价值的，基金管理人可根据具体情况与基金托管人商定后，按最能反映公允价值的价格估值。</w:t>
      </w:r>
    </w:p>
    <w:p w14:paraId="17912CE5">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13</w:t>
      </w:r>
      <w:r>
        <w:rPr>
          <w:rFonts w:hint="eastAsia" w:asciiTheme="minorEastAsia" w:hAnsiTheme="minorEastAsia" w:eastAsiaTheme="minorEastAsia"/>
        </w:rPr>
        <w:t>、相关法律法规以及监管部门有强制规定的，从其规定。如有新增事项，按国家最新规定估值。</w:t>
      </w:r>
    </w:p>
    <w:p w14:paraId="19D1F44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如基金管理人或基金托管人发现基金估值违反基金合同订明的估值方法、程序及相关法律法规的规定或者未能充分维护基金份额持有人利益时，应立即通知对方，共同查明原因，双方协商解决。</w:t>
      </w:r>
    </w:p>
    <w:p w14:paraId="17F14C8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970E83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（四）公告方式</w:t>
      </w:r>
    </w:p>
    <w:p w14:paraId="08187C8F">
      <w:pPr>
        <w:spacing w:line="360" w:lineRule="auto"/>
        <w:ind w:firstLine="420" w:firstLineChars="200"/>
        <w:rPr>
          <w:bCs/>
          <w:szCs w:val="21"/>
        </w:rPr>
      </w:pPr>
      <w:r>
        <w:rPr>
          <w:bCs/>
          <w:szCs w:val="21"/>
        </w:rPr>
        <w:t>《基金合同》生效后，在开始办理基金份额申购或者赎回前，基金管理人应当至少每周</w:t>
      </w:r>
      <w:r>
        <w:rPr>
          <w:rFonts w:hint="eastAsia"/>
          <w:bCs/>
          <w:szCs w:val="21"/>
        </w:rPr>
        <w:t>在</w:t>
      </w:r>
      <w:r>
        <w:rPr>
          <w:bCs/>
          <w:szCs w:val="21"/>
        </w:rPr>
        <w:t>规定网站披露一次</w:t>
      </w:r>
      <w:r>
        <w:rPr>
          <w:rFonts w:hint="eastAsia"/>
          <w:bCs/>
          <w:szCs w:val="21"/>
        </w:rPr>
        <w:t>各类</w:t>
      </w:r>
      <w:r>
        <w:rPr>
          <w:bCs/>
          <w:szCs w:val="21"/>
        </w:rPr>
        <w:t>基金</w:t>
      </w:r>
      <w:r>
        <w:rPr>
          <w:rFonts w:hint="eastAsia"/>
          <w:bCs/>
          <w:szCs w:val="21"/>
        </w:rPr>
        <w:t>份额</w:t>
      </w:r>
      <w:r>
        <w:rPr>
          <w:bCs/>
          <w:szCs w:val="21"/>
        </w:rPr>
        <w:t>净值和</w:t>
      </w:r>
      <w:r>
        <w:rPr>
          <w:rFonts w:hint="eastAsia"/>
          <w:bCs/>
          <w:szCs w:val="21"/>
        </w:rPr>
        <w:t>各类</w:t>
      </w:r>
      <w:r>
        <w:rPr>
          <w:bCs/>
          <w:szCs w:val="21"/>
        </w:rPr>
        <w:t>基金</w:t>
      </w:r>
      <w:r>
        <w:rPr>
          <w:rFonts w:hint="eastAsia"/>
          <w:bCs/>
          <w:szCs w:val="21"/>
        </w:rPr>
        <w:t>份额累计</w:t>
      </w:r>
      <w:r>
        <w:rPr>
          <w:bCs/>
          <w:szCs w:val="21"/>
        </w:rPr>
        <w:t>净值。</w:t>
      </w:r>
    </w:p>
    <w:p w14:paraId="0492E4ED">
      <w:pPr>
        <w:spacing w:line="360" w:lineRule="auto"/>
        <w:ind w:firstLine="420" w:firstLineChars="200"/>
        <w:rPr>
          <w:bCs/>
          <w:szCs w:val="21"/>
        </w:rPr>
      </w:pPr>
      <w:r>
        <w:rPr>
          <w:bCs/>
          <w:szCs w:val="21"/>
        </w:rPr>
        <w:t>在开始办理基金份额申购或者赎回后，基金管理人应当在</w:t>
      </w:r>
      <w:r>
        <w:rPr>
          <w:rFonts w:hint="eastAsia"/>
          <w:bCs/>
          <w:szCs w:val="21"/>
        </w:rPr>
        <w:t>不晚于</w:t>
      </w:r>
      <w:r>
        <w:rPr>
          <w:bCs/>
          <w:szCs w:val="21"/>
        </w:rPr>
        <w:t>每个开放日的次日，通过</w:t>
      </w:r>
      <w:r>
        <w:rPr>
          <w:rFonts w:hint="eastAsia"/>
          <w:bCs/>
          <w:szCs w:val="21"/>
        </w:rPr>
        <w:t>其</w:t>
      </w:r>
      <w:r>
        <w:rPr>
          <w:bCs/>
          <w:szCs w:val="21"/>
        </w:rPr>
        <w:t>规定网站、基金销售机构网站或营业网点披露开放日的</w:t>
      </w:r>
      <w:r>
        <w:rPr>
          <w:rFonts w:hint="eastAsia"/>
          <w:bCs/>
          <w:szCs w:val="21"/>
        </w:rPr>
        <w:t>各类</w:t>
      </w:r>
      <w:r>
        <w:rPr>
          <w:bCs/>
          <w:szCs w:val="21"/>
        </w:rPr>
        <w:t>基金份额净值和</w:t>
      </w:r>
      <w:r>
        <w:rPr>
          <w:rFonts w:hint="eastAsia"/>
          <w:bCs/>
          <w:szCs w:val="21"/>
        </w:rPr>
        <w:t>各类</w:t>
      </w:r>
      <w:r>
        <w:rPr>
          <w:bCs/>
          <w:szCs w:val="21"/>
        </w:rPr>
        <w:t>基金份额累计净值。</w:t>
      </w:r>
    </w:p>
    <w:p w14:paraId="1B8FE80E">
      <w:pPr>
        <w:adjustRightInd w:val="0"/>
        <w:snapToGrid w:val="0"/>
        <w:spacing w:line="360" w:lineRule="auto"/>
        <w:ind w:firstLine="420" w:firstLineChars="200"/>
        <w:rPr>
          <w:rFonts w:asciiTheme="minorEastAsia" w:hAnsiTheme="minorEastAsia" w:eastAsiaTheme="minorEastAsia"/>
        </w:rPr>
      </w:pPr>
      <w:r>
        <w:rPr>
          <w:bCs/>
          <w:szCs w:val="21"/>
        </w:rPr>
        <w:t>基金管理人应</w:t>
      </w:r>
      <w:r>
        <w:rPr>
          <w:rFonts w:hint="eastAsia"/>
          <w:bCs/>
          <w:szCs w:val="21"/>
        </w:rPr>
        <w:t>在</w:t>
      </w:r>
      <w:r>
        <w:rPr>
          <w:bCs/>
          <w:szCs w:val="21"/>
        </w:rPr>
        <w:t>不晚于半年度和年度最后一日</w:t>
      </w:r>
      <w:r>
        <w:rPr>
          <w:rFonts w:hint="eastAsia"/>
          <w:bCs/>
          <w:szCs w:val="21"/>
        </w:rPr>
        <w:t>的</w:t>
      </w:r>
      <w:r>
        <w:rPr>
          <w:bCs/>
          <w:szCs w:val="21"/>
        </w:rPr>
        <w:t>次日，在</w:t>
      </w:r>
      <w:r>
        <w:rPr>
          <w:rFonts w:hint="eastAsia"/>
          <w:bCs/>
          <w:szCs w:val="21"/>
        </w:rPr>
        <w:t>规定</w:t>
      </w:r>
      <w:r>
        <w:rPr>
          <w:bCs/>
          <w:szCs w:val="21"/>
        </w:rPr>
        <w:t>网站披露半年度和年度最后一日的</w:t>
      </w:r>
      <w:r>
        <w:rPr>
          <w:rFonts w:hint="eastAsia"/>
          <w:bCs/>
          <w:szCs w:val="21"/>
        </w:rPr>
        <w:t>各类</w:t>
      </w:r>
      <w:r>
        <w:rPr>
          <w:bCs/>
          <w:szCs w:val="21"/>
        </w:rPr>
        <w:t>基金</w:t>
      </w:r>
      <w:r>
        <w:rPr>
          <w:rFonts w:hint="eastAsia"/>
          <w:bCs/>
          <w:szCs w:val="21"/>
        </w:rPr>
        <w:t>份额</w:t>
      </w:r>
      <w:r>
        <w:rPr>
          <w:bCs/>
          <w:szCs w:val="21"/>
        </w:rPr>
        <w:t>净值和</w:t>
      </w:r>
      <w:r>
        <w:rPr>
          <w:rFonts w:hint="eastAsia"/>
          <w:bCs/>
          <w:szCs w:val="21"/>
        </w:rPr>
        <w:t>各类</w:t>
      </w:r>
      <w:r>
        <w:rPr>
          <w:bCs/>
          <w:szCs w:val="21"/>
        </w:rPr>
        <w:t>基金</w:t>
      </w:r>
      <w:r>
        <w:rPr>
          <w:rFonts w:hint="eastAsia"/>
          <w:bCs/>
          <w:szCs w:val="21"/>
        </w:rPr>
        <w:t>份额累计</w:t>
      </w:r>
      <w:r>
        <w:rPr>
          <w:bCs/>
          <w:szCs w:val="21"/>
        </w:rPr>
        <w:t>净值。</w:t>
      </w:r>
    </w:p>
    <w:p w14:paraId="3E357D2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w:t>
      </w:r>
      <w:r>
        <w:rPr>
          <w:rFonts w:asciiTheme="minorEastAsia" w:hAnsiTheme="minorEastAsia" w:eastAsiaTheme="minorEastAsia"/>
        </w:rPr>
        <w:t>基金合同的变更、终止与基金财产的清算</w:t>
      </w:r>
    </w:p>
    <w:p w14:paraId="14EE79F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（一）《基金合同》的变更</w:t>
      </w:r>
    </w:p>
    <w:p w14:paraId="7E3FEAAB">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1D9A5ED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2、关于《基金合同》变更的基金份额持有人大会决议自生效后方可执行，并自决议生效后按规定在规定媒介公告。</w:t>
      </w:r>
    </w:p>
    <w:p w14:paraId="5F6F9FC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（二）《基金合同》的终止事由</w:t>
      </w:r>
    </w:p>
    <w:p w14:paraId="53984F7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有下列情形之一的，经履行相关程序后，《基金合同》应当终止：</w:t>
      </w:r>
    </w:p>
    <w:p w14:paraId="708D073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1、基金份额持有人大会决定终止的；</w:t>
      </w:r>
    </w:p>
    <w:p w14:paraId="484E20E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2、基金管理人、基金托管人职责终止，在6个月内没有新基金管理人、新基金托管人承接的；</w:t>
      </w:r>
    </w:p>
    <w:p w14:paraId="5D8730AD">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3710B770">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、《基金合同》约定的其他情形；</w:t>
      </w:r>
    </w:p>
    <w:p w14:paraId="3A2C7ACE">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、相关法律法规和中国证监会规定的其他情况。</w:t>
      </w:r>
    </w:p>
    <w:p w14:paraId="0ECFDFA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（三）基金财产的清算</w:t>
      </w:r>
    </w:p>
    <w:p w14:paraId="67517F0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1、基金财产清算小组：自出现《基金合同》终止事由之日起30个工作日内成立基金财产清算小组，基金管理人组织基金财产清算小组并在中国证监会的监督下进行基金清算。</w:t>
      </w:r>
    </w:p>
    <w:p w14:paraId="47C94F0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48662CA3">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3、基金财产清算小组职责：基金财产清算小组负责基金财产的保管、清理、估价、变现和分配。基金财产清算小组可以依法进行必要的民事活动。</w:t>
      </w:r>
    </w:p>
    <w:p w14:paraId="1913D741">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4、基金财产清算程序：</w:t>
      </w:r>
    </w:p>
    <w:p w14:paraId="290065A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（1）《基金合同》终止情形出现时，由基金财产清算小组统一接管基金；</w:t>
      </w:r>
    </w:p>
    <w:p w14:paraId="30811AD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（2）对基金财产和债权债务进行清理和确认；</w:t>
      </w:r>
    </w:p>
    <w:p w14:paraId="1DD4D25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（3）对基金财产进行估值和变现；</w:t>
      </w:r>
    </w:p>
    <w:p w14:paraId="662D73B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（4）制作清算报告；</w:t>
      </w:r>
    </w:p>
    <w:p w14:paraId="6491BA1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（5）聘请会计师事务所对清算报告进行外部审计，聘请律师事务所对清算报告出具法律意见书；</w:t>
      </w:r>
    </w:p>
    <w:p w14:paraId="44D9143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（6）将清算报告报中国证监会备案并公告；</w:t>
      </w:r>
    </w:p>
    <w:p w14:paraId="428F93CE">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（7）对基金剩余财产进行分配。</w:t>
      </w:r>
    </w:p>
    <w:p w14:paraId="2D7C7F2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5、基金财产清算的期限为6个月，但因本基金所持证券的流动性受到限制而不能及时变现的，清算期限相应顺延。</w:t>
      </w:r>
    </w:p>
    <w:p w14:paraId="3F7C5D74">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（四）清算费用</w:t>
      </w:r>
    </w:p>
    <w:p w14:paraId="325FE0DA">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清算费用是指基金财产清算小组在进行基金清算过程中发生的所有合理费用，清算费用由基金财产清算小组优先从基金财产中支付。</w:t>
      </w:r>
    </w:p>
    <w:p w14:paraId="08764662">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（五）基金财产清算剩余资产的分配</w:t>
      </w:r>
    </w:p>
    <w:p w14:paraId="45D0D97F">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依据基金财产清算的分配方案，将基金财产清算后的全部剩余资产扣除基金财产清算费用、交纳所欠税款并清偿基金债务后，按基金份额持有人持有的基金份额比例进行分配。</w:t>
      </w:r>
    </w:p>
    <w:p w14:paraId="6F704FE9">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（六）基金财产清算的公告</w:t>
      </w:r>
    </w:p>
    <w:p w14:paraId="1AF07B95">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159333B6">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（七）基金财产清算账册及文件的保存</w:t>
      </w:r>
    </w:p>
    <w:p w14:paraId="325C3557">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基金财产清算账册及有关文件由基金托管人保存</w:t>
      </w:r>
      <w:r>
        <w:rPr>
          <w:rFonts w:asciiTheme="minorEastAsia" w:hAnsiTheme="minorEastAsia" w:eastAsiaTheme="minorEastAsia"/>
        </w:rPr>
        <w:t>20</w:t>
      </w:r>
      <w:r>
        <w:rPr>
          <w:rFonts w:hint="eastAsia" w:asciiTheme="minorEastAsia" w:hAnsiTheme="minorEastAsia" w:eastAsiaTheme="minorEastAsia"/>
        </w:rPr>
        <w:t>年以上，法律法规或监管规则另有规定的从其规定。</w:t>
      </w:r>
    </w:p>
    <w:p w14:paraId="78840EDC">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八、争议的处理</w:t>
      </w:r>
    </w:p>
    <w:p w14:paraId="44A3A58F">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对于</w:t>
      </w:r>
      <w:r>
        <w:rPr>
          <w:rFonts w:hint="eastAsia" w:asciiTheme="minorEastAsia" w:hAnsiTheme="minorEastAsia" w:eastAsiaTheme="minorEastAsia"/>
        </w:rPr>
        <w:t>因</w:t>
      </w:r>
      <w:r>
        <w:rPr>
          <w:rFonts w:asciiTheme="minorEastAsia" w:hAnsiTheme="minorEastAsia" w:eastAsiaTheme="minorEastAsia"/>
        </w:rPr>
        <w:t>基金合同的订立、内容、履行和解释</w:t>
      </w:r>
      <w:r>
        <w:rPr>
          <w:rFonts w:hint="eastAsia" w:asciiTheme="minorEastAsia" w:hAnsiTheme="minorEastAsia" w:eastAsiaTheme="minorEastAsia"/>
        </w:rPr>
        <w:t>或与</w:t>
      </w:r>
      <w:r>
        <w:rPr>
          <w:rFonts w:asciiTheme="minorEastAsia" w:hAnsiTheme="minorEastAsia" w:eastAsiaTheme="minorEastAsia"/>
        </w:rPr>
        <w:t>基金合同</w:t>
      </w:r>
      <w:r>
        <w:rPr>
          <w:rFonts w:hint="eastAsia" w:asciiTheme="minorEastAsia" w:hAnsiTheme="minorEastAsia" w:eastAsiaTheme="minorEastAsia"/>
        </w:rPr>
        <w:t>有关的争议，</w:t>
      </w:r>
      <w:r>
        <w:rPr>
          <w:rFonts w:asciiTheme="minorEastAsia" w:hAnsiTheme="minorEastAsia" w:eastAsiaTheme="minorEastAsia"/>
        </w:rPr>
        <w:t>基金合同当事人应尽量通过</w:t>
      </w:r>
      <w:r>
        <w:rPr>
          <w:rFonts w:hint="eastAsia" w:asciiTheme="minorEastAsia" w:hAnsiTheme="minorEastAsia" w:eastAsiaTheme="minorEastAsia"/>
        </w:rPr>
        <w:t>协商</w:t>
      </w:r>
      <w:r>
        <w:rPr>
          <w:rFonts w:asciiTheme="minorEastAsia" w:hAnsiTheme="minorEastAsia" w:eastAsiaTheme="minorEastAsia"/>
        </w:rPr>
        <w:t>、调解途径解决。不愿或者不能通过协商、调解</w:t>
      </w:r>
      <w:r>
        <w:rPr>
          <w:rFonts w:hint="eastAsia" w:asciiTheme="minorEastAsia" w:hAnsiTheme="minorEastAsia" w:eastAsiaTheme="minorEastAsia"/>
        </w:rPr>
        <w:t>解决的，</w:t>
      </w:r>
      <w:r>
        <w:rPr>
          <w:rFonts w:asciiTheme="minorEastAsia" w:hAnsiTheme="minorEastAsia" w:eastAsiaTheme="minorEastAsia"/>
        </w:rPr>
        <w:t>任何一方均有权将争议</w:t>
      </w:r>
      <w:r>
        <w:rPr>
          <w:rFonts w:hint="eastAsia" w:asciiTheme="minorEastAsia" w:hAnsiTheme="minorEastAsia" w:eastAsiaTheme="minorEastAsia"/>
        </w:rPr>
        <w:t>提交中国国际经济贸易仲裁委员会</w:t>
      </w:r>
      <w:r>
        <w:rPr>
          <w:rFonts w:asciiTheme="minorEastAsia" w:hAnsiTheme="minorEastAsia" w:eastAsiaTheme="minorEastAsia"/>
        </w:rPr>
        <w:t>，</w:t>
      </w:r>
      <w:r>
        <w:rPr>
          <w:rFonts w:hint="eastAsia" w:asciiTheme="minorEastAsia" w:hAnsiTheme="minorEastAsia" w:eastAsiaTheme="minorEastAsia"/>
        </w:rPr>
        <w:t>按照其</w:t>
      </w:r>
      <w:r>
        <w:rPr>
          <w:rFonts w:asciiTheme="minorEastAsia" w:hAnsiTheme="minorEastAsia" w:eastAsiaTheme="minorEastAsia"/>
        </w:rPr>
        <w:t>届时有效</w:t>
      </w:r>
      <w:r>
        <w:rPr>
          <w:rFonts w:hint="eastAsia" w:asciiTheme="minorEastAsia" w:hAnsiTheme="minorEastAsia" w:eastAsiaTheme="minorEastAsia"/>
        </w:rPr>
        <w:t>的仲裁</w:t>
      </w:r>
      <w:r>
        <w:rPr>
          <w:rFonts w:asciiTheme="minorEastAsia" w:hAnsiTheme="minorEastAsia" w:eastAsiaTheme="minorEastAsia"/>
        </w:rPr>
        <w:t>规则进行仲裁。</w:t>
      </w:r>
      <w:r>
        <w:rPr>
          <w:rFonts w:hint="eastAsia" w:asciiTheme="minorEastAsia" w:hAnsiTheme="minorEastAsia" w:eastAsiaTheme="minorEastAsia"/>
        </w:rPr>
        <w:t>仲裁地点</w:t>
      </w:r>
      <w:r>
        <w:rPr>
          <w:rFonts w:asciiTheme="minorEastAsia" w:hAnsiTheme="minorEastAsia" w:eastAsiaTheme="minorEastAsia"/>
        </w:rPr>
        <w:t>为</w:t>
      </w:r>
      <w:r>
        <w:rPr>
          <w:rFonts w:hint="eastAsia" w:asciiTheme="minorEastAsia" w:hAnsiTheme="minorEastAsia" w:eastAsiaTheme="minorEastAsia"/>
        </w:rPr>
        <w:t>北京</w:t>
      </w:r>
      <w:r>
        <w:rPr>
          <w:rFonts w:asciiTheme="minorEastAsia" w:hAnsiTheme="minorEastAsia" w:eastAsiaTheme="minorEastAsia"/>
        </w:rPr>
        <w:t>市。仲裁裁决是终局</w:t>
      </w:r>
      <w:r>
        <w:rPr>
          <w:rFonts w:hint="eastAsia" w:asciiTheme="minorEastAsia" w:hAnsiTheme="minorEastAsia" w:eastAsiaTheme="minorEastAsia"/>
        </w:rPr>
        <w:t>的</w:t>
      </w:r>
      <w:r>
        <w:rPr>
          <w:rFonts w:asciiTheme="minorEastAsia" w:hAnsiTheme="minorEastAsia" w:eastAsiaTheme="minorEastAsia"/>
        </w:rPr>
        <w:t>，对各方当事人均有约束力</w:t>
      </w:r>
      <w:r>
        <w:rPr>
          <w:rFonts w:hint="eastAsia" w:asciiTheme="minorEastAsia" w:hAnsiTheme="minorEastAsia" w:eastAsiaTheme="minorEastAsia"/>
        </w:rPr>
        <w:t>。除裁决另有规定的，</w:t>
      </w:r>
      <w:r>
        <w:rPr>
          <w:rFonts w:asciiTheme="minorEastAsia" w:hAnsiTheme="minorEastAsia" w:eastAsiaTheme="minorEastAsia"/>
        </w:rPr>
        <w:t>仲裁费用由败诉方承担。</w:t>
      </w:r>
    </w:p>
    <w:p w14:paraId="1408F527">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争议处理期间，</w:t>
      </w:r>
      <w:r>
        <w:rPr>
          <w:rFonts w:hint="eastAsia" w:asciiTheme="minorEastAsia" w:hAnsiTheme="minorEastAsia" w:eastAsiaTheme="minorEastAsia"/>
        </w:rPr>
        <w:t>基金</w:t>
      </w:r>
      <w:r>
        <w:rPr>
          <w:rFonts w:asciiTheme="minorEastAsia" w:hAnsiTheme="minorEastAsia" w:eastAsiaTheme="minorEastAsia"/>
        </w:rPr>
        <w:t>合同</w:t>
      </w:r>
      <w:r>
        <w:rPr>
          <w:rFonts w:hint="eastAsia" w:asciiTheme="minorEastAsia" w:hAnsiTheme="minorEastAsia" w:eastAsiaTheme="minorEastAsia"/>
        </w:rPr>
        <w:t>当事人</w:t>
      </w:r>
      <w:r>
        <w:rPr>
          <w:rFonts w:asciiTheme="minorEastAsia" w:hAnsiTheme="minorEastAsia" w:eastAsiaTheme="minorEastAsia"/>
        </w:rPr>
        <w:t>应恪守各自</w:t>
      </w:r>
      <w:r>
        <w:rPr>
          <w:rFonts w:hint="eastAsia" w:asciiTheme="minorEastAsia" w:hAnsiTheme="minorEastAsia" w:eastAsiaTheme="minorEastAsia"/>
        </w:rPr>
        <w:t>的</w:t>
      </w:r>
      <w:r>
        <w:rPr>
          <w:rFonts w:asciiTheme="minorEastAsia" w:hAnsiTheme="minorEastAsia" w:eastAsiaTheme="minorEastAsia"/>
        </w:rPr>
        <w:t>职责，继续忠实、勤勉、尽责地履行基金合同规定</w:t>
      </w:r>
      <w:r>
        <w:rPr>
          <w:rFonts w:hint="eastAsia" w:asciiTheme="minorEastAsia" w:hAnsiTheme="minorEastAsia" w:eastAsiaTheme="minorEastAsia"/>
        </w:rPr>
        <w:t>的</w:t>
      </w:r>
      <w:r>
        <w:rPr>
          <w:rFonts w:asciiTheme="minorEastAsia" w:hAnsiTheme="minorEastAsia" w:eastAsiaTheme="minorEastAsia"/>
        </w:rPr>
        <w:t>义务，维护基金份额持有人</w:t>
      </w:r>
      <w:r>
        <w:rPr>
          <w:rFonts w:hint="eastAsia" w:asciiTheme="minorEastAsia" w:hAnsiTheme="minorEastAsia" w:eastAsiaTheme="minorEastAsia"/>
        </w:rPr>
        <w:t>的</w:t>
      </w:r>
      <w:r>
        <w:rPr>
          <w:rFonts w:asciiTheme="minorEastAsia" w:hAnsiTheme="minorEastAsia" w:eastAsiaTheme="minorEastAsia"/>
        </w:rPr>
        <w:t>合法权益。</w:t>
      </w:r>
    </w:p>
    <w:p w14:paraId="66342C49">
      <w:pPr>
        <w:adjustRightInd w:val="0"/>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本基金合同</w:t>
      </w:r>
      <w:r>
        <w:rPr>
          <w:rFonts w:hint="eastAsia" w:asciiTheme="minorEastAsia" w:hAnsiTheme="minorEastAsia" w:eastAsiaTheme="minorEastAsia"/>
        </w:rPr>
        <w:t>受中国法律（不含港澳台立法）管辖并从其解释。</w:t>
      </w:r>
    </w:p>
    <w:p w14:paraId="6EEBE2B8">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九、基金合同存放地和投资者取得合同的方式</w:t>
      </w:r>
    </w:p>
    <w:bookmarkEnd w:id="72"/>
    <w:bookmarkEnd w:id="73"/>
    <w:bookmarkEnd w:id="481"/>
    <w:p w14:paraId="3381366B">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rPr>
        <w:t>《基金合同》可印制成册，供投资人在基金管理人、基金托管人、销售机构的办公场所和营业场所查阅。</w:t>
      </w:r>
    </w:p>
    <w:sectPr>
      <w:footerReference r:id="rId26"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BA4F0">
    <w:pPr>
      <w:pStyle w:val="24"/>
      <w:jc w:val="center"/>
      <w:rPr>
        <w:rFonts w:ascii="Arial" w:hAnsi="Arial" w:cs="Arial"/>
      </w:rPr>
    </w:pPr>
    <w:r>
      <w:rPr>
        <w:rFonts w:hint="eastAsia" w:ascii="Arial" w:hAnsi="Arial" w:cs="Arial"/>
      </w:rPr>
      <w:t>1-</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2</w:t>
    </w:r>
    <w:r>
      <w:rPr>
        <w:rFonts w:ascii="Arial" w:hAnsi="Arial" w:cs="Aria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620BA">
    <w:pPr>
      <w:pStyle w:val="24"/>
      <w:jc w:val="center"/>
      <w:rPr>
        <w:rFonts w:ascii="Arial" w:hAnsi="Arial" w:cs="Arial"/>
      </w:rPr>
    </w:pPr>
    <w:r>
      <w:rPr>
        <w:rFonts w:hint="eastAsia" w:ascii="Arial" w:hAnsi="Arial" w:cs="Arial"/>
      </w:rPr>
      <w:t>2-</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5</w:t>
    </w:r>
    <w:r>
      <w:rPr>
        <w:rFonts w:ascii="Arial" w:hAnsi="Arial" w:cs="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852E1">
    <w:pPr>
      <w:pStyle w:val="24"/>
      <w:jc w:val="center"/>
      <w:rPr>
        <w:rFonts w:ascii="Arial" w:hAnsi="Arial" w:cs="Arial"/>
      </w:rPr>
    </w:pPr>
    <w:r>
      <w:rPr>
        <w:rFonts w:hint="eastAsia" w:ascii="Arial" w:hAnsi="Arial" w:cs="Arial"/>
      </w:rPr>
      <w:t>3-</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3</w:t>
    </w:r>
    <w:r>
      <w:rPr>
        <w:rFonts w:ascii="Arial" w:hAnsi="Arial" w:cs="Arial"/>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7301C">
    <w:pPr>
      <w:pStyle w:val="24"/>
      <w:jc w:val="center"/>
      <w:rPr>
        <w:rFonts w:ascii="Arial" w:hAnsi="Arial" w:cs="Arial"/>
      </w:rPr>
    </w:pPr>
    <w:r>
      <w:rPr>
        <w:rFonts w:hint="eastAsia" w:ascii="Arial" w:hAnsi="Arial" w:cs="Arial"/>
      </w:rPr>
      <w:t>4-</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2</w:t>
    </w:r>
    <w:r>
      <w:rPr>
        <w:rFonts w:ascii="Arial" w:hAnsi="Arial" w:cs="Arial"/>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C1951">
    <w:pPr>
      <w:pStyle w:val="24"/>
      <w:jc w:val="center"/>
      <w:rPr>
        <w:rFonts w:ascii="Arial" w:hAnsi="Arial" w:cs="Arial"/>
      </w:rPr>
    </w:pPr>
    <w:r>
      <w:rPr>
        <w:rFonts w:hint="eastAsia" w:ascii="Arial" w:hAnsi="Arial" w:cs="Arial"/>
      </w:rPr>
      <w:t>5-</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7642B">
    <w:pPr>
      <w:pStyle w:val="24"/>
      <w:jc w:val="center"/>
      <w:rPr>
        <w:rFonts w:ascii="Arial" w:hAnsi="Arial" w:cs="Arial"/>
      </w:rPr>
    </w:pPr>
    <w:r>
      <w:rPr>
        <w:rFonts w:hint="eastAsia" w:ascii="Arial" w:hAnsi="Arial" w:cs="Arial"/>
      </w:rPr>
      <w:t>6-</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7</w:t>
    </w:r>
    <w:r>
      <w:rPr>
        <w:rFonts w:ascii="Arial" w:hAnsi="Arial" w:cs="Arial"/>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1B90D">
    <w:pPr>
      <w:pStyle w:val="24"/>
      <w:jc w:val="center"/>
      <w:rPr>
        <w:rFonts w:ascii="Arial" w:hAnsi="Arial" w:cs="Arial"/>
      </w:rPr>
    </w:pPr>
    <w:r>
      <w:rPr>
        <w:rFonts w:hint="eastAsia" w:ascii="Arial" w:hAnsi="Arial" w:cs="Arial"/>
      </w:rPr>
      <w:t>7-</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6</w:t>
    </w:r>
    <w:r>
      <w:rPr>
        <w:rFonts w:ascii="Arial" w:hAnsi="Arial" w:cs="Arial"/>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6FB8E">
    <w:pPr>
      <w:pStyle w:val="24"/>
      <w:jc w:val="center"/>
      <w:rPr>
        <w:rFonts w:ascii="Arial" w:hAnsi="Arial" w:cs="Arial"/>
      </w:rPr>
    </w:pPr>
    <w:r>
      <w:rPr>
        <w:rFonts w:hint="eastAsia" w:ascii="Arial" w:hAnsi="Arial" w:cs="Arial"/>
      </w:rPr>
      <w:t>8-</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7</w:t>
    </w:r>
    <w:r>
      <w:rPr>
        <w:rFonts w:ascii="Arial" w:hAnsi="Arial" w:cs="Arial"/>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C29C4">
    <w:pPr>
      <w:pStyle w:val="24"/>
      <w:jc w:val="center"/>
      <w:rPr>
        <w:rFonts w:ascii="Arial" w:hAnsi="Arial" w:cs="Arial"/>
      </w:rPr>
    </w:pPr>
    <w:r>
      <w:rPr>
        <w:rFonts w:hint="eastAsia" w:ascii="Arial" w:hAnsi="Arial" w:cs="Arial"/>
      </w:rPr>
      <w:t>9-</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2</w:t>
    </w:r>
    <w:r>
      <w:rPr>
        <w:rFonts w:ascii="Arial" w:hAnsi="Arial" w:cs="Arial"/>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6AFF0">
    <w:pPr>
      <w:pStyle w:val="24"/>
      <w:jc w:val="center"/>
      <w:rPr>
        <w:rFonts w:ascii="Arial" w:hAnsi="Arial" w:cs="Arial"/>
      </w:rPr>
    </w:pPr>
    <w:r>
      <w:rPr>
        <w:rFonts w:hint="eastAsia" w:ascii="Arial" w:hAnsi="Arial" w:cs="Arial"/>
      </w:rPr>
      <w:t>10-</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DFBF1">
    <w:pPr>
      <w:pStyle w:val="24"/>
      <w:jc w:val="center"/>
      <w:rPr>
        <w:rFonts w:ascii="Arial" w:hAnsi="Arial" w:cs="Arial"/>
      </w:rPr>
    </w:pPr>
    <w:r>
      <w:rPr>
        <w:rFonts w:hint="eastAsia" w:ascii="Arial" w:hAnsi="Arial" w:cs="Arial"/>
      </w:rPr>
      <w:t>11-</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177F8">
    <w:pPr>
      <w:pStyle w:val="24"/>
      <w:jc w:val="center"/>
      <w:rPr>
        <w:rFonts w:ascii="Arial" w:hAnsi="Arial" w:cs="Arial"/>
      </w:rPr>
    </w:pPr>
    <w:r>
      <w:rPr>
        <w:rFonts w:hint="eastAsia" w:ascii="Arial" w:hAnsi="Arial" w:cs="Arial"/>
      </w:rPr>
      <w:t>12-</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9</w:t>
    </w:r>
    <w:r>
      <w:rPr>
        <w:rFonts w:ascii="Arial" w:hAnsi="Arial" w:cs="Arial"/>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DDA24">
    <w:pPr>
      <w:pStyle w:val="24"/>
      <w:jc w:val="center"/>
      <w:rPr>
        <w:rFonts w:ascii="Arial" w:hAnsi="Arial" w:cs="Arial"/>
      </w:rPr>
    </w:pPr>
    <w:r>
      <w:rPr>
        <w:rFonts w:hint="eastAsia" w:ascii="Arial" w:hAnsi="Arial" w:cs="Arial"/>
      </w:rPr>
      <w:t>13-</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28765">
    <w:pPr>
      <w:pStyle w:val="24"/>
      <w:jc w:val="center"/>
      <w:rPr>
        <w:rFonts w:ascii="Arial" w:hAnsi="Arial"/>
      </w:rPr>
    </w:pPr>
    <w:r>
      <w:rPr>
        <w:rFonts w:hint="eastAsia" w:ascii="Arial" w:hAnsi="Arial" w:cs="Arial"/>
      </w:rPr>
      <w:t>14-</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5</w:t>
    </w:r>
    <w:r>
      <w:rPr>
        <w:rFonts w:ascii="Arial" w:hAnsi="Arial" w:cs="Arial"/>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768F4">
    <w:pPr>
      <w:pStyle w:val="24"/>
      <w:jc w:val="center"/>
      <w:rPr>
        <w:rFonts w:ascii="Arial" w:hAnsi="Arial" w:cs="Arial"/>
      </w:rPr>
    </w:pPr>
    <w:r>
      <w:rPr>
        <w:rFonts w:hint="eastAsia" w:ascii="Arial" w:hAnsi="Arial" w:cs="Arial"/>
      </w:rPr>
      <w:t>15-</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3</w:t>
    </w:r>
    <w:r>
      <w:rPr>
        <w:rFonts w:ascii="Arial" w:hAnsi="Arial" w:cs="Arial"/>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93255">
    <w:pPr>
      <w:pStyle w:val="24"/>
      <w:jc w:val="center"/>
      <w:rPr>
        <w:rFonts w:ascii="Arial" w:hAnsi="Arial" w:cs="Arial"/>
      </w:rPr>
    </w:pPr>
    <w:r>
      <w:rPr>
        <w:rFonts w:hint="eastAsia" w:ascii="Arial" w:hAnsi="Arial" w:cs="Arial"/>
      </w:rPr>
      <w:t>16-</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37553">
    <w:pPr>
      <w:pStyle w:val="24"/>
      <w:jc w:val="center"/>
      <w:rPr>
        <w:rFonts w:ascii="Arial" w:hAnsi="Arial" w:cs="Arial"/>
      </w:rPr>
    </w:pPr>
    <w:r>
      <w:rPr>
        <w:rFonts w:hint="eastAsia" w:ascii="Arial" w:hAnsi="Arial" w:cs="Arial"/>
      </w:rPr>
      <w:t>17-</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E1711">
    <w:pPr>
      <w:pStyle w:val="24"/>
      <w:jc w:val="center"/>
      <w:rPr>
        <w:rFonts w:ascii="Arial" w:hAnsi="Arial" w:cs="Arial"/>
      </w:rPr>
    </w:pPr>
    <w:r>
      <w:rPr>
        <w:rFonts w:hint="eastAsia" w:ascii="Arial" w:hAnsi="Arial" w:cs="Arial"/>
      </w:rPr>
      <w:t>19-</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2</w:t>
    </w:r>
    <w:r>
      <w:rPr>
        <w:rFonts w:ascii="Arial" w:hAnsi="Arial" w:cs="Arial"/>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24AA5">
    <w:pPr>
      <w:pStyle w:val="24"/>
      <w:jc w:val="center"/>
      <w:rPr>
        <w:rFonts w:ascii="Arial" w:hAnsi="Arial" w:cs="Arial"/>
      </w:rPr>
    </w:pPr>
    <w:r>
      <w:rPr>
        <w:rFonts w:hint="eastAsia" w:ascii="Arial" w:hAnsi="Arial" w:cs="Arial"/>
      </w:rPr>
      <w:t>20-</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45F23">
    <w:pPr>
      <w:pStyle w:val="24"/>
      <w:jc w:val="center"/>
      <w:rPr>
        <w:rFonts w:ascii="Arial" w:hAnsi="Arial" w:cs="Arial"/>
      </w:rPr>
    </w:pPr>
    <w:r>
      <w:rPr>
        <w:rFonts w:hint="eastAsia" w:ascii="Arial" w:hAnsi="Arial" w:cs="Arial"/>
      </w:rPr>
      <w:t>21-</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5C308">
    <w:pPr>
      <w:pStyle w:val="24"/>
      <w:jc w:val="center"/>
      <w:rPr>
        <w:rFonts w:ascii="Arial" w:hAnsi="Arial" w:cs="Arial"/>
      </w:rPr>
    </w:pPr>
    <w:r>
      <w:rPr>
        <w:rFonts w:hint="eastAsia" w:ascii="Arial" w:hAnsi="Arial" w:cs="Arial"/>
      </w:rPr>
      <w:t>22-</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C0D37">
    <w:pPr>
      <w:pStyle w:val="24"/>
      <w:jc w:val="center"/>
      <w:rPr>
        <w:rFonts w:ascii="Arial" w:hAnsi="Arial" w:cs="Arial"/>
      </w:rPr>
    </w:pPr>
    <w:r>
      <w:rPr>
        <w:rFonts w:hint="eastAsia" w:ascii="Arial" w:hAnsi="Arial" w:cs="Arial"/>
      </w:rPr>
      <w:t>23-</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1</w:t>
    </w:r>
    <w:r>
      <w:rPr>
        <w:rFonts w:ascii="Arial" w:hAnsi="Arial" w:cs="Arial"/>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B3151">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FC264">
    <w:pPr>
      <w:pStyle w:val="25"/>
      <w:pBdr>
        <w:bottom w:val="thickThinLargeGap" w:color="auto" w:sz="24" w:space="10"/>
      </w:pBdr>
      <w:tabs>
        <w:tab w:val="right" w:pos="8280"/>
      </w:tabs>
      <w:wordWrap w:val="0"/>
      <w:adjustRightInd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4A09E1"/>
    <w:multiLevelType w:val="multilevel"/>
    <w:tmpl w:val="0D4A09E1"/>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525376E8"/>
    <w:multiLevelType w:val="multilevel"/>
    <w:tmpl w:val="525376E8"/>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C185EF5"/>
    <w:multiLevelType w:val="multilevel"/>
    <w:tmpl w:val="5C185EF5"/>
    <w:lvl w:ilvl="0" w:tentative="0">
      <w:start w:val="1"/>
      <w:numFmt w:val="none"/>
      <w:suff w:val="nothing"/>
      <w:lvlText w:val=""/>
      <w:lvlJc w:val="left"/>
      <w:pPr>
        <w:ind w:left="0" w:firstLine="0"/>
      </w:pPr>
      <w:rPr>
        <w:rFonts w:hint="eastAsia"/>
      </w:rPr>
    </w:lvl>
    <w:lvl w:ilvl="1" w:tentative="0">
      <w:start w:val="1"/>
      <w:numFmt w:val="chineseCountingThousand"/>
      <w:pStyle w:val="4"/>
      <w:suff w:val="nothing"/>
      <w:lvlText w:val="%2、"/>
      <w:lvlJc w:val="left"/>
      <w:pPr>
        <w:ind w:left="0" w:firstLine="0"/>
      </w:pPr>
      <w:rPr>
        <w:rFonts w:hint="eastAsia"/>
      </w:rPr>
    </w:lvl>
    <w:lvl w:ilvl="2" w:tentative="0">
      <w:start w:val="1"/>
      <w:numFmt w:val="chineseCountingThousand"/>
      <w:pStyle w:val="5"/>
      <w:suff w:val="nothing"/>
      <w:lvlText w:val="（%3）"/>
      <w:lvlJc w:val="left"/>
      <w:pPr>
        <w:ind w:left="0" w:firstLine="0"/>
      </w:pPr>
      <w:rPr>
        <w:rFonts w:hint="eastAsia"/>
      </w:rPr>
    </w:lvl>
    <w:lvl w:ilvl="3" w:tentative="0">
      <w:start w:val="1"/>
      <w:numFmt w:val="decimal"/>
      <w:pStyle w:val="6"/>
      <w:suff w:val="nothing"/>
      <w:lvlText w:val="%4、"/>
      <w:lvlJc w:val="left"/>
      <w:pPr>
        <w:ind w:left="0" w:firstLine="0"/>
      </w:pPr>
      <w:rPr>
        <w:rFonts w:hint="eastAsia"/>
      </w:rPr>
    </w:lvl>
    <w:lvl w:ilvl="4" w:tentative="0">
      <w:start w:val="1"/>
      <w:numFmt w:val="decimal"/>
      <w:pStyle w:val="7"/>
      <w:suff w:val="nothing"/>
      <w:lvlText w:val="（%5）"/>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3">
    <w:nsid w:val="6FE147B6"/>
    <w:multiLevelType w:val="singleLevel"/>
    <w:tmpl w:val="6FE147B6"/>
    <w:lvl w:ilvl="0" w:tentative="0">
      <w:start w:val="1"/>
      <w:numFmt w:val="decimal"/>
      <w:pStyle w:val="57"/>
      <w:lvlText w:val="(%1)"/>
      <w:lvlJc w:val="left"/>
      <w:pPr>
        <w:tabs>
          <w:tab w:val="left" w:pos="360"/>
        </w:tabs>
        <w:ind w:left="0" w:firstLine="0"/>
      </w:pPr>
      <w:rPr>
        <w:rFonts w:hint="eastAsia"/>
      </w:rPr>
    </w:lvl>
  </w:abstractNum>
  <w:abstractNum w:abstractNumId="4">
    <w:nsid w:val="73E27915"/>
    <w:multiLevelType w:val="multilevel"/>
    <w:tmpl w:val="73E27915"/>
    <w:lvl w:ilvl="0" w:tentative="0">
      <w:start w:val="1"/>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8C2"/>
    <w:rsid w:val="000008A3"/>
    <w:rsid w:val="00000AB2"/>
    <w:rsid w:val="00000B11"/>
    <w:rsid w:val="00000D07"/>
    <w:rsid w:val="000017CC"/>
    <w:rsid w:val="00003942"/>
    <w:rsid w:val="000040A9"/>
    <w:rsid w:val="00006149"/>
    <w:rsid w:val="00006370"/>
    <w:rsid w:val="00007334"/>
    <w:rsid w:val="0001033C"/>
    <w:rsid w:val="00010D9A"/>
    <w:rsid w:val="00011073"/>
    <w:rsid w:val="0001149B"/>
    <w:rsid w:val="000129D6"/>
    <w:rsid w:val="00013024"/>
    <w:rsid w:val="00013BD1"/>
    <w:rsid w:val="00014187"/>
    <w:rsid w:val="0001441A"/>
    <w:rsid w:val="000149AD"/>
    <w:rsid w:val="000149F8"/>
    <w:rsid w:val="00014A26"/>
    <w:rsid w:val="00014DB1"/>
    <w:rsid w:val="00017275"/>
    <w:rsid w:val="00017BD6"/>
    <w:rsid w:val="0002025C"/>
    <w:rsid w:val="00020A93"/>
    <w:rsid w:val="0002128C"/>
    <w:rsid w:val="00022CC7"/>
    <w:rsid w:val="00024C9B"/>
    <w:rsid w:val="00025494"/>
    <w:rsid w:val="00025616"/>
    <w:rsid w:val="00025D8A"/>
    <w:rsid w:val="000262BB"/>
    <w:rsid w:val="000265C9"/>
    <w:rsid w:val="00026A03"/>
    <w:rsid w:val="00027584"/>
    <w:rsid w:val="00027B1C"/>
    <w:rsid w:val="000312E6"/>
    <w:rsid w:val="00032047"/>
    <w:rsid w:val="000323F0"/>
    <w:rsid w:val="0003272A"/>
    <w:rsid w:val="00032AF9"/>
    <w:rsid w:val="00033221"/>
    <w:rsid w:val="00033A06"/>
    <w:rsid w:val="0003423C"/>
    <w:rsid w:val="00034466"/>
    <w:rsid w:val="00035221"/>
    <w:rsid w:val="00035558"/>
    <w:rsid w:val="000361D8"/>
    <w:rsid w:val="000363BB"/>
    <w:rsid w:val="00036508"/>
    <w:rsid w:val="00037133"/>
    <w:rsid w:val="00037159"/>
    <w:rsid w:val="000406BB"/>
    <w:rsid w:val="00040C8F"/>
    <w:rsid w:val="00040EF5"/>
    <w:rsid w:val="000410B8"/>
    <w:rsid w:val="0004130B"/>
    <w:rsid w:val="00041ED1"/>
    <w:rsid w:val="000420B6"/>
    <w:rsid w:val="00042A19"/>
    <w:rsid w:val="00042AAD"/>
    <w:rsid w:val="000431B2"/>
    <w:rsid w:val="00044EE3"/>
    <w:rsid w:val="00047A6C"/>
    <w:rsid w:val="00047DA5"/>
    <w:rsid w:val="0005034E"/>
    <w:rsid w:val="00051E4D"/>
    <w:rsid w:val="00055577"/>
    <w:rsid w:val="00055A36"/>
    <w:rsid w:val="000563C1"/>
    <w:rsid w:val="0005651E"/>
    <w:rsid w:val="00056DB0"/>
    <w:rsid w:val="00057438"/>
    <w:rsid w:val="0005768B"/>
    <w:rsid w:val="00057C58"/>
    <w:rsid w:val="00060221"/>
    <w:rsid w:val="000607DF"/>
    <w:rsid w:val="0006100E"/>
    <w:rsid w:val="00061020"/>
    <w:rsid w:val="000615EB"/>
    <w:rsid w:val="00062B83"/>
    <w:rsid w:val="00063265"/>
    <w:rsid w:val="000645CD"/>
    <w:rsid w:val="000648E2"/>
    <w:rsid w:val="00064E06"/>
    <w:rsid w:val="000664F7"/>
    <w:rsid w:val="00066DEC"/>
    <w:rsid w:val="00066FAA"/>
    <w:rsid w:val="00070333"/>
    <w:rsid w:val="00071679"/>
    <w:rsid w:val="000718EA"/>
    <w:rsid w:val="00072420"/>
    <w:rsid w:val="000725BA"/>
    <w:rsid w:val="000732EB"/>
    <w:rsid w:val="00074130"/>
    <w:rsid w:val="00074F2D"/>
    <w:rsid w:val="00075624"/>
    <w:rsid w:val="00075AD5"/>
    <w:rsid w:val="00075C74"/>
    <w:rsid w:val="0007696E"/>
    <w:rsid w:val="00080DD2"/>
    <w:rsid w:val="000817AA"/>
    <w:rsid w:val="000823D1"/>
    <w:rsid w:val="0008261C"/>
    <w:rsid w:val="00083665"/>
    <w:rsid w:val="000840D0"/>
    <w:rsid w:val="00086E92"/>
    <w:rsid w:val="00087B9D"/>
    <w:rsid w:val="00087BE3"/>
    <w:rsid w:val="000902AC"/>
    <w:rsid w:val="00090D43"/>
    <w:rsid w:val="00091FA5"/>
    <w:rsid w:val="00092DC3"/>
    <w:rsid w:val="000934A8"/>
    <w:rsid w:val="0009395E"/>
    <w:rsid w:val="0009474D"/>
    <w:rsid w:val="00095F93"/>
    <w:rsid w:val="00096F51"/>
    <w:rsid w:val="00096F55"/>
    <w:rsid w:val="000A1433"/>
    <w:rsid w:val="000A14A0"/>
    <w:rsid w:val="000A1544"/>
    <w:rsid w:val="000A2A9D"/>
    <w:rsid w:val="000A3835"/>
    <w:rsid w:val="000A410E"/>
    <w:rsid w:val="000A4B60"/>
    <w:rsid w:val="000A4B79"/>
    <w:rsid w:val="000A4E05"/>
    <w:rsid w:val="000A53E5"/>
    <w:rsid w:val="000A61B6"/>
    <w:rsid w:val="000A682A"/>
    <w:rsid w:val="000A7EE9"/>
    <w:rsid w:val="000B0AB8"/>
    <w:rsid w:val="000B0C96"/>
    <w:rsid w:val="000B10CC"/>
    <w:rsid w:val="000B1984"/>
    <w:rsid w:val="000B1B08"/>
    <w:rsid w:val="000B2231"/>
    <w:rsid w:val="000B3A13"/>
    <w:rsid w:val="000B4701"/>
    <w:rsid w:val="000B4DBE"/>
    <w:rsid w:val="000B52BC"/>
    <w:rsid w:val="000B676B"/>
    <w:rsid w:val="000B6C6B"/>
    <w:rsid w:val="000B7DD3"/>
    <w:rsid w:val="000C1486"/>
    <w:rsid w:val="000C17AE"/>
    <w:rsid w:val="000C2831"/>
    <w:rsid w:val="000C390E"/>
    <w:rsid w:val="000C3C0F"/>
    <w:rsid w:val="000C4732"/>
    <w:rsid w:val="000C562B"/>
    <w:rsid w:val="000C57C0"/>
    <w:rsid w:val="000C710C"/>
    <w:rsid w:val="000D0FCC"/>
    <w:rsid w:val="000D121A"/>
    <w:rsid w:val="000D27D1"/>
    <w:rsid w:val="000D3257"/>
    <w:rsid w:val="000D32A0"/>
    <w:rsid w:val="000D3774"/>
    <w:rsid w:val="000D3DF3"/>
    <w:rsid w:val="000D3EA1"/>
    <w:rsid w:val="000D4C8B"/>
    <w:rsid w:val="000D4E1C"/>
    <w:rsid w:val="000D6FD1"/>
    <w:rsid w:val="000E14E7"/>
    <w:rsid w:val="000E352A"/>
    <w:rsid w:val="000E40CA"/>
    <w:rsid w:val="000E4356"/>
    <w:rsid w:val="000E5323"/>
    <w:rsid w:val="000E5969"/>
    <w:rsid w:val="000E66BD"/>
    <w:rsid w:val="000F1112"/>
    <w:rsid w:val="000F17EF"/>
    <w:rsid w:val="000F1C17"/>
    <w:rsid w:val="000F2691"/>
    <w:rsid w:val="000F28E8"/>
    <w:rsid w:val="000F4019"/>
    <w:rsid w:val="000F4BA5"/>
    <w:rsid w:val="000F5E15"/>
    <w:rsid w:val="000F724C"/>
    <w:rsid w:val="0010045B"/>
    <w:rsid w:val="00100C88"/>
    <w:rsid w:val="00102FAF"/>
    <w:rsid w:val="00104220"/>
    <w:rsid w:val="00104876"/>
    <w:rsid w:val="001051F7"/>
    <w:rsid w:val="001052FA"/>
    <w:rsid w:val="00105617"/>
    <w:rsid w:val="001059BB"/>
    <w:rsid w:val="001065CF"/>
    <w:rsid w:val="00106855"/>
    <w:rsid w:val="00106970"/>
    <w:rsid w:val="00106AB2"/>
    <w:rsid w:val="00106D6C"/>
    <w:rsid w:val="001070A0"/>
    <w:rsid w:val="001074C2"/>
    <w:rsid w:val="001105F6"/>
    <w:rsid w:val="0011163D"/>
    <w:rsid w:val="00111B5D"/>
    <w:rsid w:val="00111C79"/>
    <w:rsid w:val="0011429E"/>
    <w:rsid w:val="00114B78"/>
    <w:rsid w:val="00116536"/>
    <w:rsid w:val="00116C8A"/>
    <w:rsid w:val="00120662"/>
    <w:rsid w:val="00121256"/>
    <w:rsid w:val="00122D50"/>
    <w:rsid w:val="001236ED"/>
    <w:rsid w:val="00123CA1"/>
    <w:rsid w:val="001258F3"/>
    <w:rsid w:val="00126EEE"/>
    <w:rsid w:val="001300DC"/>
    <w:rsid w:val="001301C6"/>
    <w:rsid w:val="00130766"/>
    <w:rsid w:val="00130ABD"/>
    <w:rsid w:val="00130B6A"/>
    <w:rsid w:val="00131285"/>
    <w:rsid w:val="0013146D"/>
    <w:rsid w:val="001333A2"/>
    <w:rsid w:val="00133781"/>
    <w:rsid w:val="00133B54"/>
    <w:rsid w:val="00133FE8"/>
    <w:rsid w:val="001349FC"/>
    <w:rsid w:val="00134ACE"/>
    <w:rsid w:val="0013555F"/>
    <w:rsid w:val="001356E3"/>
    <w:rsid w:val="00135D36"/>
    <w:rsid w:val="00135DC6"/>
    <w:rsid w:val="00136117"/>
    <w:rsid w:val="00136390"/>
    <w:rsid w:val="00136A98"/>
    <w:rsid w:val="00136EF6"/>
    <w:rsid w:val="0013716A"/>
    <w:rsid w:val="00137727"/>
    <w:rsid w:val="00137EBE"/>
    <w:rsid w:val="00137F55"/>
    <w:rsid w:val="00140493"/>
    <w:rsid w:val="0014061C"/>
    <w:rsid w:val="00140FF7"/>
    <w:rsid w:val="00141638"/>
    <w:rsid w:val="00141EB3"/>
    <w:rsid w:val="00142DE8"/>
    <w:rsid w:val="00144346"/>
    <w:rsid w:val="00145CDD"/>
    <w:rsid w:val="00147929"/>
    <w:rsid w:val="00147E0A"/>
    <w:rsid w:val="00150AE2"/>
    <w:rsid w:val="00150B69"/>
    <w:rsid w:val="00150C89"/>
    <w:rsid w:val="001513FB"/>
    <w:rsid w:val="0015197D"/>
    <w:rsid w:val="00151D42"/>
    <w:rsid w:val="00152FA9"/>
    <w:rsid w:val="0015496B"/>
    <w:rsid w:val="0015585D"/>
    <w:rsid w:val="00156B3C"/>
    <w:rsid w:val="00156C7E"/>
    <w:rsid w:val="00157C1E"/>
    <w:rsid w:val="00160449"/>
    <w:rsid w:val="00160B40"/>
    <w:rsid w:val="00160CA7"/>
    <w:rsid w:val="00160D9B"/>
    <w:rsid w:val="00161025"/>
    <w:rsid w:val="00162565"/>
    <w:rsid w:val="00162EA8"/>
    <w:rsid w:val="0016320A"/>
    <w:rsid w:val="0016386A"/>
    <w:rsid w:val="00163DC5"/>
    <w:rsid w:val="001642DE"/>
    <w:rsid w:val="001657AB"/>
    <w:rsid w:val="001670F2"/>
    <w:rsid w:val="001677A6"/>
    <w:rsid w:val="00170977"/>
    <w:rsid w:val="00171111"/>
    <w:rsid w:val="00171938"/>
    <w:rsid w:val="00172CAD"/>
    <w:rsid w:val="00172D9B"/>
    <w:rsid w:val="001733D0"/>
    <w:rsid w:val="00173453"/>
    <w:rsid w:val="0017369B"/>
    <w:rsid w:val="00174282"/>
    <w:rsid w:val="001742AF"/>
    <w:rsid w:val="00174EF2"/>
    <w:rsid w:val="00176543"/>
    <w:rsid w:val="001765EA"/>
    <w:rsid w:val="00176699"/>
    <w:rsid w:val="00177055"/>
    <w:rsid w:val="00177B10"/>
    <w:rsid w:val="0018025B"/>
    <w:rsid w:val="00180428"/>
    <w:rsid w:val="00180915"/>
    <w:rsid w:val="001811CE"/>
    <w:rsid w:val="00181B70"/>
    <w:rsid w:val="001820B1"/>
    <w:rsid w:val="00182967"/>
    <w:rsid w:val="00183F92"/>
    <w:rsid w:val="00184032"/>
    <w:rsid w:val="00185B48"/>
    <w:rsid w:val="00186A89"/>
    <w:rsid w:val="001870C3"/>
    <w:rsid w:val="00187164"/>
    <w:rsid w:val="001872F2"/>
    <w:rsid w:val="0018743C"/>
    <w:rsid w:val="001905BD"/>
    <w:rsid w:val="0019070F"/>
    <w:rsid w:val="00190DFD"/>
    <w:rsid w:val="0019122C"/>
    <w:rsid w:val="00191D30"/>
    <w:rsid w:val="001920E5"/>
    <w:rsid w:val="0019301D"/>
    <w:rsid w:val="00193079"/>
    <w:rsid w:val="00193784"/>
    <w:rsid w:val="00193D1C"/>
    <w:rsid w:val="00193F6C"/>
    <w:rsid w:val="0019410A"/>
    <w:rsid w:val="0019415C"/>
    <w:rsid w:val="001941A7"/>
    <w:rsid w:val="00194719"/>
    <w:rsid w:val="001952F4"/>
    <w:rsid w:val="00195655"/>
    <w:rsid w:val="00195CB4"/>
    <w:rsid w:val="00195D47"/>
    <w:rsid w:val="0019693D"/>
    <w:rsid w:val="00196E13"/>
    <w:rsid w:val="001A06AD"/>
    <w:rsid w:val="001A132F"/>
    <w:rsid w:val="001A1DDE"/>
    <w:rsid w:val="001A234D"/>
    <w:rsid w:val="001A2489"/>
    <w:rsid w:val="001A248C"/>
    <w:rsid w:val="001A2D22"/>
    <w:rsid w:val="001A2FB7"/>
    <w:rsid w:val="001A532F"/>
    <w:rsid w:val="001A5AA2"/>
    <w:rsid w:val="001A5E75"/>
    <w:rsid w:val="001B0BED"/>
    <w:rsid w:val="001B162E"/>
    <w:rsid w:val="001B1C68"/>
    <w:rsid w:val="001B2864"/>
    <w:rsid w:val="001B2CEA"/>
    <w:rsid w:val="001B33A7"/>
    <w:rsid w:val="001B3C69"/>
    <w:rsid w:val="001B3D7B"/>
    <w:rsid w:val="001B3FFF"/>
    <w:rsid w:val="001B40AE"/>
    <w:rsid w:val="001B48DF"/>
    <w:rsid w:val="001B505D"/>
    <w:rsid w:val="001B6593"/>
    <w:rsid w:val="001B6D97"/>
    <w:rsid w:val="001B7862"/>
    <w:rsid w:val="001B799C"/>
    <w:rsid w:val="001C0D71"/>
    <w:rsid w:val="001C19BE"/>
    <w:rsid w:val="001C19F9"/>
    <w:rsid w:val="001C1A84"/>
    <w:rsid w:val="001C2199"/>
    <w:rsid w:val="001C2D47"/>
    <w:rsid w:val="001C2DFA"/>
    <w:rsid w:val="001C3467"/>
    <w:rsid w:val="001C44C3"/>
    <w:rsid w:val="001C50CF"/>
    <w:rsid w:val="001C6F35"/>
    <w:rsid w:val="001C7218"/>
    <w:rsid w:val="001C739E"/>
    <w:rsid w:val="001C7A72"/>
    <w:rsid w:val="001D0AEB"/>
    <w:rsid w:val="001D1705"/>
    <w:rsid w:val="001D4C3E"/>
    <w:rsid w:val="001D4D37"/>
    <w:rsid w:val="001D4E74"/>
    <w:rsid w:val="001D5126"/>
    <w:rsid w:val="001D51BB"/>
    <w:rsid w:val="001D55F9"/>
    <w:rsid w:val="001D5653"/>
    <w:rsid w:val="001D5B1F"/>
    <w:rsid w:val="001D6D64"/>
    <w:rsid w:val="001E1473"/>
    <w:rsid w:val="001E19DD"/>
    <w:rsid w:val="001E1AE5"/>
    <w:rsid w:val="001E1F2C"/>
    <w:rsid w:val="001E2110"/>
    <w:rsid w:val="001E2251"/>
    <w:rsid w:val="001E2F26"/>
    <w:rsid w:val="001E31B0"/>
    <w:rsid w:val="001E32E2"/>
    <w:rsid w:val="001E39B9"/>
    <w:rsid w:val="001E3A90"/>
    <w:rsid w:val="001E4787"/>
    <w:rsid w:val="001E49A3"/>
    <w:rsid w:val="001E4CF8"/>
    <w:rsid w:val="001E5445"/>
    <w:rsid w:val="001E59ED"/>
    <w:rsid w:val="001E5D79"/>
    <w:rsid w:val="001E65B2"/>
    <w:rsid w:val="001E7B4C"/>
    <w:rsid w:val="001F34C1"/>
    <w:rsid w:val="001F387F"/>
    <w:rsid w:val="001F47A8"/>
    <w:rsid w:val="001F6382"/>
    <w:rsid w:val="001F7211"/>
    <w:rsid w:val="001F741F"/>
    <w:rsid w:val="00201855"/>
    <w:rsid w:val="00203BC8"/>
    <w:rsid w:val="00204064"/>
    <w:rsid w:val="002040B5"/>
    <w:rsid w:val="002062F6"/>
    <w:rsid w:val="00206B02"/>
    <w:rsid w:val="00206D88"/>
    <w:rsid w:val="00206F14"/>
    <w:rsid w:val="00207238"/>
    <w:rsid w:val="002073D2"/>
    <w:rsid w:val="00210BB9"/>
    <w:rsid w:val="00212084"/>
    <w:rsid w:val="002137C9"/>
    <w:rsid w:val="0021441B"/>
    <w:rsid w:val="002144FE"/>
    <w:rsid w:val="00215056"/>
    <w:rsid w:val="00216F39"/>
    <w:rsid w:val="00217728"/>
    <w:rsid w:val="00217FE1"/>
    <w:rsid w:val="002200D4"/>
    <w:rsid w:val="00221DFD"/>
    <w:rsid w:val="00221F7D"/>
    <w:rsid w:val="00222395"/>
    <w:rsid w:val="00224244"/>
    <w:rsid w:val="00225C83"/>
    <w:rsid w:val="00226DAF"/>
    <w:rsid w:val="00226DF3"/>
    <w:rsid w:val="00227089"/>
    <w:rsid w:val="00227196"/>
    <w:rsid w:val="00227FA8"/>
    <w:rsid w:val="00230E63"/>
    <w:rsid w:val="00231B47"/>
    <w:rsid w:val="00232295"/>
    <w:rsid w:val="002334CA"/>
    <w:rsid w:val="00233DCD"/>
    <w:rsid w:val="002340C0"/>
    <w:rsid w:val="002343D5"/>
    <w:rsid w:val="002354E7"/>
    <w:rsid w:val="00235FD1"/>
    <w:rsid w:val="002369CF"/>
    <w:rsid w:val="002376E8"/>
    <w:rsid w:val="00237F64"/>
    <w:rsid w:val="00241D3C"/>
    <w:rsid w:val="00242079"/>
    <w:rsid w:val="00242338"/>
    <w:rsid w:val="0024395B"/>
    <w:rsid w:val="00244224"/>
    <w:rsid w:val="00244CB8"/>
    <w:rsid w:val="00245312"/>
    <w:rsid w:val="0024537A"/>
    <w:rsid w:val="002461C1"/>
    <w:rsid w:val="00247173"/>
    <w:rsid w:val="00250D66"/>
    <w:rsid w:val="002518F0"/>
    <w:rsid w:val="00251924"/>
    <w:rsid w:val="00251C2A"/>
    <w:rsid w:val="00251FC7"/>
    <w:rsid w:val="002522EA"/>
    <w:rsid w:val="002523BD"/>
    <w:rsid w:val="002529C7"/>
    <w:rsid w:val="00253474"/>
    <w:rsid w:val="0025427C"/>
    <w:rsid w:val="00255B28"/>
    <w:rsid w:val="00255CC8"/>
    <w:rsid w:val="00256FC2"/>
    <w:rsid w:val="002572F4"/>
    <w:rsid w:val="00257ACE"/>
    <w:rsid w:val="0026025E"/>
    <w:rsid w:val="0026099F"/>
    <w:rsid w:val="00261AF3"/>
    <w:rsid w:val="00262E5E"/>
    <w:rsid w:val="0026350F"/>
    <w:rsid w:val="0026516B"/>
    <w:rsid w:val="00265BDB"/>
    <w:rsid w:val="00265FF0"/>
    <w:rsid w:val="00266054"/>
    <w:rsid w:val="0026629C"/>
    <w:rsid w:val="0026661D"/>
    <w:rsid w:val="00266CFC"/>
    <w:rsid w:val="002672A6"/>
    <w:rsid w:val="00267C46"/>
    <w:rsid w:val="002708D2"/>
    <w:rsid w:val="002713C8"/>
    <w:rsid w:val="00271589"/>
    <w:rsid w:val="002717B4"/>
    <w:rsid w:val="00271EF9"/>
    <w:rsid w:val="00272574"/>
    <w:rsid w:val="002726A8"/>
    <w:rsid w:val="00272869"/>
    <w:rsid w:val="00272DC3"/>
    <w:rsid w:val="00273018"/>
    <w:rsid w:val="00273949"/>
    <w:rsid w:val="002740EE"/>
    <w:rsid w:val="00274118"/>
    <w:rsid w:val="0027453D"/>
    <w:rsid w:val="00274AEE"/>
    <w:rsid w:val="00275491"/>
    <w:rsid w:val="0027639D"/>
    <w:rsid w:val="00276F2E"/>
    <w:rsid w:val="002772D9"/>
    <w:rsid w:val="002776E7"/>
    <w:rsid w:val="00277AF6"/>
    <w:rsid w:val="00277F6A"/>
    <w:rsid w:val="00280336"/>
    <w:rsid w:val="00280EC4"/>
    <w:rsid w:val="00281929"/>
    <w:rsid w:val="00281B34"/>
    <w:rsid w:val="0028313A"/>
    <w:rsid w:val="00283AB0"/>
    <w:rsid w:val="00285185"/>
    <w:rsid w:val="00286063"/>
    <w:rsid w:val="0028692B"/>
    <w:rsid w:val="00286FDD"/>
    <w:rsid w:val="002873E6"/>
    <w:rsid w:val="00287865"/>
    <w:rsid w:val="002904B3"/>
    <w:rsid w:val="00291E09"/>
    <w:rsid w:val="00291FE1"/>
    <w:rsid w:val="00292A03"/>
    <w:rsid w:val="002931D6"/>
    <w:rsid w:val="002931E6"/>
    <w:rsid w:val="0029370C"/>
    <w:rsid w:val="0029408B"/>
    <w:rsid w:val="00294733"/>
    <w:rsid w:val="00294C10"/>
    <w:rsid w:val="0029521D"/>
    <w:rsid w:val="00295379"/>
    <w:rsid w:val="00295D1F"/>
    <w:rsid w:val="00296931"/>
    <w:rsid w:val="00296F6F"/>
    <w:rsid w:val="002A1180"/>
    <w:rsid w:val="002A18B8"/>
    <w:rsid w:val="002A2E6E"/>
    <w:rsid w:val="002A2FD2"/>
    <w:rsid w:val="002A3414"/>
    <w:rsid w:val="002A3752"/>
    <w:rsid w:val="002A5714"/>
    <w:rsid w:val="002A5867"/>
    <w:rsid w:val="002A7514"/>
    <w:rsid w:val="002A7670"/>
    <w:rsid w:val="002A7788"/>
    <w:rsid w:val="002B1B75"/>
    <w:rsid w:val="002B2913"/>
    <w:rsid w:val="002B2981"/>
    <w:rsid w:val="002B2D1E"/>
    <w:rsid w:val="002B2DBA"/>
    <w:rsid w:val="002B3FC0"/>
    <w:rsid w:val="002B4E7C"/>
    <w:rsid w:val="002B5A43"/>
    <w:rsid w:val="002B5F42"/>
    <w:rsid w:val="002C030E"/>
    <w:rsid w:val="002C0E8D"/>
    <w:rsid w:val="002C1057"/>
    <w:rsid w:val="002C2DE7"/>
    <w:rsid w:val="002C366B"/>
    <w:rsid w:val="002C40AC"/>
    <w:rsid w:val="002C58DD"/>
    <w:rsid w:val="002D0D71"/>
    <w:rsid w:val="002D1078"/>
    <w:rsid w:val="002D12B2"/>
    <w:rsid w:val="002D1C18"/>
    <w:rsid w:val="002D3F72"/>
    <w:rsid w:val="002D6A40"/>
    <w:rsid w:val="002E21D8"/>
    <w:rsid w:val="002E2559"/>
    <w:rsid w:val="002E2974"/>
    <w:rsid w:val="002E3426"/>
    <w:rsid w:val="002E34AB"/>
    <w:rsid w:val="002E3A52"/>
    <w:rsid w:val="002E3E3E"/>
    <w:rsid w:val="002E576B"/>
    <w:rsid w:val="002E5BC6"/>
    <w:rsid w:val="002E727A"/>
    <w:rsid w:val="002E7806"/>
    <w:rsid w:val="002F03F3"/>
    <w:rsid w:val="002F0BFB"/>
    <w:rsid w:val="002F158E"/>
    <w:rsid w:val="002F2854"/>
    <w:rsid w:val="002F2A66"/>
    <w:rsid w:val="002F4837"/>
    <w:rsid w:val="002F4843"/>
    <w:rsid w:val="002F73CF"/>
    <w:rsid w:val="003023E6"/>
    <w:rsid w:val="003027AF"/>
    <w:rsid w:val="00302F59"/>
    <w:rsid w:val="003030CA"/>
    <w:rsid w:val="00304305"/>
    <w:rsid w:val="003052DA"/>
    <w:rsid w:val="00305C44"/>
    <w:rsid w:val="00306453"/>
    <w:rsid w:val="00306BD3"/>
    <w:rsid w:val="00306DF6"/>
    <w:rsid w:val="0030710E"/>
    <w:rsid w:val="003072C9"/>
    <w:rsid w:val="003073F9"/>
    <w:rsid w:val="00307A82"/>
    <w:rsid w:val="00307E8E"/>
    <w:rsid w:val="003103A6"/>
    <w:rsid w:val="00310E4C"/>
    <w:rsid w:val="00311998"/>
    <w:rsid w:val="00311A26"/>
    <w:rsid w:val="00311F3D"/>
    <w:rsid w:val="0031327A"/>
    <w:rsid w:val="00313315"/>
    <w:rsid w:val="003135F9"/>
    <w:rsid w:val="00313C48"/>
    <w:rsid w:val="003140F8"/>
    <w:rsid w:val="00314EDD"/>
    <w:rsid w:val="00315C20"/>
    <w:rsid w:val="00315CA2"/>
    <w:rsid w:val="003161CA"/>
    <w:rsid w:val="003161F5"/>
    <w:rsid w:val="003164A4"/>
    <w:rsid w:val="0031691F"/>
    <w:rsid w:val="0032129B"/>
    <w:rsid w:val="00321988"/>
    <w:rsid w:val="00321B1E"/>
    <w:rsid w:val="00323921"/>
    <w:rsid w:val="00324DC5"/>
    <w:rsid w:val="00326E21"/>
    <w:rsid w:val="0032756D"/>
    <w:rsid w:val="00330671"/>
    <w:rsid w:val="003312C6"/>
    <w:rsid w:val="00331CFC"/>
    <w:rsid w:val="00332AF2"/>
    <w:rsid w:val="00332FB5"/>
    <w:rsid w:val="003337F5"/>
    <w:rsid w:val="003339F6"/>
    <w:rsid w:val="003359CD"/>
    <w:rsid w:val="003402D9"/>
    <w:rsid w:val="003407C6"/>
    <w:rsid w:val="00340B7B"/>
    <w:rsid w:val="00342A89"/>
    <w:rsid w:val="00342E16"/>
    <w:rsid w:val="00343DAF"/>
    <w:rsid w:val="00343FCA"/>
    <w:rsid w:val="003441C8"/>
    <w:rsid w:val="003443D4"/>
    <w:rsid w:val="0034487A"/>
    <w:rsid w:val="00345AAB"/>
    <w:rsid w:val="00345E0D"/>
    <w:rsid w:val="00346918"/>
    <w:rsid w:val="00346E8D"/>
    <w:rsid w:val="00347AA4"/>
    <w:rsid w:val="00350265"/>
    <w:rsid w:val="00350FF3"/>
    <w:rsid w:val="00351818"/>
    <w:rsid w:val="003521CD"/>
    <w:rsid w:val="00352D62"/>
    <w:rsid w:val="00354030"/>
    <w:rsid w:val="00354C1C"/>
    <w:rsid w:val="00354E65"/>
    <w:rsid w:val="00354FF0"/>
    <w:rsid w:val="00355361"/>
    <w:rsid w:val="0035690F"/>
    <w:rsid w:val="0035712D"/>
    <w:rsid w:val="00357A83"/>
    <w:rsid w:val="00357EB1"/>
    <w:rsid w:val="00360399"/>
    <w:rsid w:val="00360842"/>
    <w:rsid w:val="003609A0"/>
    <w:rsid w:val="00360A91"/>
    <w:rsid w:val="003615CA"/>
    <w:rsid w:val="0036161E"/>
    <w:rsid w:val="00361C01"/>
    <w:rsid w:val="003626B1"/>
    <w:rsid w:val="00362E2B"/>
    <w:rsid w:val="003633A9"/>
    <w:rsid w:val="0036427A"/>
    <w:rsid w:val="00366216"/>
    <w:rsid w:val="003663FB"/>
    <w:rsid w:val="003676DB"/>
    <w:rsid w:val="00370205"/>
    <w:rsid w:val="00370C5A"/>
    <w:rsid w:val="00371851"/>
    <w:rsid w:val="00371907"/>
    <w:rsid w:val="00373D90"/>
    <w:rsid w:val="00374738"/>
    <w:rsid w:val="00375388"/>
    <w:rsid w:val="00375AA2"/>
    <w:rsid w:val="00375D8A"/>
    <w:rsid w:val="00376620"/>
    <w:rsid w:val="00376E85"/>
    <w:rsid w:val="003772AB"/>
    <w:rsid w:val="00377899"/>
    <w:rsid w:val="00377995"/>
    <w:rsid w:val="003801E4"/>
    <w:rsid w:val="003802B9"/>
    <w:rsid w:val="003804F5"/>
    <w:rsid w:val="003811CB"/>
    <w:rsid w:val="0038138B"/>
    <w:rsid w:val="00381FA5"/>
    <w:rsid w:val="00382451"/>
    <w:rsid w:val="00384563"/>
    <w:rsid w:val="0038465A"/>
    <w:rsid w:val="00385933"/>
    <w:rsid w:val="00385ECE"/>
    <w:rsid w:val="0038679E"/>
    <w:rsid w:val="0038710F"/>
    <w:rsid w:val="003874C6"/>
    <w:rsid w:val="003874D0"/>
    <w:rsid w:val="003876FD"/>
    <w:rsid w:val="00387782"/>
    <w:rsid w:val="00387F16"/>
    <w:rsid w:val="0039092F"/>
    <w:rsid w:val="00391C7A"/>
    <w:rsid w:val="00392693"/>
    <w:rsid w:val="0039427A"/>
    <w:rsid w:val="0039463E"/>
    <w:rsid w:val="00394D81"/>
    <w:rsid w:val="00394E14"/>
    <w:rsid w:val="0039575A"/>
    <w:rsid w:val="00395A8A"/>
    <w:rsid w:val="003A0244"/>
    <w:rsid w:val="003A0488"/>
    <w:rsid w:val="003A3349"/>
    <w:rsid w:val="003A387C"/>
    <w:rsid w:val="003A432B"/>
    <w:rsid w:val="003A52C7"/>
    <w:rsid w:val="003A5970"/>
    <w:rsid w:val="003A645C"/>
    <w:rsid w:val="003A6CDC"/>
    <w:rsid w:val="003A7138"/>
    <w:rsid w:val="003A7390"/>
    <w:rsid w:val="003A7A9D"/>
    <w:rsid w:val="003B0487"/>
    <w:rsid w:val="003B1BA6"/>
    <w:rsid w:val="003B21DE"/>
    <w:rsid w:val="003B3002"/>
    <w:rsid w:val="003B4E03"/>
    <w:rsid w:val="003B6145"/>
    <w:rsid w:val="003B7237"/>
    <w:rsid w:val="003B7F3F"/>
    <w:rsid w:val="003C11FB"/>
    <w:rsid w:val="003C1FD7"/>
    <w:rsid w:val="003C20D8"/>
    <w:rsid w:val="003C36FA"/>
    <w:rsid w:val="003C370E"/>
    <w:rsid w:val="003C400D"/>
    <w:rsid w:val="003C46B8"/>
    <w:rsid w:val="003C5841"/>
    <w:rsid w:val="003C6CAB"/>
    <w:rsid w:val="003C7B56"/>
    <w:rsid w:val="003C7D03"/>
    <w:rsid w:val="003D0644"/>
    <w:rsid w:val="003D1CB2"/>
    <w:rsid w:val="003D1E73"/>
    <w:rsid w:val="003D1FB9"/>
    <w:rsid w:val="003D3858"/>
    <w:rsid w:val="003D3894"/>
    <w:rsid w:val="003D3EC7"/>
    <w:rsid w:val="003D3EE7"/>
    <w:rsid w:val="003D49C6"/>
    <w:rsid w:val="003D4D24"/>
    <w:rsid w:val="003D4FCA"/>
    <w:rsid w:val="003D51C1"/>
    <w:rsid w:val="003D5200"/>
    <w:rsid w:val="003D5BBA"/>
    <w:rsid w:val="003D5E41"/>
    <w:rsid w:val="003D6BA8"/>
    <w:rsid w:val="003D7E65"/>
    <w:rsid w:val="003E013D"/>
    <w:rsid w:val="003E0A15"/>
    <w:rsid w:val="003E1C2B"/>
    <w:rsid w:val="003E1DD9"/>
    <w:rsid w:val="003E1ED2"/>
    <w:rsid w:val="003E3A3A"/>
    <w:rsid w:val="003E5103"/>
    <w:rsid w:val="003E56C4"/>
    <w:rsid w:val="003E595C"/>
    <w:rsid w:val="003E6051"/>
    <w:rsid w:val="003E62DB"/>
    <w:rsid w:val="003E7221"/>
    <w:rsid w:val="003E7B64"/>
    <w:rsid w:val="003F0279"/>
    <w:rsid w:val="003F11F4"/>
    <w:rsid w:val="003F1301"/>
    <w:rsid w:val="003F1647"/>
    <w:rsid w:val="003F24E0"/>
    <w:rsid w:val="003F41D9"/>
    <w:rsid w:val="003F54A2"/>
    <w:rsid w:val="003F5B63"/>
    <w:rsid w:val="003F6544"/>
    <w:rsid w:val="003F67A2"/>
    <w:rsid w:val="003F6A8C"/>
    <w:rsid w:val="003F7611"/>
    <w:rsid w:val="003F78DB"/>
    <w:rsid w:val="003F7CB0"/>
    <w:rsid w:val="0040028B"/>
    <w:rsid w:val="00400D82"/>
    <w:rsid w:val="00401BDA"/>
    <w:rsid w:val="00402416"/>
    <w:rsid w:val="00402637"/>
    <w:rsid w:val="00403583"/>
    <w:rsid w:val="00403944"/>
    <w:rsid w:val="0040466F"/>
    <w:rsid w:val="004051C9"/>
    <w:rsid w:val="0040678A"/>
    <w:rsid w:val="00406FDE"/>
    <w:rsid w:val="00407944"/>
    <w:rsid w:val="0041045F"/>
    <w:rsid w:val="004117DC"/>
    <w:rsid w:val="0041288F"/>
    <w:rsid w:val="004129F9"/>
    <w:rsid w:val="004136DC"/>
    <w:rsid w:val="00413F66"/>
    <w:rsid w:val="00414F8C"/>
    <w:rsid w:val="00416543"/>
    <w:rsid w:val="00416545"/>
    <w:rsid w:val="00417FAF"/>
    <w:rsid w:val="004206D3"/>
    <w:rsid w:val="004206DF"/>
    <w:rsid w:val="0042097B"/>
    <w:rsid w:val="00421524"/>
    <w:rsid w:val="0042199E"/>
    <w:rsid w:val="00421D70"/>
    <w:rsid w:val="00422098"/>
    <w:rsid w:val="0042349F"/>
    <w:rsid w:val="004234D7"/>
    <w:rsid w:val="004237B7"/>
    <w:rsid w:val="004242AF"/>
    <w:rsid w:val="00424932"/>
    <w:rsid w:val="00424DB8"/>
    <w:rsid w:val="00425D01"/>
    <w:rsid w:val="0042644D"/>
    <w:rsid w:val="004265E7"/>
    <w:rsid w:val="00426FDF"/>
    <w:rsid w:val="00427303"/>
    <w:rsid w:val="00427836"/>
    <w:rsid w:val="004279A6"/>
    <w:rsid w:val="004279D2"/>
    <w:rsid w:val="00427FED"/>
    <w:rsid w:val="00430240"/>
    <w:rsid w:val="0043054F"/>
    <w:rsid w:val="00430FAA"/>
    <w:rsid w:val="004310B9"/>
    <w:rsid w:val="00431378"/>
    <w:rsid w:val="004328EC"/>
    <w:rsid w:val="00432BDD"/>
    <w:rsid w:val="00433814"/>
    <w:rsid w:val="0043435C"/>
    <w:rsid w:val="004353EC"/>
    <w:rsid w:val="00435BC1"/>
    <w:rsid w:val="004360DF"/>
    <w:rsid w:val="00436349"/>
    <w:rsid w:val="00436A4F"/>
    <w:rsid w:val="00437706"/>
    <w:rsid w:val="00437B8F"/>
    <w:rsid w:val="00440415"/>
    <w:rsid w:val="0044064A"/>
    <w:rsid w:val="00440816"/>
    <w:rsid w:val="00440E7A"/>
    <w:rsid w:val="00441911"/>
    <w:rsid w:val="00442264"/>
    <w:rsid w:val="004439BD"/>
    <w:rsid w:val="00444236"/>
    <w:rsid w:val="00444491"/>
    <w:rsid w:val="004447D2"/>
    <w:rsid w:val="0044580E"/>
    <w:rsid w:val="00445F32"/>
    <w:rsid w:val="00445F98"/>
    <w:rsid w:val="00446135"/>
    <w:rsid w:val="0044713D"/>
    <w:rsid w:val="004511E7"/>
    <w:rsid w:val="0045134B"/>
    <w:rsid w:val="004517A5"/>
    <w:rsid w:val="0045209C"/>
    <w:rsid w:val="00453025"/>
    <w:rsid w:val="00453112"/>
    <w:rsid w:val="004545EA"/>
    <w:rsid w:val="00455080"/>
    <w:rsid w:val="00456303"/>
    <w:rsid w:val="0046004A"/>
    <w:rsid w:val="0046050E"/>
    <w:rsid w:val="00460979"/>
    <w:rsid w:val="00460C2A"/>
    <w:rsid w:val="00460E0A"/>
    <w:rsid w:val="00461657"/>
    <w:rsid w:val="00462334"/>
    <w:rsid w:val="00462E0A"/>
    <w:rsid w:val="00463205"/>
    <w:rsid w:val="00463221"/>
    <w:rsid w:val="00464FF4"/>
    <w:rsid w:val="00465D25"/>
    <w:rsid w:val="0046628F"/>
    <w:rsid w:val="0046659B"/>
    <w:rsid w:val="00467000"/>
    <w:rsid w:val="00467063"/>
    <w:rsid w:val="00467739"/>
    <w:rsid w:val="00471E55"/>
    <w:rsid w:val="00472128"/>
    <w:rsid w:val="00472855"/>
    <w:rsid w:val="00472B5D"/>
    <w:rsid w:val="00473164"/>
    <w:rsid w:val="00473ECA"/>
    <w:rsid w:val="00474552"/>
    <w:rsid w:val="004749EE"/>
    <w:rsid w:val="00475278"/>
    <w:rsid w:val="00475A52"/>
    <w:rsid w:val="004768F2"/>
    <w:rsid w:val="0047698D"/>
    <w:rsid w:val="004772E0"/>
    <w:rsid w:val="0047759C"/>
    <w:rsid w:val="00477CCD"/>
    <w:rsid w:val="004803F5"/>
    <w:rsid w:val="004804C9"/>
    <w:rsid w:val="00480DFF"/>
    <w:rsid w:val="00481396"/>
    <w:rsid w:val="00481649"/>
    <w:rsid w:val="00481C88"/>
    <w:rsid w:val="00481F16"/>
    <w:rsid w:val="00482A46"/>
    <w:rsid w:val="00482B64"/>
    <w:rsid w:val="00482DCD"/>
    <w:rsid w:val="0048336B"/>
    <w:rsid w:val="0048352C"/>
    <w:rsid w:val="00483A60"/>
    <w:rsid w:val="00484E21"/>
    <w:rsid w:val="00485009"/>
    <w:rsid w:val="004850CE"/>
    <w:rsid w:val="00485546"/>
    <w:rsid w:val="004857FC"/>
    <w:rsid w:val="00485A32"/>
    <w:rsid w:val="00486671"/>
    <w:rsid w:val="00486C42"/>
    <w:rsid w:val="00486DEF"/>
    <w:rsid w:val="004875C5"/>
    <w:rsid w:val="00487879"/>
    <w:rsid w:val="00487EE7"/>
    <w:rsid w:val="0049022A"/>
    <w:rsid w:val="0049152E"/>
    <w:rsid w:val="00492929"/>
    <w:rsid w:val="00492988"/>
    <w:rsid w:val="0049316A"/>
    <w:rsid w:val="00493399"/>
    <w:rsid w:val="00493FC5"/>
    <w:rsid w:val="00495465"/>
    <w:rsid w:val="00495A2C"/>
    <w:rsid w:val="004A0466"/>
    <w:rsid w:val="004A1B65"/>
    <w:rsid w:val="004A2664"/>
    <w:rsid w:val="004A29F2"/>
    <w:rsid w:val="004A317A"/>
    <w:rsid w:val="004A366E"/>
    <w:rsid w:val="004A42E0"/>
    <w:rsid w:val="004A4641"/>
    <w:rsid w:val="004A4785"/>
    <w:rsid w:val="004A4848"/>
    <w:rsid w:val="004A6314"/>
    <w:rsid w:val="004A762B"/>
    <w:rsid w:val="004B0047"/>
    <w:rsid w:val="004B0C00"/>
    <w:rsid w:val="004B0D8D"/>
    <w:rsid w:val="004B17BB"/>
    <w:rsid w:val="004B1A0E"/>
    <w:rsid w:val="004B1A33"/>
    <w:rsid w:val="004B1D12"/>
    <w:rsid w:val="004B2070"/>
    <w:rsid w:val="004B29A6"/>
    <w:rsid w:val="004B30F7"/>
    <w:rsid w:val="004B335C"/>
    <w:rsid w:val="004B3AA5"/>
    <w:rsid w:val="004B3FB2"/>
    <w:rsid w:val="004B4066"/>
    <w:rsid w:val="004B5E71"/>
    <w:rsid w:val="004B6CC5"/>
    <w:rsid w:val="004B6E0F"/>
    <w:rsid w:val="004B769C"/>
    <w:rsid w:val="004B7877"/>
    <w:rsid w:val="004C11F9"/>
    <w:rsid w:val="004C2683"/>
    <w:rsid w:val="004C26D6"/>
    <w:rsid w:val="004C3784"/>
    <w:rsid w:val="004C3BD5"/>
    <w:rsid w:val="004C3EB7"/>
    <w:rsid w:val="004C4592"/>
    <w:rsid w:val="004C52D8"/>
    <w:rsid w:val="004C5913"/>
    <w:rsid w:val="004C594E"/>
    <w:rsid w:val="004C60D9"/>
    <w:rsid w:val="004C643D"/>
    <w:rsid w:val="004C65CE"/>
    <w:rsid w:val="004C69B9"/>
    <w:rsid w:val="004C6A13"/>
    <w:rsid w:val="004C6B0F"/>
    <w:rsid w:val="004C6DBF"/>
    <w:rsid w:val="004C6E6B"/>
    <w:rsid w:val="004C744B"/>
    <w:rsid w:val="004C7E3F"/>
    <w:rsid w:val="004D00CF"/>
    <w:rsid w:val="004D07DE"/>
    <w:rsid w:val="004D0847"/>
    <w:rsid w:val="004D0BE7"/>
    <w:rsid w:val="004D1489"/>
    <w:rsid w:val="004D1B8A"/>
    <w:rsid w:val="004D1B93"/>
    <w:rsid w:val="004D2934"/>
    <w:rsid w:val="004D2ABC"/>
    <w:rsid w:val="004D2FE4"/>
    <w:rsid w:val="004D301D"/>
    <w:rsid w:val="004D3E40"/>
    <w:rsid w:val="004D4DE8"/>
    <w:rsid w:val="004D4F3D"/>
    <w:rsid w:val="004D52CA"/>
    <w:rsid w:val="004D568A"/>
    <w:rsid w:val="004D6523"/>
    <w:rsid w:val="004D692A"/>
    <w:rsid w:val="004D6E00"/>
    <w:rsid w:val="004D733E"/>
    <w:rsid w:val="004D75BB"/>
    <w:rsid w:val="004E001E"/>
    <w:rsid w:val="004E2730"/>
    <w:rsid w:val="004E2971"/>
    <w:rsid w:val="004E2FC8"/>
    <w:rsid w:val="004E329C"/>
    <w:rsid w:val="004E40B7"/>
    <w:rsid w:val="004E438B"/>
    <w:rsid w:val="004E4677"/>
    <w:rsid w:val="004E58F5"/>
    <w:rsid w:val="004E5E08"/>
    <w:rsid w:val="004E7B03"/>
    <w:rsid w:val="004E7E7C"/>
    <w:rsid w:val="004F05E6"/>
    <w:rsid w:val="004F15E2"/>
    <w:rsid w:val="004F1790"/>
    <w:rsid w:val="004F1B5E"/>
    <w:rsid w:val="004F26B2"/>
    <w:rsid w:val="004F3353"/>
    <w:rsid w:val="004F37DA"/>
    <w:rsid w:val="004F4449"/>
    <w:rsid w:val="004F48AB"/>
    <w:rsid w:val="004F52FE"/>
    <w:rsid w:val="004F6055"/>
    <w:rsid w:val="004F6498"/>
    <w:rsid w:val="004F68F8"/>
    <w:rsid w:val="004F7428"/>
    <w:rsid w:val="005000A5"/>
    <w:rsid w:val="0050052F"/>
    <w:rsid w:val="005005CB"/>
    <w:rsid w:val="00501105"/>
    <w:rsid w:val="00501448"/>
    <w:rsid w:val="0050149F"/>
    <w:rsid w:val="00503292"/>
    <w:rsid w:val="00504AB5"/>
    <w:rsid w:val="00504D8C"/>
    <w:rsid w:val="00506F9B"/>
    <w:rsid w:val="005071B7"/>
    <w:rsid w:val="005074D9"/>
    <w:rsid w:val="005105F7"/>
    <w:rsid w:val="00510AE8"/>
    <w:rsid w:val="00512D9E"/>
    <w:rsid w:val="00514385"/>
    <w:rsid w:val="0051459D"/>
    <w:rsid w:val="0051590E"/>
    <w:rsid w:val="00515C52"/>
    <w:rsid w:val="005178D7"/>
    <w:rsid w:val="005215C4"/>
    <w:rsid w:val="005223D8"/>
    <w:rsid w:val="00522B39"/>
    <w:rsid w:val="0052304D"/>
    <w:rsid w:val="00524D12"/>
    <w:rsid w:val="0053074C"/>
    <w:rsid w:val="0053235A"/>
    <w:rsid w:val="00532986"/>
    <w:rsid w:val="005332F2"/>
    <w:rsid w:val="00533F25"/>
    <w:rsid w:val="00535988"/>
    <w:rsid w:val="00540BAB"/>
    <w:rsid w:val="005418F2"/>
    <w:rsid w:val="005426E8"/>
    <w:rsid w:val="00542801"/>
    <w:rsid w:val="00543580"/>
    <w:rsid w:val="00546171"/>
    <w:rsid w:val="00546320"/>
    <w:rsid w:val="00550E1E"/>
    <w:rsid w:val="0055109E"/>
    <w:rsid w:val="005528E8"/>
    <w:rsid w:val="00553F12"/>
    <w:rsid w:val="00554453"/>
    <w:rsid w:val="00555DD0"/>
    <w:rsid w:val="00555F92"/>
    <w:rsid w:val="005567EC"/>
    <w:rsid w:val="00557C6D"/>
    <w:rsid w:val="00557DD3"/>
    <w:rsid w:val="00560056"/>
    <w:rsid w:val="005624AC"/>
    <w:rsid w:val="0056261E"/>
    <w:rsid w:val="005646B3"/>
    <w:rsid w:val="00564CE3"/>
    <w:rsid w:val="00565845"/>
    <w:rsid w:val="00565AE4"/>
    <w:rsid w:val="00566562"/>
    <w:rsid w:val="00566FC9"/>
    <w:rsid w:val="0056720B"/>
    <w:rsid w:val="00567B1A"/>
    <w:rsid w:val="00571190"/>
    <w:rsid w:val="00571217"/>
    <w:rsid w:val="00571F34"/>
    <w:rsid w:val="005737E3"/>
    <w:rsid w:val="00573A7E"/>
    <w:rsid w:val="00574688"/>
    <w:rsid w:val="005749A2"/>
    <w:rsid w:val="00575363"/>
    <w:rsid w:val="005771AF"/>
    <w:rsid w:val="00577747"/>
    <w:rsid w:val="005805CA"/>
    <w:rsid w:val="005806A5"/>
    <w:rsid w:val="005806E9"/>
    <w:rsid w:val="005831D1"/>
    <w:rsid w:val="005838EF"/>
    <w:rsid w:val="00584B2C"/>
    <w:rsid w:val="00584C45"/>
    <w:rsid w:val="00585C0F"/>
    <w:rsid w:val="0058614A"/>
    <w:rsid w:val="00586DA5"/>
    <w:rsid w:val="005874E2"/>
    <w:rsid w:val="00587754"/>
    <w:rsid w:val="005900E7"/>
    <w:rsid w:val="005927BF"/>
    <w:rsid w:val="00592A0D"/>
    <w:rsid w:val="00592FFF"/>
    <w:rsid w:val="0059319E"/>
    <w:rsid w:val="005957DE"/>
    <w:rsid w:val="00595AA9"/>
    <w:rsid w:val="00596F78"/>
    <w:rsid w:val="0059775F"/>
    <w:rsid w:val="00597E24"/>
    <w:rsid w:val="005A0221"/>
    <w:rsid w:val="005A0896"/>
    <w:rsid w:val="005A21A2"/>
    <w:rsid w:val="005A2CA8"/>
    <w:rsid w:val="005A34CC"/>
    <w:rsid w:val="005A362C"/>
    <w:rsid w:val="005A5EB2"/>
    <w:rsid w:val="005A6B08"/>
    <w:rsid w:val="005A70B4"/>
    <w:rsid w:val="005A7700"/>
    <w:rsid w:val="005A79FB"/>
    <w:rsid w:val="005B0050"/>
    <w:rsid w:val="005B0617"/>
    <w:rsid w:val="005B1323"/>
    <w:rsid w:val="005B1627"/>
    <w:rsid w:val="005B1692"/>
    <w:rsid w:val="005B227B"/>
    <w:rsid w:val="005B2465"/>
    <w:rsid w:val="005B279B"/>
    <w:rsid w:val="005B2C8A"/>
    <w:rsid w:val="005B2F80"/>
    <w:rsid w:val="005B35EE"/>
    <w:rsid w:val="005B3FF6"/>
    <w:rsid w:val="005B4879"/>
    <w:rsid w:val="005B4C03"/>
    <w:rsid w:val="005B5531"/>
    <w:rsid w:val="005B5B84"/>
    <w:rsid w:val="005B6757"/>
    <w:rsid w:val="005B688E"/>
    <w:rsid w:val="005B71B1"/>
    <w:rsid w:val="005B7973"/>
    <w:rsid w:val="005B7E1E"/>
    <w:rsid w:val="005C062C"/>
    <w:rsid w:val="005C081A"/>
    <w:rsid w:val="005C0FAA"/>
    <w:rsid w:val="005C1ED0"/>
    <w:rsid w:val="005C209B"/>
    <w:rsid w:val="005C2B82"/>
    <w:rsid w:val="005C2EC4"/>
    <w:rsid w:val="005C3A3E"/>
    <w:rsid w:val="005C45C0"/>
    <w:rsid w:val="005C496E"/>
    <w:rsid w:val="005C4F6A"/>
    <w:rsid w:val="005C5A49"/>
    <w:rsid w:val="005C5FE4"/>
    <w:rsid w:val="005C61A6"/>
    <w:rsid w:val="005C6774"/>
    <w:rsid w:val="005C73C6"/>
    <w:rsid w:val="005C7778"/>
    <w:rsid w:val="005C7924"/>
    <w:rsid w:val="005D08BF"/>
    <w:rsid w:val="005D0CF5"/>
    <w:rsid w:val="005D0F12"/>
    <w:rsid w:val="005D14BF"/>
    <w:rsid w:val="005D1914"/>
    <w:rsid w:val="005D1A7E"/>
    <w:rsid w:val="005D1F01"/>
    <w:rsid w:val="005D2154"/>
    <w:rsid w:val="005D2363"/>
    <w:rsid w:val="005D2D8A"/>
    <w:rsid w:val="005D43AC"/>
    <w:rsid w:val="005D5D71"/>
    <w:rsid w:val="005D7004"/>
    <w:rsid w:val="005D7C28"/>
    <w:rsid w:val="005E2395"/>
    <w:rsid w:val="005E25D5"/>
    <w:rsid w:val="005E301A"/>
    <w:rsid w:val="005E4EE0"/>
    <w:rsid w:val="005E5B37"/>
    <w:rsid w:val="005E5BEB"/>
    <w:rsid w:val="005E5F9A"/>
    <w:rsid w:val="005E711C"/>
    <w:rsid w:val="005E7927"/>
    <w:rsid w:val="005F0AD1"/>
    <w:rsid w:val="005F12FD"/>
    <w:rsid w:val="005F218E"/>
    <w:rsid w:val="005F2FFD"/>
    <w:rsid w:val="005F3A98"/>
    <w:rsid w:val="005F4CDD"/>
    <w:rsid w:val="005F53FF"/>
    <w:rsid w:val="005F55A5"/>
    <w:rsid w:val="005F5611"/>
    <w:rsid w:val="005F5B5A"/>
    <w:rsid w:val="005F5E8C"/>
    <w:rsid w:val="005F786A"/>
    <w:rsid w:val="00600047"/>
    <w:rsid w:val="00600891"/>
    <w:rsid w:val="00601162"/>
    <w:rsid w:val="00603221"/>
    <w:rsid w:val="00603EF5"/>
    <w:rsid w:val="00604233"/>
    <w:rsid w:val="0060494B"/>
    <w:rsid w:val="00604FBF"/>
    <w:rsid w:val="00605394"/>
    <w:rsid w:val="0060741B"/>
    <w:rsid w:val="00607EA2"/>
    <w:rsid w:val="006101D0"/>
    <w:rsid w:val="00610938"/>
    <w:rsid w:val="00610B7B"/>
    <w:rsid w:val="006120CE"/>
    <w:rsid w:val="00612FB5"/>
    <w:rsid w:val="00613131"/>
    <w:rsid w:val="00613295"/>
    <w:rsid w:val="00614298"/>
    <w:rsid w:val="00614698"/>
    <w:rsid w:val="00615175"/>
    <w:rsid w:val="0061552E"/>
    <w:rsid w:val="00615F17"/>
    <w:rsid w:val="0061618A"/>
    <w:rsid w:val="00616C93"/>
    <w:rsid w:val="00621857"/>
    <w:rsid w:val="00622290"/>
    <w:rsid w:val="00622BE6"/>
    <w:rsid w:val="006237F9"/>
    <w:rsid w:val="00623F2A"/>
    <w:rsid w:val="00625FEC"/>
    <w:rsid w:val="0062637E"/>
    <w:rsid w:val="006263F8"/>
    <w:rsid w:val="00626AFC"/>
    <w:rsid w:val="00626B7F"/>
    <w:rsid w:val="006309A8"/>
    <w:rsid w:val="00630CFB"/>
    <w:rsid w:val="00630FED"/>
    <w:rsid w:val="00631A88"/>
    <w:rsid w:val="00631C97"/>
    <w:rsid w:val="00633812"/>
    <w:rsid w:val="00634BEA"/>
    <w:rsid w:val="00635051"/>
    <w:rsid w:val="00635174"/>
    <w:rsid w:val="006353C5"/>
    <w:rsid w:val="00635918"/>
    <w:rsid w:val="00635A0F"/>
    <w:rsid w:val="00636854"/>
    <w:rsid w:val="00641356"/>
    <w:rsid w:val="00641629"/>
    <w:rsid w:val="00641FB8"/>
    <w:rsid w:val="00642057"/>
    <w:rsid w:val="00642390"/>
    <w:rsid w:val="00643ABF"/>
    <w:rsid w:val="00644578"/>
    <w:rsid w:val="0064468B"/>
    <w:rsid w:val="0064510C"/>
    <w:rsid w:val="00645268"/>
    <w:rsid w:val="006456B4"/>
    <w:rsid w:val="00645C8F"/>
    <w:rsid w:val="006460CF"/>
    <w:rsid w:val="00647234"/>
    <w:rsid w:val="00647F24"/>
    <w:rsid w:val="006507A5"/>
    <w:rsid w:val="00650D05"/>
    <w:rsid w:val="006513CF"/>
    <w:rsid w:val="0065157A"/>
    <w:rsid w:val="0065419A"/>
    <w:rsid w:val="00655625"/>
    <w:rsid w:val="00655B8C"/>
    <w:rsid w:val="00661523"/>
    <w:rsid w:val="00661D67"/>
    <w:rsid w:val="00662F53"/>
    <w:rsid w:val="00663A27"/>
    <w:rsid w:val="0066452B"/>
    <w:rsid w:val="00665308"/>
    <w:rsid w:val="00665D6B"/>
    <w:rsid w:val="006661C1"/>
    <w:rsid w:val="00666A8E"/>
    <w:rsid w:val="00667718"/>
    <w:rsid w:val="00667984"/>
    <w:rsid w:val="00667B33"/>
    <w:rsid w:val="006709A4"/>
    <w:rsid w:val="006721C1"/>
    <w:rsid w:val="00672FB2"/>
    <w:rsid w:val="006732C5"/>
    <w:rsid w:val="00673548"/>
    <w:rsid w:val="006735DA"/>
    <w:rsid w:val="006738BD"/>
    <w:rsid w:val="006748C0"/>
    <w:rsid w:val="00675AA7"/>
    <w:rsid w:val="00676651"/>
    <w:rsid w:val="00677120"/>
    <w:rsid w:val="00677BC7"/>
    <w:rsid w:val="00680537"/>
    <w:rsid w:val="00681CD7"/>
    <w:rsid w:val="00682212"/>
    <w:rsid w:val="006829E4"/>
    <w:rsid w:val="0068380F"/>
    <w:rsid w:val="00683AB3"/>
    <w:rsid w:val="00683ECC"/>
    <w:rsid w:val="00684E5D"/>
    <w:rsid w:val="00684FF9"/>
    <w:rsid w:val="0068558F"/>
    <w:rsid w:val="00686031"/>
    <w:rsid w:val="0068638F"/>
    <w:rsid w:val="006865E8"/>
    <w:rsid w:val="00686E6A"/>
    <w:rsid w:val="00686F1B"/>
    <w:rsid w:val="00687C2B"/>
    <w:rsid w:val="00690844"/>
    <w:rsid w:val="00690DD6"/>
    <w:rsid w:val="00690E20"/>
    <w:rsid w:val="006910D2"/>
    <w:rsid w:val="006919B6"/>
    <w:rsid w:val="0069240A"/>
    <w:rsid w:val="006929A6"/>
    <w:rsid w:val="006938E1"/>
    <w:rsid w:val="00694ECC"/>
    <w:rsid w:val="0069586E"/>
    <w:rsid w:val="00695F31"/>
    <w:rsid w:val="00696128"/>
    <w:rsid w:val="0069670D"/>
    <w:rsid w:val="0069678E"/>
    <w:rsid w:val="00696926"/>
    <w:rsid w:val="00697756"/>
    <w:rsid w:val="006978BE"/>
    <w:rsid w:val="00697E21"/>
    <w:rsid w:val="006A124B"/>
    <w:rsid w:val="006A2AF9"/>
    <w:rsid w:val="006A2BA3"/>
    <w:rsid w:val="006A3294"/>
    <w:rsid w:val="006A3E87"/>
    <w:rsid w:val="006A5219"/>
    <w:rsid w:val="006A619C"/>
    <w:rsid w:val="006A770D"/>
    <w:rsid w:val="006B0A0B"/>
    <w:rsid w:val="006B1245"/>
    <w:rsid w:val="006B227F"/>
    <w:rsid w:val="006B2339"/>
    <w:rsid w:val="006B30AC"/>
    <w:rsid w:val="006B3534"/>
    <w:rsid w:val="006B3A9C"/>
    <w:rsid w:val="006B3BBE"/>
    <w:rsid w:val="006B4C76"/>
    <w:rsid w:val="006B5336"/>
    <w:rsid w:val="006B5340"/>
    <w:rsid w:val="006B53DD"/>
    <w:rsid w:val="006B54C7"/>
    <w:rsid w:val="006B55F7"/>
    <w:rsid w:val="006B591A"/>
    <w:rsid w:val="006B5E65"/>
    <w:rsid w:val="006B65FD"/>
    <w:rsid w:val="006B6BB4"/>
    <w:rsid w:val="006B6CBA"/>
    <w:rsid w:val="006B6F40"/>
    <w:rsid w:val="006B6FE5"/>
    <w:rsid w:val="006B7088"/>
    <w:rsid w:val="006B74EA"/>
    <w:rsid w:val="006C062D"/>
    <w:rsid w:val="006C1397"/>
    <w:rsid w:val="006C1539"/>
    <w:rsid w:val="006C1D32"/>
    <w:rsid w:val="006C1D60"/>
    <w:rsid w:val="006C1DE4"/>
    <w:rsid w:val="006C290B"/>
    <w:rsid w:val="006C340B"/>
    <w:rsid w:val="006C3C6D"/>
    <w:rsid w:val="006C4442"/>
    <w:rsid w:val="006C44FF"/>
    <w:rsid w:val="006C463D"/>
    <w:rsid w:val="006C5052"/>
    <w:rsid w:val="006C57C4"/>
    <w:rsid w:val="006C6032"/>
    <w:rsid w:val="006D0306"/>
    <w:rsid w:val="006D053A"/>
    <w:rsid w:val="006D0583"/>
    <w:rsid w:val="006D1C4E"/>
    <w:rsid w:val="006D2EAB"/>
    <w:rsid w:val="006D47A7"/>
    <w:rsid w:val="006D4943"/>
    <w:rsid w:val="006D53A5"/>
    <w:rsid w:val="006D5A2B"/>
    <w:rsid w:val="006D6894"/>
    <w:rsid w:val="006D6BC4"/>
    <w:rsid w:val="006D6D8F"/>
    <w:rsid w:val="006D7188"/>
    <w:rsid w:val="006D7267"/>
    <w:rsid w:val="006E032B"/>
    <w:rsid w:val="006E05CA"/>
    <w:rsid w:val="006E0CC7"/>
    <w:rsid w:val="006E223F"/>
    <w:rsid w:val="006E2364"/>
    <w:rsid w:val="006E2C45"/>
    <w:rsid w:val="006E38EA"/>
    <w:rsid w:val="006E45F6"/>
    <w:rsid w:val="006E57C4"/>
    <w:rsid w:val="006E5991"/>
    <w:rsid w:val="006E5FA8"/>
    <w:rsid w:val="006E6D9B"/>
    <w:rsid w:val="006E7100"/>
    <w:rsid w:val="006E73E4"/>
    <w:rsid w:val="006F0BD7"/>
    <w:rsid w:val="006F198B"/>
    <w:rsid w:val="006F1F9C"/>
    <w:rsid w:val="006F2111"/>
    <w:rsid w:val="006F2117"/>
    <w:rsid w:val="006F219A"/>
    <w:rsid w:val="006F338B"/>
    <w:rsid w:val="006F3E81"/>
    <w:rsid w:val="006F403C"/>
    <w:rsid w:val="006F540F"/>
    <w:rsid w:val="006F6654"/>
    <w:rsid w:val="006F7435"/>
    <w:rsid w:val="006F796F"/>
    <w:rsid w:val="007005D5"/>
    <w:rsid w:val="00701A67"/>
    <w:rsid w:val="0070227F"/>
    <w:rsid w:val="00702A04"/>
    <w:rsid w:val="00702D52"/>
    <w:rsid w:val="007031A7"/>
    <w:rsid w:val="0070366E"/>
    <w:rsid w:val="00705472"/>
    <w:rsid w:val="0070593E"/>
    <w:rsid w:val="00706411"/>
    <w:rsid w:val="00706553"/>
    <w:rsid w:val="00706D7B"/>
    <w:rsid w:val="00707940"/>
    <w:rsid w:val="0071093B"/>
    <w:rsid w:val="007109AA"/>
    <w:rsid w:val="00711005"/>
    <w:rsid w:val="0071327A"/>
    <w:rsid w:val="007149AF"/>
    <w:rsid w:val="007156BD"/>
    <w:rsid w:val="00715EA7"/>
    <w:rsid w:val="007163FC"/>
    <w:rsid w:val="0071726D"/>
    <w:rsid w:val="00717781"/>
    <w:rsid w:val="0072004A"/>
    <w:rsid w:val="00720284"/>
    <w:rsid w:val="00720811"/>
    <w:rsid w:val="00720872"/>
    <w:rsid w:val="00720D04"/>
    <w:rsid w:val="00721567"/>
    <w:rsid w:val="00721B53"/>
    <w:rsid w:val="00721CDA"/>
    <w:rsid w:val="007220E1"/>
    <w:rsid w:val="00723710"/>
    <w:rsid w:val="00723AF8"/>
    <w:rsid w:val="00724032"/>
    <w:rsid w:val="00724677"/>
    <w:rsid w:val="00725A6D"/>
    <w:rsid w:val="00725AA9"/>
    <w:rsid w:val="00725B9B"/>
    <w:rsid w:val="00726609"/>
    <w:rsid w:val="007267F3"/>
    <w:rsid w:val="0072790D"/>
    <w:rsid w:val="00727CC9"/>
    <w:rsid w:val="00727F23"/>
    <w:rsid w:val="00731588"/>
    <w:rsid w:val="00732888"/>
    <w:rsid w:val="007329F2"/>
    <w:rsid w:val="007335B6"/>
    <w:rsid w:val="00734BB6"/>
    <w:rsid w:val="007362E9"/>
    <w:rsid w:val="00736924"/>
    <w:rsid w:val="007371B2"/>
    <w:rsid w:val="00740438"/>
    <w:rsid w:val="007404C4"/>
    <w:rsid w:val="007418AE"/>
    <w:rsid w:val="00742DB3"/>
    <w:rsid w:val="0074480A"/>
    <w:rsid w:val="007448C2"/>
    <w:rsid w:val="0074561D"/>
    <w:rsid w:val="00745D2B"/>
    <w:rsid w:val="00745F21"/>
    <w:rsid w:val="00746ED0"/>
    <w:rsid w:val="00746F7F"/>
    <w:rsid w:val="007477E9"/>
    <w:rsid w:val="00747B9F"/>
    <w:rsid w:val="0075108B"/>
    <w:rsid w:val="00751C1A"/>
    <w:rsid w:val="0075234D"/>
    <w:rsid w:val="007542AE"/>
    <w:rsid w:val="00754A85"/>
    <w:rsid w:val="007550EA"/>
    <w:rsid w:val="00755884"/>
    <w:rsid w:val="00757B2B"/>
    <w:rsid w:val="007604D1"/>
    <w:rsid w:val="00760C9A"/>
    <w:rsid w:val="00760D05"/>
    <w:rsid w:val="007628B5"/>
    <w:rsid w:val="00762F4C"/>
    <w:rsid w:val="0076374A"/>
    <w:rsid w:val="00763A32"/>
    <w:rsid w:val="00764207"/>
    <w:rsid w:val="007647A6"/>
    <w:rsid w:val="00765A71"/>
    <w:rsid w:val="007661DC"/>
    <w:rsid w:val="00766E2C"/>
    <w:rsid w:val="00767C22"/>
    <w:rsid w:val="00767F08"/>
    <w:rsid w:val="00770495"/>
    <w:rsid w:val="007707D8"/>
    <w:rsid w:val="00770CFA"/>
    <w:rsid w:val="0077117B"/>
    <w:rsid w:val="00771747"/>
    <w:rsid w:val="0077444B"/>
    <w:rsid w:val="00775EAD"/>
    <w:rsid w:val="00776CA5"/>
    <w:rsid w:val="00776D60"/>
    <w:rsid w:val="00776EF4"/>
    <w:rsid w:val="00777634"/>
    <w:rsid w:val="0077776A"/>
    <w:rsid w:val="00777E32"/>
    <w:rsid w:val="00780425"/>
    <w:rsid w:val="007805B4"/>
    <w:rsid w:val="00780785"/>
    <w:rsid w:val="007807FA"/>
    <w:rsid w:val="00780F4A"/>
    <w:rsid w:val="00781280"/>
    <w:rsid w:val="00782CB6"/>
    <w:rsid w:val="00782EA0"/>
    <w:rsid w:val="00783061"/>
    <w:rsid w:val="00783826"/>
    <w:rsid w:val="00783E1E"/>
    <w:rsid w:val="00785426"/>
    <w:rsid w:val="0078545E"/>
    <w:rsid w:val="007857FC"/>
    <w:rsid w:val="00785818"/>
    <w:rsid w:val="00786B49"/>
    <w:rsid w:val="00787908"/>
    <w:rsid w:val="00787D9A"/>
    <w:rsid w:val="00790CD2"/>
    <w:rsid w:val="00791D10"/>
    <w:rsid w:val="00792192"/>
    <w:rsid w:val="007923B4"/>
    <w:rsid w:val="007926CB"/>
    <w:rsid w:val="00792C76"/>
    <w:rsid w:val="007931C3"/>
    <w:rsid w:val="00793DB6"/>
    <w:rsid w:val="00794517"/>
    <w:rsid w:val="00794B7F"/>
    <w:rsid w:val="00795D2D"/>
    <w:rsid w:val="00796D26"/>
    <w:rsid w:val="0079735B"/>
    <w:rsid w:val="007A0783"/>
    <w:rsid w:val="007A0AAF"/>
    <w:rsid w:val="007A0C47"/>
    <w:rsid w:val="007A1452"/>
    <w:rsid w:val="007A1A14"/>
    <w:rsid w:val="007A3410"/>
    <w:rsid w:val="007A432E"/>
    <w:rsid w:val="007A470C"/>
    <w:rsid w:val="007A4875"/>
    <w:rsid w:val="007A6AFF"/>
    <w:rsid w:val="007A6D39"/>
    <w:rsid w:val="007A6F21"/>
    <w:rsid w:val="007A73FA"/>
    <w:rsid w:val="007A77DD"/>
    <w:rsid w:val="007B03E3"/>
    <w:rsid w:val="007B04FE"/>
    <w:rsid w:val="007B0CD3"/>
    <w:rsid w:val="007B1AD2"/>
    <w:rsid w:val="007B31DB"/>
    <w:rsid w:val="007B4865"/>
    <w:rsid w:val="007B53A4"/>
    <w:rsid w:val="007B5CE2"/>
    <w:rsid w:val="007B6BCF"/>
    <w:rsid w:val="007B703B"/>
    <w:rsid w:val="007B7BB7"/>
    <w:rsid w:val="007C125D"/>
    <w:rsid w:val="007C1635"/>
    <w:rsid w:val="007C17D9"/>
    <w:rsid w:val="007C1D07"/>
    <w:rsid w:val="007C1ED3"/>
    <w:rsid w:val="007C2016"/>
    <w:rsid w:val="007C236E"/>
    <w:rsid w:val="007C3C98"/>
    <w:rsid w:val="007C4010"/>
    <w:rsid w:val="007C435A"/>
    <w:rsid w:val="007C4C3C"/>
    <w:rsid w:val="007C4DD3"/>
    <w:rsid w:val="007C515E"/>
    <w:rsid w:val="007C55D8"/>
    <w:rsid w:val="007C6DD3"/>
    <w:rsid w:val="007C780F"/>
    <w:rsid w:val="007C781F"/>
    <w:rsid w:val="007C7F9B"/>
    <w:rsid w:val="007D0C99"/>
    <w:rsid w:val="007D164B"/>
    <w:rsid w:val="007D369D"/>
    <w:rsid w:val="007D392D"/>
    <w:rsid w:val="007D416E"/>
    <w:rsid w:val="007D4292"/>
    <w:rsid w:val="007D4932"/>
    <w:rsid w:val="007D49F0"/>
    <w:rsid w:val="007D5713"/>
    <w:rsid w:val="007D59E4"/>
    <w:rsid w:val="007D644F"/>
    <w:rsid w:val="007E27EB"/>
    <w:rsid w:val="007E2E21"/>
    <w:rsid w:val="007E3223"/>
    <w:rsid w:val="007E359C"/>
    <w:rsid w:val="007E3DDB"/>
    <w:rsid w:val="007E57B4"/>
    <w:rsid w:val="007E6FA9"/>
    <w:rsid w:val="007E705A"/>
    <w:rsid w:val="007F04B2"/>
    <w:rsid w:val="007F30B5"/>
    <w:rsid w:val="007F319F"/>
    <w:rsid w:val="007F37B7"/>
    <w:rsid w:val="007F3EDD"/>
    <w:rsid w:val="007F413D"/>
    <w:rsid w:val="007F46E6"/>
    <w:rsid w:val="00800234"/>
    <w:rsid w:val="008008F5"/>
    <w:rsid w:val="008022FE"/>
    <w:rsid w:val="00802B18"/>
    <w:rsid w:val="00803952"/>
    <w:rsid w:val="00803B55"/>
    <w:rsid w:val="0080529E"/>
    <w:rsid w:val="008055A3"/>
    <w:rsid w:val="00805758"/>
    <w:rsid w:val="00805A0A"/>
    <w:rsid w:val="00805C77"/>
    <w:rsid w:val="008063FC"/>
    <w:rsid w:val="008100C1"/>
    <w:rsid w:val="008104D8"/>
    <w:rsid w:val="00811706"/>
    <w:rsid w:val="00811F82"/>
    <w:rsid w:val="008122E0"/>
    <w:rsid w:val="008125E6"/>
    <w:rsid w:val="008148C4"/>
    <w:rsid w:val="00814EFF"/>
    <w:rsid w:val="008155C5"/>
    <w:rsid w:val="0081682D"/>
    <w:rsid w:val="008171DE"/>
    <w:rsid w:val="008174DC"/>
    <w:rsid w:val="008176A2"/>
    <w:rsid w:val="0081784F"/>
    <w:rsid w:val="00817E9B"/>
    <w:rsid w:val="00820E3E"/>
    <w:rsid w:val="008215AF"/>
    <w:rsid w:val="00822171"/>
    <w:rsid w:val="00822984"/>
    <w:rsid w:val="00823CB7"/>
    <w:rsid w:val="00824C90"/>
    <w:rsid w:val="008254D9"/>
    <w:rsid w:val="008254F6"/>
    <w:rsid w:val="00825C1D"/>
    <w:rsid w:val="0082624B"/>
    <w:rsid w:val="00826E44"/>
    <w:rsid w:val="008276ED"/>
    <w:rsid w:val="00827B3D"/>
    <w:rsid w:val="008302D9"/>
    <w:rsid w:val="008306FC"/>
    <w:rsid w:val="00830C88"/>
    <w:rsid w:val="00832271"/>
    <w:rsid w:val="00832AE9"/>
    <w:rsid w:val="00832E55"/>
    <w:rsid w:val="008333DC"/>
    <w:rsid w:val="00833B71"/>
    <w:rsid w:val="008343DA"/>
    <w:rsid w:val="00834773"/>
    <w:rsid w:val="00835051"/>
    <w:rsid w:val="00836377"/>
    <w:rsid w:val="00836B52"/>
    <w:rsid w:val="008374FE"/>
    <w:rsid w:val="0083769F"/>
    <w:rsid w:val="00837A78"/>
    <w:rsid w:val="00840404"/>
    <w:rsid w:val="00840A25"/>
    <w:rsid w:val="00840A8C"/>
    <w:rsid w:val="00841641"/>
    <w:rsid w:val="00841F87"/>
    <w:rsid w:val="00842DAD"/>
    <w:rsid w:val="00844BFF"/>
    <w:rsid w:val="00845054"/>
    <w:rsid w:val="008453C9"/>
    <w:rsid w:val="00845F17"/>
    <w:rsid w:val="0084653D"/>
    <w:rsid w:val="00847502"/>
    <w:rsid w:val="00847969"/>
    <w:rsid w:val="00850D3D"/>
    <w:rsid w:val="00851C24"/>
    <w:rsid w:val="00853D8E"/>
    <w:rsid w:val="0085508A"/>
    <w:rsid w:val="00855920"/>
    <w:rsid w:val="008620D2"/>
    <w:rsid w:val="008628B5"/>
    <w:rsid w:val="00862C42"/>
    <w:rsid w:val="0086426D"/>
    <w:rsid w:val="0086501F"/>
    <w:rsid w:val="00865768"/>
    <w:rsid w:val="00865997"/>
    <w:rsid w:val="00865B03"/>
    <w:rsid w:val="0086742A"/>
    <w:rsid w:val="00870AB5"/>
    <w:rsid w:val="00871511"/>
    <w:rsid w:val="00871771"/>
    <w:rsid w:val="0087234F"/>
    <w:rsid w:val="0087339C"/>
    <w:rsid w:val="00873F0E"/>
    <w:rsid w:val="0087447D"/>
    <w:rsid w:val="0087559A"/>
    <w:rsid w:val="0087590B"/>
    <w:rsid w:val="00875EC7"/>
    <w:rsid w:val="008762AC"/>
    <w:rsid w:val="0087759A"/>
    <w:rsid w:val="00877A80"/>
    <w:rsid w:val="00880C85"/>
    <w:rsid w:val="008818F5"/>
    <w:rsid w:val="00881A10"/>
    <w:rsid w:val="00881C8E"/>
    <w:rsid w:val="00882B56"/>
    <w:rsid w:val="008834AC"/>
    <w:rsid w:val="00883630"/>
    <w:rsid w:val="00884BF1"/>
    <w:rsid w:val="00884CF5"/>
    <w:rsid w:val="00885442"/>
    <w:rsid w:val="00885BB4"/>
    <w:rsid w:val="0089029E"/>
    <w:rsid w:val="00893034"/>
    <w:rsid w:val="00893270"/>
    <w:rsid w:val="00893BCA"/>
    <w:rsid w:val="00896001"/>
    <w:rsid w:val="00896082"/>
    <w:rsid w:val="00896133"/>
    <w:rsid w:val="00896568"/>
    <w:rsid w:val="00897DAA"/>
    <w:rsid w:val="008A014A"/>
    <w:rsid w:val="008A186B"/>
    <w:rsid w:val="008A1E0D"/>
    <w:rsid w:val="008A3A56"/>
    <w:rsid w:val="008A4243"/>
    <w:rsid w:val="008A4723"/>
    <w:rsid w:val="008A5900"/>
    <w:rsid w:val="008A6518"/>
    <w:rsid w:val="008A68F5"/>
    <w:rsid w:val="008A6CDB"/>
    <w:rsid w:val="008A796A"/>
    <w:rsid w:val="008B000A"/>
    <w:rsid w:val="008B004F"/>
    <w:rsid w:val="008B1962"/>
    <w:rsid w:val="008B2259"/>
    <w:rsid w:val="008B2406"/>
    <w:rsid w:val="008B2981"/>
    <w:rsid w:val="008B2D8F"/>
    <w:rsid w:val="008B2FF6"/>
    <w:rsid w:val="008B31A1"/>
    <w:rsid w:val="008B4019"/>
    <w:rsid w:val="008B50DF"/>
    <w:rsid w:val="008B67F4"/>
    <w:rsid w:val="008B70AA"/>
    <w:rsid w:val="008C0DF7"/>
    <w:rsid w:val="008C0E1B"/>
    <w:rsid w:val="008C0FCC"/>
    <w:rsid w:val="008C1814"/>
    <w:rsid w:val="008C1AE4"/>
    <w:rsid w:val="008C1C0D"/>
    <w:rsid w:val="008C1CC8"/>
    <w:rsid w:val="008C1E6E"/>
    <w:rsid w:val="008C1F03"/>
    <w:rsid w:val="008C237F"/>
    <w:rsid w:val="008C2BC3"/>
    <w:rsid w:val="008C2CD8"/>
    <w:rsid w:val="008C30B3"/>
    <w:rsid w:val="008C3BA6"/>
    <w:rsid w:val="008C489A"/>
    <w:rsid w:val="008C48F5"/>
    <w:rsid w:val="008C4CF5"/>
    <w:rsid w:val="008C6913"/>
    <w:rsid w:val="008C6B49"/>
    <w:rsid w:val="008C6F25"/>
    <w:rsid w:val="008C751F"/>
    <w:rsid w:val="008D1726"/>
    <w:rsid w:val="008D1C71"/>
    <w:rsid w:val="008D24CC"/>
    <w:rsid w:val="008D37A3"/>
    <w:rsid w:val="008D470C"/>
    <w:rsid w:val="008D4B32"/>
    <w:rsid w:val="008D59EE"/>
    <w:rsid w:val="008D6B55"/>
    <w:rsid w:val="008D7ACC"/>
    <w:rsid w:val="008E0173"/>
    <w:rsid w:val="008E03B0"/>
    <w:rsid w:val="008E08C4"/>
    <w:rsid w:val="008E0B81"/>
    <w:rsid w:val="008E25A1"/>
    <w:rsid w:val="008E286C"/>
    <w:rsid w:val="008E29F2"/>
    <w:rsid w:val="008E309C"/>
    <w:rsid w:val="008E38FE"/>
    <w:rsid w:val="008E43BC"/>
    <w:rsid w:val="008E4D48"/>
    <w:rsid w:val="008E5824"/>
    <w:rsid w:val="008E643D"/>
    <w:rsid w:val="008E6A90"/>
    <w:rsid w:val="008E7E90"/>
    <w:rsid w:val="008F04D0"/>
    <w:rsid w:val="008F0ADD"/>
    <w:rsid w:val="008F46A3"/>
    <w:rsid w:val="008F603E"/>
    <w:rsid w:val="008F62C7"/>
    <w:rsid w:val="008F6CE5"/>
    <w:rsid w:val="008F7724"/>
    <w:rsid w:val="0090089D"/>
    <w:rsid w:val="00900F2D"/>
    <w:rsid w:val="009017FD"/>
    <w:rsid w:val="00903B6A"/>
    <w:rsid w:val="009043A7"/>
    <w:rsid w:val="00904896"/>
    <w:rsid w:val="00905E4F"/>
    <w:rsid w:val="009061D0"/>
    <w:rsid w:val="009067EB"/>
    <w:rsid w:val="009078E3"/>
    <w:rsid w:val="00907DF8"/>
    <w:rsid w:val="00910E9D"/>
    <w:rsid w:val="00911260"/>
    <w:rsid w:val="009117B8"/>
    <w:rsid w:val="00911BE6"/>
    <w:rsid w:val="009128CE"/>
    <w:rsid w:val="009133A4"/>
    <w:rsid w:val="00913CD1"/>
    <w:rsid w:val="00916CB6"/>
    <w:rsid w:val="00916DF1"/>
    <w:rsid w:val="009213BA"/>
    <w:rsid w:val="009214BF"/>
    <w:rsid w:val="009214FA"/>
    <w:rsid w:val="00921F35"/>
    <w:rsid w:val="00922D5A"/>
    <w:rsid w:val="0092323F"/>
    <w:rsid w:val="0092389C"/>
    <w:rsid w:val="009247BA"/>
    <w:rsid w:val="00924D99"/>
    <w:rsid w:val="00925124"/>
    <w:rsid w:val="00925488"/>
    <w:rsid w:val="009258A4"/>
    <w:rsid w:val="00926663"/>
    <w:rsid w:val="0093081E"/>
    <w:rsid w:val="00931709"/>
    <w:rsid w:val="00931993"/>
    <w:rsid w:val="00931B9F"/>
    <w:rsid w:val="00931F18"/>
    <w:rsid w:val="00933D79"/>
    <w:rsid w:val="00933E72"/>
    <w:rsid w:val="0093495C"/>
    <w:rsid w:val="00934D39"/>
    <w:rsid w:val="00934F6D"/>
    <w:rsid w:val="00935173"/>
    <w:rsid w:val="00937AD4"/>
    <w:rsid w:val="00940E75"/>
    <w:rsid w:val="00940F23"/>
    <w:rsid w:val="00941232"/>
    <w:rsid w:val="00941718"/>
    <w:rsid w:val="00941913"/>
    <w:rsid w:val="0094270F"/>
    <w:rsid w:val="00942B4A"/>
    <w:rsid w:val="009435FC"/>
    <w:rsid w:val="009452A9"/>
    <w:rsid w:val="00947242"/>
    <w:rsid w:val="00947853"/>
    <w:rsid w:val="00947D0B"/>
    <w:rsid w:val="00950B7B"/>
    <w:rsid w:val="00950C16"/>
    <w:rsid w:val="00950CBD"/>
    <w:rsid w:val="00950D7E"/>
    <w:rsid w:val="00951C77"/>
    <w:rsid w:val="00952297"/>
    <w:rsid w:val="00952A31"/>
    <w:rsid w:val="00953EE7"/>
    <w:rsid w:val="00954102"/>
    <w:rsid w:val="0095427C"/>
    <w:rsid w:val="009545A9"/>
    <w:rsid w:val="009550B8"/>
    <w:rsid w:val="009568C2"/>
    <w:rsid w:val="00956CA1"/>
    <w:rsid w:val="00956F88"/>
    <w:rsid w:val="00957DEE"/>
    <w:rsid w:val="0096018F"/>
    <w:rsid w:val="00960356"/>
    <w:rsid w:val="009603E0"/>
    <w:rsid w:val="00960E27"/>
    <w:rsid w:val="009615EF"/>
    <w:rsid w:val="00961B0D"/>
    <w:rsid w:val="00961D5E"/>
    <w:rsid w:val="009624F9"/>
    <w:rsid w:val="009626F9"/>
    <w:rsid w:val="00962F95"/>
    <w:rsid w:val="00963378"/>
    <w:rsid w:val="009639D1"/>
    <w:rsid w:val="00963FF4"/>
    <w:rsid w:val="00964A93"/>
    <w:rsid w:val="00964F75"/>
    <w:rsid w:val="00965873"/>
    <w:rsid w:val="00965CEB"/>
    <w:rsid w:val="009664CE"/>
    <w:rsid w:val="0096670B"/>
    <w:rsid w:val="00966C41"/>
    <w:rsid w:val="00966CDE"/>
    <w:rsid w:val="00967A82"/>
    <w:rsid w:val="00970DAE"/>
    <w:rsid w:val="0097225D"/>
    <w:rsid w:val="00973155"/>
    <w:rsid w:val="0097382A"/>
    <w:rsid w:val="00973F38"/>
    <w:rsid w:val="00974242"/>
    <w:rsid w:val="0097477E"/>
    <w:rsid w:val="00975414"/>
    <w:rsid w:val="00975906"/>
    <w:rsid w:val="00977299"/>
    <w:rsid w:val="00977A3D"/>
    <w:rsid w:val="00977C3C"/>
    <w:rsid w:val="00980C5E"/>
    <w:rsid w:val="00980E78"/>
    <w:rsid w:val="00981F2E"/>
    <w:rsid w:val="00982627"/>
    <w:rsid w:val="009834F7"/>
    <w:rsid w:val="00985D7B"/>
    <w:rsid w:val="009869DE"/>
    <w:rsid w:val="00986C4C"/>
    <w:rsid w:val="009875CD"/>
    <w:rsid w:val="009875E1"/>
    <w:rsid w:val="00987C39"/>
    <w:rsid w:val="0099034F"/>
    <w:rsid w:val="0099188D"/>
    <w:rsid w:val="00992F49"/>
    <w:rsid w:val="009935C4"/>
    <w:rsid w:val="009941E4"/>
    <w:rsid w:val="00995415"/>
    <w:rsid w:val="00995C33"/>
    <w:rsid w:val="00995F7F"/>
    <w:rsid w:val="009A099D"/>
    <w:rsid w:val="009A1296"/>
    <w:rsid w:val="009A1E0D"/>
    <w:rsid w:val="009A2103"/>
    <w:rsid w:val="009A28A5"/>
    <w:rsid w:val="009A2985"/>
    <w:rsid w:val="009A4888"/>
    <w:rsid w:val="009A4B91"/>
    <w:rsid w:val="009A505F"/>
    <w:rsid w:val="009A5FFB"/>
    <w:rsid w:val="009A6211"/>
    <w:rsid w:val="009A6976"/>
    <w:rsid w:val="009A7AC8"/>
    <w:rsid w:val="009A7F3F"/>
    <w:rsid w:val="009B0085"/>
    <w:rsid w:val="009B0122"/>
    <w:rsid w:val="009B0333"/>
    <w:rsid w:val="009B056E"/>
    <w:rsid w:val="009B0C01"/>
    <w:rsid w:val="009B1295"/>
    <w:rsid w:val="009B14E9"/>
    <w:rsid w:val="009B23FF"/>
    <w:rsid w:val="009B3C3E"/>
    <w:rsid w:val="009B472F"/>
    <w:rsid w:val="009B5936"/>
    <w:rsid w:val="009B6AF8"/>
    <w:rsid w:val="009B7DB6"/>
    <w:rsid w:val="009C00FC"/>
    <w:rsid w:val="009C06EB"/>
    <w:rsid w:val="009C117B"/>
    <w:rsid w:val="009C1182"/>
    <w:rsid w:val="009C1A1A"/>
    <w:rsid w:val="009C2F46"/>
    <w:rsid w:val="009C31A5"/>
    <w:rsid w:val="009C3CF1"/>
    <w:rsid w:val="009C4E4E"/>
    <w:rsid w:val="009C5056"/>
    <w:rsid w:val="009C58FA"/>
    <w:rsid w:val="009C592B"/>
    <w:rsid w:val="009C5AE1"/>
    <w:rsid w:val="009C5BE1"/>
    <w:rsid w:val="009C766A"/>
    <w:rsid w:val="009D20DF"/>
    <w:rsid w:val="009D2D45"/>
    <w:rsid w:val="009D2E86"/>
    <w:rsid w:val="009D2ECF"/>
    <w:rsid w:val="009D39E4"/>
    <w:rsid w:val="009D4B7C"/>
    <w:rsid w:val="009D6BF5"/>
    <w:rsid w:val="009E0996"/>
    <w:rsid w:val="009E2887"/>
    <w:rsid w:val="009E2C18"/>
    <w:rsid w:val="009E30DF"/>
    <w:rsid w:val="009E3847"/>
    <w:rsid w:val="009E3B1F"/>
    <w:rsid w:val="009E4168"/>
    <w:rsid w:val="009E5106"/>
    <w:rsid w:val="009E6EFE"/>
    <w:rsid w:val="009E7A37"/>
    <w:rsid w:val="009F0A36"/>
    <w:rsid w:val="009F0C5F"/>
    <w:rsid w:val="009F11F0"/>
    <w:rsid w:val="009F1895"/>
    <w:rsid w:val="009F28DD"/>
    <w:rsid w:val="009F2EED"/>
    <w:rsid w:val="009F31E4"/>
    <w:rsid w:val="009F3284"/>
    <w:rsid w:val="009F446A"/>
    <w:rsid w:val="009F4CDB"/>
    <w:rsid w:val="009F522E"/>
    <w:rsid w:val="009F5C39"/>
    <w:rsid w:val="009F699A"/>
    <w:rsid w:val="009F6DAF"/>
    <w:rsid w:val="009F72B3"/>
    <w:rsid w:val="009F73AA"/>
    <w:rsid w:val="00A000AC"/>
    <w:rsid w:val="00A00FDC"/>
    <w:rsid w:val="00A017B6"/>
    <w:rsid w:val="00A0308E"/>
    <w:rsid w:val="00A033C6"/>
    <w:rsid w:val="00A04326"/>
    <w:rsid w:val="00A0499A"/>
    <w:rsid w:val="00A04B9F"/>
    <w:rsid w:val="00A0522A"/>
    <w:rsid w:val="00A06720"/>
    <w:rsid w:val="00A07D6D"/>
    <w:rsid w:val="00A10720"/>
    <w:rsid w:val="00A111ED"/>
    <w:rsid w:val="00A11BD2"/>
    <w:rsid w:val="00A11DC2"/>
    <w:rsid w:val="00A1326D"/>
    <w:rsid w:val="00A138DE"/>
    <w:rsid w:val="00A13C82"/>
    <w:rsid w:val="00A14164"/>
    <w:rsid w:val="00A144F1"/>
    <w:rsid w:val="00A1529B"/>
    <w:rsid w:val="00A1713E"/>
    <w:rsid w:val="00A17AD0"/>
    <w:rsid w:val="00A20396"/>
    <w:rsid w:val="00A20EDF"/>
    <w:rsid w:val="00A20FDA"/>
    <w:rsid w:val="00A219C2"/>
    <w:rsid w:val="00A22155"/>
    <w:rsid w:val="00A22556"/>
    <w:rsid w:val="00A22F03"/>
    <w:rsid w:val="00A23386"/>
    <w:rsid w:val="00A24292"/>
    <w:rsid w:val="00A248B4"/>
    <w:rsid w:val="00A25260"/>
    <w:rsid w:val="00A260BB"/>
    <w:rsid w:val="00A27FCA"/>
    <w:rsid w:val="00A318E3"/>
    <w:rsid w:val="00A32CE9"/>
    <w:rsid w:val="00A3343B"/>
    <w:rsid w:val="00A3349A"/>
    <w:rsid w:val="00A34253"/>
    <w:rsid w:val="00A3518B"/>
    <w:rsid w:val="00A35652"/>
    <w:rsid w:val="00A36C7E"/>
    <w:rsid w:val="00A37814"/>
    <w:rsid w:val="00A4033B"/>
    <w:rsid w:val="00A405B1"/>
    <w:rsid w:val="00A40976"/>
    <w:rsid w:val="00A40B7D"/>
    <w:rsid w:val="00A42ACC"/>
    <w:rsid w:val="00A42D91"/>
    <w:rsid w:val="00A42DCF"/>
    <w:rsid w:val="00A4362D"/>
    <w:rsid w:val="00A44A32"/>
    <w:rsid w:val="00A44B4F"/>
    <w:rsid w:val="00A46874"/>
    <w:rsid w:val="00A50057"/>
    <w:rsid w:val="00A50137"/>
    <w:rsid w:val="00A50397"/>
    <w:rsid w:val="00A534B7"/>
    <w:rsid w:val="00A549E4"/>
    <w:rsid w:val="00A54AA6"/>
    <w:rsid w:val="00A550C9"/>
    <w:rsid w:val="00A55924"/>
    <w:rsid w:val="00A55BD6"/>
    <w:rsid w:val="00A608BF"/>
    <w:rsid w:val="00A60CBF"/>
    <w:rsid w:val="00A618C6"/>
    <w:rsid w:val="00A61E76"/>
    <w:rsid w:val="00A6281E"/>
    <w:rsid w:val="00A62EED"/>
    <w:rsid w:val="00A64397"/>
    <w:rsid w:val="00A65126"/>
    <w:rsid w:val="00A65E58"/>
    <w:rsid w:val="00A664CD"/>
    <w:rsid w:val="00A668C2"/>
    <w:rsid w:val="00A67A94"/>
    <w:rsid w:val="00A67D80"/>
    <w:rsid w:val="00A711CB"/>
    <w:rsid w:val="00A7170E"/>
    <w:rsid w:val="00A71755"/>
    <w:rsid w:val="00A7221E"/>
    <w:rsid w:val="00A72558"/>
    <w:rsid w:val="00A726DE"/>
    <w:rsid w:val="00A737F7"/>
    <w:rsid w:val="00A73C42"/>
    <w:rsid w:val="00A73E91"/>
    <w:rsid w:val="00A741AB"/>
    <w:rsid w:val="00A74468"/>
    <w:rsid w:val="00A7458D"/>
    <w:rsid w:val="00A7462E"/>
    <w:rsid w:val="00A74BA3"/>
    <w:rsid w:val="00A75519"/>
    <w:rsid w:val="00A7566A"/>
    <w:rsid w:val="00A75A85"/>
    <w:rsid w:val="00A75C05"/>
    <w:rsid w:val="00A76AA7"/>
    <w:rsid w:val="00A770B9"/>
    <w:rsid w:val="00A807BB"/>
    <w:rsid w:val="00A80E78"/>
    <w:rsid w:val="00A81011"/>
    <w:rsid w:val="00A8197A"/>
    <w:rsid w:val="00A81E90"/>
    <w:rsid w:val="00A829D6"/>
    <w:rsid w:val="00A82D12"/>
    <w:rsid w:val="00A830C0"/>
    <w:rsid w:val="00A83EEE"/>
    <w:rsid w:val="00A8404A"/>
    <w:rsid w:val="00A85046"/>
    <w:rsid w:val="00A90D7E"/>
    <w:rsid w:val="00A912E7"/>
    <w:rsid w:val="00A914A5"/>
    <w:rsid w:val="00A924A5"/>
    <w:rsid w:val="00A938D8"/>
    <w:rsid w:val="00A93934"/>
    <w:rsid w:val="00A94B0A"/>
    <w:rsid w:val="00A94D2D"/>
    <w:rsid w:val="00A9535E"/>
    <w:rsid w:val="00A975AF"/>
    <w:rsid w:val="00A97835"/>
    <w:rsid w:val="00AA08DA"/>
    <w:rsid w:val="00AA20B1"/>
    <w:rsid w:val="00AA2406"/>
    <w:rsid w:val="00AA2730"/>
    <w:rsid w:val="00AA4035"/>
    <w:rsid w:val="00AA539D"/>
    <w:rsid w:val="00AA5FAE"/>
    <w:rsid w:val="00AA6555"/>
    <w:rsid w:val="00AA7CF2"/>
    <w:rsid w:val="00AA7DBC"/>
    <w:rsid w:val="00AB0F0D"/>
    <w:rsid w:val="00AB145F"/>
    <w:rsid w:val="00AB26FD"/>
    <w:rsid w:val="00AB38B5"/>
    <w:rsid w:val="00AB5E5B"/>
    <w:rsid w:val="00AC0AD3"/>
    <w:rsid w:val="00AC1994"/>
    <w:rsid w:val="00AC1E1D"/>
    <w:rsid w:val="00AC24F9"/>
    <w:rsid w:val="00AC56A3"/>
    <w:rsid w:val="00AC574E"/>
    <w:rsid w:val="00AC5DAA"/>
    <w:rsid w:val="00AC782C"/>
    <w:rsid w:val="00AC79DB"/>
    <w:rsid w:val="00AD0222"/>
    <w:rsid w:val="00AD0678"/>
    <w:rsid w:val="00AD0A7B"/>
    <w:rsid w:val="00AD0C51"/>
    <w:rsid w:val="00AD13C4"/>
    <w:rsid w:val="00AD1875"/>
    <w:rsid w:val="00AD1C5D"/>
    <w:rsid w:val="00AD2C0F"/>
    <w:rsid w:val="00AD33C2"/>
    <w:rsid w:val="00AD3693"/>
    <w:rsid w:val="00AD375E"/>
    <w:rsid w:val="00AD3B14"/>
    <w:rsid w:val="00AD3BA8"/>
    <w:rsid w:val="00AD3EDA"/>
    <w:rsid w:val="00AD40D6"/>
    <w:rsid w:val="00AD538E"/>
    <w:rsid w:val="00AD5BCD"/>
    <w:rsid w:val="00AD6530"/>
    <w:rsid w:val="00AD6763"/>
    <w:rsid w:val="00AD7BAF"/>
    <w:rsid w:val="00AE0712"/>
    <w:rsid w:val="00AE0B2F"/>
    <w:rsid w:val="00AE16CE"/>
    <w:rsid w:val="00AE1771"/>
    <w:rsid w:val="00AE17D5"/>
    <w:rsid w:val="00AE259A"/>
    <w:rsid w:val="00AE30C0"/>
    <w:rsid w:val="00AE4516"/>
    <w:rsid w:val="00AE46E2"/>
    <w:rsid w:val="00AE4BD6"/>
    <w:rsid w:val="00AE4C67"/>
    <w:rsid w:val="00AE4FB7"/>
    <w:rsid w:val="00AE7112"/>
    <w:rsid w:val="00AE71D9"/>
    <w:rsid w:val="00AE7303"/>
    <w:rsid w:val="00AE77EB"/>
    <w:rsid w:val="00AE7D29"/>
    <w:rsid w:val="00AF0C61"/>
    <w:rsid w:val="00AF1554"/>
    <w:rsid w:val="00AF21B1"/>
    <w:rsid w:val="00AF3178"/>
    <w:rsid w:val="00AF324B"/>
    <w:rsid w:val="00AF37F4"/>
    <w:rsid w:val="00AF381A"/>
    <w:rsid w:val="00AF4ACA"/>
    <w:rsid w:val="00AF4F5E"/>
    <w:rsid w:val="00AF55BF"/>
    <w:rsid w:val="00AF59DB"/>
    <w:rsid w:val="00AF6077"/>
    <w:rsid w:val="00AF6273"/>
    <w:rsid w:val="00AF676B"/>
    <w:rsid w:val="00AF6F22"/>
    <w:rsid w:val="00AF7C18"/>
    <w:rsid w:val="00AF7E1D"/>
    <w:rsid w:val="00AF7EDA"/>
    <w:rsid w:val="00B008DE"/>
    <w:rsid w:val="00B013DA"/>
    <w:rsid w:val="00B01F04"/>
    <w:rsid w:val="00B03126"/>
    <w:rsid w:val="00B03A0A"/>
    <w:rsid w:val="00B04E15"/>
    <w:rsid w:val="00B05929"/>
    <w:rsid w:val="00B0594F"/>
    <w:rsid w:val="00B062FF"/>
    <w:rsid w:val="00B071F0"/>
    <w:rsid w:val="00B078E7"/>
    <w:rsid w:val="00B1019C"/>
    <w:rsid w:val="00B10204"/>
    <w:rsid w:val="00B1097E"/>
    <w:rsid w:val="00B11BED"/>
    <w:rsid w:val="00B122C2"/>
    <w:rsid w:val="00B12307"/>
    <w:rsid w:val="00B1239D"/>
    <w:rsid w:val="00B124AC"/>
    <w:rsid w:val="00B1361A"/>
    <w:rsid w:val="00B143D3"/>
    <w:rsid w:val="00B14EC7"/>
    <w:rsid w:val="00B15666"/>
    <w:rsid w:val="00B16858"/>
    <w:rsid w:val="00B16862"/>
    <w:rsid w:val="00B20AE7"/>
    <w:rsid w:val="00B210A0"/>
    <w:rsid w:val="00B21396"/>
    <w:rsid w:val="00B2204D"/>
    <w:rsid w:val="00B22FA0"/>
    <w:rsid w:val="00B23A22"/>
    <w:rsid w:val="00B23CBB"/>
    <w:rsid w:val="00B23DAE"/>
    <w:rsid w:val="00B2525E"/>
    <w:rsid w:val="00B2531B"/>
    <w:rsid w:val="00B258CA"/>
    <w:rsid w:val="00B25B51"/>
    <w:rsid w:val="00B2648C"/>
    <w:rsid w:val="00B26BB3"/>
    <w:rsid w:val="00B26F9E"/>
    <w:rsid w:val="00B27352"/>
    <w:rsid w:val="00B27898"/>
    <w:rsid w:val="00B3043D"/>
    <w:rsid w:val="00B314CF"/>
    <w:rsid w:val="00B31FD7"/>
    <w:rsid w:val="00B3243D"/>
    <w:rsid w:val="00B3259E"/>
    <w:rsid w:val="00B32D9E"/>
    <w:rsid w:val="00B358DB"/>
    <w:rsid w:val="00B3599B"/>
    <w:rsid w:val="00B3623F"/>
    <w:rsid w:val="00B36566"/>
    <w:rsid w:val="00B36CE4"/>
    <w:rsid w:val="00B36EF9"/>
    <w:rsid w:val="00B3744F"/>
    <w:rsid w:val="00B37EBF"/>
    <w:rsid w:val="00B40AD6"/>
    <w:rsid w:val="00B41327"/>
    <w:rsid w:val="00B4171C"/>
    <w:rsid w:val="00B42CC4"/>
    <w:rsid w:val="00B43200"/>
    <w:rsid w:val="00B443CD"/>
    <w:rsid w:val="00B45328"/>
    <w:rsid w:val="00B455AA"/>
    <w:rsid w:val="00B462AA"/>
    <w:rsid w:val="00B46CC6"/>
    <w:rsid w:val="00B47C46"/>
    <w:rsid w:val="00B500B1"/>
    <w:rsid w:val="00B50456"/>
    <w:rsid w:val="00B51D43"/>
    <w:rsid w:val="00B51F76"/>
    <w:rsid w:val="00B52399"/>
    <w:rsid w:val="00B52692"/>
    <w:rsid w:val="00B53195"/>
    <w:rsid w:val="00B53BA1"/>
    <w:rsid w:val="00B5450D"/>
    <w:rsid w:val="00B55047"/>
    <w:rsid w:val="00B552DC"/>
    <w:rsid w:val="00B55B69"/>
    <w:rsid w:val="00B562AE"/>
    <w:rsid w:val="00B56C92"/>
    <w:rsid w:val="00B57BA6"/>
    <w:rsid w:val="00B60393"/>
    <w:rsid w:val="00B606EB"/>
    <w:rsid w:val="00B61F75"/>
    <w:rsid w:val="00B627BD"/>
    <w:rsid w:val="00B62AD0"/>
    <w:rsid w:val="00B63DF0"/>
    <w:rsid w:val="00B643A4"/>
    <w:rsid w:val="00B65229"/>
    <w:rsid w:val="00B66098"/>
    <w:rsid w:val="00B663B2"/>
    <w:rsid w:val="00B66C30"/>
    <w:rsid w:val="00B6713C"/>
    <w:rsid w:val="00B70344"/>
    <w:rsid w:val="00B71563"/>
    <w:rsid w:val="00B729C9"/>
    <w:rsid w:val="00B72F77"/>
    <w:rsid w:val="00B735F0"/>
    <w:rsid w:val="00B739C3"/>
    <w:rsid w:val="00B7457D"/>
    <w:rsid w:val="00B74811"/>
    <w:rsid w:val="00B7564F"/>
    <w:rsid w:val="00B757E7"/>
    <w:rsid w:val="00B7595C"/>
    <w:rsid w:val="00B767C9"/>
    <w:rsid w:val="00B80A10"/>
    <w:rsid w:val="00B80C34"/>
    <w:rsid w:val="00B81A02"/>
    <w:rsid w:val="00B81C1D"/>
    <w:rsid w:val="00B837BB"/>
    <w:rsid w:val="00B84E72"/>
    <w:rsid w:val="00B84F17"/>
    <w:rsid w:val="00B856CA"/>
    <w:rsid w:val="00B85878"/>
    <w:rsid w:val="00B86B68"/>
    <w:rsid w:val="00B876EC"/>
    <w:rsid w:val="00B87DD2"/>
    <w:rsid w:val="00B915ED"/>
    <w:rsid w:val="00B918FF"/>
    <w:rsid w:val="00B92EA2"/>
    <w:rsid w:val="00B9478A"/>
    <w:rsid w:val="00B94D74"/>
    <w:rsid w:val="00B95620"/>
    <w:rsid w:val="00B957EB"/>
    <w:rsid w:val="00B97386"/>
    <w:rsid w:val="00B97E05"/>
    <w:rsid w:val="00BA0D10"/>
    <w:rsid w:val="00BA1941"/>
    <w:rsid w:val="00BA30E2"/>
    <w:rsid w:val="00BA3671"/>
    <w:rsid w:val="00BA4AFC"/>
    <w:rsid w:val="00BA4B5E"/>
    <w:rsid w:val="00BA5085"/>
    <w:rsid w:val="00BA5F37"/>
    <w:rsid w:val="00BA65B8"/>
    <w:rsid w:val="00BA6B90"/>
    <w:rsid w:val="00BA6DF5"/>
    <w:rsid w:val="00BA71EF"/>
    <w:rsid w:val="00BA7B2A"/>
    <w:rsid w:val="00BA7BEE"/>
    <w:rsid w:val="00BB2A85"/>
    <w:rsid w:val="00BB2D03"/>
    <w:rsid w:val="00BB3646"/>
    <w:rsid w:val="00BB40C2"/>
    <w:rsid w:val="00BB42FE"/>
    <w:rsid w:val="00BB449B"/>
    <w:rsid w:val="00BB462A"/>
    <w:rsid w:val="00BB562B"/>
    <w:rsid w:val="00BB62DF"/>
    <w:rsid w:val="00BB667D"/>
    <w:rsid w:val="00BB71DE"/>
    <w:rsid w:val="00BB75EC"/>
    <w:rsid w:val="00BB7DD9"/>
    <w:rsid w:val="00BC1099"/>
    <w:rsid w:val="00BC457A"/>
    <w:rsid w:val="00BC460A"/>
    <w:rsid w:val="00BC4D27"/>
    <w:rsid w:val="00BC4E97"/>
    <w:rsid w:val="00BC556F"/>
    <w:rsid w:val="00BC5AE6"/>
    <w:rsid w:val="00BC5EC5"/>
    <w:rsid w:val="00BC5ECA"/>
    <w:rsid w:val="00BC6273"/>
    <w:rsid w:val="00BC6487"/>
    <w:rsid w:val="00BC6525"/>
    <w:rsid w:val="00BC66CA"/>
    <w:rsid w:val="00BC6A14"/>
    <w:rsid w:val="00BC7E1C"/>
    <w:rsid w:val="00BD0337"/>
    <w:rsid w:val="00BD03F0"/>
    <w:rsid w:val="00BD07B0"/>
    <w:rsid w:val="00BD0B3F"/>
    <w:rsid w:val="00BD1706"/>
    <w:rsid w:val="00BD1FEB"/>
    <w:rsid w:val="00BD27F3"/>
    <w:rsid w:val="00BD5009"/>
    <w:rsid w:val="00BD5B9C"/>
    <w:rsid w:val="00BD6058"/>
    <w:rsid w:val="00BD65EE"/>
    <w:rsid w:val="00BD6F6E"/>
    <w:rsid w:val="00BE0D10"/>
    <w:rsid w:val="00BE1091"/>
    <w:rsid w:val="00BE14F5"/>
    <w:rsid w:val="00BE1E2F"/>
    <w:rsid w:val="00BE1EBF"/>
    <w:rsid w:val="00BE3608"/>
    <w:rsid w:val="00BE3A54"/>
    <w:rsid w:val="00BE43A0"/>
    <w:rsid w:val="00BE4AA5"/>
    <w:rsid w:val="00BE4BF3"/>
    <w:rsid w:val="00BE4FDE"/>
    <w:rsid w:val="00BE51CF"/>
    <w:rsid w:val="00BE7055"/>
    <w:rsid w:val="00BE7563"/>
    <w:rsid w:val="00BE7B72"/>
    <w:rsid w:val="00BF047E"/>
    <w:rsid w:val="00BF1067"/>
    <w:rsid w:val="00BF228E"/>
    <w:rsid w:val="00BF3458"/>
    <w:rsid w:val="00BF5730"/>
    <w:rsid w:val="00BF6E7B"/>
    <w:rsid w:val="00BF7A5F"/>
    <w:rsid w:val="00C00690"/>
    <w:rsid w:val="00C00D60"/>
    <w:rsid w:val="00C01AA9"/>
    <w:rsid w:val="00C02EC6"/>
    <w:rsid w:val="00C042C9"/>
    <w:rsid w:val="00C04BC2"/>
    <w:rsid w:val="00C05373"/>
    <w:rsid w:val="00C05523"/>
    <w:rsid w:val="00C101C1"/>
    <w:rsid w:val="00C10388"/>
    <w:rsid w:val="00C10D2A"/>
    <w:rsid w:val="00C1345A"/>
    <w:rsid w:val="00C13799"/>
    <w:rsid w:val="00C13817"/>
    <w:rsid w:val="00C141A6"/>
    <w:rsid w:val="00C146DE"/>
    <w:rsid w:val="00C153AC"/>
    <w:rsid w:val="00C15A82"/>
    <w:rsid w:val="00C15C2A"/>
    <w:rsid w:val="00C16588"/>
    <w:rsid w:val="00C169EF"/>
    <w:rsid w:val="00C16C4B"/>
    <w:rsid w:val="00C16F3B"/>
    <w:rsid w:val="00C1713C"/>
    <w:rsid w:val="00C17229"/>
    <w:rsid w:val="00C173A6"/>
    <w:rsid w:val="00C17C74"/>
    <w:rsid w:val="00C2151D"/>
    <w:rsid w:val="00C218A7"/>
    <w:rsid w:val="00C21F6E"/>
    <w:rsid w:val="00C233B6"/>
    <w:rsid w:val="00C235A5"/>
    <w:rsid w:val="00C2371E"/>
    <w:rsid w:val="00C24E24"/>
    <w:rsid w:val="00C24F3C"/>
    <w:rsid w:val="00C27128"/>
    <w:rsid w:val="00C323E7"/>
    <w:rsid w:val="00C32418"/>
    <w:rsid w:val="00C33022"/>
    <w:rsid w:val="00C34060"/>
    <w:rsid w:val="00C34159"/>
    <w:rsid w:val="00C34D55"/>
    <w:rsid w:val="00C34FD9"/>
    <w:rsid w:val="00C35026"/>
    <w:rsid w:val="00C3749D"/>
    <w:rsid w:val="00C37BA1"/>
    <w:rsid w:val="00C40256"/>
    <w:rsid w:val="00C40729"/>
    <w:rsid w:val="00C408DA"/>
    <w:rsid w:val="00C40A9C"/>
    <w:rsid w:val="00C415C0"/>
    <w:rsid w:val="00C41BFE"/>
    <w:rsid w:val="00C42898"/>
    <w:rsid w:val="00C42DBF"/>
    <w:rsid w:val="00C440D6"/>
    <w:rsid w:val="00C44582"/>
    <w:rsid w:val="00C45BC7"/>
    <w:rsid w:val="00C46CC3"/>
    <w:rsid w:val="00C47AB5"/>
    <w:rsid w:val="00C5099C"/>
    <w:rsid w:val="00C50C8C"/>
    <w:rsid w:val="00C518F0"/>
    <w:rsid w:val="00C52AE0"/>
    <w:rsid w:val="00C535E6"/>
    <w:rsid w:val="00C53BEE"/>
    <w:rsid w:val="00C543FD"/>
    <w:rsid w:val="00C54C6A"/>
    <w:rsid w:val="00C54D51"/>
    <w:rsid w:val="00C55273"/>
    <w:rsid w:val="00C553F6"/>
    <w:rsid w:val="00C555CD"/>
    <w:rsid w:val="00C55675"/>
    <w:rsid w:val="00C55A69"/>
    <w:rsid w:val="00C55A84"/>
    <w:rsid w:val="00C567B0"/>
    <w:rsid w:val="00C56AAF"/>
    <w:rsid w:val="00C56B4D"/>
    <w:rsid w:val="00C56BE4"/>
    <w:rsid w:val="00C577C9"/>
    <w:rsid w:val="00C57D32"/>
    <w:rsid w:val="00C64151"/>
    <w:rsid w:val="00C644CA"/>
    <w:rsid w:val="00C6483C"/>
    <w:rsid w:val="00C6531D"/>
    <w:rsid w:val="00C65A78"/>
    <w:rsid w:val="00C67B2F"/>
    <w:rsid w:val="00C67C43"/>
    <w:rsid w:val="00C70DD3"/>
    <w:rsid w:val="00C714DC"/>
    <w:rsid w:val="00C715F2"/>
    <w:rsid w:val="00C71E20"/>
    <w:rsid w:val="00C733C9"/>
    <w:rsid w:val="00C739BE"/>
    <w:rsid w:val="00C73D4A"/>
    <w:rsid w:val="00C74303"/>
    <w:rsid w:val="00C74697"/>
    <w:rsid w:val="00C74990"/>
    <w:rsid w:val="00C76338"/>
    <w:rsid w:val="00C76DF9"/>
    <w:rsid w:val="00C76F58"/>
    <w:rsid w:val="00C809CC"/>
    <w:rsid w:val="00C81F31"/>
    <w:rsid w:val="00C82DE7"/>
    <w:rsid w:val="00C83D04"/>
    <w:rsid w:val="00C84547"/>
    <w:rsid w:val="00C85A68"/>
    <w:rsid w:val="00C85CF3"/>
    <w:rsid w:val="00C865C2"/>
    <w:rsid w:val="00C86A5E"/>
    <w:rsid w:val="00C87446"/>
    <w:rsid w:val="00C87DBA"/>
    <w:rsid w:val="00C90754"/>
    <w:rsid w:val="00C90C5F"/>
    <w:rsid w:val="00C92C2B"/>
    <w:rsid w:val="00C92D88"/>
    <w:rsid w:val="00C92F49"/>
    <w:rsid w:val="00C93438"/>
    <w:rsid w:val="00C9400F"/>
    <w:rsid w:val="00C9430E"/>
    <w:rsid w:val="00C94699"/>
    <w:rsid w:val="00C950FA"/>
    <w:rsid w:val="00C95940"/>
    <w:rsid w:val="00C95EE2"/>
    <w:rsid w:val="00C96533"/>
    <w:rsid w:val="00C96A73"/>
    <w:rsid w:val="00C96C26"/>
    <w:rsid w:val="00C97728"/>
    <w:rsid w:val="00CA159B"/>
    <w:rsid w:val="00CA1653"/>
    <w:rsid w:val="00CA1CD6"/>
    <w:rsid w:val="00CA1E0C"/>
    <w:rsid w:val="00CA1EDE"/>
    <w:rsid w:val="00CA33A1"/>
    <w:rsid w:val="00CA366C"/>
    <w:rsid w:val="00CA3994"/>
    <w:rsid w:val="00CA3F85"/>
    <w:rsid w:val="00CA4615"/>
    <w:rsid w:val="00CA48ED"/>
    <w:rsid w:val="00CA4C5F"/>
    <w:rsid w:val="00CA6B28"/>
    <w:rsid w:val="00CA6B80"/>
    <w:rsid w:val="00CA7496"/>
    <w:rsid w:val="00CB0EE1"/>
    <w:rsid w:val="00CB1F61"/>
    <w:rsid w:val="00CB285F"/>
    <w:rsid w:val="00CB2939"/>
    <w:rsid w:val="00CB3B8A"/>
    <w:rsid w:val="00CB50D2"/>
    <w:rsid w:val="00CB51E8"/>
    <w:rsid w:val="00CB545A"/>
    <w:rsid w:val="00CB5813"/>
    <w:rsid w:val="00CC0063"/>
    <w:rsid w:val="00CC1B64"/>
    <w:rsid w:val="00CC392A"/>
    <w:rsid w:val="00CC5A44"/>
    <w:rsid w:val="00CC6F11"/>
    <w:rsid w:val="00CD0123"/>
    <w:rsid w:val="00CD21CD"/>
    <w:rsid w:val="00CD34C4"/>
    <w:rsid w:val="00CD404D"/>
    <w:rsid w:val="00CD5012"/>
    <w:rsid w:val="00CD51C3"/>
    <w:rsid w:val="00CD5779"/>
    <w:rsid w:val="00CD5D83"/>
    <w:rsid w:val="00CE1EA9"/>
    <w:rsid w:val="00CE2DED"/>
    <w:rsid w:val="00CE3816"/>
    <w:rsid w:val="00CE44A4"/>
    <w:rsid w:val="00CE5698"/>
    <w:rsid w:val="00CE5A8A"/>
    <w:rsid w:val="00CE60D5"/>
    <w:rsid w:val="00CE66E6"/>
    <w:rsid w:val="00CE69A5"/>
    <w:rsid w:val="00CE6E8F"/>
    <w:rsid w:val="00CE75A1"/>
    <w:rsid w:val="00CE7702"/>
    <w:rsid w:val="00CF2734"/>
    <w:rsid w:val="00CF3188"/>
    <w:rsid w:val="00CF33F5"/>
    <w:rsid w:val="00CF3777"/>
    <w:rsid w:val="00CF5F04"/>
    <w:rsid w:val="00CF5F89"/>
    <w:rsid w:val="00D001F7"/>
    <w:rsid w:val="00D01122"/>
    <w:rsid w:val="00D01ABB"/>
    <w:rsid w:val="00D0283A"/>
    <w:rsid w:val="00D046E0"/>
    <w:rsid w:val="00D050AD"/>
    <w:rsid w:val="00D074B6"/>
    <w:rsid w:val="00D07841"/>
    <w:rsid w:val="00D10032"/>
    <w:rsid w:val="00D1047E"/>
    <w:rsid w:val="00D10D50"/>
    <w:rsid w:val="00D110D6"/>
    <w:rsid w:val="00D124E3"/>
    <w:rsid w:val="00D13F0F"/>
    <w:rsid w:val="00D13FC9"/>
    <w:rsid w:val="00D1551E"/>
    <w:rsid w:val="00D157BE"/>
    <w:rsid w:val="00D1580B"/>
    <w:rsid w:val="00D15C87"/>
    <w:rsid w:val="00D1647A"/>
    <w:rsid w:val="00D168FF"/>
    <w:rsid w:val="00D17466"/>
    <w:rsid w:val="00D178F7"/>
    <w:rsid w:val="00D17D13"/>
    <w:rsid w:val="00D20717"/>
    <w:rsid w:val="00D2081D"/>
    <w:rsid w:val="00D20871"/>
    <w:rsid w:val="00D22916"/>
    <w:rsid w:val="00D239B7"/>
    <w:rsid w:val="00D261E1"/>
    <w:rsid w:val="00D306DC"/>
    <w:rsid w:val="00D30B53"/>
    <w:rsid w:val="00D3265E"/>
    <w:rsid w:val="00D3306A"/>
    <w:rsid w:val="00D3347A"/>
    <w:rsid w:val="00D33F39"/>
    <w:rsid w:val="00D3405A"/>
    <w:rsid w:val="00D34063"/>
    <w:rsid w:val="00D3434B"/>
    <w:rsid w:val="00D34987"/>
    <w:rsid w:val="00D361F4"/>
    <w:rsid w:val="00D37C23"/>
    <w:rsid w:val="00D404C3"/>
    <w:rsid w:val="00D405F7"/>
    <w:rsid w:val="00D429F6"/>
    <w:rsid w:val="00D43340"/>
    <w:rsid w:val="00D43A92"/>
    <w:rsid w:val="00D43C09"/>
    <w:rsid w:val="00D46086"/>
    <w:rsid w:val="00D50C1C"/>
    <w:rsid w:val="00D51A4A"/>
    <w:rsid w:val="00D51D68"/>
    <w:rsid w:val="00D51EEE"/>
    <w:rsid w:val="00D52255"/>
    <w:rsid w:val="00D546F1"/>
    <w:rsid w:val="00D55F7C"/>
    <w:rsid w:val="00D57228"/>
    <w:rsid w:val="00D638F9"/>
    <w:rsid w:val="00D63D7E"/>
    <w:rsid w:val="00D63EB4"/>
    <w:rsid w:val="00D6400F"/>
    <w:rsid w:val="00D6443B"/>
    <w:rsid w:val="00D67CE8"/>
    <w:rsid w:val="00D70FB3"/>
    <w:rsid w:val="00D72165"/>
    <w:rsid w:val="00D74248"/>
    <w:rsid w:val="00D74276"/>
    <w:rsid w:val="00D742BF"/>
    <w:rsid w:val="00D751A1"/>
    <w:rsid w:val="00D75BF0"/>
    <w:rsid w:val="00D76CF9"/>
    <w:rsid w:val="00D76E35"/>
    <w:rsid w:val="00D77469"/>
    <w:rsid w:val="00D777A3"/>
    <w:rsid w:val="00D778E3"/>
    <w:rsid w:val="00D811F3"/>
    <w:rsid w:val="00D813F0"/>
    <w:rsid w:val="00D81BC0"/>
    <w:rsid w:val="00D82131"/>
    <w:rsid w:val="00D831D9"/>
    <w:rsid w:val="00D83AED"/>
    <w:rsid w:val="00D84693"/>
    <w:rsid w:val="00D86169"/>
    <w:rsid w:val="00D86D92"/>
    <w:rsid w:val="00D87909"/>
    <w:rsid w:val="00D87BC7"/>
    <w:rsid w:val="00D90A0A"/>
    <w:rsid w:val="00D9124D"/>
    <w:rsid w:val="00D9183B"/>
    <w:rsid w:val="00D91BB4"/>
    <w:rsid w:val="00D91EF1"/>
    <w:rsid w:val="00D920D1"/>
    <w:rsid w:val="00D9285F"/>
    <w:rsid w:val="00D946D7"/>
    <w:rsid w:val="00D947E5"/>
    <w:rsid w:val="00D9521D"/>
    <w:rsid w:val="00D954CD"/>
    <w:rsid w:val="00D95BC9"/>
    <w:rsid w:val="00D95BEF"/>
    <w:rsid w:val="00D9607C"/>
    <w:rsid w:val="00D9698B"/>
    <w:rsid w:val="00D97598"/>
    <w:rsid w:val="00DA1A7D"/>
    <w:rsid w:val="00DA1E57"/>
    <w:rsid w:val="00DA27A0"/>
    <w:rsid w:val="00DA2F21"/>
    <w:rsid w:val="00DA3FB2"/>
    <w:rsid w:val="00DA4A75"/>
    <w:rsid w:val="00DA570D"/>
    <w:rsid w:val="00DA59DE"/>
    <w:rsid w:val="00DA6E00"/>
    <w:rsid w:val="00DA705E"/>
    <w:rsid w:val="00DA731B"/>
    <w:rsid w:val="00DB0049"/>
    <w:rsid w:val="00DB082F"/>
    <w:rsid w:val="00DB31EE"/>
    <w:rsid w:val="00DB3875"/>
    <w:rsid w:val="00DB3974"/>
    <w:rsid w:val="00DB4C8A"/>
    <w:rsid w:val="00DB4CBE"/>
    <w:rsid w:val="00DB4DE4"/>
    <w:rsid w:val="00DB521C"/>
    <w:rsid w:val="00DB58D2"/>
    <w:rsid w:val="00DB5A28"/>
    <w:rsid w:val="00DB5ECA"/>
    <w:rsid w:val="00DB60DF"/>
    <w:rsid w:val="00DB6378"/>
    <w:rsid w:val="00DB6DCA"/>
    <w:rsid w:val="00DB7369"/>
    <w:rsid w:val="00DB7513"/>
    <w:rsid w:val="00DB76EC"/>
    <w:rsid w:val="00DC06F2"/>
    <w:rsid w:val="00DC0F1E"/>
    <w:rsid w:val="00DC167D"/>
    <w:rsid w:val="00DC1803"/>
    <w:rsid w:val="00DC1A19"/>
    <w:rsid w:val="00DC3474"/>
    <w:rsid w:val="00DC3B8F"/>
    <w:rsid w:val="00DC4894"/>
    <w:rsid w:val="00DC4D00"/>
    <w:rsid w:val="00DC6A63"/>
    <w:rsid w:val="00DC6E37"/>
    <w:rsid w:val="00DC7547"/>
    <w:rsid w:val="00DC79AE"/>
    <w:rsid w:val="00DD066A"/>
    <w:rsid w:val="00DD267C"/>
    <w:rsid w:val="00DD36DB"/>
    <w:rsid w:val="00DD408A"/>
    <w:rsid w:val="00DD498C"/>
    <w:rsid w:val="00DD49C8"/>
    <w:rsid w:val="00DE01CF"/>
    <w:rsid w:val="00DE042A"/>
    <w:rsid w:val="00DE049A"/>
    <w:rsid w:val="00DE24B6"/>
    <w:rsid w:val="00DE2688"/>
    <w:rsid w:val="00DE2AFE"/>
    <w:rsid w:val="00DE350F"/>
    <w:rsid w:val="00DE3B70"/>
    <w:rsid w:val="00DE4200"/>
    <w:rsid w:val="00DE4BC2"/>
    <w:rsid w:val="00DE501B"/>
    <w:rsid w:val="00DE57C2"/>
    <w:rsid w:val="00DE5ACF"/>
    <w:rsid w:val="00DE626D"/>
    <w:rsid w:val="00DE62E6"/>
    <w:rsid w:val="00DE7A0D"/>
    <w:rsid w:val="00DE7E87"/>
    <w:rsid w:val="00DF0B5E"/>
    <w:rsid w:val="00DF1AEC"/>
    <w:rsid w:val="00DF1F9B"/>
    <w:rsid w:val="00DF2400"/>
    <w:rsid w:val="00DF2747"/>
    <w:rsid w:val="00DF2756"/>
    <w:rsid w:val="00DF3D29"/>
    <w:rsid w:val="00DF554B"/>
    <w:rsid w:val="00DF55FA"/>
    <w:rsid w:val="00DF5A2A"/>
    <w:rsid w:val="00DF5C38"/>
    <w:rsid w:val="00DF6832"/>
    <w:rsid w:val="00DF694F"/>
    <w:rsid w:val="00DF69F3"/>
    <w:rsid w:val="00DF6D7F"/>
    <w:rsid w:val="00DF7A9E"/>
    <w:rsid w:val="00E006B0"/>
    <w:rsid w:val="00E00D35"/>
    <w:rsid w:val="00E01205"/>
    <w:rsid w:val="00E01C77"/>
    <w:rsid w:val="00E0215D"/>
    <w:rsid w:val="00E02608"/>
    <w:rsid w:val="00E02B0D"/>
    <w:rsid w:val="00E07786"/>
    <w:rsid w:val="00E10449"/>
    <w:rsid w:val="00E11552"/>
    <w:rsid w:val="00E12792"/>
    <w:rsid w:val="00E12A1B"/>
    <w:rsid w:val="00E14460"/>
    <w:rsid w:val="00E14CAC"/>
    <w:rsid w:val="00E158AE"/>
    <w:rsid w:val="00E158C2"/>
    <w:rsid w:val="00E171EE"/>
    <w:rsid w:val="00E17A55"/>
    <w:rsid w:val="00E2093D"/>
    <w:rsid w:val="00E210B4"/>
    <w:rsid w:val="00E2114E"/>
    <w:rsid w:val="00E21406"/>
    <w:rsid w:val="00E221D8"/>
    <w:rsid w:val="00E22666"/>
    <w:rsid w:val="00E229A9"/>
    <w:rsid w:val="00E243DF"/>
    <w:rsid w:val="00E2471D"/>
    <w:rsid w:val="00E24FE1"/>
    <w:rsid w:val="00E2565B"/>
    <w:rsid w:val="00E256EC"/>
    <w:rsid w:val="00E25E57"/>
    <w:rsid w:val="00E26389"/>
    <w:rsid w:val="00E266F2"/>
    <w:rsid w:val="00E3004E"/>
    <w:rsid w:val="00E30446"/>
    <w:rsid w:val="00E30701"/>
    <w:rsid w:val="00E31123"/>
    <w:rsid w:val="00E31558"/>
    <w:rsid w:val="00E3176B"/>
    <w:rsid w:val="00E320DD"/>
    <w:rsid w:val="00E32CD9"/>
    <w:rsid w:val="00E333D2"/>
    <w:rsid w:val="00E33985"/>
    <w:rsid w:val="00E34A80"/>
    <w:rsid w:val="00E34CDF"/>
    <w:rsid w:val="00E34D41"/>
    <w:rsid w:val="00E3511F"/>
    <w:rsid w:val="00E3535A"/>
    <w:rsid w:val="00E35482"/>
    <w:rsid w:val="00E35625"/>
    <w:rsid w:val="00E35D30"/>
    <w:rsid w:val="00E363C0"/>
    <w:rsid w:val="00E36FE5"/>
    <w:rsid w:val="00E37F72"/>
    <w:rsid w:val="00E402B5"/>
    <w:rsid w:val="00E4107B"/>
    <w:rsid w:val="00E41201"/>
    <w:rsid w:val="00E43EC4"/>
    <w:rsid w:val="00E440C1"/>
    <w:rsid w:val="00E44678"/>
    <w:rsid w:val="00E4467F"/>
    <w:rsid w:val="00E44AB2"/>
    <w:rsid w:val="00E44E66"/>
    <w:rsid w:val="00E454E9"/>
    <w:rsid w:val="00E456E0"/>
    <w:rsid w:val="00E460F6"/>
    <w:rsid w:val="00E46F56"/>
    <w:rsid w:val="00E46FA9"/>
    <w:rsid w:val="00E50046"/>
    <w:rsid w:val="00E5082C"/>
    <w:rsid w:val="00E51B27"/>
    <w:rsid w:val="00E5204F"/>
    <w:rsid w:val="00E525D1"/>
    <w:rsid w:val="00E546AE"/>
    <w:rsid w:val="00E55294"/>
    <w:rsid w:val="00E56197"/>
    <w:rsid w:val="00E56DBE"/>
    <w:rsid w:val="00E57476"/>
    <w:rsid w:val="00E57823"/>
    <w:rsid w:val="00E57908"/>
    <w:rsid w:val="00E600BA"/>
    <w:rsid w:val="00E603CE"/>
    <w:rsid w:val="00E60609"/>
    <w:rsid w:val="00E6284C"/>
    <w:rsid w:val="00E62CE8"/>
    <w:rsid w:val="00E63268"/>
    <w:rsid w:val="00E63365"/>
    <w:rsid w:val="00E63B14"/>
    <w:rsid w:val="00E63E4D"/>
    <w:rsid w:val="00E64070"/>
    <w:rsid w:val="00E65182"/>
    <w:rsid w:val="00E6615E"/>
    <w:rsid w:val="00E66B3D"/>
    <w:rsid w:val="00E7029B"/>
    <w:rsid w:val="00E708E0"/>
    <w:rsid w:val="00E70EE9"/>
    <w:rsid w:val="00E72B19"/>
    <w:rsid w:val="00E733EB"/>
    <w:rsid w:val="00E73591"/>
    <w:rsid w:val="00E741DB"/>
    <w:rsid w:val="00E74FDB"/>
    <w:rsid w:val="00E76071"/>
    <w:rsid w:val="00E76B52"/>
    <w:rsid w:val="00E76B54"/>
    <w:rsid w:val="00E777F6"/>
    <w:rsid w:val="00E8054C"/>
    <w:rsid w:val="00E8395C"/>
    <w:rsid w:val="00E8416E"/>
    <w:rsid w:val="00E84A67"/>
    <w:rsid w:val="00E84FC5"/>
    <w:rsid w:val="00E85791"/>
    <w:rsid w:val="00E85B1A"/>
    <w:rsid w:val="00E85EB2"/>
    <w:rsid w:val="00E86275"/>
    <w:rsid w:val="00E86374"/>
    <w:rsid w:val="00E86D64"/>
    <w:rsid w:val="00E8778D"/>
    <w:rsid w:val="00E879E0"/>
    <w:rsid w:val="00E87B16"/>
    <w:rsid w:val="00E87B23"/>
    <w:rsid w:val="00E92CE9"/>
    <w:rsid w:val="00E9367D"/>
    <w:rsid w:val="00E93F7C"/>
    <w:rsid w:val="00E9414E"/>
    <w:rsid w:val="00E94856"/>
    <w:rsid w:val="00E94ADA"/>
    <w:rsid w:val="00E9691E"/>
    <w:rsid w:val="00EA0062"/>
    <w:rsid w:val="00EA0C05"/>
    <w:rsid w:val="00EA2FC9"/>
    <w:rsid w:val="00EA4145"/>
    <w:rsid w:val="00EA439C"/>
    <w:rsid w:val="00EA4E2E"/>
    <w:rsid w:val="00EA5D3E"/>
    <w:rsid w:val="00EB1331"/>
    <w:rsid w:val="00EB2195"/>
    <w:rsid w:val="00EB2BDC"/>
    <w:rsid w:val="00EB3597"/>
    <w:rsid w:val="00EB49C0"/>
    <w:rsid w:val="00EB4BAC"/>
    <w:rsid w:val="00EB54DC"/>
    <w:rsid w:val="00EB576F"/>
    <w:rsid w:val="00EB755E"/>
    <w:rsid w:val="00EC0374"/>
    <w:rsid w:val="00EC0600"/>
    <w:rsid w:val="00EC2291"/>
    <w:rsid w:val="00EC27E2"/>
    <w:rsid w:val="00EC303B"/>
    <w:rsid w:val="00EC4791"/>
    <w:rsid w:val="00EC52C7"/>
    <w:rsid w:val="00EC5654"/>
    <w:rsid w:val="00EC5680"/>
    <w:rsid w:val="00EC6E16"/>
    <w:rsid w:val="00EC7A8E"/>
    <w:rsid w:val="00ED0614"/>
    <w:rsid w:val="00ED0962"/>
    <w:rsid w:val="00ED09C2"/>
    <w:rsid w:val="00ED0A50"/>
    <w:rsid w:val="00ED2CC5"/>
    <w:rsid w:val="00ED3105"/>
    <w:rsid w:val="00ED34FD"/>
    <w:rsid w:val="00ED3E3C"/>
    <w:rsid w:val="00ED48D6"/>
    <w:rsid w:val="00ED4D4C"/>
    <w:rsid w:val="00ED5116"/>
    <w:rsid w:val="00ED5D45"/>
    <w:rsid w:val="00ED6E70"/>
    <w:rsid w:val="00ED717A"/>
    <w:rsid w:val="00EE077A"/>
    <w:rsid w:val="00EE0C63"/>
    <w:rsid w:val="00EE1589"/>
    <w:rsid w:val="00EE1DAD"/>
    <w:rsid w:val="00EE1ECF"/>
    <w:rsid w:val="00EE3606"/>
    <w:rsid w:val="00EE374A"/>
    <w:rsid w:val="00EE3CE4"/>
    <w:rsid w:val="00EE3D33"/>
    <w:rsid w:val="00EE5556"/>
    <w:rsid w:val="00EE5962"/>
    <w:rsid w:val="00EE5991"/>
    <w:rsid w:val="00EE69A5"/>
    <w:rsid w:val="00EE7E0A"/>
    <w:rsid w:val="00EF01B1"/>
    <w:rsid w:val="00EF1027"/>
    <w:rsid w:val="00EF1E05"/>
    <w:rsid w:val="00EF294C"/>
    <w:rsid w:val="00EF30F0"/>
    <w:rsid w:val="00EF3306"/>
    <w:rsid w:val="00EF3888"/>
    <w:rsid w:val="00EF4217"/>
    <w:rsid w:val="00EF434A"/>
    <w:rsid w:val="00EF4C59"/>
    <w:rsid w:val="00EF6BDD"/>
    <w:rsid w:val="00EF6CBB"/>
    <w:rsid w:val="00F00E2E"/>
    <w:rsid w:val="00F0134D"/>
    <w:rsid w:val="00F01838"/>
    <w:rsid w:val="00F03940"/>
    <w:rsid w:val="00F04604"/>
    <w:rsid w:val="00F0465D"/>
    <w:rsid w:val="00F05487"/>
    <w:rsid w:val="00F071A0"/>
    <w:rsid w:val="00F0722E"/>
    <w:rsid w:val="00F10B2D"/>
    <w:rsid w:val="00F10DD9"/>
    <w:rsid w:val="00F117A2"/>
    <w:rsid w:val="00F1269F"/>
    <w:rsid w:val="00F12AB2"/>
    <w:rsid w:val="00F131B7"/>
    <w:rsid w:val="00F135E0"/>
    <w:rsid w:val="00F13610"/>
    <w:rsid w:val="00F13AE9"/>
    <w:rsid w:val="00F13E5A"/>
    <w:rsid w:val="00F156F6"/>
    <w:rsid w:val="00F16223"/>
    <w:rsid w:val="00F162E5"/>
    <w:rsid w:val="00F1649D"/>
    <w:rsid w:val="00F16B3E"/>
    <w:rsid w:val="00F17ED3"/>
    <w:rsid w:val="00F20C08"/>
    <w:rsid w:val="00F20CC4"/>
    <w:rsid w:val="00F21256"/>
    <w:rsid w:val="00F2147E"/>
    <w:rsid w:val="00F21548"/>
    <w:rsid w:val="00F21863"/>
    <w:rsid w:val="00F224E2"/>
    <w:rsid w:val="00F22A67"/>
    <w:rsid w:val="00F22AAF"/>
    <w:rsid w:val="00F22DD5"/>
    <w:rsid w:val="00F23672"/>
    <w:rsid w:val="00F23BB9"/>
    <w:rsid w:val="00F24B12"/>
    <w:rsid w:val="00F25671"/>
    <w:rsid w:val="00F260EE"/>
    <w:rsid w:val="00F2639F"/>
    <w:rsid w:val="00F2688A"/>
    <w:rsid w:val="00F30CF4"/>
    <w:rsid w:val="00F30E79"/>
    <w:rsid w:val="00F31074"/>
    <w:rsid w:val="00F31CC2"/>
    <w:rsid w:val="00F32CD9"/>
    <w:rsid w:val="00F32E1F"/>
    <w:rsid w:val="00F32F98"/>
    <w:rsid w:val="00F332AD"/>
    <w:rsid w:val="00F33BAD"/>
    <w:rsid w:val="00F33C4A"/>
    <w:rsid w:val="00F347B9"/>
    <w:rsid w:val="00F34855"/>
    <w:rsid w:val="00F34D1B"/>
    <w:rsid w:val="00F352F8"/>
    <w:rsid w:val="00F35AD6"/>
    <w:rsid w:val="00F35CF4"/>
    <w:rsid w:val="00F35D8F"/>
    <w:rsid w:val="00F36A0B"/>
    <w:rsid w:val="00F36B03"/>
    <w:rsid w:val="00F36C94"/>
    <w:rsid w:val="00F36E25"/>
    <w:rsid w:val="00F37149"/>
    <w:rsid w:val="00F37747"/>
    <w:rsid w:val="00F4000F"/>
    <w:rsid w:val="00F4074D"/>
    <w:rsid w:val="00F407B3"/>
    <w:rsid w:val="00F40DDD"/>
    <w:rsid w:val="00F41BAE"/>
    <w:rsid w:val="00F43078"/>
    <w:rsid w:val="00F430E3"/>
    <w:rsid w:val="00F457B3"/>
    <w:rsid w:val="00F4621A"/>
    <w:rsid w:val="00F4690F"/>
    <w:rsid w:val="00F503EC"/>
    <w:rsid w:val="00F50457"/>
    <w:rsid w:val="00F50E72"/>
    <w:rsid w:val="00F53056"/>
    <w:rsid w:val="00F53F20"/>
    <w:rsid w:val="00F54170"/>
    <w:rsid w:val="00F54B63"/>
    <w:rsid w:val="00F558C5"/>
    <w:rsid w:val="00F56275"/>
    <w:rsid w:val="00F56766"/>
    <w:rsid w:val="00F573E2"/>
    <w:rsid w:val="00F616B5"/>
    <w:rsid w:val="00F6195D"/>
    <w:rsid w:val="00F62468"/>
    <w:rsid w:val="00F62475"/>
    <w:rsid w:val="00F62AFA"/>
    <w:rsid w:val="00F63BD1"/>
    <w:rsid w:val="00F63FA0"/>
    <w:rsid w:val="00F643A5"/>
    <w:rsid w:val="00F64489"/>
    <w:rsid w:val="00F652D9"/>
    <w:rsid w:val="00F6576D"/>
    <w:rsid w:val="00F66AFB"/>
    <w:rsid w:val="00F67929"/>
    <w:rsid w:val="00F67EA4"/>
    <w:rsid w:val="00F70BB7"/>
    <w:rsid w:val="00F70E9E"/>
    <w:rsid w:val="00F70FA9"/>
    <w:rsid w:val="00F70FD5"/>
    <w:rsid w:val="00F716D0"/>
    <w:rsid w:val="00F71F52"/>
    <w:rsid w:val="00F72658"/>
    <w:rsid w:val="00F72C18"/>
    <w:rsid w:val="00F730C1"/>
    <w:rsid w:val="00F760CC"/>
    <w:rsid w:val="00F7647A"/>
    <w:rsid w:val="00F77009"/>
    <w:rsid w:val="00F77512"/>
    <w:rsid w:val="00F77607"/>
    <w:rsid w:val="00F7774B"/>
    <w:rsid w:val="00F77851"/>
    <w:rsid w:val="00F779EF"/>
    <w:rsid w:val="00F80660"/>
    <w:rsid w:val="00F80B13"/>
    <w:rsid w:val="00F81438"/>
    <w:rsid w:val="00F815A1"/>
    <w:rsid w:val="00F81B54"/>
    <w:rsid w:val="00F82368"/>
    <w:rsid w:val="00F82B08"/>
    <w:rsid w:val="00F8309B"/>
    <w:rsid w:val="00F83516"/>
    <w:rsid w:val="00F8476C"/>
    <w:rsid w:val="00F84B11"/>
    <w:rsid w:val="00F84E21"/>
    <w:rsid w:val="00F8585E"/>
    <w:rsid w:val="00F86741"/>
    <w:rsid w:val="00F90664"/>
    <w:rsid w:val="00F9131F"/>
    <w:rsid w:val="00F95545"/>
    <w:rsid w:val="00F96487"/>
    <w:rsid w:val="00F96F3B"/>
    <w:rsid w:val="00F97959"/>
    <w:rsid w:val="00FA1555"/>
    <w:rsid w:val="00FA1C03"/>
    <w:rsid w:val="00FA1CBD"/>
    <w:rsid w:val="00FA21BC"/>
    <w:rsid w:val="00FA236B"/>
    <w:rsid w:val="00FA23BF"/>
    <w:rsid w:val="00FA2CBC"/>
    <w:rsid w:val="00FA4767"/>
    <w:rsid w:val="00FA4ED2"/>
    <w:rsid w:val="00FA522E"/>
    <w:rsid w:val="00FA626C"/>
    <w:rsid w:val="00FB0097"/>
    <w:rsid w:val="00FB0C37"/>
    <w:rsid w:val="00FB0CD6"/>
    <w:rsid w:val="00FB235D"/>
    <w:rsid w:val="00FB27F3"/>
    <w:rsid w:val="00FB30A4"/>
    <w:rsid w:val="00FB3447"/>
    <w:rsid w:val="00FB3C72"/>
    <w:rsid w:val="00FB4F0B"/>
    <w:rsid w:val="00FB5851"/>
    <w:rsid w:val="00FB5C50"/>
    <w:rsid w:val="00FB6861"/>
    <w:rsid w:val="00FB69F9"/>
    <w:rsid w:val="00FB7692"/>
    <w:rsid w:val="00FC0D1F"/>
    <w:rsid w:val="00FC0D3B"/>
    <w:rsid w:val="00FC1003"/>
    <w:rsid w:val="00FC12B3"/>
    <w:rsid w:val="00FC1373"/>
    <w:rsid w:val="00FC14AF"/>
    <w:rsid w:val="00FC1FA8"/>
    <w:rsid w:val="00FC2969"/>
    <w:rsid w:val="00FC2F34"/>
    <w:rsid w:val="00FC464F"/>
    <w:rsid w:val="00FC4E5B"/>
    <w:rsid w:val="00FC613E"/>
    <w:rsid w:val="00FC656A"/>
    <w:rsid w:val="00FC6E16"/>
    <w:rsid w:val="00FC75AB"/>
    <w:rsid w:val="00FC7A4D"/>
    <w:rsid w:val="00FD01A1"/>
    <w:rsid w:val="00FD0AD4"/>
    <w:rsid w:val="00FD2CD2"/>
    <w:rsid w:val="00FD30A2"/>
    <w:rsid w:val="00FD426E"/>
    <w:rsid w:val="00FD497B"/>
    <w:rsid w:val="00FD5D8A"/>
    <w:rsid w:val="00FD6977"/>
    <w:rsid w:val="00FD6DF8"/>
    <w:rsid w:val="00FE0D4E"/>
    <w:rsid w:val="00FE0E61"/>
    <w:rsid w:val="00FE1463"/>
    <w:rsid w:val="00FE1660"/>
    <w:rsid w:val="00FE215A"/>
    <w:rsid w:val="00FE265E"/>
    <w:rsid w:val="00FE27BF"/>
    <w:rsid w:val="00FE2CCB"/>
    <w:rsid w:val="00FE3AFE"/>
    <w:rsid w:val="00FE3CE6"/>
    <w:rsid w:val="00FE3DBF"/>
    <w:rsid w:val="00FE429A"/>
    <w:rsid w:val="00FE59D4"/>
    <w:rsid w:val="00FE63BA"/>
    <w:rsid w:val="00FE7952"/>
    <w:rsid w:val="00FF12F9"/>
    <w:rsid w:val="00FF1870"/>
    <w:rsid w:val="00FF409B"/>
    <w:rsid w:val="00FF470A"/>
    <w:rsid w:val="00FF4852"/>
    <w:rsid w:val="00FF4B4A"/>
    <w:rsid w:val="00FF4CAE"/>
    <w:rsid w:val="00FF5162"/>
    <w:rsid w:val="00FF5CBB"/>
    <w:rsid w:val="00FF6D05"/>
    <w:rsid w:val="00FF6F1A"/>
    <w:rsid w:val="00FF7209"/>
    <w:rsid w:val="00FF7921"/>
    <w:rsid w:val="0AC24DB3"/>
    <w:rsid w:val="0E781645"/>
    <w:rsid w:val="187C0C03"/>
    <w:rsid w:val="1CCE3F43"/>
    <w:rsid w:val="2FA44EAE"/>
    <w:rsid w:val="33952F4A"/>
    <w:rsid w:val="34253FB5"/>
    <w:rsid w:val="377B1303"/>
    <w:rsid w:val="3D7A277B"/>
    <w:rsid w:val="4624332F"/>
    <w:rsid w:val="485F5726"/>
    <w:rsid w:val="491C6BD3"/>
    <w:rsid w:val="49376EDD"/>
    <w:rsid w:val="4DF63763"/>
    <w:rsid w:val="56C17155"/>
    <w:rsid w:val="57DB1518"/>
    <w:rsid w:val="5CE42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5"/>
    <w:qFormat/>
    <w:uiPriority w:val="0"/>
    <w:pPr>
      <w:keepNext/>
      <w:keepLines/>
      <w:spacing w:before="340" w:after="330" w:line="578" w:lineRule="auto"/>
      <w:jc w:val="center"/>
      <w:outlineLvl w:val="0"/>
    </w:pPr>
    <w:rPr>
      <w:b/>
      <w:kern w:val="44"/>
      <w:sz w:val="28"/>
      <w:szCs w:val="20"/>
    </w:rPr>
  </w:style>
  <w:style w:type="paragraph" w:styleId="4">
    <w:name w:val="heading 2"/>
    <w:basedOn w:val="1"/>
    <w:next w:val="1"/>
    <w:link w:val="46"/>
    <w:qFormat/>
    <w:uiPriority w:val="0"/>
    <w:pPr>
      <w:keepNext/>
      <w:keepLines/>
      <w:numPr>
        <w:ilvl w:val="1"/>
        <w:numId w:val="1"/>
      </w:numPr>
      <w:spacing w:before="200" w:after="200" w:line="360" w:lineRule="auto"/>
      <w:outlineLvl w:val="1"/>
    </w:pPr>
    <w:rPr>
      <w:rFonts w:ascii="Arial" w:hAnsi="Arial"/>
      <w:b/>
      <w:sz w:val="24"/>
      <w:szCs w:val="20"/>
    </w:rPr>
  </w:style>
  <w:style w:type="paragraph" w:styleId="5">
    <w:name w:val="heading 3"/>
    <w:basedOn w:val="1"/>
    <w:next w:val="1"/>
    <w:link w:val="47"/>
    <w:qFormat/>
    <w:uiPriority w:val="0"/>
    <w:pPr>
      <w:numPr>
        <w:ilvl w:val="2"/>
        <w:numId w:val="1"/>
      </w:numPr>
      <w:spacing w:before="120" w:after="120" w:line="360" w:lineRule="auto"/>
      <w:outlineLvl w:val="2"/>
    </w:pPr>
    <w:rPr>
      <w:rFonts w:ascii="宋体"/>
      <w:b/>
      <w:szCs w:val="20"/>
    </w:rPr>
  </w:style>
  <w:style w:type="paragraph" w:styleId="6">
    <w:name w:val="heading 4"/>
    <w:basedOn w:val="1"/>
    <w:next w:val="1"/>
    <w:link w:val="48"/>
    <w:qFormat/>
    <w:uiPriority w:val="0"/>
    <w:pPr>
      <w:keepNext/>
      <w:keepLines/>
      <w:numPr>
        <w:ilvl w:val="3"/>
        <w:numId w:val="1"/>
      </w:numPr>
      <w:spacing w:line="360" w:lineRule="auto"/>
      <w:outlineLvl w:val="3"/>
    </w:pPr>
    <w:rPr>
      <w:rFonts w:ascii="Arial" w:hAnsi="Arial"/>
      <w:szCs w:val="20"/>
    </w:rPr>
  </w:style>
  <w:style w:type="paragraph" w:styleId="7">
    <w:name w:val="heading 5"/>
    <w:basedOn w:val="1"/>
    <w:next w:val="1"/>
    <w:link w:val="49"/>
    <w:qFormat/>
    <w:uiPriority w:val="0"/>
    <w:pPr>
      <w:keepNext/>
      <w:keepLines/>
      <w:numPr>
        <w:ilvl w:val="4"/>
        <w:numId w:val="1"/>
      </w:numPr>
      <w:adjustRightInd w:val="0"/>
      <w:snapToGrid w:val="0"/>
      <w:spacing w:line="360" w:lineRule="auto"/>
      <w:outlineLvl w:val="4"/>
    </w:pPr>
    <w:rPr>
      <w:szCs w:val="20"/>
    </w:rPr>
  </w:style>
  <w:style w:type="paragraph" w:styleId="8">
    <w:name w:val="heading 6"/>
    <w:basedOn w:val="1"/>
    <w:next w:val="1"/>
    <w:link w:val="50"/>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9">
    <w:name w:val="heading 7"/>
    <w:basedOn w:val="1"/>
    <w:next w:val="1"/>
    <w:link w:val="51"/>
    <w:qFormat/>
    <w:uiPriority w:val="0"/>
    <w:pPr>
      <w:keepNext/>
      <w:keepLines/>
      <w:numPr>
        <w:ilvl w:val="6"/>
        <w:numId w:val="1"/>
      </w:numPr>
      <w:spacing w:before="240" w:after="64" w:line="320" w:lineRule="auto"/>
      <w:outlineLvl w:val="6"/>
    </w:pPr>
    <w:rPr>
      <w:b/>
      <w:sz w:val="24"/>
      <w:szCs w:val="20"/>
    </w:rPr>
  </w:style>
  <w:style w:type="paragraph" w:styleId="10">
    <w:name w:val="heading 8"/>
    <w:basedOn w:val="1"/>
    <w:next w:val="1"/>
    <w:link w:val="52"/>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1">
    <w:name w:val="heading 9"/>
    <w:basedOn w:val="1"/>
    <w:next w:val="1"/>
    <w:link w:val="53"/>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39">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66"/>
    <w:qFormat/>
    <w:uiPriority w:val="0"/>
    <w:rPr>
      <w:sz w:val="18"/>
      <w:szCs w:val="18"/>
    </w:rPr>
  </w:style>
  <w:style w:type="paragraph" w:styleId="12">
    <w:name w:val="toc 7"/>
    <w:basedOn w:val="1"/>
    <w:next w:val="1"/>
    <w:semiHidden/>
    <w:qFormat/>
    <w:uiPriority w:val="0"/>
    <w:pPr>
      <w:ind w:left="2520" w:leftChars="1200"/>
    </w:pPr>
  </w:style>
  <w:style w:type="paragraph" w:styleId="13">
    <w:name w:val="Normal Indent"/>
    <w:basedOn w:val="1"/>
    <w:qFormat/>
    <w:uiPriority w:val="0"/>
    <w:pPr>
      <w:ind w:firstLine="420" w:firstLineChars="200"/>
    </w:pPr>
  </w:style>
  <w:style w:type="paragraph" w:styleId="14">
    <w:name w:val="Document Map"/>
    <w:basedOn w:val="1"/>
    <w:link w:val="80"/>
    <w:qFormat/>
    <w:uiPriority w:val="0"/>
    <w:pPr>
      <w:shd w:val="clear" w:color="auto" w:fill="000080"/>
    </w:pPr>
    <w:rPr>
      <w:szCs w:val="20"/>
    </w:rPr>
  </w:style>
  <w:style w:type="paragraph" w:styleId="15">
    <w:name w:val="annotation text"/>
    <w:basedOn w:val="1"/>
    <w:link w:val="73"/>
    <w:qFormat/>
    <w:uiPriority w:val="0"/>
    <w:pPr>
      <w:jc w:val="left"/>
    </w:pPr>
  </w:style>
  <w:style w:type="paragraph" w:styleId="16">
    <w:name w:val="Body Text"/>
    <w:basedOn w:val="1"/>
    <w:link w:val="62"/>
    <w:qFormat/>
    <w:uiPriority w:val="0"/>
    <w:pPr>
      <w:spacing w:line="360" w:lineRule="auto"/>
    </w:pPr>
    <w:rPr>
      <w:rFonts w:ascii="仿宋_GB2312" w:eastAsia="仿宋_GB2312"/>
      <w:sz w:val="24"/>
    </w:rPr>
  </w:style>
  <w:style w:type="paragraph" w:styleId="17">
    <w:name w:val="Body Text Indent"/>
    <w:basedOn w:val="1"/>
    <w:link w:val="60"/>
    <w:qFormat/>
    <w:uiPriority w:val="0"/>
    <w:pPr>
      <w:autoSpaceDE w:val="0"/>
      <w:autoSpaceDN w:val="0"/>
      <w:spacing w:line="360" w:lineRule="auto"/>
      <w:ind w:firstLine="425"/>
      <w:textAlignment w:val="bottom"/>
    </w:pPr>
    <w:rPr>
      <w:rFonts w:ascii="宋体"/>
      <w:color w:val="FF0000"/>
      <w:szCs w:val="20"/>
    </w:rPr>
  </w:style>
  <w:style w:type="paragraph" w:styleId="18">
    <w:name w:val="toc 5"/>
    <w:basedOn w:val="1"/>
    <w:next w:val="1"/>
    <w:semiHidden/>
    <w:qFormat/>
    <w:uiPriority w:val="0"/>
    <w:pPr>
      <w:ind w:left="1680" w:leftChars="800"/>
    </w:pPr>
  </w:style>
  <w:style w:type="paragraph" w:styleId="19">
    <w:name w:val="toc 3"/>
    <w:basedOn w:val="1"/>
    <w:next w:val="1"/>
    <w:qFormat/>
    <w:uiPriority w:val="0"/>
    <w:pPr>
      <w:ind w:left="840" w:leftChars="400"/>
    </w:pPr>
  </w:style>
  <w:style w:type="paragraph" w:styleId="20">
    <w:name w:val="Plain Text"/>
    <w:basedOn w:val="1"/>
    <w:link w:val="85"/>
    <w:qFormat/>
    <w:uiPriority w:val="0"/>
    <w:pPr>
      <w:adjustRightInd w:val="0"/>
      <w:spacing w:line="312" w:lineRule="atLeast"/>
      <w:textAlignment w:val="baseline"/>
    </w:pPr>
    <w:rPr>
      <w:rFonts w:ascii="宋体" w:hAnsi="Courier New"/>
      <w:kern w:val="0"/>
      <w:szCs w:val="20"/>
    </w:rPr>
  </w:style>
  <w:style w:type="paragraph" w:styleId="21">
    <w:name w:val="toc 8"/>
    <w:basedOn w:val="1"/>
    <w:next w:val="1"/>
    <w:semiHidden/>
    <w:qFormat/>
    <w:uiPriority w:val="0"/>
    <w:pPr>
      <w:ind w:left="2940" w:leftChars="1400"/>
    </w:pPr>
  </w:style>
  <w:style w:type="paragraph" w:styleId="22">
    <w:name w:val="Date"/>
    <w:basedOn w:val="1"/>
    <w:next w:val="1"/>
    <w:link w:val="96"/>
    <w:semiHidden/>
    <w:unhideWhenUsed/>
    <w:qFormat/>
    <w:uiPriority w:val="99"/>
    <w:pPr>
      <w:ind w:left="100" w:leftChars="2500"/>
    </w:pPr>
  </w:style>
  <w:style w:type="paragraph" w:styleId="23">
    <w:name w:val="Body Text Indent 2"/>
    <w:basedOn w:val="1"/>
    <w:link w:val="63"/>
    <w:qFormat/>
    <w:uiPriority w:val="0"/>
    <w:pPr>
      <w:spacing w:line="360" w:lineRule="auto"/>
      <w:ind w:firstLine="480" w:firstLineChars="200"/>
    </w:pPr>
    <w:rPr>
      <w:rFonts w:ascii="仿宋_GB2312" w:eastAsia="仿宋_GB2312"/>
      <w:sz w:val="24"/>
    </w:rPr>
  </w:style>
  <w:style w:type="paragraph" w:styleId="24">
    <w:name w:val="footer"/>
    <w:basedOn w:val="1"/>
    <w:link w:val="54"/>
    <w:qFormat/>
    <w:uiPriority w:val="99"/>
    <w:pPr>
      <w:tabs>
        <w:tab w:val="center" w:pos="4153"/>
        <w:tab w:val="right" w:pos="8306"/>
      </w:tabs>
      <w:snapToGrid w:val="0"/>
      <w:jc w:val="left"/>
    </w:pPr>
    <w:rPr>
      <w:sz w:val="18"/>
      <w:szCs w:val="18"/>
    </w:rPr>
  </w:style>
  <w:style w:type="paragraph" w:styleId="25">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style>
  <w:style w:type="paragraph" w:styleId="27">
    <w:name w:val="toc 4"/>
    <w:basedOn w:val="1"/>
    <w:next w:val="1"/>
    <w:semiHidden/>
    <w:qFormat/>
    <w:uiPriority w:val="0"/>
    <w:pPr>
      <w:ind w:left="1260" w:leftChars="600"/>
    </w:pPr>
  </w:style>
  <w:style w:type="paragraph" w:styleId="28">
    <w:name w:val="footnote text"/>
    <w:basedOn w:val="1"/>
    <w:link w:val="79"/>
    <w:qFormat/>
    <w:uiPriority w:val="0"/>
    <w:pPr>
      <w:snapToGrid w:val="0"/>
      <w:jc w:val="left"/>
    </w:pPr>
    <w:rPr>
      <w:sz w:val="18"/>
      <w:szCs w:val="20"/>
    </w:rPr>
  </w:style>
  <w:style w:type="paragraph" w:styleId="29">
    <w:name w:val="toc 6"/>
    <w:basedOn w:val="1"/>
    <w:next w:val="1"/>
    <w:semiHidden/>
    <w:qFormat/>
    <w:uiPriority w:val="0"/>
    <w:pPr>
      <w:ind w:left="2100" w:leftChars="1000"/>
    </w:pPr>
  </w:style>
  <w:style w:type="paragraph" w:styleId="30">
    <w:name w:val="Body Text Indent 3"/>
    <w:basedOn w:val="1"/>
    <w:link w:val="65"/>
    <w:qFormat/>
    <w:uiPriority w:val="0"/>
    <w:pPr>
      <w:spacing w:line="360" w:lineRule="auto"/>
      <w:ind w:firstLine="480" w:firstLineChars="200"/>
    </w:pPr>
    <w:rPr>
      <w:rFonts w:ascii="仿宋_GB2312" w:eastAsia="仿宋_GB2312"/>
      <w:color w:val="FF0000"/>
      <w:sz w:val="24"/>
      <w:szCs w:val="18"/>
    </w:rPr>
  </w:style>
  <w:style w:type="paragraph" w:styleId="31">
    <w:name w:val="toc 2"/>
    <w:basedOn w:val="1"/>
    <w:next w:val="1"/>
    <w:semiHidden/>
    <w:qFormat/>
    <w:uiPriority w:val="0"/>
    <w:pPr>
      <w:ind w:left="420" w:leftChars="200"/>
    </w:pPr>
  </w:style>
  <w:style w:type="paragraph" w:styleId="32">
    <w:name w:val="toc 9"/>
    <w:basedOn w:val="1"/>
    <w:next w:val="1"/>
    <w:semiHidden/>
    <w:qFormat/>
    <w:uiPriority w:val="0"/>
    <w:pPr>
      <w:ind w:left="3360" w:leftChars="1600"/>
    </w:pPr>
  </w:style>
  <w:style w:type="paragraph" w:styleId="33">
    <w:name w:val="Body Text 2"/>
    <w:basedOn w:val="1"/>
    <w:link w:val="68"/>
    <w:qFormat/>
    <w:uiPriority w:val="0"/>
    <w:pPr>
      <w:spacing w:line="360" w:lineRule="auto"/>
    </w:pPr>
    <w:rPr>
      <w:rFonts w:ascii="仿宋_GB2312" w:eastAsia="仿宋_GB2312"/>
      <w:color w:val="000000"/>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Title"/>
    <w:basedOn w:val="1"/>
    <w:link w:val="58"/>
    <w:qFormat/>
    <w:uiPriority w:val="0"/>
    <w:pPr>
      <w:spacing w:before="240" w:after="60"/>
      <w:jc w:val="center"/>
      <w:outlineLvl w:val="0"/>
    </w:pPr>
    <w:rPr>
      <w:rFonts w:ascii="Arial" w:hAnsi="Arial" w:cs="Arial"/>
      <w:b/>
      <w:bCs/>
      <w:sz w:val="32"/>
      <w:szCs w:val="32"/>
    </w:rPr>
  </w:style>
  <w:style w:type="paragraph" w:styleId="36">
    <w:name w:val="annotation subject"/>
    <w:basedOn w:val="15"/>
    <w:next w:val="15"/>
    <w:link w:val="74"/>
    <w:qFormat/>
    <w:uiPriority w:val="0"/>
    <w:rPr>
      <w:b/>
      <w:bCs/>
    </w:rPr>
  </w:style>
  <w:style w:type="paragraph" w:styleId="37">
    <w:name w:val="Body Text First Indent"/>
    <w:basedOn w:val="16"/>
    <w:link w:val="69"/>
    <w:qFormat/>
    <w:uiPriority w:val="0"/>
    <w:pPr>
      <w:spacing w:after="120" w:line="240" w:lineRule="auto"/>
      <w:ind w:firstLine="420" w:firstLineChars="100"/>
    </w:pPr>
    <w:rPr>
      <w:rFonts w:ascii="Times New Roman" w:eastAsia="宋体"/>
      <w:sz w:val="21"/>
    </w:rPr>
  </w:style>
  <w:style w:type="character" w:styleId="40">
    <w:name w:val="Strong"/>
    <w:qFormat/>
    <w:uiPriority w:val="0"/>
    <w:rPr>
      <w:b/>
      <w:bCs/>
    </w:rPr>
  </w:style>
  <w:style w:type="character" w:styleId="41">
    <w:name w:val="page number"/>
    <w:basedOn w:val="39"/>
    <w:qFormat/>
    <w:uiPriority w:val="0"/>
  </w:style>
  <w:style w:type="character" w:styleId="42">
    <w:name w:val="Hyperlink"/>
    <w:qFormat/>
    <w:uiPriority w:val="99"/>
    <w:rPr>
      <w:color w:val="0000FF"/>
      <w:u w:val="single"/>
    </w:rPr>
  </w:style>
  <w:style w:type="character" w:styleId="43">
    <w:name w:val="annotation reference"/>
    <w:qFormat/>
    <w:uiPriority w:val="0"/>
    <w:rPr>
      <w:sz w:val="21"/>
      <w:szCs w:val="21"/>
    </w:rPr>
  </w:style>
  <w:style w:type="character" w:styleId="44">
    <w:name w:val="footnote reference"/>
    <w:qFormat/>
    <w:uiPriority w:val="0"/>
    <w:rPr>
      <w:vertAlign w:val="superscript"/>
    </w:rPr>
  </w:style>
  <w:style w:type="character" w:customStyle="1" w:styleId="45">
    <w:name w:val="标题 1 Char"/>
    <w:link w:val="3"/>
    <w:qFormat/>
    <w:uiPriority w:val="0"/>
    <w:rPr>
      <w:rFonts w:ascii="Times New Roman" w:hAnsi="Times New Roman"/>
      <w:b/>
      <w:kern w:val="44"/>
      <w:sz w:val="28"/>
    </w:rPr>
  </w:style>
  <w:style w:type="character" w:customStyle="1" w:styleId="46">
    <w:name w:val="标题 2 Char"/>
    <w:link w:val="4"/>
    <w:qFormat/>
    <w:uiPriority w:val="0"/>
    <w:rPr>
      <w:rFonts w:ascii="Arial" w:hAnsi="Arial"/>
      <w:b/>
      <w:kern w:val="2"/>
      <w:sz w:val="24"/>
    </w:rPr>
  </w:style>
  <w:style w:type="character" w:customStyle="1" w:styleId="47">
    <w:name w:val="标题 3 Char"/>
    <w:link w:val="5"/>
    <w:qFormat/>
    <w:uiPriority w:val="0"/>
    <w:rPr>
      <w:rFonts w:ascii="宋体" w:hAnsi="Times New Roman"/>
      <w:b/>
      <w:kern w:val="2"/>
      <w:sz w:val="21"/>
    </w:rPr>
  </w:style>
  <w:style w:type="character" w:customStyle="1" w:styleId="48">
    <w:name w:val="标题 4 Char"/>
    <w:link w:val="6"/>
    <w:qFormat/>
    <w:uiPriority w:val="0"/>
    <w:rPr>
      <w:rFonts w:ascii="Arial" w:hAnsi="Arial"/>
      <w:kern w:val="2"/>
      <w:sz w:val="21"/>
    </w:rPr>
  </w:style>
  <w:style w:type="character" w:customStyle="1" w:styleId="49">
    <w:name w:val="标题 5 Char"/>
    <w:link w:val="7"/>
    <w:qFormat/>
    <w:uiPriority w:val="0"/>
    <w:rPr>
      <w:rFonts w:ascii="Times New Roman" w:hAnsi="Times New Roman"/>
      <w:kern w:val="2"/>
      <w:sz w:val="21"/>
    </w:rPr>
  </w:style>
  <w:style w:type="character" w:customStyle="1" w:styleId="50">
    <w:name w:val="标题 6 Char"/>
    <w:link w:val="8"/>
    <w:qFormat/>
    <w:uiPriority w:val="0"/>
    <w:rPr>
      <w:rFonts w:ascii="Arial" w:hAnsi="Arial" w:eastAsia="黑体"/>
      <w:b/>
      <w:kern w:val="2"/>
      <w:sz w:val="24"/>
    </w:rPr>
  </w:style>
  <w:style w:type="character" w:customStyle="1" w:styleId="51">
    <w:name w:val="标题 7 Char"/>
    <w:link w:val="9"/>
    <w:qFormat/>
    <w:uiPriority w:val="0"/>
    <w:rPr>
      <w:rFonts w:ascii="Times New Roman" w:hAnsi="Times New Roman"/>
      <w:b/>
      <w:kern w:val="2"/>
      <w:sz w:val="24"/>
    </w:rPr>
  </w:style>
  <w:style w:type="character" w:customStyle="1" w:styleId="52">
    <w:name w:val="标题 8 Char"/>
    <w:link w:val="10"/>
    <w:qFormat/>
    <w:uiPriority w:val="0"/>
    <w:rPr>
      <w:rFonts w:ascii="Arial" w:hAnsi="Arial" w:eastAsia="黑体"/>
      <w:kern w:val="2"/>
      <w:sz w:val="24"/>
    </w:rPr>
  </w:style>
  <w:style w:type="character" w:customStyle="1" w:styleId="53">
    <w:name w:val="标题 9 Char"/>
    <w:link w:val="11"/>
    <w:qFormat/>
    <w:uiPriority w:val="0"/>
    <w:rPr>
      <w:rFonts w:ascii="Arial" w:hAnsi="Arial" w:eastAsia="黑体"/>
      <w:kern w:val="2"/>
      <w:sz w:val="21"/>
    </w:rPr>
  </w:style>
  <w:style w:type="character" w:customStyle="1" w:styleId="54">
    <w:name w:val="页脚 Char"/>
    <w:link w:val="24"/>
    <w:qFormat/>
    <w:uiPriority w:val="99"/>
    <w:rPr>
      <w:rFonts w:ascii="Times New Roman" w:hAnsi="Times New Roman" w:eastAsia="宋体" w:cs="Times New Roman"/>
      <w:sz w:val="18"/>
      <w:szCs w:val="18"/>
    </w:rPr>
  </w:style>
  <w:style w:type="paragraph" w:customStyle="1" w:styleId="55">
    <w:name w:val="unnamed1"/>
    <w:basedOn w:val="1"/>
    <w:qFormat/>
    <w:uiPriority w:val="0"/>
    <w:pPr>
      <w:widowControl/>
      <w:spacing w:before="60" w:after="60"/>
      <w:ind w:left="15" w:right="15"/>
      <w:jc w:val="left"/>
    </w:pPr>
    <w:rPr>
      <w:rFonts w:hint="eastAsia" w:ascii="宋体" w:hAnsi="宋体"/>
      <w:color w:val="000000"/>
      <w:kern w:val="0"/>
      <w:sz w:val="18"/>
      <w:szCs w:val="18"/>
    </w:rPr>
  </w:style>
  <w:style w:type="character" w:customStyle="1" w:styleId="56">
    <w:name w:val="unnamed11"/>
    <w:qFormat/>
    <w:uiPriority w:val="0"/>
    <w:rPr>
      <w:rFonts w:hint="eastAsia" w:ascii="宋体" w:hAnsi="宋体" w:eastAsia="宋体"/>
      <w:sz w:val="18"/>
      <w:szCs w:val="18"/>
    </w:rPr>
  </w:style>
  <w:style w:type="paragraph" w:customStyle="1" w:styleId="57">
    <w:name w:val="列表2"/>
    <w:basedOn w:val="1"/>
    <w:next w:val="35"/>
    <w:qFormat/>
    <w:uiPriority w:val="0"/>
    <w:pPr>
      <w:numPr>
        <w:ilvl w:val="0"/>
        <w:numId w:val="2"/>
      </w:numPr>
      <w:spacing w:line="360" w:lineRule="auto"/>
    </w:pPr>
    <w:rPr>
      <w:rFonts w:ascii="宋体"/>
      <w:szCs w:val="20"/>
    </w:rPr>
  </w:style>
  <w:style w:type="character" w:customStyle="1" w:styleId="58">
    <w:name w:val="标题 Char"/>
    <w:link w:val="35"/>
    <w:qFormat/>
    <w:uiPriority w:val="0"/>
    <w:rPr>
      <w:rFonts w:ascii="Arial" w:hAnsi="Arial" w:cs="Arial"/>
      <w:b/>
      <w:bCs/>
      <w:kern w:val="2"/>
      <w:sz w:val="32"/>
      <w:szCs w:val="32"/>
    </w:rPr>
  </w:style>
  <w:style w:type="character" w:customStyle="1" w:styleId="59">
    <w:name w:val="read"/>
    <w:basedOn w:val="39"/>
    <w:qFormat/>
    <w:uiPriority w:val="0"/>
  </w:style>
  <w:style w:type="character" w:customStyle="1" w:styleId="60">
    <w:name w:val="正文文本缩进 Char"/>
    <w:link w:val="17"/>
    <w:qFormat/>
    <w:uiPriority w:val="0"/>
    <w:rPr>
      <w:rFonts w:ascii="宋体" w:hAnsi="Times New Roman" w:eastAsia="宋体" w:cs="Times New Roman"/>
      <w:color w:val="FF0000"/>
      <w:szCs w:val="20"/>
    </w:rPr>
  </w:style>
  <w:style w:type="paragraph" w:customStyle="1" w:styleId="61">
    <w:name w:val="列表1"/>
    <w:basedOn w:val="1"/>
    <w:next w:val="1"/>
    <w:qFormat/>
    <w:uiPriority w:val="0"/>
    <w:pPr>
      <w:tabs>
        <w:tab w:val="left" w:pos="644"/>
      </w:tabs>
      <w:spacing w:line="360" w:lineRule="auto"/>
      <w:ind w:left="567" w:hanging="283"/>
    </w:pPr>
    <w:rPr>
      <w:szCs w:val="20"/>
    </w:rPr>
  </w:style>
  <w:style w:type="character" w:customStyle="1" w:styleId="62">
    <w:name w:val="正文文本 Char"/>
    <w:link w:val="16"/>
    <w:qFormat/>
    <w:uiPriority w:val="0"/>
    <w:rPr>
      <w:rFonts w:ascii="仿宋_GB2312" w:hAnsi="Times New Roman" w:eastAsia="仿宋_GB2312"/>
      <w:kern w:val="2"/>
      <w:sz w:val="24"/>
      <w:szCs w:val="24"/>
    </w:rPr>
  </w:style>
  <w:style w:type="character" w:customStyle="1" w:styleId="63">
    <w:name w:val="正文文本缩进 2 Char"/>
    <w:link w:val="23"/>
    <w:qFormat/>
    <w:uiPriority w:val="0"/>
    <w:rPr>
      <w:rFonts w:ascii="仿宋_GB2312" w:hAnsi="Times New Roman" w:eastAsia="仿宋_GB2312"/>
      <w:kern w:val="2"/>
      <w:sz w:val="24"/>
      <w:szCs w:val="24"/>
    </w:rPr>
  </w:style>
  <w:style w:type="character" w:customStyle="1" w:styleId="64">
    <w:name w:val="已访问的超链接1"/>
    <w:qFormat/>
    <w:uiPriority w:val="0"/>
    <w:rPr>
      <w:color w:val="800080"/>
      <w:u w:val="single"/>
    </w:rPr>
  </w:style>
  <w:style w:type="character" w:customStyle="1" w:styleId="65">
    <w:name w:val="正文文本缩进 3 Char"/>
    <w:link w:val="30"/>
    <w:qFormat/>
    <w:uiPriority w:val="0"/>
    <w:rPr>
      <w:rFonts w:ascii="仿宋_GB2312" w:hAnsi="Times New Roman" w:eastAsia="仿宋_GB2312"/>
      <w:color w:val="FF0000"/>
      <w:kern w:val="2"/>
      <w:sz w:val="24"/>
      <w:szCs w:val="18"/>
    </w:rPr>
  </w:style>
  <w:style w:type="character" w:customStyle="1" w:styleId="66">
    <w:name w:val="批注框文本 Char"/>
    <w:link w:val="2"/>
    <w:semiHidden/>
    <w:qFormat/>
    <w:uiPriority w:val="0"/>
    <w:rPr>
      <w:rFonts w:ascii="Times New Roman" w:hAnsi="Times New Roman" w:eastAsia="宋体" w:cs="Times New Roman"/>
      <w:sz w:val="18"/>
      <w:szCs w:val="18"/>
    </w:rPr>
  </w:style>
  <w:style w:type="character" w:customStyle="1" w:styleId="67">
    <w:name w:val="页眉 Char"/>
    <w:link w:val="25"/>
    <w:qFormat/>
    <w:uiPriority w:val="0"/>
    <w:rPr>
      <w:rFonts w:ascii="Times New Roman" w:hAnsi="Times New Roman" w:eastAsia="宋体" w:cs="Times New Roman"/>
      <w:sz w:val="18"/>
      <w:szCs w:val="18"/>
    </w:rPr>
  </w:style>
  <w:style w:type="character" w:customStyle="1" w:styleId="68">
    <w:name w:val="正文文本 2 Char"/>
    <w:link w:val="33"/>
    <w:qFormat/>
    <w:uiPriority w:val="0"/>
    <w:rPr>
      <w:rFonts w:ascii="仿宋_GB2312" w:hAnsi="Times New Roman" w:eastAsia="仿宋_GB2312" w:cs="Times New Roman"/>
      <w:color w:val="000000"/>
      <w:szCs w:val="24"/>
    </w:rPr>
  </w:style>
  <w:style w:type="character" w:customStyle="1" w:styleId="69">
    <w:name w:val="正文首行缩进 Char"/>
    <w:link w:val="37"/>
    <w:qFormat/>
    <w:uiPriority w:val="0"/>
    <w:rPr>
      <w:rFonts w:ascii="Times New Roman" w:hAnsi="Times New Roman" w:eastAsia="宋体" w:cs="Times New Roman"/>
      <w:sz w:val="24"/>
      <w:szCs w:val="24"/>
    </w:rPr>
  </w:style>
  <w:style w:type="paragraph" w:customStyle="1" w:styleId="70">
    <w:name w:val="Char"/>
    <w:basedOn w:val="1"/>
    <w:qFormat/>
    <w:uiPriority w:val="0"/>
  </w:style>
  <w:style w:type="paragraph" w:customStyle="1" w:styleId="71">
    <w:name w:val="Char Char Char"/>
    <w:basedOn w:val="1"/>
    <w:qFormat/>
    <w:uiPriority w:val="0"/>
  </w:style>
  <w:style w:type="paragraph" w:customStyle="1" w:styleId="72">
    <w:name w:val="默认段落字体 Para Char"/>
    <w:basedOn w:val="1"/>
    <w:qFormat/>
    <w:uiPriority w:val="0"/>
    <w:pPr>
      <w:tabs>
        <w:tab w:val="left" w:pos="360"/>
      </w:tabs>
    </w:pPr>
    <w:rPr>
      <w:sz w:val="24"/>
    </w:rPr>
  </w:style>
  <w:style w:type="character" w:customStyle="1" w:styleId="73">
    <w:name w:val="批注文字 Char"/>
    <w:link w:val="15"/>
    <w:qFormat/>
    <w:uiPriority w:val="0"/>
    <w:rPr>
      <w:rFonts w:ascii="Times New Roman" w:hAnsi="Times New Roman" w:eastAsia="宋体" w:cs="Times New Roman"/>
      <w:szCs w:val="24"/>
    </w:rPr>
  </w:style>
  <w:style w:type="character" w:customStyle="1" w:styleId="74">
    <w:name w:val="批注主题 Char"/>
    <w:link w:val="36"/>
    <w:qFormat/>
    <w:uiPriority w:val="0"/>
    <w:rPr>
      <w:rFonts w:ascii="Times New Roman" w:hAnsi="Times New Roman" w:eastAsia="宋体" w:cs="Times New Roman"/>
      <w:b/>
      <w:bCs/>
      <w:szCs w:val="24"/>
    </w:rPr>
  </w:style>
  <w:style w:type="paragraph" w:customStyle="1" w:styleId="75">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76">
    <w:name w:val="HD正文"/>
    <w:basedOn w:val="1"/>
    <w:qFormat/>
    <w:uiPriority w:val="0"/>
    <w:pPr>
      <w:snapToGrid w:val="0"/>
      <w:spacing w:line="360" w:lineRule="auto"/>
      <w:ind w:firstLine="420" w:firstLineChars="200"/>
    </w:pPr>
    <w:rPr>
      <w:szCs w:val="21"/>
    </w:rPr>
  </w:style>
  <w:style w:type="paragraph" w:customStyle="1" w:styleId="77">
    <w:name w:val="正文所"/>
    <w:basedOn w:val="1"/>
    <w:qFormat/>
    <w:uiPriority w:val="0"/>
    <w:pPr>
      <w:spacing w:line="360" w:lineRule="auto"/>
      <w:ind w:firstLine="420" w:firstLineChars="200"/>
    </w:pPr>
    <w:rPr>
      <w:rFonts w:ascii="宋体"/>
      <w:szCs w:val="20"/>
    </w:rPr>
  </w:style>
  <w:style w:type="paragraph" w:customStyle="1" w:styleId="78">
    <w:name w:val="Char Char Char Char"/>
    <w:basedOn w:val="1"/>
    <w:qFormat/>
    <w:uiPriority w:val="0"/>
    <w:pPr>
      <w:tabs>
        <w:tab w:val="left" w:pos="360"/>
      </w:tabs>
    </w:pPr>
    <w:rPr>
      <w:szCs w:val="20"/>
    </w:rPr>
  </w:style>
  <w:style w:type="character" w:customStyle="1" w:styleId="79">
    <w:name w:val="脚注文本 Char"/>
    <w:basedOn w:val="39"/>
    <w:link w:val="28"/>
    <w:qFormat/>
    <w:uiPriority w:val="0"/>
    <w:rPr>
      <w:rFonts w:ascii="Times New Roman" w:hAnsi="Times New Roman"/>
      <w:kern w:val="2"/>
      <w:sz w:val="18"/>
    </w:rPr>
  </w:style>
  <w:style w:type="character" w:customStyle="1" w:styleId="80">
    <w:name w:val="文档结构图 Char"/>
    <w:basedOn w:val="39"/>
    <w:link w:val="14"/>
    <w:qFormat/>
    <w:uiPriority w:val="0"/>
    <w:rPr>
      <w:rFonts w:ascii="Times New Roman" w:hAnsi="Times New Roman"/>
      <w:kern w:val="2"/>
      <w:sz w:val="21"/>
      <w:shd w:val="clear" w:color="auto" w:fill="000080"/>
    </w:rPr>
  </w:style>
  <w:style w:type="paragraph" w:customStyle="1" w:styleId="81">
    <w:name w:val="Char1"/>
    <w:basedOn w:val="1"/>
    <w:qFormat/>
    <w:uiPriority w:val="0"/>
    <w:rPr>
      <w:szCs w:val="20"/>
    </w:rPr>
  </w:style>
  <w:style w:type="paragraph" w:customStyle="1" w:styleId="82">
    <w:name w:val="List_bullet"/>
    <w:basedOn w:val="1"/>
    <w:qFormat/>
    <w:uiPriority w:val="0"/>
    <w:pPr>
      <w:widowControl/>
      <w:tabs>
        <w:tab w:val="left" w:pos="360"/>
      </w:tabs>
      <w:jc w:val="left"/>
    </w:pPr>
    <w:rPr>
      <w:kern w:val="0"/>
      <w:sz w:val="24"/>
      <w:szCs w:val="20"/>
    </w:rPr>
  </w:style>
  <w:style w:type="paragraph" w:customStyle="1" w:styleId="83">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4">
    <w:name w:val="Char Char"/>
    <w:basedOn w:val="1"/>
    <w:qFormat/>
    <w:uiPriority w:val="0"/>
    <w:rPr>
      <w:szCs w:val="20"/>
    </w:rPr>
  </w:style>
  <w:style w:type="character" w:customStyle="1" w:styleId="85">
    <w:name w:val="纯文本 Char"/>
    <w:basedOn w:val="39"/>
    <w:link w:val="20"/>
    <w:qFormat/>
    <w:uiPriority w:val="0"/>
    <w:rPr>
      <w:rFonts w:ascii="宋体" w:hAnsi="Courier New"/>
      <w:sz w:val="21"/>
    </w:rPr>
  </w:style>
  <w:style w:type="paragraph" w:customStyle="1" w:styleId="86">
    <w:name w:val="Char Char1"/>
    <w:basedOn w:val="1"/>
    <w:qFormat/>
    <w:uiPriority w:val="0"/>
    <w:rPr>
      <w:szCs w:val="20"/>
    </w:rPr>
  </w:style>
  <w:style w:type="paragraph" w:customStyle="1" w:styleId="8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88">
    <w:name w:val="正文正文"/>
    <w:basedOn w:val="1"/>
    <w:qFormat/>
    <w:uiPriority w:val="0"/>
    <w:pPr>
      <w:spacing w:afterLines="25" w:line="360" w:lineRule="auto"/>
      <w:ind w:firstLine="200" w:firstLineChars="200"/>
    </w:pPr>
    <w:rPr>
      <w:sz w:val="24"/>
      <w:szCs w:val="20"/>
    </w:rPr>
  </w:style>
  <w:style w:type="paragraph" w:customStyle="1" w:styleId="89">
    <w:name w:val="InfoBlue"/>
    <w:basedOn w:val="1"/>
    <w:next w:val="16"/>
    <w:qFormat/>
    <w:uiPriority w:val="0"/>
    <w:pPr>
      <w:tabs>
        <w:tab w:val="left" w:pos="420"/>
      </w:tabs>
      <w:spacing w:after="120" w:line="240" w:lineRule="atLeast"/>
      <w:ind w:left="420" w:hanging="420"/>
      <w:jc w:val="left"/>
    </w:pPr>
    <w:rPr>
      <w:rFonts w:ascii="宋体" w:hAnsi="宋体"/>
      <w:szCs w:val="20"/>
    </w:rPr>
  </w:style>
  <w:style w:type="paragraph" w:customStyle="1" w:styleId="90">
    <w:name w:val="Char Char2"/>
    <w:basedOn w:val="1"/>
    <w:qFormat/>
    <w:uiPriority w:val="0"/>
    <w:rPr>
      <w:szCs w:val="20"/>
    </w:rPr>
  </w:style>
  <w:style w:type="paragraph" w:customStyle="1" w:styleId="91">
    <w:name w:val="Char2"/>
    <w:basedOn w:val="1"/>
    <w:qFormat/>
    <w:uiPriority w:val="0"/>
    <w:rPr>
      <w:szCs w:val="20"/>
    </w:rPr>
  </w:style>
  <w:style w:type="paragraph" w:customStyle="1" w:styleId="92">
    <w:name w:val="Char Char Char1"/>
    <w:basedOn w:val="1"/>
    <w:qFormat/>
    <w:uiPriority w:val="0"/>
    <w:rPr>
      <w:szCs w:val="20"/>
    </w:rPr>
  </w:style>
  <w:style w:type="paragraph" w:customStyle="1" w:styleId="93">
    <w:name w:val="Char Char Char Char1"/>
    <w:basedOn w:val="1"/>
    <w:qFormat/>
    <w:uiPriority w:val="0"/>
    <w:pPr>
      <w:tabs>
        <w:tab w:val="left" w:pos="360"/>
      </w:tabs>
    </w:pPr>
    <w:rPr>
      <w:szCs w:val="20"/>
    </w:rPr>
  </w:style>
  <w:style w:type="paragraph" w:customStyle="1" w:styleId="94">
    <w:name w:val="Char Char11"/>
    <w:basedOn w:val="1"/>
    <w:qFormat/>
    <w:uiPriority w:val="0"/>
    <w:rPr>
      <w:szCs w:val="20"/>
    </w:rPr>
  </w:style>
  <w:style w:type="character" w:customStyle="1" w:styleId="95">
    <w:name w:val="grame"/>
    <w:basedOn w:val="39"/>
    <w:qFormat/>
    <w:uiPriority w:val="0"/>
  </w:style>
  <w:style w:type="character" w:customStyle="1" w:styleId="96">
    <w:name w:val="日期 Char"/>
    <w:basedOn w:val="39"/>
    <w:link w:val="22"/>
    <w:semiHidden/>
    <w:qFormat/>
    <w:uiPriority w:val="99"/>
    <w:rPr>
      <w:rFonts w:ascii="Times New Roman" w:hAnsi="Times New Roman"/>
      <w:kern w:val="2"/>
      <w:sz w:val="21"/>
      <w:szCs w:val="24"/>
    </w:rPr>
  </w:style>
  <w:style w:type="paragraph" w:styleId="97">
    <w:name w:val="List Paragraph"/>
    <w:basedOn w:val="1"/>
    <w:qFormat/>
    <w:uiPriority w:val="34"/>
    <w:pPr>
      <w:ind w:firstLine="420" w:firstLineChars="200"/>
    </w:pPr>
  </w:style>
  <w:style w:type="paragraph" w:customStyle="1" w:styleId="98">
    <w:name w:val="修订2"/>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customXml" Target="../customXml/item3.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numbering" Target="numbering.xml"/><Relationship Id="rId27" Type="http://schemas.openxmlformats.org/officeDocument/2006/relationships/theme" Target="theme/theme1.xml"/><Relationship Id="rId26" Type="http://schemas.openxmlformats.org/officeDocument/2006/relationships/footer" Target="footer23.xml"/><Relationship Id="rId25" Type="http://schemas.openxmlformats.org/officeDocument/2006/relationships/footer" Target="footer22.xml"/><Relationship Id="rId24" Type="http://schemas.openxmlformats.org/officeDocument/2006/relationships/footer" Target="footer21.xml"/><Relationship Id="rId23" Type="http://schemas.openxmlformats.org/officeDocument/2006/relationships/footer" Target="footer20.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97E6A-952F-49C1-8484-58D768CFE8BD}">
  <ds:schemaRefs/>
</ds:datastoreItem>
</file>

<file path=customXml/itemProps2.xml><?xml version="1.0" encoding="utf-8"?>
<ds:datastoreItem xmlns:ds="http://schemas.openxmlformats.org/officeDocument/2006/customXml" ds:itemID="{29372DA4-EBBE-4C25-8664-FEB7C3D9EED6}">
  <ds:schemaRefs/>
</ds:datastoreItem>
</file>

<file path=customXml/itemProps3.xml><?xml version="1.0" encoding="utf-8"?>
<ds:datastoreItem xmlns:ds="http://schemas.openxmlformats.org/officeDocument/2006/customXml" ds:itemID="{36C46CA9-ABD2-4D29-B860-7E95EF5B0217}">
  <ds:schemaRefs/>
</ds:datastoreItem>
</file>

<file path=docProps/app.xml><?xml version="1.0" encoding="utf-8"?>
<Properties xmlns="http://schemas.openxmlformats.org/officeDocument/2006/extended-properties" xmlns:vt="http://schemas.openxmlformats.org/officeDocument/2006/docPropsVTypes">
  <Template>Normal.dotm</Template>
  <Pages>95</Pages>
  <Words>79421</Words>
  <Characters>4814</Characters>
  <Lines>40</Lines>
  <Paragraphs>168</Paragraphs>
  <TotalTime>161</TotalTime>
  <ScaleCrop>false</ScaleCrop>
  <LinksUpToDate>false</LinksUpToDate>
  <CharactersWithSpaces>84067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2021-05-31T03:02:00Z</dcterms:created>
  <dc:creator>liush</dc:creator>
  <cp:lastModifiedBy>licx382</cp:lastModifiedBy>
  <cp:lastPrinted>2021-07-19T07:56:00Z</cp:lastPrinted>
  <dcterms:modified xsi:type="dcterms:W3CDTF">2026-09-10T05:37:58Z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contractId">
    <vt:lpwstr>8531f089d0c1479ca143fccf8259a37a</vt:lpwstr>
  </property>
  <property fmtid="{D5CDD505-2E9C-101B-9397-08002B2CF9AE}" pid="4" name="verificationId">
    <vt:lpwstr>9127103a028ce3ef</vt:lpwstr>
  </property>
  <property fmtid="{D5CDD505-2E9C-101B-9397-08002B2CF9AE}" pid="5" name="ICV">
    <vt:lpwstr>DF29E6DED8B044E7A9F1FEDCA28B3540_13</vt:lpwstr>
  </property>
</Properties>
</file>