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F70B03">
      <w:pPr>
        <w:pStyle w:val="10"/>
        <w:spacing w:line="360" w:lineRule="auto"/>
      </w:pPr>
      <w:r>
        <w:rPr>
          <w:rFonts w:hint="eastAsia"/>
        </w:rPr>
        <w:t>关于</w:t>
      </w:r>
      <w:r>
        <w:rPr>
          <w:rFonts w:hint="eastAsia"/>
          <w:lang w:eastAsia="zh-CN"/>
        </w:rPr>
        <w:t>博时富洋纯债一年定期开放债券型发起式证券投资基金</w:t>
      </w:r>
      <w:r>
        <w:rPr>
          <w:rFonts w:hint="eastAsia"/>
        </w:rPr>
        <w:t>调低</w:t>
      </w:r>
      <w:r>
        <w:rPr>
          <w:rFonts w:hint="eastAsia"/>
          <w:lang w:val="en-US" w:eastAsia="zh-CN"/>
        </w:rPr>
        <w:t>托管</w:t>
      </w:r>
      <w:r>
        <w:rPr>
          <w:rFonts w:hint="eastAsia"/>
        </w:rPr>
        <w:t>费率并修订基金合同和托管协议的公告</w:t>
      </w:r>
    </w:p>
    <w:p w14:paraId="7A8AC247">
      <w:pPr>
        <w:spacing w:line="360" w:lineRule="auto"/>
        <w:ind w:firstLine="480" w:firstLineChars="200"/>
        <w:rPr>
          <w:sz w:val="24"/>
          <w:szCs w:val="24"/>
        </w:rPr>
      </w:pPr>
    </w:p>
    <w:p w14:paraId="680331A3">
      <w:pPr>
        <w:adjustRightIn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为更好地满足广大投资者的投资理财需求，降低投资者的理财成本，根据《中华人民共和国证券投资基金法》、《公开募集证券投资基金运作管理办法》、《</w:t>
      </w:r>
      <w:r>
        <w:rPr>
          <w:rFonts w:hint="eastAsia" w:ascii="宋体" w:hAnsi="宋体" w:eastAsia="宋体" w:cs="宋体"/>
          <w:sz w:val="24"/>
          <w:szCs w:val="24"/>
          <w:lang w:eastAsia="zh-CN"/>
        </w:rPr>
        <w:t>博时富洋纯债一年定期开放债券型发起式证券投资基金</w:t>
      </w:r>
      <w:r>
        <w:rPr>
          <w:rFonts w:hint="eastAsia" w:ascii="宋体" w:hAnsi="宋体" w:eastAsia="宋体" w:cs="宋体"/>
          <w:sz w:val="24"/>
          <w:szCs w:val="24"/>
        </w:rPr>
        <w:t>基金合同》（以下简称</w:t>
      </w:r>
      <w:r>
        <w:rPr>
          <w:rFonts w:hint="eastAsia" w:ascii="宋体" w:hAnsi="宋体" w:cs="宋体"/>
          <w:sz w:val="24"/>
          <w:szCs w:val="20"/>
        </w:rPr>
        <w:t>“基金合同”或</w:t>
      </w:r>
      <w:r>
        <w:rPr>
          <w:rFonts w:hint="eastAsia" w:ascii="宋体" w:hAnsi="宋体" w:eastAsia="宋体" w:cs="宋体"/>
          <w:sz w:val="24"/>
          <w:szCs w:val="24"/>
        </w:rPr>
        <w:t>“《基金合同》”）</w:t>
      </w:r>
      <w:r>
        <w:rPr>
          <w:rFonts w:hint="eastAsia" w:ascii="宋体" w:hAnsi="宋体" w:eastAsia="宋体" w:cs="宋体"/>
          <w:sz w:val="24"/>
          <w:szCs w:val="24"/>
          <w:lang w:val="en-US" w:eastAsia="zh-CN"/>
        </w:rPr>
        <w:t>的</w:t>
      </w:r>
      <w:r>
        <w:rPr>
          <w:rFonts w:hint="eastAsia" w:ascii="宋体" w:hAnsi="宋体" w:eastAsia="宋体" w:cs="宋体"/>
          <w:sz w:val="24"/>
          <w:szCs w:val="24"/>
        </w:rPr>
        <w:t>有关规定</w:t>
      </w:r>
      <w:r>
        <w:rPr>
          <w:rFonts w:hint="eastAsia" w:ascii="宋体" w:hAnsi="宋体" w:eastAsia="宋体" w:cs="宋体"/>
          <w:color w:val="000000"/>
          <w:sz w:val="24"/>
          <w:szCs w:val="24"/>
        </w:rPr>
        <w:t>，</w:t>
      </w:r>
      <w:r>
        <w:rPr>
          <w:rFonts w:hint="eastAsia" w:ascii="宋体" w:hAnsi="宋体" w:eastAsia="宋体" w:cs="宋体"/>
          <w:sz w:val="24"/>
          <w:szCs w:val="24"/>
        </w:rPr>
        <w:t>博时基金管理有限公司（以下简称“基金管理人”）经与基金托管人</w:t>
      </w:r>
      <w:r>
        <w:rPr>
          <w:rFonts w:hint="eastAsia" w:ascii="宋体" w:hAnsi="宋体" w:eastAsia="宋体" w:cs="宋体"/>
          <w:sz w:val="24"/>
          <w:szCs w:val="24"/>
          <w:lang w:val="en-US" w:eastAsia="zh-CN"/>
        </w:rPr>
        <w:t>上海银行股份有限公司</w:t>
      </w:r>
      <w:r>
        <w:rPr>
          <w:rFonts w:hint="eastAsia" w:ascii="宋体" w:hAnsi="宋体" w:eastAsia="宋体" w:cs="宋体"/>
          <w:sz w:val="24"/>
          <w:szCs w:val="24"/>
        </w:rPr>
        <w:t>协商一致，决定自</w:t>
      </w:r>
      <w:r>
        <w:rPr>
          <w:rFonts w:hint="eastAsia" w:ascii="宋体" w:hAnsi="宋体" w:eastAsia="宋体" w:cs="宋体"/>
          <w:sz w:val="24"/>
          <w:szCs w:val="24"/>
          <w:lang w:eastAsia="zh-CN"/>
        </w:rPr>
        <w:t>2026年6月15日</w:t>
      </w:r>
      <w:r>
        <w:rPr>
          <w:rFonts w:hint="eastAsia" w:ascii="宋体" w:hAnsi="宋体" w:eastAsia="宋体" w:cs="宋体"/>
          <w:sz w:val="24"/>
          <w:szCs w:val="24"/>
        </w:rPr>
        <w:t>起</w:t>
      </w:r>
      <w:r>
        <w:rPr>
          <w:rFonts w:hint="eastAsia" w:ascii="宋体" w:hAnsi="宋体" w:eastAsia="宋体" w:cs="宋体"/>
          <w:sz w:val="24"/>
          <w:szCs w:val="24"/>
          <w:lang w:val="en-US" w:eastAsia="zh-CN"/>
        </w:rPr>
        <w:t>调低</w:t>
      </w:r>
      <w:r>
        <w:rPr>
          <w:rFonts w:hint="eastAsia" w:ascii="宋体" w:hAnsi="宋体" w:eastAsia="宋体" w:cs="宋体"/>
          <w:sz w:val="24"/>
          <w:szCs w:val="24"/>
          <w:lang w:eastAsia="zh-CN"/>
        </w:rPr>
        <w:t>博时富洋纯债一年定期开放债券型发起式证券投资基金</w:t>
      </w:r>
      <w:r>
        <w:rPr>
          <w:rFonts w:hint="eastAsia" w:ascii="宋体" w:hAnsi="宋体" w:eastAsia="宋体" w:cs="宋体"/>
          <w:sz w:val="24"/>
          <w:szCs w:val="24"/>
        </w:rPr>
        <w:t>（以下简称“本基金”）的</w:t>
      </w:r>
      <w:r>
        <w:rPr>
          <w:rFonts w:hint="eastAsia" w:ascii="宋体" w:hAnsi="宋体" w:eastAsia="宋体" w:cs="宋体"/>
          <w:sz w:val="24"/>
          <w:szCs w:val="24"/>
          <w:lang w:val="en-US" w:eastAsia="zh-CN"/>
        </w:rPr>
        <w:t>托管</w:t>
      </w:r>
      <w:r>
        <w:rPr>
          <w:rFonts w:hint="eastAsia" w:ascii="宋体" w:hAnsi="宋体" w:eastAsia="宋体" w:cs="宋体"/>
          <w:sz w:val="24"/>
          <w:szCs w:val="24"/>
        </w:rPr>
        <w:t>费率，并</w:t>
      </w:r>
      <w:r>
        <w:rPr>
          <w:rFonts w:hint="eastAsia" w:ascii="宋体" w:hAnsi="宋体" w:eastAsia="宋体" w:cs="宋体"/>
          <w:sz w:val="24"/>
          <w:szCs w:val="24"/>
          <w:lang w:val="en-US" w:eastAsia="zh-CN"/>
        </w:rPr>
        <w:t>对《基金合同》、</w:t>
      </w:r>
      <w:r>
        <w:rPr>
          <w:rFonts w:hint="eastAsia" w:ascii="宋体" w:hAnsi="宋体" w:eastAsia="宋体" w:cs="宋体"/>
          <w:sz w:val="24"/>
          <w:szCs w:val="24"/>
        </w:rPr>
        <w:t>《</w:t>
      </w:r>
      <w:r>
        <w:rPr>
          <w:rFonts w:hint="eastAsia" w:ascii="宋体" w:hAnsi="宋体" w:eastAsia="宋体" w:cs="宋体"/>
          <w:sz w:val="24"/>
          <w:szCs w:val="24"/>
          <w:lang w:eastAsia="zh-CN"/>
        </w:rPr>
        <w:t>博时富洋纯债一年定期开放债券型发起式证券投资基金</w:t>
      </w:r>
      <w:r>
        <w:rPr>
          <w:rFonts w:hint="eastAsia" w:ascii="宋体" w:hAnsi="宋体" w:eastAsia="宋体" w:cs="宋体"/>
          <w:sz w:val="24"/>
          <w:szCs w:val="24"/>
        </w:rPr>
        <w:t>托管协议》（以下简称“《托管协议》”）</w:t>
      </w:r>
      <w:r>
        <w:rPr>
          <w:rFonts w:hint="eastAsia" w:ascii="宋体" w:hAnsi="宋体" w:eastAsia="宋体" w:cs="宋体"/>
          <w:sz w:val="24"/>
          <w:szCs w:val="24"/>
          <w:lang w:val="en-US" w:eastAsia="zh-CN"/>
        </w:rPr>
        <w:t>的有关条款进行修订</w:t>
      </w:r>
      <w:r>
        <w:rPr>
          <w:rFonts w:hint="eastAsia" w:ascii="宋体" w:hAnsi="宋体" w:eastAsia="宋体" w:cs="宋体"/>
          <w:sz w:val="24"/>
          <w:szCs w:val="24"/>
        </w:rPr>
        <w:t>，现将相关事项公告如下：</w:t>
      </w:r>
    </w:p>
    <w:p w14:paraId="4B69FA99">
      <w:pPr>
        <w:numPr>
          <w:ilvl w:val="0"/>
          <w:numId w:val="1"/>
        </w:numPr>
        <w:adjustRightInd w:val="0"/>
        <w:snapToGrid w:val="0"/>
        <w:spacing w:line="360" w:lineRule="auto"/>
        <w:ind w:firstLine="482" w:firstLineChars="200"/>
        <w:rPr>
          <w:rFonts w:cs="Times New Roman" w:asciiTheme="minorEastAsia" w:hAnsiTheme="minorEastAsia"/>
          <w:b/>
          <w:bCs/>
          <w:color w:val="000000" w:themeColor="text1"/>
          <w:sz w:val="24"/>
          <w:szCs w:val="24"/>
          <w14:textFill>
            <w14:solidFill>
              <w14:schemeClr w14:val="tx1"/>
            </w14:solidFill>
          </w14:textFill>
        </w:rPr>
      </w:pPr>
      <w:r>
        <w:rPr>
          <w:rFonts w:hint="eastAsia" w:cs="Times New Roman" w:asciiTheme="minorEastAsia" w:hAnsiTheme="minorEastAsia"/>
          <w:b/>
          <w:bCs/>
          <w:color w:val="000000" w:themeColor="text1"/>
          <w:sz w:val="24"/>
          <w:szCs w:val="24"/>
          <w14:textFill>
            <w14:solidFill>
              <w14:schemeClr w14:val="tx1"/>
            </w14:solidFill>
          </w14:textFill>
        </w:rPr>
        <w:t xml:space="preserve">费率调整方案 </w:t>
      </w:r>
    </w:p>
    <w:p w14:paraId="3433143E">
      <w:pPr>
        <w:numPr>
          <w:ilvl w:val="-1"/>
          <w:numId w:val="0"/>
        </w:numPr>
        <w:adjustRightInd w:val="0"/>
        <w:snapToGrid w:val="0"/>
        <w:spacing w:line="360" w:lineRule="auto"/>
        <w:ind w:firstLine="420" w:firstLineChars="0"/>
        <w:rPr>
          <w:rFonts w:hint="eastAsia" w:cs="Times New Roman" w:asciiTheme="minorEastAsia" w:hAnsiTheme="minorEastAsia"/>
          <w:b w:val="0"/>
          <w:bCs w:val="0"/>
          <w:color w:val="000000" w:themeColor="text1"/>
          <w:sz w:val="24"/>
          <w:szCs w:val="24"/>
          <w14:textFill>
            <w14:solidFill>
              <w14:schemeClr w14:val="tx1"/>
            </w14:solidFill>
          </w14:textFill>
        </w:rPr>
      </w:pPr>
      <w:r>
        <w:rPr>
          <w:rFonts w:hint="eastAsia" w:cs="Times New Roman" w:asciiTheme="minorEastAsia" w:hAnsiTheme="minorEastAsia"/>
          <w:b w:val="0"/>
          <w:bCs w:val="0"/>
          <w:color w:val="000000" w:themeColor="text1"/>
          <w:sz w:val="24"/>
          <w:szCs w:val="24"/>
          <w14:textFill>
            <w14:solidFill>
              <w14:schemeClr w14:val="tx1"/>
            </w14:solidFill>
          </w14:textFill>
        </w:rPr>
        <w:t>自</w:t>
      </w:r>
      <w:r>
        <w:rPr>
          <w:rFonts w:hint="eastAsia" w:cs="Times New Roman" w:asciiTheme="minorEastAsia" w:hAnsiTheme="minorEastAsia"/>
          <w:b w:val="0"/>
          <w:bCs w:val="0"/>
          <w:color w:val="000000" w:themeColor="text1"/>
          <w:sz w:val="24"/>
          <w:szCs w:val="24"/>
          <w:lang w:eastAsia="zh-CN"/>
          <w14:textFill>
            <w14:solidFill>
              <w14:schemeClr w14:val="tx1"/>
            </w14:solidFill>
          </w14:textFill>
        </w:rPr>
        <w:t>2026年6月15日</w:t>
      </w:r>
      <w:r>
        <w:rPr>
          <w:rFonts w:hint="eastAsia" w:cs="Times New Roman" w:asciiTheme="minorEastAsia" w:hAnsiTheme="minorEastAsia"/>
          <w:b w:val="0"/>
          <w:bCs w:val="0"/>
          <w:color w:val="000000" w:themeColor="text1"/>
          <w:sz w:val="24"/>
          <w:szCs w:val="24"/>
          <w14:textFill>
            <w14:solidFill>
              <w14:schemeClr w14:val="tx1"/>
            </w14:solidFill>
          </w14:textFill>
        </w:rPr>
        <w:t>起本基金托管费年费率由</w:t>
      </w:r>
      <w:r>
        <w:rPr>
          <w:rFonts w:hint="eastAsia" w:cs="Times New Roman" w:asciiTheme="minorEastAsia" w:hAnsiTheme="minorEastAsia"/>
          <w:b w:val="0"/>
          <w:bCs w:val="0"/>
          <w:color w:val="000000" w:themeColor="text1"/>
          <w:sz w:val="24"/>
          <w:szCs w:val="24"/>
          <w:lang w:eastAsia="zh-CN"/>
          <w14:textFill>
            <w14:solidFill>
              <w14:schemeClr w14:val="tx1"/>
            </w14:solidFill>
          </w14:textFill>
        </w:rPr>
        <w:t>0</w:t>
      </w:r>
      <w:r>
        <w:rPr>
          <w:rFonts w:hint="eastAsia" w:cs="Times New Roman" w:asciiTheme="minorEastAsia" w:hAnsiTheme="minorEastAsia"/>
          <w:b w:val="0"/>
          <w:bCs w:val="0"/>
          <w:color w:val="000000" w:themeColor="text1"/>
          <w:sz w:val="24"/>
          <w:szCs w:val="24"/>
          <w:lang w:val="en-US" w:eastAsia="zh-CN"/>
          <w14:textFill>
            <w14:solidFill>
              <w14:schemeClr w14:val="tx1"/>
            </w14:solidFill>
          </w14:textFill>
        </w:rPr>
        <w:t>.10</w:t>
      </w:r>
      <w:r>
        <w:rPr>
          <w:rFonts w:hint="eastAsia" w:cs="Times New Roman" w:asciiTheme="minorEastAsia" w:hAnsiTheme="minorEastAsia"/>
          <w:b w:val="0"/>
          <w:bCs w:val="0"/>
          <w:color w:val="000000" w:themeColor="text1"/>
          <w:sz w:val="24"/>
          <w:szCs w:val="24"/>
          <w14:textFill>
            <w14:solidFill>
              <w14:schemeClr w14:val="tx1"/>
            </w14:solidFill>
          </w14:textFill>
        </w:rPr>
        <w:t>%调整为</w:t>
      </w:r>
      <w:r>
        <w:rPr>
          <w:rFonts w:hint="eastAsia" w:cs="Times New Roman" w:asciiTheme="minorEastAsia" w:hAnsiTheme="minorEastAsia"/>
          <w:b w:val="0"/>
          <w:bCs w:val="0"/>
          <w:color w:val="000000" w:themeColor="text1"/>
          <w:sz w:val="24"/>
          <w:szCs w:val="24"/>
          <w:lang w:eastAsia="zh-CN"/>
          <w14:textFill>
            <w14:solidFill>
              <w14:schemeClr w14:val="tx1"/>
            </w14:solidFill>
          </w14:textFill>
        </w:rPr>
        <w:t>0</w:t>
      </w:r>
      <w:r>
        <w:rPr>
          <w:rFonts w:hint="eastAsia" w:cs="Times New Roman" w:asciiTheme="minorEastAsia" w:hAnsiTheme="minorEastAsia"/>
          <w:b w:val="0"/>
          <w:bCs w:val="0"/>
          <w:color w:val="000000" w:themeColor="text1"/>
          <w:sz w:val="24"/>
          <w:szCs w:val="24"/>
          <w:lang w:val="en-US" w:eastAsia="zh-CN"/>
          <w14:textFill>
            <w14:solidFill>
              <w14:schemeClr w14:val="tx1"/>
            </w14:solidFill>
          </w14:textFill>
        </w:rPr>
        <w:t>.08</w:t>
      </w:r>
      <w:r>
        <w:rPr>
          <w:rFonts w:hint="eastAsia" w:cs="Times New Roman" w:asciiTheme="minorEastAsia" w:hAnsiTheme="minorEastAsia"/>
          <w:b w:val="0"/>
          <w:bCs w:val="0"/>
          <w:color w:val="000000" w:themeColor="text1"/>
          <w:sz w:val="24"/>
          <w:szCs w:val="24"/>
          <w14:textFill>
            <w14:solidFill>
              <w14:schemeClr w14:val="tx1"/>
            </w14:solidFill>
          </w14:textFill>
        </w:rPr>
        <w:t>%</w:t>
      </w:r>
      <w:r>
        <w:rPr>
          <w:rFonts w:hint="eastAsia" w:cs="Times New Roman" w:asciiTheme="minorEastAsia" w:hAnsiTheme="minorEastAsia"/>
          <w:b w:val="0"/>
          <w:bCs w:val="0"/>
          <w:color w:val="000000" w:themeColor="text1"/>
          <w:sz w:val="24"/>
          <w:szCs w:val="24"/>
          <w:lang w:eastAsia="zh-CN"/>
          <w14:textFill>
            <w14:solidFill>
              <w14:schemeClr w14:val="tx1"/>
            </w14:solidFill>
          </w14:textFill>
        </w:rPr>
        <w:t>。</w:t>
      </w:r>
      <w:r>
        <w:rPr>
          <w:rFonts w:hint="eastAsia" w:cs="Times New Roman" w:asciiTheme="minorEastAsia" w:hAnsiTheme="minorEastAsia"/>
          <w:color w:val="000000" w:themeColor="text1"/>
          <w:sz w:val="24"/>
          <w:szCs w:val="24"/>
          <w14:textFill>
            <w14:solidFill>
              <w14:schemeClr w14:val="tx1"/>
            </w14:solidFill>
          </w14:textFill>
        </w:rPr>
        <w:t>本次修订仅涉及费率的调整，托管费率的计提方式不变。</w:t>
      </w:r>
    </w:p>
    <w:p w14:paraId="506FEE2C">
      <w:pPr>
        <w:adjustRightInd w:val="0"/>
        <w:snapToGrid w:val="0"/>
        <w:spacing w:line="360" w:lineRule="auto"/>
        <w:ind w:firstLine="482" w:firstLineChars="200"/>
        <w:rPr>
          <w:rFonts w:cs="Times New Roman" w:asciiTheme="minorEastAsia" w:hAnsiTheme="minorEastAsia"/>
          <w:b/>
          <w:bCs/>
          <w:color w:val="000000" w:themeColor="text1"/>
          <w:sz w:val="24"/>
          <w:szCs w:val="24"/>
          <w14:textFill>
            <w14:solidFill>
              <w14:schemeClr w14:val="tx1"/>
            </w14:solidFill>
          </w14:textFill>
        </w:rPr>
      </w:pPr>
      <w:r>
        <w:rPr>
          <w:rFonts w:hint="eastAsia" w:cs="Times New Roman" w:asciiTheme="minorEastAsia" w:hAnsiTheme="minorEastAsia"/>
          <w:b/>
          <w:bCs/>
          <w:color w:val="000000" w:themeColor="text1"/>
          <w:sz w:val="24"/>
          <w:szCs w:val="24"/>
          <w14:textFill>
            <w14:solidFill>
              <w14:schemeClr w14:val="tx1"/>
            </w14:solidFill>
          </w14:textFill>
        </w:rPr>
        <w:t>二、对《基金合同》及《托管协议》的修订</w:t>
      </w:r>
    </w:p>
    <w:p w14:paraId="7542E476">
      <w:pPr>
        <w:adjustRightInd w:val="0"/>
        <w:snapToGrid w:val="0"/>
        <w:spacing w:line="360" w:lineRule="auto"/>
        <w:ind w:firstLine="480" w:firstLineChars="200"/>
        <w:rPr>
          <w:rFonts w:cs="Times New Roman" w:asciiTheme="minorEastAsia" w:hAnsiTheme="minorEastAsia"/>
          <w:color w:val="000000" w:themeColor="text1"/>
          <w:sz w:val="24"/>
          <w:szCs w:val="24"/>
          <w14:textFill>
            <w14:solidFill>
              <w14:schemeClr w14:val="tx1"/>
            </w14:solidFill>
          </w14:textFill>
        </w:rPr>
      </w:pPr>
      <w:r>
        <w:rPr>
          <w:rFonts w:hint="eastAsia" w:cs="Times New Roman" w:asciiTheme="minorEastAsia" w:hAnsiTheme="minorEastAsia"/>
          <w:color w:val="000000" w:themeColor="text1"/>
          <w:sz w:val="24"/>
          <w:szCs w:val="24"/>
          <w:lang w:val="en-US" w:eastAsia="zh-CN"/>
          <w14:textFill>
            <w14:solidFill>
              <w14:schemeClr w14:val="tx1"/>
            </w14:solidFill>
          </w14:textFill>
        </w:rPr>
        <w:t>本公司</w:t>
      </w:r>
      <w:r>
        <w:rPr>
          <w:rFonts w:hint="eastAsia" w:cs="Times New Roman" w:asciiTheme="minorEastAsia" w:hAnsiTheme="minorEastAsia"/>
          <w:color w:val="000000" w:themeColor="text1"/>
          <w:sz w:val="24"/>
          <w:szCs w:val="24"/>
          <w14:textFill>
            <w14:solidFill>
              <w14:schemeClr w14:val="tx1"/>
            </w14:solidFill>
          </w14:textFill>
        </w:rPr>
        <w:t>根据上述费率调整方案对</w:t>
      </w:r>
      <w:r>
        <w:rPr>
          <w:rFonts w:hint="eastAsia" w:cs="Times New Roman" w:asciiTheme="minorEastAsia" w:hAnsiTheme="minorEastAsia"/>
          <w:color w:val="000000" w:themeColor="text1"/>
          <w:sz w:val="24"/>
          <w:szCs w:val="24"/>
          <w:lang w:val="en-US" w:eastAsia="zh-CN"/>
          <w14:textFill>
            <w14:solidFill>
              <w14:schemeClr w14:val="tx1"/>
            </w14:solidFill>
          </w14:textFill>
        </w:rPr>
        <w:t>本基金</w:t>
      </w:r>
      <w:r>
        <w:rPr>
          <w:rFonts w:hint="eastAsia" w:cs="Times New Roman" w:asciiTheme="minorEastAsia" w:hAnsiTheme="minorEastAsia"/>
          <w:color w:val="000000" w:themeColor="text1"/>
          <w:sz w:val="24"/>
          <w:szCs w:val="24"/>
          <w14:textFill>
            <w14:solidFill>
              <w14:schemeClr w14:val="tx1"/>
            </w14:solidFill>
          </w14:textFill>
        </w:rPr>
        <w:t>的</w:t>
      </w:r>
      <w:r>
        <w:rPr>
          <w:rFonts w:hint="eastAsia" w:cs="Times New Roman" w:asciiTheme="minorEastAsia" w:hAnsiTheme="minorEastAsia"/>
          <w:color w:val="000000" w:themeColor="text1"/>
          <w:sz w:val="24"/>
          <w:szCs w:val="24"/>
          <w:lang w:eastAsia="zh-CN"/>
          <w14:textFill>
            <w14:solidFill>
              <w14:schemeClr w14:val="tx1"/>
            </w14:solidFill>
          </w14:textFill>
        </w:rPr>
        <w:t>《</w:t>
      </w:r>
      <w:r>
        <w:rPr>
          <w:rFonts w:hint="eastAsia" w:cs="Times New Roman" w:asciiTheme="minorEastAsia" w:hAnsiTheme="minorEastAsia"/>
          <w:color w:val="000000" w:themeColor="text1"/>
          <w:sz w:val="24"/>
          <w:szCs w:val="24"/>
          <w14:textFill>
            <w14:solidFill>
              <w14:schemeClr w14:val="tx1"/>
            </w14:solidFill>
          </w14:textFill>
        </w:rPr>
        <w:t>基金合同</w:t>
      </w:r>
      <w:r>
        <w:rPr>
          <w:rFonts w:hint="eastAsia" w:cs="Times New Roman" w:asciiTheme="minorEastAsia" w:hAnsiTheme="minorEastAsia"/>
          <w:color w:val="000000" w:themeColor="text1"/>
          <w:sz w:val="24"/>
          <w:szCs w:val="24"/>
          <w:lang w:eastAsia="zh-CN"/>
          <w14:textFill>
            <w14:solidFill>
              <w14:schemeClr w14:val="tx1"/>
            </w14:solidFill>
          </w14:textFill>
        </w:rPr>
        <w:t>》、《</w:t>
      </w:r>
      <w:r>
        <w:rPr>
          <w:rFonts w:hint="eastAsia" w:cs="Times New Roman" w:asciiTheme="minorEastAsia" w:hAnsiTheme="minorEastAsia"/>
          <w:color w:val="000000" w:themeColor="text1"/>
          <w:sz w:val="24"/>
          <w:szCs w:val="24"/>
          <w:lang w:val="en-US" w:eastAsia="zh-CN"/>
          <w14:textFill>
            <w14:solidFill>
              <w14:schemeClr w14:val="tx1"/>
            </w14:solidFill>
          </w14:textFill>
        </w:rPr>
        <w:t>托管协议</w:t>
      </w:r>
      <w:r>
        <w:rPr>
          <w:rFonts w:hint="eastAsia" w:cs="Times New Roman" w:asciiTheme="minorEastAsia" w:hAnsiTheme="minorEastAsia"/>
          <w:color w:val="000000" w:themeColor="text1"/>
          <w:sz w:val="24"/>
          <w:szCs w:val="24"/>
          <w:lang w:eastAsia="zh-CN"/>
          <w14:textFill>
            <w14:solidFill>
              <w14:schemeClr w14:val="tx1"/>
            </w14:solidFill>
          </w14:textFill>
        </w:rPr>
        <w:t>》</w:t>
      </w:r>
      <w:r>
        <w:rPr>
          <w:rFonts w:hint="eastAsia" w:cs="Times New Roman" w:asciiTheme="minorEastAsia" w:hAnsiTheme="minorEastAsia"/>
          <w:color w:val="000000" w:themeColor="text1"/>
          <w:sz w:val="24"/>
          <w:szCs w:val="24"/>
          <w:lang w:val="en-US" w:eastAsia="zh-CN"/>
          <w14:textFill>
            <w14:solidFill>
              <w14:schemeClr w14:val="tx1"/>
            </w14:solidFill>
          </w14:textFill>
        </w:rPr>
        <w:t>有关条款进行修订</w:t>
      </w:r>
      <w:r>
        <w:rPr>
          <w:rFonts w:hint="eastAsia" w:cs="Times New Roman" w:asciiTheme="minorEastAsia" w:hAnsiTheme="minorEastAsia"/>
          <w:color w:val="000000" w:themeColor="text1"/>
          <w:sz w:val="24"/>
          <w:szCs w:val="24"/>
          <w14:textFill>
            <w14:solidFill>
              <w14:schemeClr w14:val="tx1"/>
            </w14:solidFill>
          </w14:textFill>
        </w:rPr>
        <w:t>，</w:t>
      </w:r>
      <w:r>
        <w:rPr>
          <w:rFonts w:hint="eastAsia" w:cs="Times New Roman" w:asciiTheme="minorEastAsia" w:hAnsiTheme="minorEastAsia"/>
          <w:color w:val="000000" w:themeColor="text1"/>
          <w:sz w:val="24"/>
          <w:szCs w:val="24"/>
          <w:lang w:val="en-US" w:eastAsia="zh-CN"/>
          <w14:textFill>
            <w14:solidFill>
              <w14:schemeClr w14:val="tx1"/>
            </w14:solidFill>
          </w14:textFill>
        </w:rPr>
        <w:t>并同步更新基金管理人信息，费率</w:t>
      </w:r>
      <w:r>
        <w:rPr>
          <w:rFonts w:hint="eastAsia" w:cs="Times New Roman" w:asciiTheme="minorEastAsia" w:hAnsiTheme="minorEastAsia"/>
          <w:color w:val="000000" w:themeColor="text1"/>
          <w:sz w:val="24"/>
          <w:szCs w:val="24"/>
          <w14:textFill>
            <w14:solidFill>
              <w14:schemeClr w14:val="tx1"/>
            </w14:solidFill>
          </w14:textFill>
        </w:rPr>
        <w:t>修订内容详见附件。</w:t>
      </w:r>
    </w:p>
    <w:p w14:paraId="5735DE67">
      <w:pPr>
        <w:spacing w:line="360" w:lineRule="auto"/>
        <w:ind w:firstLine="420"/>
        <w:rPr>
          <w:rFonts w:ascii="宋体" w:hAnsi="宋体" w:eastAsia="宋体" w:cs="宋体"/>
          <w:sz w:val="24"/>
          <w:szCs w:val="24"/>
        </w:rPr>
      </w:pPr>
      <w:r>
        <w:rPr>
          <w:rFonts w:hint="eastAsia" w:ascii="宋体" w:hAnsi="宋体" w:eastAsia="宋体" w:cs="宋体"/>
          <w:sz w:val="24"/>
          <w:szCs w:val="24"/>
        </w:rPr>
        <w:t>本次修订已履行规定的程序，</w:t>
      </w:r>
      <w:r>
        <w:rPr>
          <w:rFonts w:hint="eastAsia" w:ascii="宋体" w:hAnsi="宋体" w:cs="宋体"/>
          <w:sz w:val="24"/>
        </w:rPr>
        <w:t>符合相关法律法规的规定及基金合同的约定。</w:t>
      </w:r>
      <w:r>
        <w:rPr>
          <w:rFonts w:hint="eastAsia" w:ascii="宋体" w:hAnsi="宋体" w:eastAsia="宋体" w:cs="宋体"/>
          <w:sz w:val="24"/>
          <w:szCs w:val="24"/>
        </w:rPr>
        <w:t>修订后的</w:t>
      </w:r>
      <w:r>
        <w:rPr>
          <w:rFonts w:hint="eastAsia" w:ascii="宋体" w:hAnsi="宋体" w:eastAsia="宋体" w:cs="宋体"/>
          <w:sz w:val="24"/>
          <w:szCs w:val="24"/>
          <w:lang w:eastAsia="zh-CN"/>
        </w:rPr>
        <w:t>《</w:t>
      </w:r>
      <w:r>
        <w:rPr>
          <w:rFonts w:hint="eastAsia" w:ascii="宋体" w:hAnsi="宋体" w:eastAsia="宋体" w:cs="宋体"/>
          <w:sz w:val="24"/>
          <w:szCs w:val="24"/>
        </w:rPr>
        <w:t>基金合同</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及《托管协议》</w:t>
      </w:r>
      <w:r>
        <w:rPr>
          <w:rFonts w:hint="eastAsia" w:ascii="宋体" w:hAnsi="宋体" w:eastAsia="宋体" w:cs="宋体"/>
          <w:sz w:val="24"/>
          <w:szCs w:val="24"/>
        </w:rPr>
        <w:t>自</w:t>
      </w:r>
      <w:r>
        <w:rPr>
          <w:rFonts w:hint="eastAsia" w:ascii="宋体" w:hAnsi="宋体" w:eastAsia="宋体" w:cs="宋体"/>
          <w:sz w:val="24"/>
          <w:szCs w:val="24"/>
          <w:lang w:eastAsia="zh-CN"/>
        </w:rPr>
        <w:t>2026年6月15日</w:t>
      </w:r>
      <w:r>
        <w:rPr>
          <w:rFonts w:hint="eastAsia" w:ascii="宋体" w:hAnsi="宋体" w:eastAsia="宋体" w:cs="宋体"/>
          <w:sz w:val="24"/>
          <w:szCs w:val="24"/>
        </w:rPr>
        <w:t>起生效，并与本公告同日登载于基金管理人网站（</w:t>
      </w:r>
      <w:r>
        <w:rPr>
          <w:rFonts w:hint="eastAsia" w:asciiTheme="minorEastAsia" w:hAnsiTheme="minorEastAsia" w:eastAsiaTheme="minorEastAsia"/>
          <w:color w:val="000000"/>
          <w:sz w:val="24"/>
          <w:szCs w:val="24"/>
        </w:rPr>
        <w:t>https://www.bosera.com</w:t>
      </w:r>
      <w:r>
        <w:rPr>
          <w:rFonts w:hint="eastAsia" w:ascii="宋体" w:hAnsi="宋体" w:eastAsia="宋体" w:cs="宋体"/>
          <w:sz w:val="24"/>
          <w:szCs w:val="24"/>
        </w:rPr>
        <w:t>）及中国证监会基金电子披露网站（http://eid.csrc.gov.cn/fund）。招募说明书、基金产品资料概要涉及前述内容的，将一并修改，并依照《公开募集证券投资基金信息披露管理办法》的有关规定在规定媒介上公告。</w:t>
      </w:r>
    </w:p>
    <w:p w14:paraId="2E1DB420">
      <w:pPr>
        <w:spacing w:line="360" w:lineRule="auto"/>
        <w:ind w:firstLine="420"/>
        <w:rPr>
          <w:rFonts w:ascii="宋体" w:hAnsi="宋体" w:eastAsia="宋体" w:cs="宋体"/>
          <w:b/>
          <w:bCs/>
          <w:sz w:val="24"/>
          <w:szCs w:val="24"/>
        </w:rPr>
      </w:pPr>
      <w:r>
        <w:rPr>
          <w:rFonts w:hint="eastAsia" w:ascii="宋体" w:hAnsi="宋体" w:eastAsia="宋体" w:cs="宋体"/>
          <w:b/>
          <w:bCs/>
          <w:sz w:val="24"/>
          <w:szCs w:val="24"/>
        </w:rPr>
        <w:t>三、其他事项</w:t>
      </w:r>
    </w:p>
    <w:p w14:paraId="18336B12">
      <w:pPr>
        <w:spacing w:line="360" w:lineRule="auto"/>
        <w:ind w:firstLine="420"/>
        <w:rPr>
          <w:rFonts w:ascii="宋体" w:hAnsi="宋体" w:eastAsia="宋体" w:cs="宋体"/>
          <w:sz w:val="24"/>
          <w:szCs w:val="24"/>
        </w:rPr>
      </w:pPr>
      <w:r>
        <w:rPr>
          <w:rFonts w:hint="eastAsia" w:ascii="宋体" w:hAnsi="宋体" w:eastAsia="宋体" w:cs="宋体"/>
          <w:sz w:val="24"/>
          <w:szCs w:val="24"/>
        </w:rPr>
        <w:t>1、投资者可通过以下途径咨询有关详情</w:t>
      </w:r>
    </w:p>
    <w:p w14:paraId="40FA724C">
      <w:pPr>
        <w:spacing w:line="360" w:lineRule="auto"/>
        <w:ind w:firstLine="420"/>
        <w:rPr>
          <w:rFonts w:ascii="宋体" w:hAnsi="宋体" w:eastAsia="宋体" w:cs="宋体"/>
          <w:sz w:val="24"/>
          <w:szCs w:val="24"/>
        </w:rPr>
      </w:pPr>
      <w:r>
        <w:rPr>
          <w:rFonts w:hint="eastAsia" w:ascii="宋体" w:hAnsi="宋体" w:eastAsia="宋体" w:cs="宋体"/>
          <w:sz w:val="24"/>
          <w:szCs w:val="24"/>
        </w:rPr>
        <w:t>（1）本公司客户服务电话：95105568（全国免长途话费）；</w:t>
      </w:r>
    </w:p>
    <w:p w14:paraId="04681087">
      <w:pPr>
        <w:spacing w:line="360" w:lineRule="auto"/>
        <w:ind w:firstLine="420"/>
        <w:rPr>
          <w:rFonts w:ascii="宋体" w:hAnsi="宋体" w:eastAsia="宋体" w:cs="宋体"/>
          <w:sz w:val="24"/>
          <w:szCs w:val="24"/>
        </w:rPr>
      </w:pPr>
      <w:r>
        <w:rPr>
          <w:rFonts w:hint="eastAsia" w:ascii="宋体" w:hAnsi="宋体" w:eastAsia="宋体" w:cs="宋体"/>
          <w:sz w:val="24"/>
          <w:szCs w:val="24"/>
        </w:rPr>
        <w:t>（2）本公司网址：</w:t>
      </w:r>
      <w:r>
        <w:rPr>
          <w:rFonts w:hint="eastAsia" w:asciiTheme="minorEastAsia" w:hAnsiTheme="minorEastAsia" w:eastAsiaTheme="minorEastAsia"/>
          <w:color w:val="000000"/>
          <w:sz w:val="24"/>
          <w:szCs w:val="24"/>
        </w:rPr>
        <w:t>https://www.bosera.com</w:t>
      </w:r>
      <w:r>
        <w:rPr>
          <w:rFonts w:hint="eastAsia" w:ascii="宋体" w:hAnsi="宋体" w:eastAsia="宋体" w:cs="宋体"/>
          <w:sz w:val="24"/>
          <w:szCs w:val="24"/>
        </w:rPr>
        <w:t>。</w:t>
      </w:r>
    </w:p>
    <w:p w14:paraId="74AF43CA">
      <w:pPr>
        <w:spacing w:line="360" w:lineRule="auto"/>
        <w:ind w:firstLine="420"/>
        <w:rPr>
          <w:rFonts w:ascii="宋体" w:hAnsi="宋体" w:eastAsia="宋体" w:cs="宋体"/>
          <w:sz w:val="24"/>
          <w:szCs w:val="24"/>
        </w:rPr>
      </w:pPr>
      <w:r>
        <w:rPr>
          <w:rFonts w:hint="eastAsia" w:ascii="宋体" w:hAnsi="宋体" w:eastAsia="宋体" w:cs="宋体"/>
          <w:sz w:val="24"/>
          <w:szCs w:val="24"/>
        </w:rPr>
        <w:t>2、风险提示：基金管理人承诺以诚实信用、勤勉尽责的原则管理和运用基金资产，但不保证基金一定盈利，也不保证最低收益。销售机构根据法规要求对投资者类别、风险承受能力和基金的风险等级进行划分，并提出适当性匹配意见。投资者在投资基金前应认真阅读基金合同、招募说明书和基金产品资料概要等基金法律文件，全面认识基金产品的风险收益特征，在了解产品情况及销售机构适当性意见的基础上，根据自身的风险承受能力、投资期限和投资目标，对基金投资作出独立决策，选择合适的基金产品。</w:t>
      </w:r>
    </w:p>
    <w:p w14:paraId="43C59572">
      <w:pPr>
        <w:adjustRightInd w:val="0"/>
        <w:spacing w:line="360" w:lineRule="auto"/>
        <w:rPr>
          <w:rFonts w:ascii="宋体" w:hAnsi="宋体" w:eastAsia="宋体" w:cs="宋体"/>
          <w:color w:val="000000"/>
          <w:sz w:val="24"/>
          <w:szCs w:val="24"/>
        </w:rPr>
      </w:pPr>
    </w:p>
    <w:p w14:paraId="019E241B">
      <w:pPr>
        <w:adjustRightInd w:val="0"/>
        <w:snapToGrid w:val="0"/>
        <w:spacing w:line="360" w:lineRule="auto"/>
        <w:rPr>
          <w:rFonts w:ascii="宋体" w:hAnsi="宋体" w:eastAsia="宋体" w:cs="宋体"/>
          <w:color w:val="000000"/>
          <w:sz w:val="24"/>
          <w:szCs w:val="24"/>
        </w:rPr>
      </w:pPr>
    </w:p>
    <w:p w14:paraId="15E3B247">
      <w:pPr>
        <w:adjustRightInd w:val="0"/>
        <w:snapToGrid w:val="0"/>
        <w:spacing w:line="360" w:lineRule="auto"/>
        <w:ind w:firstLine="480"/>
        <w:rPr>
          <w:rFonts w:ascii="宋体" w:hAnsi="宋体" w:eastAsia="宋体" w:cs="宋体"/>
          <w:color w:val="000000"/>
          <w:sz w:val="24"/>
          <w:szCs w:val="24"/>
        </w:rPr>
      </w:pPr>
      <w:r>
        <w:rPr>
          <w:rFonts w:hint="eastAsia" w:ascii="宋体" w:hAnsi="宋体" w:eastAsia="宋体" w:cs="宋体"/>
          <w:color w:val="000000"/>
          <w:sz w:val="24"/>
          <w:szCs w:val="24"/>
        </w:rPr>
        <w:t>特此公告。</w:t>
      </w:r>
    </w:p>
    <w:p w14:paraId="4C174B13">
      <w:pPr>
        <w:adjustRightInd w:val="0"/>
        <w:snapToGrid w:val="0"/>
        <w:spacing w:line="360" w:lineRule="auto"/>
        <w:rPr>
          <w:rFonts w:ascii="宋体" w:hAnsi="宋体" w:eastAsia="宋体" w:cs="宋体"/>
          <w:color w:val="000000"/>
          <w:sz w:val="24"/>
          <w:szCs w:val="24"/>
        </w:rPr>
      </w:pPr>
      <w:bookmarkStart w:id="0" w:name="_GoBack"/>
      <w:bookmarkEnd w:id="0"/>
    </w:p>
    <w:p w14:paraId="3B10FAB4">
      <w:pPr>
        <w:adjustRightInd w:val="0"/>
        <w:snapToGrid w:val="0"/>
        <w:spacing w:line="360" w:lineRule="auto"/>
        <w:ind w:firstLine="480"/>
        <w:rPr>
          <w:rFonts w:ascii="宋体" w:hAnsi="宋体" w:eastAsia="宋体" w:cs="宋体"/>
          <w:color w:val="000000"/>
          <w:sz w:val="24"/>
          <w:szCs w:val="24"/>
        </w:rPr>
      </w:pPr>
    </w:p>
    <w:p w14:paraId="3F8E50F6">
      <w:pPr>
        <w:spacing w:line="360" w:lineRule="auto"/>
        <w:ind w:firstLine="480" w:firstLineChars="200"/>
        <w:jc w:val="right"/>
        <w:rPr>
          <w:rFonts w:ascii="宋体" w:hAnsi="宋体" w:eastAsia="宋体" w:cs="宋体"/>
          <w:color w:val="000000"/>
          <w:kern w:val="0"/>
          <w:sz w:val="24"/>
          <w:szCs w:val="24"/>
        </w:rPr>
      </w:pPr>
      <w:r>
        <w:rPr>
          <w:rFonts w:hint="eastAsia" w:ascii="宋体" w:hAnsi="宋体" w:eastAsia="宋体" w:cs="宋体"/>
          <w:color w:val="000000"/>
          <w:kern w:val="0"/>
          <w:sz w:val="24"/>
          <w:szCs w:val="24"/>
        </w:rPr>
        <w:t>博时基金管理有限公司</w:t>
      </w:r>
    </w:p>
    <w:p w14:paraId="388162F1">
      <w:pPr>
        <w:wordWrap w:val="0"/>
        <w:spacing w:line="360" w:lineRule="auto"/>
        <w:ind w:firstLine="480" w:firstLineChars="200"/>
        <w:jc w:val="right"/>
        <w:rPr>
          <w:rFonts w:hint="eastAsia" w:ascii="宋体" w:hAnsi="宋体" w:eastAsia="宋体" w:cs="宋体"/>
          <w:color w:val="000000"/>
          <w:kern w:val="0"/>
          <w:sz w:val="24"/>
          <w:szCs w:val="24"/>
          <w:lang w:eastAsia="zh-CN"/>
        </w:rPr>
      </w:pP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lang w:eastAsia="zh-CN"/>
        </w:rPr>
        <w:t>2026年6月</w:t>
      </w:r>
      <w:r>
        <w:rPr>
          <w:rFonts w:hint="eastAsia" w:ascii="宋体" w:hAnsi="宋体" w:eastAsia="宋体" w:cs="宋体"/>
          <w:color w:val="000000"/>
          <w:kern w:val="0"/>
          <w:sz w:val="24"/>
          <w:szCs w:val="24"/>
          <w:lang w:val="en-US" w:eastAsia="zh-CN"/>
        </w:rPr>
        <w:t>13</w:t>
      </w:r>
      <w:r>
        <w:rPr>
          <w:rFonts w:hint="eastAsia" w:ascii="宋体" w:hAnsi="宋体" w:eastAsia="宋体" w:cs="宋体"/>
          <w:color w:val="000000"/>
          <w:kern w:val="0"/>
          <w:sz w:val="24"/>
          <w:szCs w:val="24"/>
          <w:lang w:eastAsia="zh-CN"/>
        </w:rPr>
        <w:t>日</w:t>
      </w:r>
    </w:p>
    <w:p w14:paraId="0EFB799C">
      <w:pPr>
        <w:wordWrap/>
        <w:spacing w:line="240" w:lineRule="auto"/>
        <w:ind w:firstLine="0" w:firstLineChars="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br w:type="page"/>
      </w:r>
    </w:p>
    <w:p w14:paraId="432E3C3E">
      <w:p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附件一：《</w:t>
      </w:r>
      <w:r>
        <w:rPr>
          <w:rFonts w:hint="eastAsia" w:ascii="宋体" w:hAnsi="宋体" w:eastAsia="宋体" w:cs="宋体"/>
          <w:b/>
          <w:bCs/>
          <w:sz w:val="24"/>
          <w:szCs w:val="24"/>
        </w:rPr>
        <w:t>基金合同</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条款修订对照表</w:t>
      </w:r>
    </w:p>
    <w:tbl>
      <w:tblPr>
        <w:tblStyle w:val="11"/>
        <w:tblW w:w="10696" w:type="dxa"/>
        <w:jc w:val="center"/>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4989"/>
        <w:gridCol w:w="4989"/>
      </w:tblGrid>
      <w:tr w14:paraId="69FC849E">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718" w:type="dxa"/>
            <w:shd w:val="clear" w:color="auto" w:fill="auto"/>
            <w:vAlign w:val="center"/>
          </w:tcPr>
          <w:p w14:paraId="08673EFF">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章节</w:t>
            </w:r>
          </w:p>
        </w:tc>
        <w:tc>
          <w:tcPr>
            <w:tcW w:w="4989" w:type="dxa"/>
            <w:shd w:val="clear" w:color="auto" w:fill="auto"/>
            <w:vAlign w:val="center"/>
          </w:tcPr>
          <w:p w14:paraId="10A4BEE5">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原基金合同内容</w:t>
            </w:r>
          </w:p>
        </w:tc>
        <w:tc>
          <w:tcPr>
            <w:tcW w:w="4989" w:type="dxa"/>
            <w:shd w:val="clear" w:color="auto" w:fill="auto"/>
            <w:vAlign w:val="center"/>
          </w:tcPr>
          <w:p w14:paraId="1DFAC421">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修订后基金合同内容</w:t>
            </w:r>
          </w:p>
        </w:tc>
      </w:tr>
      <w:tr w14:paraId="6D3DD982">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2606" w:hRule="atLeast"/>
          <w:jc w:val="center"/>
        </w:trPr>
        <w:tc>
          <w:tcPr>
            <w:tcW w:w="718" w:type="dxa"/>
          </w:tcPr>
          <w:p w14:paraId="2D4BFC17">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第十五部分  基金费用与税收</w:t>
            </w:r>
          </w:p>
        </w:tc>
        <w:tc>
          <w:tcPr>
            <w:tcW w:w="4989" w:type="dxa"/>
            <w:vAlign w:val="center"/>
          </w:tcPr>
          <w:p w14:paraId="71300CD6">
            <w:pPr>
              <w:spacing w:line="240" w:lineRule="auto"/>
              <w:ind w:firstLine="0" w:firstLineChars="0"/>
              <w:rPr>
                <w:rFonts w:hint="eastAsia"/>
                <w:bCs w:val="0"/>
                <w:color w:val="000000"/>
                <w:sz w:val="22"/>
                <w:szCs w:val="22"/>
              </w:rPr>
            </w:pPr>
            <w:r>
              <w:rPr>
                <w:rFonts w:hint="eastAsia"/>
                <w:bCs w:val="0"/>
                <w:color w:val="000000"/>
                <w:sz w:val="22"/>
                <w:szCs w:val="22"/>
              </w:rPr>
              <w:t>2、基金托管人的托管费</w:t>
            </w:r>
          </w:p>
          <w:p w14:paraId="5B0AFE96">
            <w:pPr>
              <w:spacing w:line="240" w:lineRule="auto"/>
              <w:ind w:firstLine="0" w:firstLineChars="0"/>
              <w:rPr>
                <w:rFonts w:hint="eastAsia"/>
                <w:bCs w:val="0"/>
                <w:color w:val="000000"/>
                <w:sz w:val="22"/>
                <w:szCs w:val="22"/>
              </w:rPr>
            </w:pPr>
            <w:r>
              <w:rPr>
                <w:rFonts w:hint="eastAsia"/>
                <w:bCs w:val="0"/>
                <w:color w:val="000000"/>
                <w:sz w:val="22"/>
                <w:szCs w:val="22"/>
              </w:rPr>
              <w:t>本基金的托管费按前一日基金资产净值的</w:t>
            </w:r>
            <w:r>
              <w:rPr>
                <w:rFonts w:hint="eastAsia"/>
                <w:b/>
                <w:bCs/>
                <w:strike/>
                <w:color w:val="000000"/>
                <w:sz w:val="22"/>
                <w:szCs w:val="22"/>
              </w:rPr>
              <w:t>0.</w:t>
            </w:r>
            <w:r>
              <w:rPr>
                <w:rFonts w:hint="eastAsia"/>
                <w:b/>
                <w:bCs/>
                <w:strike/>
                <w:color w:val="000000"/>
                <w:sz w:val="22"/>
                <w:szCs w:val="22"/>
                <w:lang w:val="en-US" w:eastAsia="zh-CN"/>
              </w:rPr>
              <w:t>10</w:t>
            </w:r>
            <w:r>
              <w:rPr>
                <w:rFonts w:hint="eastAsia"/>
                <w:b/>
                <w:bCs/>
                <w:strike/>
                <w:color w:val="000000"/>
                <w:sz w:val="22"/>
                <w:szCs w:val="22"/>
              </w:rPr>
              <w:t>%</w:t>
            </w:r>
            <w:r>
              <w:rPr>
                <w:rFonts w:hint="eastAsia"/>
                <w:bCs w:val="0"/>
                <w:color w:val="000000"/>
                <w:sz w:val="22"/>
                <w:szCs w:val="22"/>
              </w:rPr>
              <w:t xml:space="preserve"> 的年费率计提。托管费的计算方法如下：</w:t>
            </w:r>
          </w:p>
          <w:p w14:paraId="6D2B1D25">
            <w:pPr>
              <w:spacing w:line="240" w:lineRule="auto"/>
              <w:ind w:firstLine="0" w:firstLineChars="0"/>
              <w:rPr>
                <w:rFonts w:hint="eastAsia"/>
                <w:bCs w:val="0"/>
                <w:color w:val="000000"/>
                <w:sz w:val="22"/>
                <w:szCs w:val="22"/>
              </w:rPr>
            </w:pPr>
            <w:r>
              <w:rPr>
                <w:rFonts w:hint="eastAsia"/>
                <w:bCs w:val="0"/>
                <w:color w:val="000000"/>
                <w:sz w:val="22"/>
                <w:szCs w:val="22"/>
              </w:rPr>
              <w:t>H＝E×</w:t>
            </w:r>
            <w:r>
              <w:rPr>
                <w:rFonts w:hint="eastAsia"/>
                <w:b/>
                <w:bCs/>
                <w:strike/>
                <w:color w:val="000000"/>
                <w:sz w:val="22"/>
                <w:szCs w:val="22"/>
              </w:rPr>
              <w:t xml:space="preserve"> 0.</w:t>
            </w:r>
            <w:r>
              <w:rPr>
                <w:rFonts w:hint="eastAsia"/>
                <w:b/>
                <w:bCs/>
                <w:strike/>
                <w:color w:val="000000"/>
                <w:sz w:val="22"/>
                <w:szCs w:val="22"/>
                <w:lang w:val="en-US" w:eastAsia="zh-CN"/>
              </w:rPr>
              <w:t>10</w:t>
            </w:r>
            <w:r>
              <w:rPr>
                <w:rFonts w:hint="eastAsia"/>
                <w:b/>
                <w:bCs/>
                <w:strike/>
                <w:color w:val="000000"/>
                <w:sz w:val="22"/>
                <w:szCs w:val="22"/>
              </w:rPr>
              <w:t>%</w:t>
            </w:r>
            <w:r>
              <w:rPr>
                <w:rFonts w:hint="eastAsia"/>
                <w:bCs w:val="0"/>
                <w:color w:val="000000"/>
                <w:sz w:val="22"/>
                <w:szCs w:val="22"/>
              </w:rPr>
              <w:t>÷当年天数</w:t>
            </w:r>
          </w:p>
          <w:p w14:paraId="711EBEBF">
            <w:pPr>
              <w:spacing w:line="240" w:lineRule="auto"/>
              <w:ind w:firstLine="0" w:firstLineChars="0"/>
              <w:rPr>
                <w:rFonts w:hint="eastAsia"/>
                <w:bCs w:val="0"/>
                <w:color w:val="000000"/>
                <w:sz w:val="22"/>
                <w:szCs w:val="22"/>
              </w:rPr>
            </w:pPr>
            <w:r>
              <w:rPr>
                <w:rFonts w:hint="eastAsia"/>
                <w:bCs w:val="0"/>
                <w:color w:val="000000"/>
                <w:sz w:val="22"/>
                <w:szCs w:val="22"/>
              </w:rPr>
              <w:t>H为每日应计提的基金托管费</w:t>
            </w:r>
          </w:p>
          <w:p w14:paraId="1C2165A5">
            <w:pPr>
              <w:spacing w:line="240" w:lineRule="auto"/>
              <w:ind w:firstLine="0" w:firstLineChars="0"/>
              <w:rPr>
                <w:rFonts w:hint="eastAsia"/>
                <w:bCs w:val="0"/>
                <w:color w:val="000000"/>
                <w:sz w:val="22"/>
                <w:szCs w:val="22"/>
              </w:rPr>
            </w:pPr>
            <w:r>
              <w:rPr>
                <w:rFonts w:hint="eastAsia"/>
                <w:bCs w:val="0"/>
                <w:color w:val="000000"/>
                <w:sz w:val="22"/>
                <w:szCs w:val="22"/>
              </w:rPr>
              <w:t>E为前一日的基金资产净值</w:t>
            </w:r>
          </w:p>
          <w:p w14:paraId="1C039173">
            <w:pPr>
              <w:spacing w:line="240" w:lineRule="auto"/>
              <w:ind w:firstLine="0" w:firstLineChars="0"/>
              <w:rPr>
                <w:rFonts w:hint="eastAsia"/>
                <w:bCs w:val="0"/>
                <w:color w:val="000000"/>
                <w:sz w:val="22"/>
                <w:szCs w:val="22"/>
              </w:rPr>
            </w:pPr>
            <w:r>
              <w:rPr>
                <w:rFonts w:hint="eastAsia"/>
                <w:bCs w:val="0"/>
                <w:color w:val="000000"/>
                <w:sz w:val="22"/>
                <w:szCs w:val="22"/>
              </w:rPr>
              <w:t>基金托管费每日计算，逐日累计至每月月末，按月支付，由基金管理人与基金托管人核对一致后，基金托管人根据与管理人协商一致的方式于次月首日起第三个工作日内从基金财产中一次性支取。若遇法定节假日、休息日或不可抗力等致使无法按时支付的，支付日期顺延。</w:t>
            </w:r>
          </w:p>
          <w:p w14:paraId="630C5DDD">
            <w:pPr>
              <w:rPr>
                <w:rFonts w:hint="eastAsia" w:ascii="宋体" w:hAnsi="宋体" w:eastAsia="宋体" w:cs="宋体"/>
                <w:sz w:val="24"/>
                <w:szCs w:val="24"/>
              </w:rPr>
            </w:pPr>
          </w:p>
        </w:tc>
        <w:tc>
          <w:tcPr>
            <w:tcW w:w="4989" w:type="dxa"/>
            <w:vAlign w:val="center"/>
          </w:tcPr>
          <w:p w14:paraId="7D7775AA">
            <w:pPr>
              <w:spacing w:line="240" w:lineRule="auto"/>
              <w:ind w:firstLine="0" w:firstLineChars="0"/>
              <w:rPr>
                <w:rFonts w:hint="eastAsia"/>
                <w:bCs w:val="0"/>
                <w:color w:val="000000"/>
                <w:sz w:val="22"/>
                <w:szCs w:val="22"/>
              </w:rPr>
            </w:pPr>
            <w:r>
              <w:rPr>
                <w:rFonts w:hint="eastAsia"/>
                <w:bCs w:val="0"/>
                <w:color w:val="000000"/>
                <w:sz w:val="22"/>
                <w:szCs w:val="22"/>
              </w:rPr>
              <w:t>2、基金托管人的托管费</w:t>
            </w:r>
          </w:p>
          <w:p w14:paraId="5E6A70F1">
            <w:pPr>
              <w:spacing w:line="240" w:lineRule="auto"/>
              <w:ind w:firstLine="0" w:firstLineChars="0"/>
              <w:rPr>
                <w:rFonts w:hint="eastAsia"/>
                <w:bCs w:val="0"/>
                <w:color w:val="000000"/>
                <w:sz w:val="22"/>
                <w:szCs w:val="22"/>
              </w:rPr>
            </w:pPr>
            <w:r>
              <w:rPr>
                <w:rFonts w:hint="eastAsia"/>
                <w:bCs w:val="0"/>
                <w:color w:val="000000"/>
                <w:sz w:val="22"/>
                <w:szCs w:val="22"/>
              </w:rPr>
              <w:t>本基金的托管费按前一日基金资产净值的</w:t>
            </w:r>
            <w:r>
              <w:rPr>
                <w:rFonts w:hint="eastAsia"/>
                <w:b/>
                <w:bCs/>
                <w:color w:val="000000"/>
                <w:sz w:val="22"/>
                <w:szCs w:val="22"/>
                <w:u w:val="single"/>
              </w:rPr>
              <w:t>0.</w:t>
            </w:r>
            <w:r>
              <w:rPr>
                <w:rFonts w:hint="eastAsia"/>
                <w:b/>
                <w:bCs/>
                <w:color w:val="000000"/>
                <w:sz w:val="22"/>
                <w:szCs w:val="22"/>
                <w:u w:val="single"/>
                <w:lang w:val="en-US" w:eastAsia="zh-CN"/>
              </w:rPr>
              <w:t>08</w:t>
            </w:r>
            <w:r>
              <w:rPr>
                <w:rFonts w:hint="eastAsia"/>
                <w:bCs w:val="0"/>
                <w:color w:val="000000"/>
                <w:sz w:val="22"/>
                <w:szCs w:val="22"/>
              </w:rPr>
              <w:t>% 的年费率计提。托管费的计算方法如下：</w:t>
            </w:r>
          </w:p>
          <w:p w14:paraId="12F3E13E">
            <w:pPr>
              <w:spacing w:line="240" w:lineRule="auto"/>
              <w:ind w:firstLine="0" w:firstLineChars="0"/>
              <w:rPr>
                <w:rFonts w:hint="eastAsia"/>
                <w:bCs w:val="0"/>
                <w:color w:val="000000"/>
                <w:sz w:val="22"/>
                <w:szCs w:val="22"/>
              </w:rPr>
            </w:pPr>
            <w:r>
              <w:rPr>
                <w:rFonts w:hint="eastAsia"/>
                <w:bCs w:val="0"/>
                <w:color w:val="000000"/>
                <w:sz w:val="22"/>
                <w:szCs w:val="22"/>
              </w:rPr>
              <w:t>H＝E×</w:t>
            </w:r>
            <w:r>
              <w:rPr>
                <w:rFonts w:hint="eastAsia"/>
                <w:b/>
                <w:bCs/>
                <w:color w:val="000000"/>
                <w:sz w:val="22"/>
                <w:szCs w:val="22"/>
                <w:u w:val="single"/>
              </w:rPr>
              <w:t xml:space="preserve"> 0.</w:t>
            </w:r>
            <w:r>
              <w:rPr>
                <w:rFonts w:hint="eastAsia"/>
                <w:b/>
                <w:bCs/>
                <w:color w:val="000000"/>
                <w:sz w:val="22"/>
                <w:szCs w:val="22"/>
                <w:u w:val="single"/>
                <w:lang w:val="en-US" w:eastAsia="zh-CN"/>
              </w:rPr>
              <w:t>08</w:t>
            </w:r>
            <w:r>
              <w:rPr>
                <w:rFonts w:hint="eastAsia"/>
                <w:b/>
                <w:bCs/>
                <w:color w:val="000000"/>
                <w:sz w:val="22"/>
                <w:szCs w:val="22"/>
                <w:u w:val="single"/>
              </w:rPr>
              <w:t>%</w:t>
            </w:r>
            <w:r>
              <w:rPr>
                <w:rFonts w:hint="eastAsia"/>
                <w:bCs w:val="0"/>
                <w:color w:val="000000"/>
                <w:sz w:val="22"/>
                <w:szCs w:val="22"/>
              </w:rPr>
              <w:t>÷当年天数</w:t>
            </w:r>
          </w:p>
          <w:p w14:paraId="75EA94F6">
            <w:pPr>
              <w:spacing w:line="240" w:lineRule="auto"/>
              <w:ind w:firstLine="0" w:firstLineChars="0"/>
              <w:rPr>
                <w:rFonts w:hint="eastAsia"/>
                <w:bCs w:val="0"/>
                <w:color w:val="000000"/>
                <w:sz w:val="22"/>
                <w:szCs w:val="22"/>
              </w:rPr>
            </w:pPr>
            <w:r>
              <w:rPr>
                <w:rFonts w:hint="eastAsia"/>
                <w:bCs w:val="0"/>
                <w:color w:val="000000"/>
                <w:sz w:val="22"/>
                <w:szCs w:val="22"/>
              </w:rPr>
              <w:t>H为每日应计提的基金托管费</w:t>
            </w:r>
          </w:p>
          <w:p w14:paraId="37CE458C">
            <w:pPr>
              <w:spacing w:line="240" w:lineRule="auto"/>
              <w:ind w:firstLine="0" w:firstLineChars="0"/>
              <w:rPr>
                <w:rFonts w:hint="eastAsia"/>
                <w:bCs w:val="0"/>
                <w:color w:val="000000"/>
                <w:sz w:val="22"/>
                <w:szCs w:val="22"/>
              </w:rPr>
            </w:pPr>
            <w:r>
              <w:rPr>
                <w:rFonts w:hint="eastAsia"/>
                <w:bCs w:val="0"/>
                <w:color w:val="000000"/>
                <w:sz w:val="22"/>
                <w:szCs w:val="22"/>
              </w:rPr>
              <w:t>E为前一日的基金资产净值</w:t>
            </w:r>
          </w:p>
          <w:p w14:paraId="42F2E3CD">
            <w:pPr>
              <w:spacing w:line="240" w:lineRule="auto"/>
              <w:ind w:firstLine="0" w:firstLineChars="0"/>
              <w:rPr>
                <w:rFonts w:hint="eastAsia"/>
                <w:bCs w:val="0"/>
                <w:color w:val="000000"/>
                <w:sz w:val="22"/>
                <w:szCs w:val="22"/>
              </w:rPr>
            </w:pPr>
            <w:r>
              <w:rPr>
                <w:rFonts w:hint="eastAsia"/>
                <w:bCs w:val="0"/>
                <w:color w:val="000000"/>
                <w:sz w:val="22"/>
                <w:szCs w:val="22"/>
              </w:rPr>
              <w:t>基金托管费每日计算，逐日累计至每月月末，按月支付，由基金管理人与基金托管人核对一致后，基金托管人根据与管理人协商一致的方式于次月首日起第三个工作日内从基金财产中一次性支取。若遇法定节假日、休息日或不可抗力等致使无法按时支付的，支付日期顺延。</w:t>
            </w:r>
          </w:p>
          <w:p w14:paraId="75306DA8">
            <w:pPr>
              <w:widowControl/>
              <w:jc w:val="left"/>
              <w:rPr>
                <w:rFonts w:hint="eastAsia" w:ascii="宋体" w:hAnsi="宋体" w:eastAsia="宋体" w:cs="宋体"/>
                <w:sz w:val="24"/>
                <w:szCs w:val="24"/>
              </w:rPr>
            </w:pPr>
          </w:p>
        </w:tc>
      </w:tr>
      <w:tr w14:paraId="3E7BC60C">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718" w:type="dxa"/>
          </w:tcPr>
          <w:p w14:paraId="75046B0A">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第二十四部分 基金合同摘要</w:t>
            </w:r>
          </w:p>
        </w:tc>
        <w:tc>
          <w:tcPr>
            <w:tcW w:w="4989" w:type="dxa"/>
          </w:tcPr>
          <w:p w14:paraId="2D7495D0">
            <w:pPr>
              <w:spacing w:line="240" w:lineRule="auto"/>
              <w:rPr>
                <w:rFonts w:hint="eastAsia" w:ascii="宋体" w:hAnsi="宋体" w:eastAsia="宋体" w:cs="宋体"/>
                <w:sz w:val="24"/>
                <w:szCs w:val="24"/>
              </w:rPr>
            </w:pPr>
          </w:p>
        </w:tc>
        <w:tc>
          <w:tcPr>
            <w:tcW w:w="4989" w:type="dxa"/>
          </w:tcPr>
          <w:p w14:paraId="18E9E1A5">
            <w:pPr>
              <w:spacing w:line="240" w:lineRule="auto"/>
              <w:rPr>
                <w:rFonts w:hint="eastAsia" w:ascii="宋体" w:hAnsi="宋体" w:eastAsia="宋体" w:cs="宋体"/>
                <w:sz w:val="24"/>
                <w:szCs w:val="24"/>
              </w:rPr>
            </w:pPr>
            <w:r>
              <w:rPr>
                <w:rFonts w:hint="eastAsia" w:ascii="宋体" w:hAnsi="宋体" w:eastAsia="宋体" w:cs="宋体"/>
                <w:sz w:val="24"/>
                <w:szCs w:val="24"/>
              </w:rPr>
              <w:t>基金合同摘要修改同基金合同正文部分内容</w:t>
            </w:r>
          </w:p>
        </w:tc>
      </w:tr>
    </w:tbl>
    <w:p w14:paraId="37C0628E">
      <w:pPr>
        <w:spacing w:line="360" w:lineRule="auto"/>
        <w:rPr>
          <w:rFonts w:hint="eastAsia" w:ascii="宋体" w:hAnsi="宋体" w:eastAsia="宋体" w:cs="宋体"/>
          <w:b/>
          <w:bCs/>
          <w:sz w:val="24"/>
          <w:szCs w:val="24"/>
          <w:lang w:val="en-US" w:eastAsia="zh-CN"/>
        </w:rPr>
      </w:pPr>
    </w:p>
    <w:p w14:paraId="5FC0DB14">
      <w:pPr>
        <w:spacing w:line="360" w:lineRule="auto"/>
        <w:rPr>
          <w:rFonts w:hint="eastAsia" w:ascii="宋体" w:hAnsi="宋体" w:eastAsia="宋体" w:cs="宋体"/>
          <w:b/>
          <w:bCs/>
          <w:sz w:val="24"/>
          <w:szCs w:val="24"/>
          <w:lang w:val="en-US" w:eastAsia="zh-CN"/>
        </w:rPr>
      </w:pPr>
    </w:p>
    <w:p w14:paraId="4FD4035E">
      <w:pPr>
        <w:spacing w:line="360" w:lineRule="auto"/>
        <w:rPr>
          <w:rFonts w:hint="eastAsia" w:ascii="宋体" w:hAnsi="宋体" w:eastAsia="宋体" w:cs="宋体"/>
          <w:b/>
          <w:bCs/>
          <w:sz w:val="24"/>
          <w:szCs w:val="24"/>
          <w:lang w:val="en-US" w:eastAsia="zh-CN"/>
        </w:rPr>
      </w:pPr>
    </w:p>
    <w:p w14:paraId="64491746">
      <w:pPr>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附件二：《托管协议</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条款修订对照表</w:t>
      </w:r>
    </w:p>
    <w:tbl>
      <w:tblPr>
        <w:tblStyle w:val="11"/>
        <w:tblW w:w="10800" w:type="dxa"/>
        <w:jc w:val="center"/>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4989"/>
        <w:gridCol w:w="4989"/>
      </w:tblGrid>
      <w:tr w14:paraId="4740C22B">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PrEx>
        <w:trPr>
          <w:trHeight w:val="495" w:hRule="atLeast"/>
          <w:jc w:val="center"/>
        </w:trPr>
        <w:tc>
          <w:tcPr>
            <w:tcW w:w="822" w:type="dxa"/>
            <w:shd w:val="clear" w:color="auto" w:fill="auto"/>
            <w:vAlign w:val="center"/>
          </w:tcPr>
          <w:p w14:paraId="1BD6003A">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章节</w:t>
            </w:r>
          </w:p>
        </w:tc>
        <w:tc>
          <w:tcPr>
            <w:tcW w:w="4989" w:type="dxa"/>
            <w:shd w:val="clear" w:color="auto" w:fill="auto"/>
            <w:vAlign w:val="center"/>
          </w:tcPr>
          <w:p w14:paraId="29CB7CAD">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原托管协议内容</w:t>
            </w:r>
          </w:p>
        </w:tc>
        <w:tc>
          <w:tcPr>
            <w:tcW w:w="4989" w:type="dxa"/>
            <w:shd w:val="clear" w:color="auto" w:fill="auto"/>
            <w:vAlign w:val="center"/>
          </w:tcPr>
          <w:p w14:paraId="462656AE">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修订后托管协议内容</w:t>
            </w:r>
          </w:p>
        </w:tc>
      </w:tr>
      <w:tr w14:paraId="17ED124A">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PrEx>
        <w:trPr>
          <w:jc w:val="center"/>
        </w:trPr>
        <w:tc>
          <w:tcPr>
            <w:tcW w:w="822" w:type="dxa"/>
          </w:tcPr>
          <w:p w14:paraId="6B1505FC">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十一、基金费用</w:t>
            </w:r>
          </w:p>
        </w:tc>
        <w:tc>
          <w:tcPr>
            <w:tcW w:w="4989" w:type="dxa"/>
          </w:tcPr>
          <w:p w14:paraId="7324F4C0">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（二）基金托管费的计提比例和计提方法</w:t>
            </w:r>
          </w:p>
          <w:p w14:paraId="233FA836">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本基金的托管费按前一日基金资产净值的</w:t>
            </w:r>
            <w:r>
              <w:rPr>
                <w:rFonts w:hint="eastAsia" w:ascii="彩虹粗仿宋" w:hAnsi="宋体" w:eastAsia="彩虹粗仿宋" w:cs="Arial"/>
                <w:b/>
                <w:bCs/>
                <w:strike/>
                <w:sz w:val="24"/>
              </w:rPr>
              <w:t>0.</w:t>
            </w:r>
            <w:r>
              <w:rPr>
                <w:rFonts w:hint="eastAsia" w:ascii="彩虹粗仿宋" w:hAnsi="宋体" w:eastAsia="彩虹粗仿宋" w:cs="Arial"/>
                <w:b/>
                <w:bCs/>
                <w:strike/>
                <w:sz w:val="24"/>
                <w:lang w:val="en-US" w:eastAsia="zh-CN"/>
              </w:rPr>
              <w:t>10</w:t>
            </w:r>
            <w:r>
              <w:rPr>
                <w:rFonts w:hint="eastAsia" w:ascii="彩虹粗仿宋" w:hAnsi="宋体" w:eastAsia="彩虹粗仿宋" w:cs="Arial"/>
                <w:b/>
                <w:bCs/>
                <w:strike/>
                <w:sz w:val="24"/>
              </w:rPr>
              <w:t>%</w:t>
            </w:r>
            <w:r>
              <w:rPr>
                <w:rFonts w:hint="eastAsia" w:ascii="彩虹粗仿宋" w:hAnsi="宋体" w:eastAsia="彩虹粗仿宋" w:cs="Arial"/>
                <w:b w:val="0"/>
                <w:bCs w:val="0"/>
                <w:strike w:val="0"/>
                <w:sz w:val="24"/>
                <w:lang w:val="en-US" w:eastAsia="zh-CN"/>
              </w:rPr>
              <w:t>年</w:t>
            </w:r>
            <w:r>
              <w:rPr>
                <w:rFonts w:hint="eastAsia" w:ascii="彩虹粗仿宋" w:hAnsi="宋体" w:eastAsia="彩虹粗仿宋" w:cs="Arial"/>
                <w:sz w:val="24"/>
              </w:rPr>
              <w:t>费率计提。托管费的计算方法如下：</w:t>
            </w:r>
          </w:p>
          <w:p w14:paraId="2EF3B1DF">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H＝E×年托管费率÷当年天数</w:t>
            </w:r>
          </w:p>
          <w:p w14:paraId="7AC20A37">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H为每日应计提的基金托管费</w:t>
            </w:r>
          </w:p>
          <w:p w14:paraId="1D1DB962">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E为前一日的基金资产净值</w:t>
            </w:r>
          </w:p>
          <w:p w14:paraId="33DA0E13">
            <w:pPr>
              <w:spacing w:line="240" w:lineRule="auto"/>
              <w:rPr>
                <w:rFonts w:hint="eastAsia" w:ascii="宋体" w:hAnsi="宋体" w:eastAsia="宋体" w:cs="宋体"/>
                <w:sz w:val="24"/>
                <w:szCs w:val="24"/>
              </w:rPr>
            </w:pPr>
          </w:p>
        </w:tc>
        <w:tc>
          <w:tcPr>
            <w:tcW w:w="4989" w:type="dxa"/>
          </w:tcPr>
          <w:p w14:paraId="2A85FFC0">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（二）基金托管费的计提比例和计提方法</w:t>
            </w:r>
          </w:p>
          <w:p w14:paraId="0BEAF500">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本基金的托管费按前一日基金资产净值的</w:t>
            </w:r>
            <w:r>
              <w:rPr>
                <w:rFonts w:hint="eastAsia" w:ascii="彩虹粗仿宋" w:hAnsi="宋体" w:eastAsia="彩虹粗仿宋" w:cs="Arial"/>
                <w:b/>
                <w:bCs/>
                <w:sz w:val="24"/>
                <w:u w:val="single"/>
              </w:rPr>
              <w:t>0.</w:t>
            </w:r>
            <w:r>
              <w:rPr>
                <w:rFonts w:hint="eastAsia" w:ascii="彩虹粗仿宋" w:hAnsi="宋体" w:eastAsia="彩虹粗仿宋" w:cs="Arial"/>
                <w:b/>
                <w:bCs/>
                <w:sz w:val="24"/>
                <w:u w:val="single"/>
                <w:lang w:val="en-US" w:eastAsia="zh-CN"/>
              </w:rPr>
              <w:t>08</w:t>
            </w:r>
            <w:r>
              <w:rPr>
                <w:rFonts w:hint="eastAsia" w:ascii="彩虹粗仿宋" w:hAnsi="宋体" w:eastAsia="彩虹粗仿宋" w:cs="Arial"/>
                <w:b/>
                <w:bCs/>
                <w:sz w:val="24"/>
                <w:u w:val="single"/>
              </w:rPr>
              <w:t>%</w:t>
            </w:r>
            <w:r>
              <w:rPr>
                <w:rFonts w:hint="eastAsia" w:ascii="彩虹粗仿宋" w:hAnsi="宋体" w:eastAsia="彩虹粗仿宋" w:cs="Arial"/>
                <w:sz w:val="24"/>
              </w:rPr>
              <w:t>年费率计提。托管费的计算方法如下：</w:t>
            </w:r>
          </w:p>
          <w:p w14:paraId="69B2B82B">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H＝E×年托管费率÷当年天数</w:t>
            </w:r>
          </w:p>
          <w:p w14:paraId="4A11D5F6">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H为每日应计提的基金托管费</w:t>
            </w:r>
          </w:p>
          <w:p w14:paraId="141D7B77">
            <w:pPr>
              <w:adjustRightInd w:val="0"/>
              <w:snapToGrid w:val="0"/>
              <w:spacing w:line="360" w:lineRule="auto"/>
              <w:ind w:firstLine="480" w:firstLineChars="200"/>
              <w:rPr>
                <w:rFonts w:ascii="彩虹粗仿宋" w:hAnsi="宋体" w:eastAsia="彩虹粗仿宋" w:cs="Arial"/>
                <w:sz w:val="24"/>
              </w:rPr>
            </w:pPr>
            <w:r>
              <w:rPr>
                <w:rFonts w:hint="eastAsia" w:ascii="彩虹粗仿宋" w:hAnsi="宋体" w:eastAsia="彩虹粗仿宋" w:cs="Arial"/>
                <w:sz w:val="24"/>
              </w:rPr>
              <w:t>E为前一日的基金资产净值</w:t>
            </w:r>
          </w:p>
          <w:p w14:paraId="72B54DE2">
            <w:pPr>
              <w:spacing w:line="240" w:lineRule="auto"/>
              <w:rPr>
                <w:rFonts w:hint="eastAsia" w:ascii="宋体" w:hAnsi="宋体" w:eastAsia="宋体" w:cs="宋体"/>
                <w:sz w:val="24"/>
                <w:szCs w:val="24"/>
              </w:rPr>
            </w:pPr>
          </w:p>
        </w:tc>
      </w:tr>
    </w:tbl>
    <w:p w14:paraId="132A977C">
      <w:pPr>
        <w:wordWrap w:val="0"/>
        <w:spacing w:line="360" w:lineRule="auto"/>
        <w:ind w:firstLine="0" w:firstLineChars="0"/>
        <w:jc w:val="both"/>
        <w:rPr>
          <w:rFonts w:hint="eastAsia" w:ascii="宋体" w:hAnsi="宋体" w:eastAsia="宋体" w:cs="宋体"/>
          <w:color w:val="000000"/>
          <w:kern w:val="0"/>
          <w:sz w:val="24"/>
          <w:szCs w:val="24"/>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彩虹粗仿宋">
    <w:altName w:val="宋体"/>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78583471"/>
    </w:sdtPr>
    <w:sdtContent>
      <w:p w14:paraId="07B334D1">
        <w:pPr>
          <w:pStyle w:val="7"/>
          <w:jc w:val="center"/>
        </w:pPr>
        <w:r>
          <w:fldChar w:fldCharType="begin"/>
        </w:r>
        <w:r>
          <w:instrText xml:space="preserve">PAGE   \* MERGEFORMAT</w:instrText>
        </w:r>
        <w:r>
          <w:fldChar w:fldCharType="separate"/>
        </w:r>
        <w:r>
          <w:rPr>
            <w:lang w:val="zh-CN"/>
          </w:rPr>
          <w:t>2</w:t>
        </w:r>
        <w:r>
          <w:fldChar w:fldCharType="end"/>
        </w:r>
      </w:p>
    </w:sdtContent>
  </w:sdt>
  <w:p w14:paraId="4014AFC6">
    <w:pPr>
      <w:pStyle w:val="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5838612"/>
    <w:multiLevelType w:val="singleLevel"/>
    <w:tmpl w:val="55838612"/>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CB"/>
    <w:rsid w:val="00007424"/>
    <w:rsid w:val="0001245A"/>
    <w:rsid w:val="00024409"/>
    <w:rsid w:val="000317FF"/>
    <w:rsid w:val="0003328A"/>
    <w:rsid w:val="00050D18"/>
    <w:rsid w:val="000544FA"/>
    <w:rsid w:val="00062939"/>
    <w:rsid w:val="000633DB"/>
    <w:rsid w:val="0006615E"/>
    <w:rsid w:val="000710BF"/>
    <w:rsid w:val="00072B09"/>
    <w:rsid w:val="00076E52"/>
    <w:rsid w:val="00084DBD"/>
    <w:rsid w:val="00086A35"/>
    <w:rsid w:val="00093BCF"/>
    <w:rsid w:val="00094E78"/>
    <w:rsid w:val="000969D1"/>
    <w:rsid w:val="000A7A0A"/>
    <w:rsid w:val="000D1AA0"/>
    <w:rsid w:val="000E0E41"/>
    <w:rsid w:val="000E5093"/>
    <w:rsid w:val="000E6BC4"/>
    <w:rsid w:val="00121E58"/>
    <w:rsid w:val="00127DD0"/>
    <w:rsid w:val="001618BD"/>
    <w:rsid w:val="001667BD"/>
    <w:rsid w:val="00183E55"/>
    <w:rsid w:val="00192AE5"/>
    <w:rsid w:val="001A4927"/>
    <w:rsid w:val="001B0A27"/>
    <w:rsid w:val="001E174B"/>
    <w:rsid w:val="00232862"/>
    <w:rsid w:val="002342E5"/>
    <w:rsid w:val="002850D5"/>
    <w:rsid w:val="0029551F"/>
    <w:rsid w:val="002A593C"/>
    <w:rsid w:val="002A6541"/>
    <w:rsid w:val="002A70CD"/>
    <w:rsid w:val="002B15D4"/>
    <w:rsid w:val="002B4780"/>
    <w:rsid w:val="002C45D4"/>
    <w:rsid w:val="002D34C5"/>
    <w:rsid w:val="002F54EA"/>
    <w:rsid w:val="002F64CF"/>
    <w:rsid w:val="002F7262"/>
    <w:rsid w:val="0032077E"/>
    <w:rsid w:val="003313C3"/>
    <w:rsid w:val="00356225"/>
    <w:rsid w:val="00385A77"/>
    <w:rsid w:val="00387104"/>
    <w:rsid w:val="0039414B"/>
    <w:rsid w:val="00396D4B"/>
    <w:rsid w:val="003A1201"/>
    <w:rsid w:val="003A5F8B"/>
    <w:rsid w:val="003B29B4"/>
    <w:rsid w:val="003B489B"/>
    <w:rsid w:val="003C6003"/>
    <w:rsid w:val="003C6BAB"/>
    <w:rsid w:val="003E5821"/>
    <w:rsid w:val="003E7FFE"/>
    <w:rsid w:val="004000AA"/>
    <w:rsid w:val="004055FB"/>
    <w:rsid w:val="00426E12"/>
    <w:rsid w:val="00445495"/>
    <w:rsid w:val="004454B2"/>
    <w:rsid w:val="00452758"/>
    <w:rsid w:val="0045343C"/>
    <w:rsid w:val="0046122D"/>
    <w:rsid w:val="004734A6"/>
    <w:rsid w:val="00485CE8"/>
    <w:rsid w:val="00492B16"/>
    <w:rsid w:val="004A5D5C"/>
    <w:rsid w:val="004D37F8"/>
    <w:rsid w:val="00503F2B"/>
    <w:rsid w:val="00507D8E"/>
    <w:rsid w:val="00514E8E"/>
    <w:rsid w:val="0053651A"/>
    <w:rsid w:val="00537911"/>
    <w:rsid w:val="005432B8"/>
    <w:rsid w:val="0055089D"/>
    <w:rsid w:val="00556759"/>
    <w:rsid w:val="005644B9"/>
    <w:rsid w:val="005665B2"/>
    <w:rsid w:val="00585AAF"/>
    <w:rsid w:val="0058663A"/>
    <w:rsid w:val="005936B3"/>
    <w:rsid w:val="005B33FC"/>
    <w:rsid w:val="005C441E"/>
    <w:rsid w:val="005D298B"/>
    <w:rsid w:val="005E1168"/>
    <w:rsid w:val="00611F92"/>
    <w:rsid w:val="006159BD"/>
    <w:rsid w:val="00615D2D"/>
    <w:rsid w:val="00616B72"/>
    <w:rsid w:val="00636BAB"/>
    <w:rsid w:val="00644E3B"/>
    <w:rsid w:val="0065786B"/>
    <w:rsid w:val="00660A52"/>
    <w:rsid w:val="006916D7"/>
    <w:rsid w:val="006951CA"/>
    <w:rsid w:val="006B6A92"/>
    <w:rsid w:val="006C5BC7"/>
    <w:rsid w:val="006E6803"/>
    <w:rsid w:val="00717FB1"/>
    <w:rsid w:val="007276B1"/>
    <w:rsid w:val="00775BE8"/>
    <w:rsid w:val="00776A6F"/>
    <w:rsid w:val="007B189D"/>
    <w:rsid w:val="007B609E"/>
    <w:rsid w:val="007C63F2"/>
    <w:rsid w:val="007D1254"/>
    <w:rsid w:val="00821037"/>
    <w:rsid w:val="00836149"/>
    <w:rsid w:val="0084561C"/>
    <w:rsid w:val="008550FB"/>
    <w:rsid w:val="00871303"/>
    <w:rsid w:val="008720FD"/>
    <w:rsid w:val="00877D7B"/>
    <w:rsid w:val="00881416"/>
    <w:rsid w:val="008A0295"/>
    <w:rsid w:val="008A6ACD"/>
    <w:rsid w:val="008B7B1A"/>
    <w:rsid w:val="008C171C"/>
    <w:rsid w:val="008C4053"/>
    <w:rsid w:val="008D4AE9"/>
    <w:rsid w:val="008F36E7"/>
    <w:rsid w:val="008F52F5"/>
    <w:rsid w:val="009164E0"/>
    <w:rsid w:val="00947A15"/>
    <w:rsid w:val="0096639A"/>
    <w:rsid w:val="009709C0"/>
    <w:rsid w:val="00973B55"/>
    <w:rsid w:val="00983852"/>
    <w:rsid w:val="009B4E69"/>
    <w:rsid w:val="009B7C8D"/>
    <w:rsid w:val="009D0A17"/>
    <w:rsid w:val="009E5F5A"/>
    <w:rsid w:val="009F7749"/>
    <w:rsid w:val="00A13B47"/>
    <w:rsid w:val="00A14326"/>
    <w:rsid w:val="00A53B46"/>
    <w:rsid w:val="00A547EC"/>
    <w:rsid w:val="00A836EA"/>
    <w:rsid w:val="00A86C94"/>
    <w:rsid w:val="00A920A8"/>
    <w:rsid w:val="00AA38C8"/>
    <w:rsid w:val="00AF11A9"/>
    <w:rsid w:val="00B0663F"/>
    <w:rsid w:val="00B14C79"/>
    <w:rsid w:val="00B15FCA"/>
    <w:rsid w:val="00B32292"/>
    <w:rsid w:val="00B35CEF"/>
    <w:rsid w:val="00BB0C41"/>
    <w:rsid w:val="00BC7936"/>
    <w:rsid w:val="00BF4CE1"/>
    <w:rsid w:val="00BF7C80"/>
    <w:rsid w:val="00C00C59"/>
    <w:rsid w:val="00C03E88"/>
    <w:rsid w:val="00C23061"/>
    <w:rsid w:val="00C265D4"/>
    <w:rsid w:val="00C5554A"/>
    <w:rsid w:val="00C64009"/>
    <w:rsid w:val="00C751D2"/>
    <w:rsid w:val="00C82B76"/>
    <w:rsid w:val="00C87D09"/>
    <w:rsid w:val="00C90769"/>
    <w:rsid w:val="00CA1DCD"/>
    <w:rsid w:val="00CB61AB"/>
    <w:rsid w:val="00CC1244"/>
    <w:rsid w:val="00CD26E2"/>
    <w:rsid w:val="00CE2E9A"/>
    <w:rsid w:val="00CE51E8"/>
    <w:rsid w:val="00D003D8"/>
    <w:rsid w:val="00D154E5"/>
    <w:rsid w:val="00D16564"/>
    <w:rsid w:val="00D3382D"/>
    <w:rsid w:val="00D34797"/>
    <w:rsid w:val="00D37D67"/>
    <w:rsid w:val="00D438D5"/>
    <w:rsid w:val="00D44A40"/>
    <w:rsid w:val="00D47E8F"/>
    <w:rsid w:val="00D47F11"/>
    <w:rsid w:val="00D56F44"/>
    <w:rsid w:val="00D70597"/>
    <w:rsid w:val="00D759DF"/>
    <w:rsid w:val="00D94406"/>
    <w:rsid w:val="00DB31DA"/>
    <w:rsid w:val="00DB4191"/>
    <w:rsid w:val="00DE4608"/>
    <w:rsid w:val="00DE6F94"/>
    <w:rsid w:val="00DF1593"/>
    <w:rsid w:val="00E00B3E"/>
    <w:rsid w:val="00E01C8A"/>
    <w:rsid w:val="00E1111C"/>
    <w:rsid w:val="00E117B4"/>
    <w:rsid w:val="00E1459D"/>
    <w:rsid w:val="00E212D7"/>
    <w:rsid w:val="00E402A5"/>
    <w:rsid w:val="00E42AFE"/>
    <w:rsid w:val="00E5499C"/>
    <w:rsid w:val="00E708D2"/>
    <w:rsid w:val="00E8647A"/>
    <w:rsid w:val="00E938BE"/>
    <w:rsid w:val="00EA38EB"/>
    <w:rsid w:val="00EA7D3C"/>
    <w:rsid w:val="00EB440C"/>
    <w:rsid w:val="00EC38B2"/>
    <w:rsid w:val="00EC4FC7"/>
    <w:rsid w:val="00EE7F37"/>
    <w:rsid w:val="00EF42A8"/>
    <w:rsid w:val="00F02169"/>
    <w:rsid w:val="00F05672"/>
    <w:rsid w:val="00F21697"/>
    <w:rsid w:val="00F85CCB"/>
    <w:rsid w:val="00F8729E"/>
    <w:rsid w:val="00FC3809"/>
    <w:rsid w:val="00FC3CC8"/>
    <w:rsid w:val="00FD287E"/>
    <w:rsid w:val="00FE172F"/>
    <w:rsid w:val="00FE400A"/>
    <w:rsid w:val="00FE70D6"/>
    <w:rsid w:val="00FF6A2E"/>
    <w:rsid w:val="01A96587"/>
    <w:rsid w:val="02BD4BE4"/>
    <w:rsid w:val="04412790"/>
    <w:rsid w:val="05BA772D"/>
    <w:rsid w:val="06010068"/>
    <w:rsid w:val="06CE3F39"/>
    <w:rsid w:val="07963981"/>
    <w:rsid w:val="08595B10"/>
    <w:rsid w:val="08C71AF5"/>
    <w:rsid w:val="0D67410D"/>
    <w:rsid w:val="0F1844B9"/>
    <w:rsid w:val="0F1915CB"/>
    <w:rsid w:val="1203449B"/>
    <w:rsid w:val="12C000D1"/>
    <w:rsid w:val="13292611"/>
    <w:rsid w:val="139A32B7"/>
    <w:rsid w:val="190D4AD8"/>
    <w:rsid w:val="1BA558EC"/>
    <w:rsid w:val="1C3123B9"/>
    <w:rsid w:val="1F8A3F4D"/>
    <w:rsid w:val="1FCB05D1"/>
    <w:rsid w:val="1FE2545A"/>
    <w:rsid w:val="204476F4"/>
    <w:rsid w:val="208444AB"/>
    <w:rsid w:val="21824EC2"/>
    <w:rsid w:val="23834AD2"/>
    <w:rsid w:val="23E90662"/>
    <w:rsid w:val="25F85512"/>
    <w:rsid w:val="26E80893"/>
    <w:rsid w:val="272D1900"/>
    <w:rsid w:val="27B9389D"/>
    <w:rsid w:val="29305AB2"/>
    <w:rsid w:val="2BC05BCE"/>
    <w:rsid w:val="2BEE4BA1"/>
    <w:rsid w:val="2C3A3E99"/>
    <w:rsid w:val="2D8639BE"/>
    <w:rsid w:val="2ECE4A31"/>
    <w:rsid w:val="2ED63DF1"/>
    <w:rsid w:val="2FFA4747"/>
    <w:rsid w:val="30894312"/>
    <w:rsid w:val="330A235E"/>
    <w:rsid w:val="33874918"/>
    <w:rsid w:val="34135FB2"/>
    <w:rsid w:val="35155D82"/>
    <w:rsid w:val="37AC75E6"/>
    <w:rsid w:val="38777FB4"/>
    <w:rsid w:val="3C837B36"/>
    <w:rsid w:val="3CB75A2A"/>
    <w:rsid w:val="3E2005BB"/>
    <w:rsid w:val="404339FD"/>
    <w:rsid w:val="42394480"/>
    <w:rsid w:val="4387760B"/>
    <w:rsid w:val="45154265"/>
    <w:rsid w:val="451851EA"/>
    <w:rsid w:val="45BD10DE"/>
    <w:rsid w:val="464623D8"/>
    <w:rsid w:val="46D50B05"/>
    <w:rsid w:val="476218AB"/>
    <w:rsid w:val="48405A16"/>
    <w:rsid w:val="48891CE0"/>
    <w:rsid w:val="48A4573B"/>
    <w:rsid w:val="494F4610"/>
    <w:rsid w:val="4A3F2F5D"/>
    <w:rsid w:val="4A4473E5"/>
    <w:rsid w:val="4AA94B8B"/>
    <w:rsid w:val="4B557DAB"/>
    <w:rsid w:val="4C457E30"/>
    <w:rsid w:val="4E4740FD"/>
    <w:rsid w:val="4E7E6AE0"/>
    <w:rsid w:val="4EEE3BD0"/>
    <w:rsid w:val="51B376FD"/>
    <w:rsid w:val="55927322"/>
    <w:rsid w:val="568D04F2"/>
    <w:rsid w:val="575823DC"/>
    <w:rsid w:val="576E6AFE"/>
    <w:rsid w:val="57715504"/>
    <w:rsid w:val="5AA62E48"/>
    <w:rsid w:val="5B8554D6"/>
    <w:rsid w:val="5C350FD5"/>
    <w:rsid w:val="5FB70C17"/>
    <w:rsid w:val="6492430D"/>
    <w:rsid w:val="65CA788D"/>
    <w:rsid w:val="666B23BE"/>
    <w:rsid w:val="66B86AD4"/>
    <w:rsid w:val="68AD43ED"/>
    <w:rsid w:val="6FCB6AF9"/>
    <w:rsid w:val="6FEC6C3C"/>
    <w:rsid w:val="71790A82"/>
    <w:rsid w:val="72985C08"/>
    <w:rsid w:val="73555D45"/>
    <w:rsid w:val="73B26648"/>
    <w:rsid w:val="74C92AA2"/>
    <w:rsid w:val="766A0607"/>
    <w:rsid w:val="78A04BA3"/>
    <w:rsid w:val="7A253E75"/>
    <w:rsid w:val="7AAA5C90"/>
    <w:rsid w:val="7CAF7BE6"/>
    <w:rsid w:val="7CFC5A0B"/>
    <w:rsid w:val="7EE456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3"/>
    <w:qFormat/>
    <w:uiPriority w:val="0"/>
    <w:pPr>
      <w:keepNext/>
      <w:keepLines/>
      <w:spacing w:before="260" w:after="260" w:line="416" w:lineRule="auto"/>
      <w:outlineLvl w:val="1"/>
    </w:pPr>
    <w:rPr>
      <w:rFonts w:ascii="Arial" w:hAnsi="Arial"/>
      <w:b/>
      <w:bCs/>
      <w:sz w:val="24"/>
      <w:szCs w:val="32"/>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Body Text First Indent"/>
    <w:basedOn w:val="4"/>
    <w:semiHidden/>
    <w:qFormat/>
    <w:uiPriority w:val="0"/>
    <w:pPr>
      <w:spacing w:line="300" w:lineRule="auto"/>
      <w:ind w:firstLine="425"/>
    </w:pPr>
    <w:rPr>
      <w:szCs w:val="20"/>
    </w:rPr>
  </w:style>
  <w:style w:type="paragraph" w:styleId="4">
    <w:name w:val="Body Text"/>
    <w:basedOn w:val="1"/>
    <w:semiHidden/>
    <w:qFormat/>
    <w:uiPriority w:val="0"/>
    <w:pPr>
      <w:spacing w:after="120"/>
    </w:pPr>
  </w:style>
  <w:style w:type="paragraph" w:styleId="5">
    <w:name w:val="Normal Indent"/>
    <w:basedOn w:val="1"/>
    <w:semiHidden/>
    <w:qFormat/>
    <w:uiPriority w:val="0"/>
    <w:pPr>
      <w:ind w:firstLine="420" w:firstLineChars="200"/>
    </w:pPr>
  </w:style>
  <w:style w:type="paragraph" w:styleId="6">
    <w:name w:val="Balloon Text"/>
    <w:basedOn w:val="1"/>
    <w:link w:val="19"/>
    <w:semiHidden/>
    <w:unhideWhenUsed/>
    <w:qFormat/>
    <w:uiPriority w:val="99"/>
    <w:rPr>
      <w:sz w:val="18"/>
      <w:szCs w:val="18"/>
    </w:rPr>
  </w:style>
  <w:style w:type="paragraph" w:styleId="7">
    <w:name w:val="footer"/>
    <w:basedOn w:val="1"/>
    <w:link w:val="16"/>
    <w:unhideWhenUsed/>
    <w:qFormat/>
    <w:uiPriority w:val="99"/>
    <w:pPr>
      <w:tabs>
        <w:tab w:val="center" w:pos="4153"/>
        <w:tab w:val="right" w:pos="8306"/>
      </w:tabs>
      <w:snapToGrid w:val="0"/>
      <w:jc w:val="left"/>
    </w:pPr>
    <w:rPr>
      <w:sz w:val="18"/>
      <w:szCs w:val="18"/>
    </w:rPr>
  </w:style>
  <w:style w:type="paragraph" w:styleId="8">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10">
    <w:name w:val="Title"/>
    <w:basedOn w:val="1"/>
    <w:next w:val="1"/>
    <w:link w:val="17"/>
    <w:qFormat/>
    <w:uiPriority w:val="10"/>
    <w:pPr>
      <w:spacing w:before="240" w:after="60"/>
      <w:jc w:val="center"/>
      <w:outlineLvl w:val="0"/>
    </w:pPr>
    <w:rPr>
      <w:rFonts w:eastAsia="宋体" w:asciiTheme="majorHAnsi" w:hAnsiTheme="majorHAnsi" w:cstheme="majorBidi"/>
      <w:b/>
      <w:bCs/>
      <w:sz w:val="32"/>
      <w:szCs w:val="32"/>
    </w:rPr>
  </w:style>
  <w:style w:type="table" w:styleId="12">
    <w:name w:val="Table Grid"/>
    <w:basedOn w:val="1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4">
    <w:name w:val="Strong"/>
    <w:basedOn w:val="13"/>
    <w:qFormat/>
    <w:uiPriority w:val="22"/>
    <w:rPr>
      <w:b/>
      <w:bCs/>
    </w:rPr>
  </w:style>
  <w:style w:type="character" w:customStyle="1" w:styleId="15">
    <w:name w:val="页眉 字符"/>
    <w:basedOn w:val="13"/>
    <w:link w:val="8"/>
    <w:qFormat/>
    <w:uiPriority w:val="99"/>
    <w:rPr>
      <w:sz w:val="18"/>
      <w:szCs w:val="18"/>
    </w:rPr>
  </w:style>
  <w:style w:type="character" w:customStyle="1" w:styleId="16">
    <w:name w:val="页脚 字符"/>
    <w:basedOn w:val="13"/>
    <w:link w:val="7"/>
    <w:qFormat/>
    <w:uiPriority w:val="99"/>
    <w:rPr>
      <w:sz w:val="18"/>
      <w:szCs w:val="18"/>
    </w:rPr>
  </w:style>
  <w:style w:type="character" w:customStyle="1" w:styleId="17">
    <w:name w:val="标题 字符"/>
    <w:basedOn w:val="13"/>
    <w:link w:val="10"/>
    <w:qFormat/>
    <w:uiPriority w:val="10"/>
    <w:rPr>
      <w:rFonts w:eastAsia="宋体" w:asciiTheme="majorHAnsi" w:hAnsiTheme="majorHAnsi" w:cstheme="majorBidi"/>
      <w:b/>
      <w:bCs/>
      <w:sz w:val="32"/>
      <w:szCs w:val="32"/>
    </w:rPr>
  </w:style>
  <w:style w:type="character" w:customStyle="1" w:styleId="18">
    <w:name w:val="baec5a81-e4d6-4674-97f3-e9220f0136c1"/>
    <w:basedOn w:val="13"/>
    <w:qFormat/>
    <w:uiPriority w:val="0"/>
  </w:style>
  <w:style w:type="character" w:customStyle="1" w:styleId="19">
    <w:name w:val="批注框文本 字符"/>
    <w:basedOn w:val="13"/>
    <w:link w:val="6"/>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llinks.com</Company>
  <Pages>3</Pages>
  <Words>276</Words>
  <Characters>1579</Characters>
  <Lines>13</Lines>
  <Paragraphs>3</Paragraphs>
  <TotalTime>2</TotalTime>
  <ScaleCrop>false</ScaleCrop>
  <LinksUpToDate>false</LinksUpToDate>
  <CharactersWithSpaces>1852</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2021-07-20T08:35:00Z</dcterms:created>
  <dc:creator>haop</dc:creator>
  <cp:lastModifiedBy>tangl</cp:lastModifiedBy>
  <cp:lastPrinted>2021-07-30T06:39:00Z</cp:lastPrinted>
  <dcterms:modified xsi:type="dcterms:W3CDTF">2026-06-12T01:52:26Z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32FE60BD5C8C47B494F3170EEF8AAAA3_13</vt:lpwstr>
  </property>
</Properties>
</file>