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40333">
      <w:pPr>
        <w:autoSpaceDE w:val="0"/>
        <w:autoSpaceDN w:val="0"/>
        <w:adjustRightInd w:val="0"/>
        <w:spacing w:line="360" w:lineRule="auto"/>
        <w:jc w:val="left"/>
        <w:rPr>
          <w:kern w:val="0"/>
          <w:sz w:val="24"/>
          <w:szCs w:val="24"/>
        </w:rPr>
      </w:pPr>
    </w:p>
    <w:p w14:paraId="068B9F8F">
      <w:pPr>
        <w:autoSpaceDE w:val="0"/>
        <w:autoSpaceDN w:val="0"/>
        <w:adjustRightInd w:val="0"/>
        <w:spacing w:line="360" w:lineRule="auto"/>
        <w:jc w:val="left"/>
        <w:rPr>
          <w:kern w:val="0"/>
          <w:sz w:val="24"/>
          <w:szCs w:val="24"/>
        </w:rPr>
      </w:pPr>
    </w:p>
    <w:p w14:paraId="3574F73C">
      <w:pPr>
        <w:autoSpaceDE w:val="0"/>
        <w:autoSpaceDN w:val="0"/>
        <w:adjustRightInd w:val="0"/>
        <w:spacing w:line="360" w:lineRule="auto"/>
        <w:jc w:val="left"/>
        <w:rPr>
          <w:color w:val="000000"/>
          <w:kern w:val="0"/>
          <w:sz w:val="24"/>
          <w:szCs w:val="24"/>
        </w:rPr>
      </w:pPr>
    </w:p>
    <w:p w14:paraId="633D7ACF">
      <w:pPr>
        <w:autoSpaceDE w:val="0"/>
        <w:autoSpaceDN w:val="0"/>
        <w:adjustRightInd w:val="0"/>
        <w:spacing w:line="360" w:lineRule="auto"/>
        <w:jc w:val="left"/>
        <w:rPr>
          <w:color w:val="000000"/>
          <w:kern w:val="0"/>
          <w:sz w:val="24"/>
          <w:szCs w:val="24"/>
        </w:rPr>
      </w:pPr>
    </w:p>
    <w:p w14:paraId="489D3203">
      <w:pPr>
        <w:autoSpaceDE w:val="0"/>
        <w:autoSpaceDN w:val="0"/>
        <w:adjustRightInd w:val="0"/>
        <w:spacing w:line="360" w:lineRule="auto"/>
        <w:jc w:val="left"/>
        <w:rPr>
          <w:color w:val="000000"/>
          <w:kern w:val="0"/>
          <w:sz w:val="24"/>
          <w:szCs w:val="24"/>
        </w:rPr>
      </w:pPr>
    </w:p>
    <w:p w14:paraId="51947C9F">
      <w:pPr>
        <w:spacing w:line="360" w:lineRule="auto"/>
        <w:jc w:val="center"/>
        <w:rPr>
          <w:b/>
          <w:sz w:val="36"/>
          <w:szCs w:val="36"/>
        </w:rPr>
      </w:pPr>
      <w:r>
        <w:rPr>
          <w:b/>
          <w:sz w:val="36"/>
          <w:szCs w:val="36"/>
        </w:rPr>
        <w:t>博时津开科工产业园封闭式基础设施证券投资基金</w:t>
      </w:r>
    </w:p>
    <w:p w14:paraId="487DD04E">
      <w:pPr>
        <w:spacing w:line="360" w:lineRule="auto"/>
        <w:jc w:val="center"/>
        <w:rPr>
          <w:b/>
          <w:sz w:val="36"/>
          <w:szCs w:val="36"/>
        </w:rPr>
      </w:pPr>
      <w:r>
        <w:rPr>
          <w:b/>
          <w:sz w:val="36"/>
          <w:szCs w:val="36"/>
        </w:rPr>
        <w:t>2026年第3季度报告</w:t>
      </w:r>
    </w:p>
    <w:p w14:paraId="1DAD136F">
      <w:pPr>
        <w:spacing w:line="360" w:lineRule="auto"/>
        <w:jc w:val="center"/>
        <w:rPr>
          <w:b/>
          <w:sz w:val="36"/>
          <w:szCs w:val="36"/>
        </w:rPr>
      </w:pPr>
      <w:r>
        <w:rPr>
          <w:b/>
          <w:sz w:val="36"/>
          <w:szCs w:val="36"/>
        </w:rPr>
        <w:t>2026年9月30日</w:t>
      </w:r>
    </w:p>
    <w:p w14:paraId="13CF4DA9">
      <w:pPr>
        <w:autoSpaceDE w:val="0"/>
        <w:autoSpaceDN w:val="0"/>
        <w:adjustRightInd w:val="0"/>
        <w:spacing w:line="360" w:lineRule="auto"/>
        <w:jc w:val="left"/>
        <w:rPr>
          <w:color w:val="000000"/>
          <w:kern w:val="0"/>
          <w:sz w:val="24"/>
          <w:szCs w:val="24"/>
        </w:rPr>
      </w:pPr>
    </w:p>
    <w:p w14:paraId="12E3190D">
      <w:pPr>
        <w:autoSpaceDE w:val="0"/>
        <w:autoSpaceDN w:val="0"/>
        <w:adjustRightInd w:val="0"/>
        <w:spacing w:line="360" w:lineRule="auto"/>
        <w:jc w:val="left"/>
        <w:rPr>
          <w:color w:val="000000"/>
          <w:kern w:val="0"/>
          <w:sz w:val="24"/>
          <w:szCs w:val="24"/>
        </w:rPr>
      </w:pPr>
    </w:p>
    <w:p w14:paraId="2D44B43B">
      <w:pPr>
        <w:autoSpaceDE w:val="0"/>
        <w:autoSpaceDN w:val="0"/>
        <w:adjustRightInd w:val="0"/>
        <w:spacing w:line="360" w:lineRule="auto"/>
        <w:jc w:val="left"/>
        <w:rPr>
          <w:color w:val="000000"/>
          <w:kern w:val="0"/>
          <w:sz w:val="24"/>
          <w:szCs w:val="24"/>
        </w:rPr>
      </w:pPr>
    </w:p>
    <w:p w14:paraId="3FC3113A">
      <w:pPr>
        <w:autoSpaceDE w:val="0"/>
        <w:autoSpaceDN w:val="0"/>
        <w:adjustRightInd w:val="0"/>
        <w:spacing w:line="360" w:lineRule="auto"/>
        <w:jc w:val="left"/>
        <w:rPr>
          <w:color w:val="000000"/>
          <w:kern w:val="0"/>
          <w:sz w:val="24"/>
          <w:szCs w:val="24"/>
        </w:rPr>
      </w:pPr>
    </w:p>
    <w:p w14:paraId="3978B716">
      <w:pPr>
        <w:autoSpaceDE w:val="0"/>
        <w:autoSpaceDN w:val="0"/>
        <w:adjustRightInd w:val="0"/>
        <w:spacing w:line="360" w:lineRule="auto"/>
        <w:jc w:val="left"/>
        <w:rPr>
          <w:color w:val="000000"/>
          <w:kern w:val="0"/>
          <w:sz w:val="24"/>
          <w:szCs w:val="24"/>
        </w:rPr>
      </w:pPr>
    </w:p>
    <w:p w14:paraId="671498BD">
      <w:pPr>
        <w:autoSpaceDE w:val="0"/>
        <w:autoSpaceDN w:val="0"/>
        <w:adjustRightInd w:val="0"/>
        <w:spacing w:line="360" w:lineRule="auto"/>
        <w:jc w:val="left"/>
        <w:rPr>
          <w:color w:val="000000"/>
          <w:kern w:val="0"/>
          <w:sz w:val="24"/>
          <w:szCs w:val="24"/>
        </w:rPr>
      </w:pPr>
    </w:p>
    <w:p w14:paraId="1C346B05">
      <w:pPr>
        <w:autoSpaceDE w:val="0"/>
        <w:autoSpaceDN w:val="0"/>
        <w:adjustRightInd w:val="0"/>
        <w:spacing w:line="360" w:lineRule="auto"/>
        <w:jc w:val="left"/>
        <w:rPr>
          <w:color w:val="000000"/>
          <w:kern w:val="0"/>
          <w:sz w:val="24"/>
          <w:szCs w:val="24"/>
        </w:rPr>
      </w:pPr>
    </w:p>
    <w:p w14:paraId="21FA68EC">
      <w:pPr>
        <w:autoSpaceDE w:val="0"/>
        <w:autoSpaceDN w:val="0"/>
        <w:adjustRightInd w:val="0"/>
        <w:spacing w:line="360" w:lineRule="auto"/>
        <w:jc w:val="left"/>
        <w:rPr>
          <w:color w:val="000000"/>
          <w:kern w:val="0"/>
          <w:sz w:val="24"/>
          <w:szCs w:val="24"/>
        </w:rPr>
      </w:pPr>
    </w:p>
    <w:p w14:paraId="1E97F1DD">
      <w:pPr>
        <w:autoSpaceDE w:val="0"/>
        <w:autoSpaceDN w:val="0"/>
        <w:adjustRightInd w:val="0"/>
        <w:spacing w:line="360" w:lineRule="auto"/>
        <w:jc w:val="left"/>
        <w:rPr>
          <w:color w:val="000000"/>
          <w:kern w:val="0"/>
          <w:sz w:val="24"/>
          <w:szCs w:val="24"/>
        </w:rPr>
      </w:pPr>
    </w:p>
    <w:p w14:paraId="462673BE">
      <w:pPr>
        <w:autoSpaceDE w:val="0"/>
        <w:autoSpaceDN w:val="0"/>
        <w:adjustRightInd w:val="0"/>
        <w:spacing w:line="360" w:lineRule="auto"/>
        <w:jc w:val="left"/>
        <w:rPr>
          <w:color w:val="000000"/>
          <w:kern w:val="0"/>
          <w:sz w:val="24"/>
          <w:szCs w:val="24"/>
        </w:rPr>
      </w:pPr>
    </w:p>
    <w:p w14:paraId="4C330C4D">
      <w:pPr>
        <w:autoSpaceDE w:val="0"/>
        <w:autoSpaceDN w:val="0"/>
        <w:adjustRightInd w:val="0"/>
        <w:spacing w:line="360" w:lineRule="auto"/>
        <w:jc w:val="left"/>
        <w:rPr>
          <w:color w:val="000000"/>
          <w:kern w:val="0"/>
          <w:sz w:val="24"/>
          <w:szCs w:val="24"/>
        </w:rPr>
      </w:pPr>
    </w:p>
    <w:p w14:paraId="5D6BBC5D">
      <w:pPr>
        <w:autoSpaceDE w:val="0"/>
        <w:autoSpaceDN w:val="0"/>
        <w:adjustRightInd w:val="0"/>
        <w:spacing w:line="360" w:lineRule="auto"/>
        <w:jc w:val="left"/>
        <w:rPr>
          <w:color w:val="000000"/>
          <w:kern w:val="0"/>
          <w:sz w:val="24"/>
          <w:szCs w:val="24"/>
        </w:rPr>
      </w:pPr>
    </w:p>
    <w:p w14:paraId="09262630">
      <w:pPr>
        <w:autoSpaceDE w:val="0"/>
        <w:autoSpaceDN w:val="0"/>
        <w:adjustRightInd w:val="0"/>
        <w:spacing w:line="360" w:lineRule="auto"/>
        <w:jc w:val="left"/>
        <w:rPr>
          <w:color w:val="000000"/>
          <w:kern w:val="0"/>
          <w:sz w:val="24"/>
          <w:szCs w:val="24"/>
        </w:rPr>
      </w:pPr>
    </w:p>
    <w:p w14:paraId="1793B038">
      <w:pPr>
        <w:autoSpaceDE w:val="0"/>
        <w:autoSpaceDN w:val="0"/>
        <w:adjustRightInd w:val="0"/>
        <w:spacing w:line="360" w:lineRule="auto"/>
        <w:jc w:val="left"/>
        <w:rPr>
          <w:color w:val="000000"/>
          <w:kern w:val="0"/>
          <w:sz w:val="24"/>
          <w:szCs w:val="24"/>
        </w:rPr>
      </w:pPr>
    </w:p>
    <w:p w14:paraId="17DC1157">
      <w:pPr>
        <w:spacing w:line="360" w:lineRule="auto"/>
        <w:ind w:firstLine="2168" w:firstLineChars="900"/>
        <w:rPr>
          <w:b/>
          <w:color w:val="000000"/>
          <w:sz w:val="24"/>
          <w:szCs w:val="24"/>
        </w:rPr>
      </w:pPr>
      <w:r>
        <w:rPr>
          <w:b/>
          <w:color w:val="000000"/>
          <w:sz w:val="24"/>
          <w:szCs w:val="24"/>
        </w:rPr>
        <w:t>基金管理人：博时基金管理有限公司</w:t>
      </w:r>
    </w:p>
    <w:p w14:paraId="7091E489">
      <w:pPr>
        <w:spacing w:line="360" w:lineRule="auto"/>
        <w:ind w:firstLine="2168" w:firstLineChars="900"/>
        <w:rPr>
          <w:b/>
          <w:color w:val="000000"/>
          <w:sz w:val="24"/>
          <w:szCs w:val="24"/>
        </w:rPr>
      </w:pPr>
      <w:r>
        <w:rPr>
          <w:b/>
          <w:color w:val="000000"/>
          <w:sz w:val="24"/>
          <w:szCs w:val="24"/>
        </w:rPr>
        <w:t>基金托管人：渤海银行股份有限公司</w:t>
      </w:r>
    </w:p>
    <w:p w14:paraId="214C46AE">
      <w:pPr>
        <w:spacing w:line="360" w:lineRule="auto"/>
        <w:ind w:firstLine="2168" w:firstLineChars="900"/>
        <w:rPr>
          <w:b/>
          <w:color w:val="000000"/>
          <w:sz w:val="24"/>
          <w:szCs w:val="24"/>
        </w:rPr>
        <w:sectPr>
          <w:headerReference r:id="rId3" w:type="default"/>
          <w:footerReference r:id="rId4" w:type="default"/>
          <w:pgSz w:w="11926" w:h="15840"/>
          <w:pgMar w:top="1418" w:right="1418" w:bottom="851" w:left="1418" w:header="851" w:footer="992" w:gutter="0"/>
          <w:cols w:space="720" w:num="1"/>
        </w:sectPr>
      </w:pPr>
      <w:r>
        <w:rPr>
          <w:b/>
          <w:color w:val="000000"/>
          <w:sz w:val="24"/>
          <w:szCs w:val="24"/>
        </w:rPr>
        <w:t>报告送出日期：二〇二六年十月二十七日</w:t>
      </w:r>
    </w:p>
    <w:p w14:paraId="20873C75">
      <w:pPr>
        <w:pStyle w:val="2"/>
        <w:spacing w:before="312" w:beforeLines="100" w:after="312" w:afterLines="100" w:line="360" w:lineRule="auto"/>
        <w:jc w:val="center"/>
        <w:rPr>
          <w:b w:val="0"/>
          <w:bCs w:val="0"/>
          <w:kern w:val="0"/>
          <w:sz w:val="24"/>
          <w:szCs w:val="24"/>
        </w:rPr>
      </w:pPr>
      <w:r>
        <w:rPr>
          <w:kern w:val="0"/>
          <w:sz w:val="24"/>
          <w:szCs w:val="24"/>
        </w:rPr>
        <w:t>§1  重要提示</w:t>
      </w:r>
    </w:p>
    <w:p w14:paraId="5D47F38D">
      <w:pPr>
        <w:spacing w:line="360" w:lineRule="auto"/>
        <w:ind w:firstLine="420" w:firstLineChars="200"/>
      </w:pPr>
      <w:r>
        <w:t>基金管理人的董事会及董事保证本报告所载资料不存在虚假记载、误导性陈述或重大遗漏，并对其内容的真实性、准确性和完整性承担个别及连带责任。</w:t>
      </w:r>
    </w:p>
    <w:p w14:paraId="03001EFD">
      <w:pPr>
        <w:spacing w:line="360" w:lineRule="auto"/>
        <w:ind w:firstLine="420" w:firstLineChars="200"/>
      </w:pPr>
      <w:r>
        <w:t>基金托管人渤海银行股份有限公司根据本基金合同规定，于 2026年10月23日复核了本报告中的财务指标、收益分配情况和投资组合报告等内容，保证复核内容不存在虚假记载、误导性陈述或者重大遗漏。</w:t>
      </w:r>
    </w:p>
    <w:p w14:paraId="1B5B3060">
      <w:pPr>
        <w:spacing w:line="360" w:lineRule="auto"/>
        <w:ind w:firstLine="420" w:firstLineChars="200"/>
      </w:pPr>
      <w:r>
        <w:t>运营管理机构已对季度报告中的相关披露事项进行确认，不存在异议，确保相关披露内容的真实性、准确性和完整性。</w:t>
      </w:r>
    </w:p>
    <w:p w14:paraId="5A391E2D">
      <w:pPr>
        <w:spacing w:line="360" w:lineRule="auto"/>
        <w:ind w:firstLine="420" w:firstLineChars="200"/>
      </w:pPr>
      <w:r>
        <w:t>基金管理人承诺以诚实信用、勤勉尽责的原则管理和运用不动产基金资产，但不保证不动产基金一定盈利。</w:t>
      </w:r>
    </w:p>
    <w:p w14:paraId="68BBB4EC">
      <w:pPr>
        <w:spacing w:line="360" w:lineRule="auto"/>
        <w:ind w:firstLine="420" w:firstLineChars="200"/>
      </w:pPr>
      <w:r>
        <w:t>不动产基金的过往业绩并不代表其未来表现。投资有风险，投资者在做出投资决策前应仔细阅读本不动产基金的招募说明书及其更新。</w:t>
      </w:r>
    </w:p>
    <w:p w14:paraId="61B7793A">
      <w:pPr>
        <w:spacing w:line="360" w:lineRule="auto"/>
        <w:ind w:firstLine="420" w:firstLineChars="200"/>
      </w:pPr>
      <w:r>
        <w:t>本报告中财务资料未经审计。</w:t>
      </w:r>
    </w:p>
    <w:p w14:paraId="7F270701">
      <w:pPr>
        <w:spacing w:line="360" w:lineRule="auto"/>
        <w:ind w:firstLine="420" w:firstLineChars="200"/>
      </w:pPr>
      <w:r>
        <w:t>本报告期自2026年7月1日起至9月30日止。</w:t>
      </w:r>
    </w:p>
    <w:p w14:paraId="17449B8A">
      <w:pPr>
        <w:pStyle w:val="2"/>
        <w:spacing w:before="312" w:beforeLines="100" w:after="312" w:afterLines="100" w:line="360" w:lineRule="auto"/>
        <w:jc w:val="center"/>
        <w:rPr>
          <w:kern w:val="0"/>
          <w:sz w:val="24"/>
          <w:szCs w:val="24"/>
        </w:rPr>
      </w:pPr>
      <w:r>
        <w:rPr>
          <w:kern w:val="0"/>
          <w:sz w:val="24"/>
          <w:szCs w:val="24"/>
        </w:rPr>
        <w:t>§2  不动产基金产品概况</w:t>
      </w:r>
    </w:p>
    <w:p w14:paraId="3E0FBF72">
      <w:pPr>
        <w:adjustRightInd w:val="0"/>
        <w:snapToGrid w:val="0"/>
        <w:spacing w:line="360" w:lineRule="auto"/>
        <w:rPr>
          <w:b/>
          <w:bCs/>
          <w:sz w:val="24"/>
          <w:szCs w:val="24"/>
        </w:rPr>
      </w:pPr>
      <w:r>
        <w:rPr>
          <w:b/>
          <w:bCs/>
          <w:sz w:val="24"/>
          <w:szCs w:val="24"/>
        </w:rPr>
        <w:t>2.1 不动产基金产品基本情况</w:t>
      </w:r>
    </w:p>
    <w:tbl>
      <w:tblPr>
        <w:tblStyle w:val="24"/>
        <w:tblW w:w="850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5245"/>
      </w:tblGrid>
      <w:tr w14:paraId="3C0F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7D3048BC">
            <w:pPr>
              <w:adjustRightInd w:val="0"/>
              <w:spacing w:before="29" w:line="360" w:lineRule="auto"/>
              <w:ind w:left="17"/>
              <w:rPr>
                <w:kern w:val="0"/>
              </w:rPr>
            </w:pPr>
            <w:r>
              <w:rPr>
                <w:kern w:val="0"/>
              </w:rPr>
              <w:t>基金名称</w:t>
            </w:r>
          </w:p>
        </w:tc>
        <w:tc>
          <w:tcPr>
            <w:tcW w:w="5245" w:type="dxa"/>
            <w:vAlign w:val="center"/>
          </w:tcPr>
          <w:p w14:paraId="406349B6">
            <w:pPr>
              <w:adjustRightInd w:val="0"/>
              <w:spacing w:before="29" w:line="360" w:lineRule="auto"/>
              <w:ind w:left="17"/>
              <w:rPr>
                <w:kern w:val="0"/>
              </w:rPr>
            </w:pPr>
            <w:r>
              <w:rPr>
                <w:kern w:val="0"/>
              </w:rPr>
              <w:t>博时津开科工产业园封闭式基础设施证券投资基金</w:t>
            </w:r>
          </w:p>
        </w:tc>
      </w:tr>
      <w:tr w14:paraId="413E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3D1BB4FD">
            <w:pPr>
              <w:adjustRightInd w:val="0"/>
              <w:spacing w:before="29" w:line="360" w:lineRule="auto"/>
              <w:ind w:left="17"/>
              <w:rPr>
                <w:kern w:val="0"/>
              </w:rPr>
            </w:pPr>
            <w:r>
              <w:rPr>
                <w:kern w:val="0"/>
              </w:rPr>
              <w:t>基金简称</w:t>
            </w:r>
          </w:p>
        </w:tc>
        <w:tc>
          <w:tcPr>
            <w:tcW w:w="5245" w:type="dxa"/>
            <w:vAlign w:val="center"/>
          </w:tcPr>
          <w:p w14:paraId="6AFB2ECA">
            <w:pPr>
              <w:adjustRightInd w:val="0"/>
              <w:spacing w:before="29" w:line="360" w:lineRule="auto"/>
              <w:ind w:left="17"/>
              <w:rPr>
                <w:kern w:val="0"/>
              </w:rPr>
            </w:pPr>
            <w:r>
              <w:rPr>
                <w:kern w:val="0"/>
              </w:rPr>
              <w:t>博时津开科工产业园REIT</w:t>
            </w:r>
          </w:p>
        </w:tc>
      </w:tr>
      <w:tr w14:paraId="4B6D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277A6459">
            <w:pPr>
              <w:spacing w:line="360" w:lineRule="auto"/>
            </w:pPr>
            <w:r>
              <w:t>场内简称</w:t>
            </w:r>
          </w:p>
        </w:tc>
        <w:tc>
          <w:tcPr>
            <w:tcW w:w="5245" w:type="dxa"/>
            <w:vAlign w:val="center"/>
          </w:tcPr>
          <w:p w14:paraId="1D68756A">
            <w:pPr>
              <w:spacing w:line="360" w:lineRule="auto"/>
            </w:pPr>
            <w:r>
              <w:t>津开产园</w:t>
            </w:r>
          </w:p>
        </w:tc>
      </w:tr>
      <w:tr w14:paraId="51902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bottom w:val="single" w:color="auto" w:sz="4" w:space="0"/>
              <w:right w:val="single" w:color="auto" w:sz="4" w:space="0"/>
            </w:tcBorders>
            <w:vAlign w:val="center"/>
          </w:tcPr>
          <w:p w14:paraId="331D52F6">
            <w:pPr>
              <w:adjustRightInd w:val="0"/>
              <w:spacing w:before="29" w:line="360" w:lineRule="auto"/>
              <w:ind w:left="17"/>
              <w:rPr>
                <w:kern w:val="0"/>
              </w:rPr>
            </w:pPr>
            <w:r>
              <w:rPr>
                <w:kern w:val="0"/>
              </w:rPr>
              <w:t>基金主代码</w:t>
            </w:r>
          </w:p>
        </w:tc>
        <w:tc>
          <w:tcPr>
            <w:tcW w:w="5245" w:type="dxa"/>
            <w:tcBorders>
              <w:top w:val="single" w:color="auto" w:sz="4" w:space="0"/>
              <w:left w:val="single" w:color="auto" w:sz="4" w:space="0"/>
              <w:bottom w:val="single" w:color="auto" w:sz="4" w:space="0"/>
              <w:right w:val="single" w:color="auto" w:sz="4" w:space="0"/>
            </w:tcBorders>
            <w:vAlign w:val="center"/>
          </w:tcPr>
          <w:p w14:paraId="07047885">
            <w:pPr>
              <w:adjustRightInd w:val="0"/>
              <w:spacing w:before="29" w:line="360" w:lineRule="auto"/>
              <w:ind w:left="17"/>
              <w:rPr>
                <w:kern w:val="0"/>
              </w:rPr>
            </w:pPr>
            <w:r>
              <w:rPr>
                <w:kern w:val="0"/>
              </w:rPr>
              <w:t>508022</w:t>
            </w:r>
          </w:p>
        </w:tc>
      </w:tr>
      <w:tr w14:paraId="633C8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bottom w:val="single" w:color="auto" w:sz="4" w:space="0"/>
              <w:right w:val="single" w:color="auto" w:sz="4" w:space="0"/>
            </w:tcBorders>
            <w:vAlign w:val="center"/>
          </w:tcPr>
          <w:p w14:paraId="2365252C">
            <w:pPr>
              <w:adjustRightInd w:val="0"/>
              <w:spacing w:before="29" w:line="360" w:lineRule="auto"/>
              <w:ind w:left="17"/>
              <w:rPr>
                <w:kern w:val="0"/>
              </w:rPr>
            </w:pPr>
            <w:r>
              <w:rPr>
                <w:kern w:val="0"/>
              </w:rPr>
              <w:t>交易代码</w:t>
            </w:r>
          </w:p>
        </w:tc>
        <w:tc>
          <w:tcPr>
            <w:tcW w:w="5245" w:type="dxa"/>
            <w:tcBorders>
              <w:top w:val="single" w:color="auto" w:sz="4" w:space="0"/>
              <w:left w:val="single" w:color="auto" w:sz="4" w:space="0"/>
              <w:bottom w:val="single" w:color="auto" w:sz="4" w:space="0"/>
              <w:right w:val="single" w:color="auto" w:sz="4" w:space="0"/>
            </w:tcBorders>
            <w:vAlign w:val="center"/>
          </w:tcPr>
          <w:p w14:paraId="7A4FD21C">
            <w:pPr>
              <w:adjustRightInd w:val="0"/>
              <w:spacing w:before="29" w:line="360" w:lineRule="auto"/>
              <w:ind w:left="17"/>
              <w:rPr>
                <w:kern w:val="0"/>
              </w:rPr>
            </w:pPr>
            <w:r>
              <w:rPr>
                <w:kern w:val="0"/>
              </w:rPr>
              <w:t>508022</w:t>
            </w:r>
          </w:p>
        </w:tc>
      </w:tr>
      <w:tr w14:paraId="6C30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511813C6">
            <w:pPr>
              <w:adjustRightInd w:val="0"/>
              <w:spacing w:before="29" w:line="360" w:lineRule="auto"/>
              <w:ind w:left="17"/>
            </w:pPr>
            <w:r>
              <w:rPr>
                <w:kern w:val="0"/>
              </w:rPr>
              <w:t>基金运作方式</w:t>
            </w:r>
          </w:p>
        </w:tc>
        <w:tc>
          <w:tcPr>
            <w:tcW w:w="5245" w:type="dxa"/>
            <w:vAlign w:val="center"/>
          </w:tcPr>
          <w:p w14:paraId="23BB86D9">
            <w:pPr>
              <w:adjustRightInd w:val="0"/>
              <w:spacing w:before="29" w:line="360" w:lineRule="auto"/>
              <w:ind w:left="17"/>
            </w:pPr>
            <w:r>
              <w:rPr>
                <w:kern w:val="0"/>
              </w:rPr>
              <w:t>封闭式</w:t>
            </w:r>
          </w:p>
        </w:tc>
      </w:tr>
      <w:tr w14:paraId="2AE3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2AFD5681">
            <w:pPr>
              <w:adjustRightInd w:val="0"/>
              <w:spacing w:before="29" w:line="360" w:lineRule="auto"/>
              <w:ind w:left="17"/>
            </w:pPr>
            <w:r>
              <w:rPr>
                <w:kern w:val="0"/>
              </w:rPr>
              <w:t>基金合同生效日</w:t>
            </w:r>
          </w:p>
        </w:tc>
        <w:tc>
          <w:tcPr>
            <w:tcW w:w="5245" w:type="dxa"/>
            <w:vAlign w:val="center"/>
          </w:tcPr>
          <w:p w14:paraId="53EC4A16">
            <w:pPr>
              <w:adjustRightInd w:val="0"/>
              <w:spacing w:before="29" w:line="360" w:lineRule="auto"/>
              <w:ind w:left="17"/>
            </w:pPr>
            <w:r>
              <w:rPr>
                <w:kern w:val="0"/>
              </w:rPr>
              <w:t>2024年8月28日</w:t>
            </w:r>
          </w:p>
        </w:tc>
      </w:tr>
      <w:tr w14:paraId="1E50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61EFB0B7">
            <w:pPr>
              <w:adjustRightInd w:val="0"/>
              <w:spacing w:before="29" w:line="360" w:lineRule="auto"/>
              <w:ind w:left="17"/>
            </w:pPr>
            <w:r>
              <w:rPr>
                <w:kern w:val="0"/>
              </w:rPr>
              <w:t>基金管理人</w:t>
            </w:r>
          </w:p>
        </w:tc>
        <w:tc>
          <w:tcPr>
            <w:tcW w:w="5245" w:type="dxa"/>
            <w:vAlign w:val="center"/>
          </w:tcPr>
          <w:p w14:paraId="435B3D70">
            <w:pPr>
              <w:adjustRightInd w:val="0"/>
              <w:spacing w:before="29" w:line="360" w:lineRule="auto"/>
              <w:ind w:left="17"/>
            </w:pPr>
            <w:r>
              <w:rPr>
                <w:kern w:val="0"/>
              </w:rPr>
              <w:t>博时基金管理有限公司</w:t>
            </w:r>
          </w:p>
        </w:tc>
      </w:tr>
      <w:tr w14:paraId="6996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1CDC08DF">
            <w:pPr>
              <w:adjustRightInd w:val="0"/>
              <w:spacing w:before="29" w:line="360" w:lineRule="auto"/>
              <w:ind w:left="17"/>
            </w:pPr>
            <w:r>
              <w:rPr>
                <w:kern w:val="0"/>
              </w:rPr>
              <w:t>基金托管人</w:t>
            </w:r>
          </w:p>
        </w:tc>
        <w:tc>
          <w:tcPr>
            <w:tcW w:w="5245" w:type="dxa"/>
            <w:vAlign w:val="center"/>
          </w:tcPr>
          <w:p w14:paraId="404D1E77">
            <w:pPr>
              <w:adjustRightInd w:val="0"/>
              <w:spacing w:before="29" w:line="360" w:lineRule="auto"/>
              <w:ind w:left="17"/>
            </w:pPr>
            <w:r>
              <w:rPr>
                <w:kern w:val="0"/>
              </w:rPr>
              <w:t>渤海银行股份有限公司</w:t>
            </w:r>
          </w:p>
        </w:tc>
      </w:tr>
      <w:tr w14:paraId="2C001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50604B08">
            <w:pPr>
              <w:adjustRightInd w:val="0"/>
              <w:spacing w:before="29" w:line="360" w:lineRule="auto"/>
              <w:ind w:left="17"/>
            </w:pPr>
            <w:r>
              <w:rPr>
                <w:kern w:val="0"/>
              </w:rPr>
              <w:t>报告期末基金份额总额</w:t>
            </w:r>
          </w:p>
        </w:tc>
        <w:tc>
          <w:tcPr>
            <w:tcW w:w="5245" w:type="dxa"/>
            <w:vAlign w:val="center"/>
          </w:tcPr>
          <w:p w14:paraId="192B44EE">
            <w:pPr>
              <w:adjustRightInd w:val="0"/>
              <w:spacing w:before="29" w:line="360" w:lineRule="auto"/>
              <w:ind w:left="17"/>
            </w:pPr>
            <w:r>
              <w:rPr>
                <w:kern w:val="0"/>
              </w:rPr>
              <w:t>500,000,000.00份</w:t>
            </w:r>
          </w:p>
        </w:tc>
      </w:tr>
      <w:tr w14:paraId="7C5A7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1B3864CA">
            <w:pPr>
              <w:adjustRightInd w:val="0"/>
              <w:spacing w:before="29" w:line="360" w:lineRule="auto"/>
              <w:ind w:left="17"/>
              <w:rPr>
                <w:kern w:val="0"/>
              </w:rPr>
            </w:pPr>
            <w:r>
              <w:rPr>
                <w:kern w:val="0"/>
              </w:rPr>
              <w:t>基金合同存续期</w:t>
            </w:r>
          </w:p>
        </w:tc>
        <w:tc>
          <w:tcPr>
            <w:tcW w:w="5245" w:type="dxa"/>
            <w:vAlign w:val="center"/>
          </w:tcPr>
          <w:p w14:paraId="5D7F6BE1">
            <w:pPr>
              <w:adjustRightInd w:val="0"/>
              <w:spacing w:before="29" w:line="360" w:lineRule="auto"/>
              <w:ind w:left="17"/>
            </w:pPr>
            <w:r>
              <w:rPr>
                <w:kern w:val="0"/>
              </w:rPr>
              <w:t>35年（根据基金合同约定延长/缩短存续期限或提前终止的除外）</w:t>
            </w:r>
          </w:p>
        </w:tc>
      </w:tr>
      <w:tr w14:paraId="0ECDB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34899058">
            <w:pPr>
              <w:adjustRightInd w:val="0"/>
              <w:spacing w:before="29" w:line="360" w:lineRule="auto"/>
              <w:ind w:left="17"/>
              <w:rPr>
                <w:kern w:val="0"/>
              </w:rPr>
            </w:pPr>
            <w:r>
              <w:rPr>
                <w:kern w:val="0"/>
              </w:rPr>
              <w:t>基金份额上市的证券交易所</w:t>
            </w:r>
          </w:p>
        </w:tc>
        <w:tc>
          <w:tcPr>
            <w:tcW w:w="5245" w:type="dxa"/>
            <w:vAlign w:val="center"/>
          </w:tcPr>
          <w:p w14:paraId="1C734FEB">
            <w:pPr>
              <w:adjustRightInd w:val="0"/>
              <w:spacing w:before="29" w:line="360" w:lineRule="auto"/>
              <w:ind w:left="17"/>
            </w:pPr>
            <w:r>
              <w:rPr>
                <w:kern w:val="0"/>
              </w:rPr>
              <w:t>上海证券交易所</w:t>
            </w:r>
          </w:p>
        </w:tc>
      </w:tr>
      <w:tr w14:paraId="6213D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05D649D6">
            <w:pPr>
              <w:adjustRightInd w:val="0"/>
              <w:spacing w:before="29" w:line="360" w:lineRule="auto"/>
              <w:ind w:left="17"/>
              <w:rPr>
                <w:kern w:val="0"/>
              </w:rPr>
            </w:pPr>
            <w:r>
              <w:rPr>
                <w:kern w:val="0"/>
              </w:rPr>
              <w:t>上市日期</w:t>
            </w:r>
          </w:p>
        </w:tc>
        <w:tc>
          <w:tcPr>
            <w:tcW w:w="5245" w:type="dxa"/>
            <w:vAlign w:val="center"/>
          </w:tcPr>
          <w:p w14:paraId="08DB59E2">
            <w:pPr>
              <w:adjustRightInd w:val="0"/>
              <w:spacing w:before="29" w:line="360" w:lineRule="auto"/>
              <w:ind w:left="17"/>
            </w:pPr>
            <w:r>
              <w:rPr>
                <w:kern w:val="0"/>
              </w:rPr>
              <w:t>2024-09-19</w:t>
            </w:r>
          </w:p>
        </w:tc>
      </w:tr>
      <w:tr w14:paraId="2288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2F119DFE">
            <w:pPr>
              <w:adjustRightInd w:val="0"/>
              <w:spacing w:before="29" w:line="360" w:lineRule="auto"/>
              <w:ind w:left="17"/>
            </w:pPr>
            <w:r>
              <w:rPr>
                <w:kern w:val="0"/>
              </w:rPr>
              <w:t>投资目标</w:t>
            </w:r>
          </w:p>
        </w:tc>
        <w:tc>
          <w:tcPr>
            <w:tcW w:w="5245" w:type="dxa"/>
            <w:vAlign w:val="center"/>
          </w:tcPr>
          <w:p w14:paraId="51E6E912">
            <w:pPr>
              <w:adjustRightInd w:val="0"/>
              <w:spacing w:before="29" w:line="360" w:lineRule="auto"/>
              <w:ind w:left="17"/>
            </w:pPr>
            <w:r>
              <w:rPr>
                <w:kern w:val="0"/>
              </w:rPr>
              <w:t>本基金主要投资于不动产资产支持证券，并持有其全部份额；本基金通过资产支持证券等特殊目的载体取得不动产项目公司全部股权，最终取得相关不动产项目完全所有权。本基金通过主动的投资管理和运营管理，提升不动产项目的运营收益水平，力争为基金份额持有人提供稳定的收益分配及长期可持续的收益分配增长，并争取提升不动产项目价值。</w:t>
            </w:r>
          </w:p>
        </w:tc>
      </w:tr>
      <w:tr w14:paraId="1BA0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606D6A4B">
            <w:pPr>
              <w:adjustRightInd w:val="0"/>
              <w:spacing w:before="29" w:line="360" w:lineRule="auto"/>
              <w:ind w:left="17"/>
            </w:pPr>
            <w:r>
              <w:rPr>
                <w:kern w:val="0"/>
              </w:rPr>
              <w:t>投资策略</w:t>
            </w:r>
          </w:p>
        </w:tc>
        <w:tc>
          <w:tcPr>
            <w:tcW w:w="5245" w:type="dxa"/>
            <w:vAlign w:val="center"/>
          </w:tcPr>
          <w:p w14:paraId="5E4D063C">
            <w:pPr>
              <w:adjustRightInd w:val="0"/>
              <w:spacing w:before="29" w:line="360" w:lineRule="auto"/>
              <w:ind w:left="17"/>
            </w:pPr>
            <w:r>
              <w:rPr>
                <w:kern w:val="0"/>
              </w:rPr>
              <w:t>（一）不动产项目投资策略</w:t>
            </w:r>
          </w:p>
          <w:p w14:paraId="0B593F11">
            <w:pPr>
              <w:adjustRightInd w:val="0"/>
              <w:spacing w:before="29" w:line="360" w:lineRule="auto"/>
              <w:ind w:left="17"/>
            </w:pPr>
            <w:r>
              <w:rPr>
                <w:kern w:val="0"/>
              </w:rPr>
              <w:t>1、资产支持专项计划投资策略基金合同生效后，本基金将扣除本基金预留费用后的全部募集资金（不含募集期利息）投资于博时津开科工产业园封闭式基础设施1期资产支持专项计划的全部资产支持证券。博时津开科工产业园封闭式基础设施1期资产支持专项计划持有项目公司100%的股权和其他附属权益及衍生权益。前述不动产项目的基本情况、财务状况及经营业绩分析、现金流测算分析及未来运营展望、运营管理安排等信息详见本招募说明书。存续期内，本基金投资于不动产资产支持证券的资产比例不低于基金资产的80%。2、运营管理策略本基金将审慎论证宏观经济因素（就业、利率、人口结构等）、不动产项目行业周期（供需结构、运营收入和资产价格波动等）、其他可比资产项目的风险和预期收益率来判断不动产项目当前的投资价值以及未来的发展空间。在此基础上，本基金将深入调研不动产项目的基本面（包括但不限于位置、质量、资产价格、出租率、租金价格、租户、租约、现金流等）和运营基本面（包括但不限于定位、经营策略、租赁能力、运营管理能力、物业管理能力等），综合评估其收益状况、增值潜力和预测现金流收入规模等。同时，基金管理人将采取积极措施提高不动产项目的租金收入、出租率和净收益水平，以提升不动产项目增长前景。本基金将主要采取以下措施及策略维持最优出租率，实现租金收入的可持续增长：（1）积极开展不动产项目租赁管理；通过提供增值服务与现有租户维持良好关系，提高租户满意度，针对租赁期限即将届满的租赁协议，提前开展续租工作，将租赁协议届满所带来的影响减至最低；（2）积极营销推广，优化租赁方案以维持较高的出租率及租金水平；（3）优化租户结构，丰富租户多元性，通过高质量运营提升资产价值和回报水平；（4）与外部管理机构合作，提供高标准的专业服务，以持续满足租户的需求并提高其忠诚度；（5）通过科学和规范的不动产产管理与不动产项目运营，降低不动产项目运营成本，提升盈利水平。本基金将探索不同的策略，对不动产项目实施资产保值增值措施，从而进一步提高不动产项目的回报率，如升级设施、翻新及重建公共区域等。3、扩募收购策略等资产收购策略基金存续期内，本基金将积极寻找其他优质的不动产项目，以分散不动产项目的经营风险、提高基金资产的投资和运营收益。在评估潜在收购机会时，本基金管理人将专注于考核如下内容：（1）收益率要求基金管理人将在考虑监管、商业、政治及其他相关因素后，物色具备增值潜力的不动产项目，收购预期收益高于资本成本且预期能维持或增加基金份额持有人回报，同时能平衡与该等投资相关的多种风险的不动产项目。（2）地理位置及增长潜力基金管理人将评估不动产项目的地理位置、国家政策、产业规划、市场增长潜力及本基金所投不动产项目的整体地域分布的影响。本基金管理人也将对不动产项目周边设施及规划进行评估，如交通便利性、产业结构等。同时，亦将考虑其他因素，如不动产项目所在地区发展前景、周边市场的成熟度、产业及项目集中程度与竞争情况等。（3）租户及租户特征基金管理人将对不动产项目的租金及租户保留率与其各自区域的竞争不动产项目的租金及租户保留率的比较作出评估。此外，本基金管理人将评估租户素质，并于收购该不动产项目前估计出租率。（4）资产增值潜力基金管理人将不动产项目价格的上涨潜力视为资产管理、市场定位及其他资产增值措施的一部分。（5）建筑物及设施规格对于本基金拟收购的不动产项目，基金管理人将遵守相关法律及分区规划条例以及质量规格，考虑建筑物的大小及使用年限。独立评估机构将评估不动产项目中短期维修、维护及资本开支需求。本基金可以通过扩募购入不动产项目，亦可通过出售原有部分或全部不动产项目的方式购入其他不动产项目。4、资产出售及处置策略基金存续期内，若出现本基金原有部分或全部不动产项目持有期收益率下降、不动产项目运营质量下降、不动产项目的市场价值持续走高溢价明显或有更好的收购标的等情况时，基金管理人将寻求机会处置不动产项目。基金管理人将积极寻求综合实力强、报价合理的交易对手方，在平衡资产对价、交割速度、付款方案等多个因素后，择机处置相关不动产项目。如本基金存续期内不动产项目的产权证到期且续期困难或续期价值不明显，或本基金存续期届满后不再续期，基金管理人将提前安排不动产项目处置方案，积极寻求综合实力强、报价合理的交易对手方，在平衡资产对价、交割速度、付款方案等多个因素后，力争于清算期内完成资产处置。</w:t>
            </w:r>
          </w:p>
          <w:p w14:paraId="7305E4DB">
            <w:pPr>
              <w:adjustRightInd w:val="0"/>
              <w:spacing w:before="29" w:line="360" w:lineRule="auto"/>
              <w:ind w:left="17"/>
            </w:pPr>
            <w:r>
              <w:rPr>
                <w:kern w:val="0"/>
              </w:rPr>
              <w:t>（二）基金的融资策略基金存续期内，在控制风险及遵循基金份额持有人利益优先原则的前提下，本基金将综合使用各种融资方式，提高基金份额持有人的投资收益，包括但不限于基金扩募、回购、直接或间接对外借入款项和法律法规允许的其他方式等。</w:t>
            </w:r>
          </w:p>
          <w:p w14:paraId="43552212">
            <w:pPr>
              <w:adjustRightInd w:val="0"/>
              <w:spacing w:before="29" w:line="360" w:lineRule="auto"/>
              <w:ind w:left="17"/>
            </w:pPr>
            <w:r>
              <w:rPr>
                <w:kern w:val="0"/>
              </w:rPr>
              <w:t>（三）固定收益投资策略存续期内，本基金除投资不动产资产支持证券外，其余基金资产应当依法投资于利率债、AAA级信用债或货币市场工具。这部分基金资产的投资策略如下：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在谨慎投资的前提下，力争获取稳健的投资收益。在以上战略性资产配置的基础上，本基金采用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本基金灵活应用各种期限结构策略、信用策略、互换策略、息差策略等。本基金在控制利率风险、在合理管理并控制组合风险的前提下，最大化组合收益。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p>
        </w:tc>
      </w:tr>
      <w:tr w14:paraId="3FC5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14E1B8A1">
            <w:pPr>
              <w:adjustRightInd w:val="0"/>
              <w:spacing w:before="29" w:line="360" w:lineRule="auto"/>
              <w:ind w:left="17"/>
            </w:pPr>
            <w:r>
              <w:rPr>
                <w:kern w:val="0"/>
              </w:rPr>
              <w:t>风险收益特征</w:t>
            </w:r>
          </w:p>
        </w:tc>
        <w:tc>
          <w:tcPr>
            <w:tcW w:w="5245" w:type="dxa"/>
            <w:vAlign w:val="center"/>
          </w:tcPr>
          <w:p w14:paraId="3274A406">
            <w:pPr>
              <w:adjustRightInd w:val="0"/>
              <w:spacing w:before="29" w:line="360" w:lineRule="auto"/>
              <w:ind w:left="17"/>
            </w:pPr>
            <w:r>
              <w:rPr>
                <w:kern w:val="0"/>
              </w:rPr>
              <w:t>本基金在封闭运作期内主要投资于不动产资产支持证券，获取不动产运营收益并承担不动产价格波动。本基金的预期收益及预期风险水平高于债券型基金和货币型基金，低于股票型基金。</w:t>
            </w:r>
          </w:p>
        </w:tc>
      </w:tr>
      <w:tr w14:paraId="268B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0D861467">
            <w:pPr>
              <w:adjustRightInd w:val="0"/>
              <w:snapToGrid w:val="0"/>
              <w:spacing w:line="360" w:lineRule="auto"/>
              <w:rPr>
                <w:kern w:val="0"/>
              </w:rPr>
            </w:pPr>
            <w:r>
              <w:rPr>
                <w:kern w:val="0"/>
              </w:rPr>
              <w:t>基金收益分配政策</w:t>
            </w:r>
          </w:p>
        </w:tc>
        <w:tc>
          <w:tcPr>
            <w:tcW w:w="5245" w:type="dxa"/>
            <w:vAlign w:val="center"/>
          </w:tcPr>
          <w:p w14:paraId="6BC959EE">
            <w:pPr>
              <w:adjustRightInd w:val="0"/>
              <w:spacing w:before="29" w:line="360" w:lineRule="auto"/>
              <w:ind w:left="17"/>
              <w:rPr>
                <w:kern w:val="0"/>
              </w:rPr>
            </w:pPr>
            <w:r>
              <w:rPr>
                <w:kern w:val="0"/>
              </w:rPr>
              <w:t>本基金收益分配采取现金分红方式。在符合有关基金分红的条件下，本基金每年至少进行收益分配1次，每次收益分配的比例应不低于合并后基金年度可供分配金额的90%。</w:t>
            </w:r>
          </w:p>
        </w:tc>
      </w:tr>
      <w:tr w14:paraId="62DC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6032D8AA">
            <w:pPr>
              <w:adjustRightInd w:val="0"/>
              <w:snapToGrid w:val="0"/>
              <w:spacing w:line="360" w:lineRule="auto"/>
              <w:rPr>
                <w:kern w:val="0"/>
              </w:rPr>
            </w:pPr>
            <w:r>
              <w:rPr>
                <w:kern w:val="0"/>
              </w:rPr>
              <w:t>资产支持证券管理人</w:t>
            </w:r>
          </w:p>
        </w:tc>
        <w:tc>
          <w:tcPr>
            <w:tcW w:w="5245" w:type="dxa"/>
            <w:vAlign w:val="center"/>
          </w:tcPr>
          <w:p w14:paraId="19AED2DE">
            <w:pPr>
              <w:adjustRightInd w:val="0"/>
              <w:spacing w:before="29" w:line="360" w:lineRule="auto"/>
              <w:ind w:left="17"/>
            </w:pPr>
            <w:r>
              <w:rPr>
                <w:kern w:val="0"/>
              </w:rPr>
              <w:t>博时资本管理有限公司</w:t>
            </w:r>
          </w:p>
        </w:tc>
      </w:tr>
      <w:tr w14:paraId="0684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39377C66">
            <w:pPr>
              <w:adjustRightInd w:val="0"/>
              <w:snapToGrid w:val="0"/>
              <w:spacing w:line="360" w:lineRule="auto"/>
              <w:rPr>
                <w:kern w:val="0"/>
              </w:rPr>
            </w:pPr>
            <w:r>
              <w:rPr>
                <w:kern w:val="0"/>
              </w:rPr>
              <w:t>运营管理机构</w:t>
            </w:r>
          </w:p>
        </w:tc>
        <w:tc>
          <w:tcPr>
            <w:tcW w:w="5245" w:type="dxa"/>
            <w:vAlign w:val="center"/>
          </w:tcPr>
          <w:p w14:paraId="20AC2142">
            <w:pPr>
              <w:adjustRightInd w:val="0"/>
              <w:spacing w:before="29" w:line="360" w:lineRule="auto"/>
              <w:ind w:left="17"/>
              <w:rPr>
                <w:kern w:val="0"/>
              </w:rPr>
            </w:pPr>
            <w:r>
              <w:rPr>
                <w:kern w:val="0"/>
              </w:rPr>
              <w:t>天津泰达产业园管理有限公司</w:t>
            </w:r>
          </w:p>
        </w:tc>
      </w:tr>
    </w:tbl>
    <w:p w14:paraId="08AB092C">
      <w:pPr>
        <w:adjustRightInd w:val="0"/>
        <w:snapToGrid w:val="0"/>
        <w:spacing w:line="360" w:lineRule="auto"/>
        <w:rPr>
          <w:b/>
          <w:bCs/>
          <w:color w:val="000000" w:themeColor="text1"/>
          <w:sz w:val="24"/>
          <w:szCs w:val="24"/>
        </w:rPr>
      </w:pPr>
      <w:r>
        <w:rPr>
          <w:b/>
          <w:bCs/>
          <w:color w:val="000000" w:themeColor="text1"/>
          <w:sz w:val="24"/>
          <w:szCs w:val="24"/>
        </w:rPr>
        <w:t>2.2 不动产项目基本情况说明</w:t>
      </w:r>
    </w:p>
    <w:p w14:paraId="248B9D80">
      <w:pPr>
        <w:adjustRightInd w:val="0"/>
        <w:snapToGrid w:val="0"/>
        <w:spacing w:line="360" w:lineRule="auto"/>
        <w:jc w:val="left"/>
        <w:rPr>
          <w:color w:val="000000" w:themeColor="text1"/>
          <w:kern w:val="0"/>
        </w:rPr>
      </w:pPr>
      <w:r>
        <w:rPr>
          <w:color w:val="000000" w:themeColor="text1"/>
          <w:kern w:val="0"/>
        </w:rPr>
        <w:t>不动产项目名称：天河数字产业园</w:t>
      </w:r>
    </w:p>
    <w:tbl>
      <w:tblPr>
        <w:tblStyle w:val="24"/>
        <w:tblW w:w="85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261"/>
        <w:gridCol w:w="5245"/>
      </w:tblGrid>
      <w:tr w14:paraId="0C5CD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6CE3C12F">
            <w:pPr>
              <w:adjustRightInd w:val="0"/>
              <w:snapToGrid w:val="0"/>
              <w:spacing w:line="360" w:lineRule="auto"/>
              <w:rPr>
                <w:color w:val="000000" w:themeColor="text1"/>
                <w:kern w:val="0"/>
              </w:rPr>
            </w:pPr>
            <w:r>
              <w:rPr>
                <w:color w:val="000000" w:themeColor="text1"/>
                <w:kern w:val="0"/>
              </w:rPr>
              <w:t>项目公司名称</w:t>
            </w:r>
          </w:p>
        </w:tc>
        <w:tc>
          <w:tcPr>
            <w:tcW w:w="5245" w:type="dxa"/>
          </w:tcPr>
          <w:p w14:paraId="78771B3C">
            <w:pPr>
              <w:adjustRightInd w:val="0"/>
              <w:snapToGrid w:val="0"/>
              <w:spacing w:line="360" w:lineRule="auto"/>
              <w:rPr>
                <w:color w:val="000000" w:themeColor="text1"/>
                <w:kern w:val="0"/>
              </w:rPr>
            </w:pPr>
            <w:r>
              <w:rPr>
                <w:color w:val="000000" w:themeColor="text1"/>
                <w:kern w:val="0"/>
              </w:rPr>
              <w:t>天津泰达数字产业园有限公司</w:t>
            </w:r>
          </w:p>
        </w:tc>
      </w:tr>
      <w:tr w14:paraId="2F7119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603F7E97">
            <w:pPr>
              <w:adjustRightInd w:val="0"/>
              <w:snapToGrid w:val="0"/>
              <w:spacing w:line="360" w:lineRule="auto"/>
              <w:rPr>
                <w:color w:val="000000" w:themeColor="text1"/>
                <w:kern w:val="0"/>
              </w:rPr>
            </w:pPr>
            <w:r>
              <w:rPr>
                <w:color w:val="000000" w:themeColor="text1"/>
                <w:kern w:val="0"/>
              </w:rPr>
              <w:t>不动产项目业态</w:t>
            </w:r>
          </w:p>
        </w:tc>
        <w:tc>
          <w:tcPr>
            <w:tcW w:w="5245" w:type="dxa"/>
          </w:tcPr>
          <w:p w14:paraId="7EE84377">
            <w:pPr>
              <w:adjustRightInd w:val="0"/>
              <w:snapToGrid w:val="0"/>
              <w:spacing w:line="360" w:lineRule="auto"/>
              <w:rPr>
                <w:color w:val="000000" w:themeColor="text1"/>
                <w:kern w:val="0"/>
              </w:rPr>
            </w:pPr>
            <w:r>
              <w:rPr>
                <w:color w:val="000000" w:themeColor="text1"/>
                <w:kern w:val="0"/>
              </w:rPr>
              <w:t>产业园区</w:t>
            </w:r>
          </w:p>
        </w:tc>
      </w:tr>
      <w:tr w14:paraId="30BE48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20EE10AA">
            <w:pPr>
              <w:adjustRightInd w:val="0"/>
              <w:snapToGrid w:val="0"/>
              <w:spacing w:line="360" w:lineRule="auto"/>
              <w:rPr>
                <w:color w:val="000000" w:themeColor="text1"/>
                <w:kern w:val="0"/>
              </w:rPr>
            </w:pPr>
            <w:r>
              <w:rPr>
                <w:color w:val="000000" w:themeColor="text1"/>
                <w:kern w:val="0"/>
              </w:rPr>
              <w:t>不动产项目主要经营模式</w:t>
            </w:r>
          </w:p>
        </w:tc>
        <w:tc>
          <w:tcPr>
            <w:tcW w:w="5245" w:type="dxa"/>
          </w:tcPr>
          <w:p w14:paraId="68020673">
            <w:pPr>
              <w:adjustRightInd w:val="0"/>
              <w:snapToGrid w:val="0"/>
              <w:spacing w:line="360" w:lineRule="auto"/>
              <w:rPr>
                <w:color w:val="000000" w:themeColor="text1"/>
                <w:kern w:val="0"/>
              </w:rPr>
            </w:pPr>
            <w:r>
              <w:rPr>
                <w:color w:val="000000" w:themeColor="text1"/>
                <w:kern w:val="0"/>
              </w:rPr>
              <w:t>园区管理服务</w:t>
            </w:r>
          </w:p>
        </w:tc>
      </w:tr>
      <w:tr w14:paraId="6B9EAB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EF28D8A">
            <w:pPr>
              <w:adjustRightInd w:val="0"/>
              <w:snapToGrid w:val="0"/>
              <w:spacing w:line="360" w:lineRule="auto"/>
              <w:rPr>
                <w:color w:val="000000" w:themeColor="text1"/>
                <w:kern w:val="0"/>
              </w:rPr>
            </w:pPr>
            <w:r>
              <w:rPr>
                <w:color w:val="000000" w:themeColor="text1"/>
                <w:kern w:val="0"/>
              </w:rPr>
              <w:t>不动产项目地理位置</w:t>
            </w:r>
          </w:p>
        </w:tc>
        <w:tc>
          <w:tcPr>
            <w:tcW w:w="5245" w:type="dxa"/>
          </w:tcPr>
          <w:p w14:paraId="0A2C96B7">
            <w:pPr>
              <w:adjustRightInd w:val="0"/>
              <w:snapToGrid w:val="0"/>
              <w:spacing w:line="360" w:lineRule="auto"/>
              <w:rPr>
                <w:color w:val="000000" w:themeColor="text1"/>
                <w:kern w:val="0"/>
              </w:rPr>
            </w:pPr>
            <w:r>
              <w:rPr>
                <w:color w:val="000000" w:themeColor="text1"/>
                <w:kern w:val="0"/>
              </w:rPr>
              <w:t>天津市滨海新区经济技术开发区</w:t>
            </w:r>
          </w:p>
        </w:tc>
      </w:tr>
    </w:tbl>
    <w:p w14:paraId="74E9D62D">
      <w:pPr>
        <w:adjustRightInd w:val="0"/>
        <w:snapToGrid w:val="0"/>
        <w:spacing w:line="360" w:lineRule="auto"/>
        <w:jc w:val="left"/>
        <w:rPr>
          <w:color w:val="000000" w:themeColor="text1"/>
          <w:kern w:val="0"/>
        </w:rPr>
      </w:pPr>
      <w:r>
        <w:rPr>
          <w:color w:val="000000" w:themeColor="text1"/>
          <w:kern w:val="0"/>
        </w:rPr>
        <w:t>不动产项目名称：大陆汽车厂房产业园</w:t>
      </w:r>
    </w:p>
    <w:tbl>
      <w:tblPr>
        <w:tblStyle w:val="24"/>
        <w:tblW w:w="85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261"/>
        <w:gridCol w:w="5245"/>
      </w:tblGrid>
      <w:tr w14:paraId="7054F5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DEE29A8">
            <w:pPr>
              <w:adjustRightInd w:val="0"/>
              <w:snapToGrid w:val="0"/>
              <w:spacing w:line="360" w:lineRule="auto"/>
              <w:rPr>
                <w:color w:val="000000" w:themeColor="text1"/>
                <w:kern w:val="0"/>
              </w:rPr>
            </w:pPr>
            <w:r>
              <w:rPr>
                <w:color w:val="000000" w:themeColor="text1"/>
                <w:kern w:val="0"/>
              </w:rPr>
              <w:t>项目公司名称</w:t>
            </w:r>
          </w:p>
        </w:tc>
        <w:tc>
          <w:tcPr>
            <w:tcW w:w="5245" w:type="dxa"/>
          </w:tcPr>
          <w:p w14:paraId="04C0B7B9">
            <w:pPr>
              <w:adjustRightInd w:val="0"/>
              <w:snapToGrid w:val="0"/>
              <w:spacing w:line="360" w:lineRule="auto"/>
              <w:rPr>
                <w:color w:val="000000" w:themeColor="text1"/>
                <w:kern w:val="0"/>
              </w:rPr>
            </w:pPr>
            <w:r>
              <w:rPr>
                <w:color w:val="000000" w:themeColor="text1"/>
                <w:kern w:val="0"/>
              </w:rPr>
              <w:t>天津泰达智造产业园有限公司</w:t>
            </w:r>
          </w:p>
        </w:tc>
      </w:tr>
      <w:tr w14:paraId="6ED4E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6627E11">
            <w:pPr>
              <w:adjustRightInd w:val="0"/>
              <w:snapToGrid w:val="0"/>
              <w:spacing w:line="360" w:lineRule="auto"/>
              <w:rPr>
                <w:color w:val="000000" w:themeColor="text1"/>
                <w:kern w:val="0"/>
              </w:rPr>
            </w:pPr>
            <w:r>
              <w:rPr>
                <w:color w:val="000000" w:themeColor="text1"/>
                <w:kern w:val="0"/>
              </w:rPr>
              <w:t>不动产项目业态</w:t>
            </w:r>
          </w:p>
        </w:tc>
        <w:tc>
          <w:tcPr>
            <w:tcW w:w="5245" w:type="dxa"/>
          </w:tcPr>
          <w:p w14:paraId="0B8B01E9">
            <w:pPr>
              <w:adjustRightInd w:val="0"/>
              <w:snapToGrid w:val="0"/>
              <w:spacing w:line="360" w:lineRule="auto"/>
              <w:rPr>
                <w:color w:val="000000" w:themeColor="text1"/>
                <w:kern w:val="0"/>
              </w:rPr>
            </w:pPr>
            <w:r>
              <w:rPr>
                <w:color w:val="000000" w:themeColor="text1"/>
                <w:kern w:val="0"/>
              </w:rPr>
              <w:t>产业园区</w:t>
            </w:r>
          </w:p>
        </w:tc>
      </w:tr>
      <w:tr w14:paraId="6112EC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7A009975">
            <w:pPr>
              <w:adjustRightInd w:val="0"/>
              <w:snapToGrid w:val="0"/>
              <w:spacing w:line="360" w:lineRule="auto"/>
              <w:rPr>
                <w:color w:val="000000" w:themeColor="text1"/>
                <w:kern w:val="0"/>
              </w:rPr>
            </w:pPr>
            <w:r>
              <w:rPr>
                <w:color w:val="000000" w:themeColor="text1"/>
                <w:kern w:val="0"/>
              </w:rPr>
              <w:t>不动产项目主要经营模式</w:t>
            </w:r>
          </w:p>
        </w:tc>
        <w:tc>
          <w:tcPr>
            <w:tcW w:w="5245" w:type="dxa"/>
          </w:tcPr>
          <w:p w14:paraId="040C25CD">
            <w:pPr>
              <w:adjustRightInd w:val="0"/>
              <w:snapToGrid w:val="0"/>
              <w:spacing w:line="360" w:lineRule="auto"/>
              <w:rPr>
                <w:color w:val="000000" w:themeColor="text1"/>
                <w:kern w:val="0"/>
              </w:rPr>
            </w:pPr>
            <w:r>
              <w:rPr>
                <w:color w:val="000000" w:themeColor="text1"/>
                <w:kern w:val="0"/>
              </w:rPr>
              <w:t>园区管理服务</w:t>
            </w:r>
          </w:p>
        </w:tc>
      </w:tr>
      <w:tr w14:paraId="26738E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2E090D0D">
            <w:pPr>
              <w:adjustRightInd w:val="0"/>
              <w:snapToGrid w:val="0"/>
              <w:spacing w:line="360" w:lineRule="auto"/>
              <w:rPr>
                <w:color w:val="000000" w:themeColor="text1"/>
                <w:kern w:val="0"/>
              </w:rPr>
            </w:pPr>
            <w:r>
              <w:rPr>
                <w:color w:val="000000" w:themeColor="text1"/>
                <w:kern w:val="0"/>
              </w:rPr>
              <w:t>不动产项目地理位置</w:t>
            </w:r>
          </w:p>
        </w:tc>
        <w:tc>
          <w:tcPr>
            <w:tcW w:w="5245" w:type="dxa"/>
          </w:tcPr>
          <w:p w14:paraId="2C4677ED">
            <w:pPr>
              <w:adjustRightInd w:val="0"/>
              <w:snapToGrid w:val="0"/>
              <w:spacing w:line="360" w:lineRule="auto"/>
              <w:rPr>
                <w:color w:val="000000" w:themeColor="text1"/>
                <w:kern w:val="0"/>
              </w:rPr>
            </w:pPr>
            <w:r>
              <w:rPr>
                <w:color w:val="000000" w:themeColor="text1"/>
                <w:kern w:val="0"/>
              </w:rPr>
              <w:t>天津市滨海新区经济技术开发区</w:t>
            </w:r>
          </w:p>
        </w:tc>
      </w:tr>
    </w:tbl>
    <w:p w14:paraId="7B235F7F">
      <w:pPr>
        <w:adjustRightInd w:val="0"/>
        <w:snapToGrid w:val="0"/>
        <w:spacing w:line="360" w:lineRule="auto"/>
        <w:rPr>
          <w:b/>
          <w:color w:val="000000" w:themeColor="text1"/>
          <w:kern w:val="0"/>
          <w:sz w:val="24"/>
          <w:szCs w:val="24"/>
        </w:rPr>
      </w:pPr>
      <w:r>
        <w:rPr>
          <w:b/>
          <w:color w:val="000000" w:themeColor="text1"/>
          <w:kern w:val="0"/>
          <w:sz w:val="24"/>
          <w:szCs w:val="24"/>
        </w:rPr>
        <w:t>2.3  不动产基金扩募情况</w:t>
      </w:r>
    </w:p>
    <w:p w14:paraId="2FD290F6">
      <w:pPr>
        <w:widowControl/>
        <w:shd w:val="clear" w:color="auto" w:fill="FFFFFF"/>
        <w:spacing w:line="360" w:lineRule="auto"/>
        <w:ind w:firstLine="480"/>
        <w:rPr>
          <w:color w:val="000000" w:themeColor="text1"/>
          <w:kern w:val="0"/>
        </w:rPr>
      </w:pPr>
      <w:r>
        <w:rPr>
          <w:color w:val="000000" w:themeColor="text1"/>
          <w:kern w:val="0"/>
        </w:rPr>
        <w:t>本报告期内，本基金无扩募情况。</w:t>
      </w:r>
    </w:p>
    <w:p w14:paraId="3C0FFD2B">
      <w:pPr>
        <w:adjustRightInd w:val="0"/>
        <w:snapToGrid w:val="0"/>
        <w:spacing w:line="360" w:lineRule="auto"/>
        <w:rPr>
          <w:b/>
          <w:color w:val="000000" w:themeColor="text1"/>
          <w:kern w:val="0"/>
          <w:sz w:val="24"/>
          <w:szCs w:val="24"/>
        </w:rPr>
      </w:pPr>
      <w:r>
        <w:rPr>
          <w:b/>
          <w:color w:val="000000" w:themeColor="text1"/>
          <w:kern w:val="0"/>
          <w:sz w:val="24"/>
          <w:szCs w:val="24"/>
        </w:rPr>
        <w:t>2.4  基金管理人和运营管理机构</w:t>
      </w:r>
    </w:p>
    <w:tbl>
      <w:tblPr>
        <w:tblStyle w:val="24"/>
        <w:tblW w:w="8452"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2"/>
        <w:gridCol w:w="1128"/>
        <w:gridCol w:w="2432"/>
        <w:gridCol w:w="3490"/>
      </w:tblGrid>
      <w:tr w14:paraId="1CEB3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4C701F41">
            <w:pPr>
              <w:adjustRightInd w:val="0"/>
              <w:spacing w:before="29" w:line="360" w:lineRule="auto"/>
              <w:ind w:left="17"/>
              <w:jc w:val="center"/>
              <w:rPr>
                <w:kern w:val="0"/>
              </w:rPr>
            </w:pPr>
            <w:r>
              <w:rPr>
                <w:kern w:val="0"/>
              </w:rPr>
              <w:t>项目</w:t>
            </w:r>
          </w:p>
        </w:tc>
        <w:tc>
          <w:tcPr>
            <w:tcW w:w="2432" w:type="dxa"/>
            <w:vAlign w:val="center"/>
          </w:tcPr>
          <w:p w14:paraId="046BE924">
            <w:pPr>
              <w:spacing w:line="360" w:lineRule="auto"/>
              <w:ind w:left="17"/>
              <w:jc w:val="center"/>
              <w:rPr>
                <w:kern w:val="0"/>
              </w:rPr>
            </w:pPr>
            <w:r>
              <w:rPr>
                <w:kern w:val="0"/>
              </w:rPr>
              <w:t>基金管理人</w:t>
            </w:r>
          </w:p>
        </w:tc>
        <w:tc>
          <w:tcPr>
            <w:tcW w:w="3490" w:type="dxa"/>
            <w:vAlign w:val="center"/>
          </w:tcPr>
          <w:p w14:paraId="3ADBCC77">
            <w:pPr>
              <w:spacing w:line="360" w:lineRule="auto"/>
              <w:ind w:left="17"/>
              <w:jc w:val="center"/>
              <w:rPr>
                <w:kern w:val="0"/>
              </w:rPr>
            </w:pPr>
            <w:r>
              <w:rPr>
                <w:kern w:val="0"/>
              </w:rPr>
              <w:t>运营管理机构</w:t>
            </w:r>
          </w:p>
        </w:tc>
      </w:tr>
      <w:tr w14:paraId="316C2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06C59C10">
            <w:pPr>
              <w:adjustRightInd w:val="0"/>
              <w:snapToGrid w:val="0"/>
              <w:spacing w:line="360" w:lineRule="auto"/>
              <w:jc w:val="center"/>
              <w:rPr>
                <w:color w:val="000000" w:themeColor="text1"/>
                <w:kern w:val="0"/>
              </w:rPr>
            </w:pPr>
            <w:r>
              <w:rPr>
                <w:color w:val="000000" w:themeColor="text1"/>
                <w:kern w:val="0"/>
              </w:rPr>
              <w:t>名称</w:t>
            </w:r>
          </w:p>
        </w:tc>
        <w:tc>
          <w:tcPr>
            <w:tcW w:w="2432" w:type="dxa"/>
            <w:vAlign w:val="center"/>
          </w:tcPr>
          <w:p w14:paraId="6600BBD8">
            <w:pPr>
              <w:adjustRightInd w:val="0"/>
              <w:snapToGrid w:val="0"/>
              <w:spacing w:line="360" w:lineRule="auto"/>
              <w:rPr>
                <w:color w:val="000000" w:themeColor="text1"/>
                <w:kern w:val="0"/>
              </w:rPr>
            </w:pPr>
            <w:r>
              <w:rPr>
                <w:color w:val="000000" w:themeColor="text1"/>
                <w:kern w:val="0"/>
              </w:rPr>
              <w:t>博时基金管理有限公司</w:t>
            </w:r>
          </w:p>
        </w:tc>
        <w:tc>
          <w:tcPr>
            <w:tcW w:w="3490" w:type="dxa"/>
            <w:vAlign w:val="center"/>
          </w:tcPr>
          <w:p w14:paraId="453349DA">
            <w:pPr>
              <w:autoSpaceDE w:val="0"/>
              <w:autoSpaceDN w:val="0"/>
              <w:adjustRightInd w:val="0"/>
              <w:snapToGrid w:val="0"/>
              <w:spacing w:before="29" w:line="360" w:lineRule="auto"/>
              <w:ind w:left="15"/>
              <w:rPr>
                <w:color w:val="000000" w:themeColor="text1"/>
                <w:kern w:val="0"/>
              </w:rPr>
            </w:pPr>
            <w:r>
              <w:rPr>
                <w:color w:val="000000" w:themeColor="text1"/>
                <w:kern w:val="0"/>
              </w:rPr>
              <w:t>天津泰达产业园管理有限公司</w:t>
            </w:r>
          </w:p>
        </w:tc>
      </w:tr>
      <w:tr w14:paraId="37C02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02" w:type="dxa"/>
            <w:vMerge w:val="restart"/>
            <w:vAlign w:val="center"/>
          </w:tcPr>
          <w:p w14:paraId="1CEC044E">
            <w:pPr>
              <w:adjustRightInd w:val="0"/>
              <w:snapToGrid w:val="0"/>
              <w:spacing w:line="360" w:lineRule="auto"/>
              <w:rPr>
                <w:color w:val="000000" w:themeColor="text1"/>
                <w:kern w:val="0"/>
              </w:rPr>
            </w:pPr>
            <w:r>
              <w:rPr>
                <w:color w:val="000000" w:themeColor="text1"/>
                <w:kern w:val="0"/>
              </w:rPr>
              <w:t>信息披露事务负责人</w:t>
            </w:r>
          </w:p>
        </w:tc>
        <w:tc>
          <w:tcPr>
            <w:tcW w:w="1128" w:type="dxa"/>
            <w:vAlign w:val="center"/>
          </w:tcPr>
          <w:p w14:paraId="256DD903">
            <w:pPr>
              <w:snapToGrid w:val="0"/>
              <w:spacing w:line="360" w:lineRule="auto"/>
              <w:jc w:val="left"/>
              <w:rPr>
                <w:color w:val="000000" w:themeColor="text1"/>
                <w:kern w:val="0"/>
              </w:rPr>
            </w:pPr>
            <w:r>
              <w:rPr>
                <w:color w:val="000000" w:themeColor="text1"/>
                <w:kern w:val="0"/>
              </w:rPr>
              <w:t>姓名</w:t>
            </w:r>
          </w:p>
        </w:tc>
        <w:tc>
          <w:tcPr>
            <w:tcW w:w="2432" w:type="dxa"/>
            <w:vAlign w:val="center"/>
          </w:tcPr>
          <w:p w14:paraId="022B162B">
            <w:pPr>
              <w:adjustRightInd w:val="0"/>
              <w:snapToGrid w:val="0"/>
              <w:spacing w:line="360" w:lineRule="auto"/>
              <w:rPr>
                <w:color w:val="000000" w:themeColor="text1"/>
                <w:kern w:val="0"/>
              </w:rPr>
            </w:pPr>
            <w:r>
              <w:rPr>
                <w:color w:val="000000" w:themeColor="text1"/>
                <w:kern w:val="0"/>
              </w:rPr>
              <w:t>吴曼</w:t>
            </w:r>
          </w:p>
        </w:tc>
        <w:tc>
          <w:tcPr>
            <w:tcW w:w="3490" w:type="dxa"/>
            <w:vAlign w:val="center"/>
          </w:tcPr>
          <w:p w14:paraId="49FE2D70">
            <w:pPr>
              <w:autoSpaceDE w:val="0"/>
              <w:autoSpaceDN w:val="0"/>
              <w:adjustRightInd w:val="0"/>
              <w:snapToGrid w:val="0"/>
              <w:spacing w:before="29" w:line="360" w:lineRule="auto"/>
              <w:ind w:left="15"/>
              <w:rPr>
                <w:color w:val="000000" w:themeColor="text1"/>
                <w:kern w:val="0"/>
              </w:rPr>
            </w:pPr>
            <w:r>
              <w:rPr>
                <w:color w:val="000000" w:themeColor="text1"/>
                <w:kern w:val="0"/>
              </w:rPr>
              <w:t>杨帆</w:t>
            </w:r>
          </w:p>
        </w:tc>
      </w:tr>
      <w:tr w14:paraId="001DF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02" w:type="dxa"/>
            <w:vMerge w:val="continue"/>
            <w:vAlign w:val="center"/>
          </w:tcPr>
          <w:p w14:paraId="61B31A76">
            <w:pPr>
              <w:adjustRightInd w:val="0"/>
              <w:snapToGrid w:val="0"/>
              <w:spacing w:line="360" w:lineRule="auto"/>
              <w:rPr>
                <w:color w:val="000000" w:themeColor="text1"/>
                <w:kern w:val="0"/>
              </w:rPr>
            </w:pPr>
          </w:p>
        </w:tc>
        <w:tc>
          <w:tcPr>
            <w:tcW w:w="1128" w:type="dxa"/>
            <w:vAlign w:val="center"/>
          </w:tcPr>
          <w:p w14:paraId="2F0B0E7D">
            <w:pPr>
              <w:autoSpaceDE w:val="0"/>
              <w:autoSpaceDN w:val="0"/>
              <w:adjustRightInd w:val="0"/>
              <w:snapToGrid w:val="0"/>
              <w:spacing w:before="29" w:line="360" w:lineRule="auto"/>
              <w:ind w:left="15"/>
              <w:rPr>
                <w:color w:val="000000" w:themeColor="text1"/>
                <w:kern w:val="0"/>
              </w:rPr>
            </w:pPr>
            <w:r>
              <w:rPr>
                <w:color w:val="000000" w:themeColor="text1"/>
                <w:kern w:val="0"/>
              </w:rPr>
              <w:t>职务</w:t>
            </w:r>
          </w:p>
        </w:tc>
        <w:tc>
          <w:tcPr>
            <w:tcW w:w="2432" w:type="dxa"/>
            <w:vAlign w:val="center"/>
          </w:tcPr>
          <w:p w14:paraId="5637A148">
            <w:pPr>
              <w:adjustRightInd w:val="0"/>
              <w:snapToGrid w:val="0"/>
              <w:spacing w:line="360" w:lineRule="auto"/>
              <w:rPr>
                <w:color w:val="000000" w:themeColor="text1"/>
                <w:kern w:val="0"/>
              </w:rPr>
            </w:pPr>
            <w:r>
              <w:rPr>
                <w:color w:val="000000" w:themeColor="text1"/>
                <w:kern w:val="0"/>
              </w:rPr>
              <w:t>公司督察长</w:t>
            </w:r>
          </w:p>
        </w:tc>
        <w:tc>
          <w:tcPr>
            <w:tcW w:w="3490" w:type="dxa"/>
            <w:vAlign w:val="center"/>
          </w:tcPr>
          <w:p w14:paraId="2F333920">
            <w:pPr>
              <w:autoSpaceDE w:val="0"/>
              <w:autoSpaceDN w:val="0"/>
              <w:adjustRightInd w:val="0"/>
              <w:snapToGrid w:val="0"/>
              <w:spacing w:before="29" w:line="360" w:lineRule="auto"/>
              <w:ind w:left="15"/>
              <w:rPr>
                <w:color w:val="000000" w:themeColor="text1"/>
                <w:kern w:val="0"/>
              </w:rPr>
            </w:pPr>
            <w:r>
              <w:rPr>
                <w:color w:val="000000" w:themeColor="text1"/>
                <w:kern w:val="0"/>
              </w:rPr>
              <w:t>总经理</w:t>
            </w:r>
          </w:p>
        </w:tc>
      </w:tr>
      <w:tr w14:paraId="3DE1B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02" w:type="dxa"/>
            <w:vMerge w:val="continue"/>
            <w:vAlign w:val="center"/>
          </w:tcPr>
          <w:p w14:paraId="1907BCDA">
            <w:pPr>
              <w:adjustRightInd w:val="0"/>
              <w:snapToGrid w:val="0"/>
              <w:spacing w:line="360" w:lineRule="auto"/>
              <w:rPr>
                <w:color w:val="000000" w:themeColor="text1"/>
                <w:kern w:val="0"/>
              </w:rPr>
            </w:pPr>
          </w:p>
        </w:tc>
        <w:tc>
          <w:tcPr>
            <w:tcW w:w="1128" w:type="dxa"/>
            <w:vAlign w:val="center"/>
          </w:tcPr>
          <w:p w14:paraId="58E4ACB2">
            <w:pPr>
              <w:autoSpaceDE w:val="0"/>
              <w:autoSpaceDN w:val="0"/>
              <w:adjustRightInd w:val="0"/>
              <w:snapToGrid w:val="0"/>
              <w:spacing w:before="29" w:line="360" w:lineRule="auto"/>
              <w:ind w:left="15"/>
              <w:rPr>
                <w:color w:val="000000" w:themeColor="text1"/>
                <w:kern w:val="0"/>
              </w:rPr>
            </w:pPr>
            <w:r>
              <w:rPr>
                <w:color w:val="000000" w:themeColor="text1"/>
                <w:kern w:val="0"/>
              </w:rPr>
              <w:t>联系方式</w:t>
            </w:r>
          </w:p>
        </w:tc>
        <w:tc>
          <w:tcPr>
            <w:tcW w:w="2432" w:type="dxa"/>
            <w:vAlign w:val="center"/>
          </w:tcPr>
          <w:p w14:paraId="57C20508">
            <w:pPr>
              <w:adjustRightInd w:val="0"/>
              <w:snapToGrid w:val="0"/>
              <w:spacing w:line="360" w:lineRule="auto"/>
              <w:rPr>
                <w:color w:val="000000" w:themeColor="text1"/>
                <w:kern w:val="0"/>
              </w:rPr>
            </w:pPr>
            <w:r>
              <w:rPr>
                <w:color w:val="000000" w:themeColor="text1"/>
                <w:kern w:val="0"/>
              </w:rPr>
              <w:t>0755-83169999</w:t>
            </w:r>
          </w:p>
        </w:tc>
        <w:tc>
          <w:tcPr>
            <w:tcW w:w="3490" w:type="dxa"/>
            <w:vAlign w:val="center"/>
          </w:tcPr>
          <w:p w14:paraId="4947E430">
            <w:pPr>
              <w:autoSpaceDE w:val="0"/>
              <w:autoSpaceDN w:val="0"/>
              <w:adjustRightInd w:val="0"/>
              <w:snapToGrid w:val="0"/>
              <w:spacing w:before="29" w:line="360" w:lineRule="auto"/>
              <w:ind w:left="15"/>
              <w:rPr>
                <w:color w:val="000000" w:themeColor="text1"/>
                <w:kern w:val="0"/>
              </w:rPr>
            </w:pPr>
            <w:r>
              <w:rPr>
                <w:color w:val="000000" w:themeColor="text1"/>
                <w:kern w:val="0"/>
              </w:rPr>
              <w:t>022-65375555</w:t>
            </w:r>
          </w:p>
        </w:tc>
      </w:tr>
      <w:tr w14:paraId="0B307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17A08A5E">
            <w:pPr>
              <w:adjustRightInd w:val="0"/>
              <w:snapToGrid w:val="0"/>
              <w:spacing w:line="360" w:lineRule="auto"/>
              <w:rPr>
                <w:color w:val="000000" w:themeColor="text1"/>
                <w:kern w:val="0"/>
              </w:rPr>
            </w:pPr>
            <w:r>
              <w:rPr>
                <w:color w:val="000000" w:themeColor="text1"/>
                <w:kern w:val="0"/>
              </w:rPr>
              <w:t>注册地址</w:t>
            </w:r>
          </w:p>
        </w:tc>
        <w:tc>
          <w:tcPr>
            <w:tcW w:w="2432" w:type="dxa"/>
            <w:vAlign w:val="center"/>
          </w:tcPr>
          <w:p w14:paraId="04E8FCC9">
            <w:pPr>
              <w:adjustRightInd w:val="0"/>
              <w:snapToGrid w:val="0"/>
              <w:spacing w:line="360" w:lineRule="auto"/>
              <w:rPr>
                <w:color w:val="000000" w:themeColor="text1"/>
                <w:kern w:val="0"/>
              </w:rPr>
            </w:pPr>
            <w:r>
              <w:rPr>
                <w:color w:val="000000" w:themeColor="text1"/>
                <w:kern w:val="0"/>
              </w:rPr>
              <w:t>深圳市福田区莲花街道福新社区益田路5999号基金大厦21层</w:t>
            </w:r>
          </w:p>
        </w:tc>
        <w:tc>
          <w:tcPr>
            <w:tcW w:w="3490" w:type="dxa"/>
            <w:vAlign w:val="center"/>
          </w:tcPr>
          <w:p w14:paraId="79366D2E">
            <w:pPr>
              <w:autoSpaceDE w:val="0"/>
              <w:autoSpaceDN w:val="0"/>
              <w:adjustRightInd w:val="0"/>
              <w:snapToGrid w:val="0"/>
              <w:spacing w:before="29" w:line="360" w:lineRule="auto"/>
              <w:ind w:left="15"/>
              <w:rPr>
                <w:color w:val="000000" w:themeColor="text1"/>
                <w:kern w:val="0"/>
              </w:rPr>
            </w:pPr>
            <w:r>
              <w:rPr>
                <w:color w:val="000000" w:themeColor="text1"/>
                <w:kern w:val="0"/>
              </w:rPr>
              <w:t>天津经济技术开发区信环西路19号8号楼2楼8201-25</w:t>
            </w:r>
          </w:p>
        </w:tc>
      </w:tr>
      <w:tr w14:paraId="54293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5CCE457C">
            <w:pPr>
              <w:adjustRightInd w:val="0"/>
              <w:snapToGrid w:val="0"/>
              <w:spacing w:line="360" w:lineRule="auto"/>
              <w:rPr>
                <w:color w:val="000000" w:themeColor="text1"/>
                <w:kern w:val="0"/>
              </w:rPr>
            </w:pPr>
            <w:r>
              <w:rPr>
                <w:color w:val="000000" w:themeColor="text1"/>
                <w:kern w:val="0"/>
              </w:rPr>
              <w:t>办公地址</w:t>
            </w:r>
          </w:p>
        </w:tc>
        <w:tc>
          <w:tcPr>
            <w:tcW w:w="2432" w:type="dxa"/>
            <w:vAlign w:val="center"/>
          </w:tcPr>
          <w:p w14:paraId="704C8EA5">
            <w:pPr>
              <w:adjustRightInd w:val="0"/>
              <w:snapToGrid w:val="0"/>
              <w:spacing w:line="360" w:lineRule="auto"/>
              <w:rPr>
                <w:color w:val="000000" w:themeColor="text1"/>
                <w:kern w:val="0"/>
              </w:rPr>
            </w:pPr>
            <w:r>
              <w:rPr>
                <w:color w:val="000000" w:themeColor="text1"/>
                <w:kern w:val="0"/>
              </w:rPr>
              <w:t>广东省深圳市福田区益田路5999号基金大厦21层</w:t>
            </w:r>
          </w:p>
        </w:tc>
        <w:tc>
          <w:tcPr>
            <w:tcW w:w="3490" w:type="dxa"/>
            <w:vAlign w:val="center"/>
          </w:tcPr>
          <w:p w14:paraId="44093FA9">
            <w:pPr>
              <w:autoSpaceDE w:val="0"/>
              <w:autoSpaceDN w:val="0"/>
              <w:adjustRightInd w:val="0"/>
              <w:snapToGrid w:val="0"/>
              <w:spacing w:before="29" w:line="360" w:lineRule="auto"/>
              <w:ind w:left="15"/>
              <w:rPr>
                <w:color w:val="000000" w:themeColor="text1"/>
                <w:kern w:val="0"/>
              </w:rPr>
            </w:pPr>
            <w:r>
              <w:rPr>
                <w:color w:val="000000" w:themeColor="text1"/>
                <w:kern w:val="0"/>
              </w:rPr>
              <w:t>天津经济技术开发区信环西路19号1号楼6层</w:t>
            </w:r>
          </w:p>
        </w:tc>
      </w:tr>
      <w:tr w14:paraId="00109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4B60DAEE">
            <w:pPr>
              <w:adjustRightInd w:val="0"/>
              <w:snapToGrid w:val="0"/>
              <w:spacing w:line="360" w:lineRule="auto"/>
              <w:rPr>
                <w:color w:val="000000" w:themeColor="text1"/>
                <w:kern w:val="0"/>
              </w:rPr>
            </w:pPr>
            <w:r>
              <w:rPr>
                <w:color w:val="000000" w:themeColor="text1"/>
                <w:kern w:val="0"/>
              </w:rPr>
              <w:t>邮政编码</w:t>
            </w:r>
          </w:p>
        </w:tc>
        <w:tc>
          <w:tcPr>
            <w:tcW w:w="2432" w:type="dxa"/>
            <w:vAlign w:val="center"/>
          </w:tcPr>
          <w:p w14:paraId="5DBBAB36">
            <w:pPr>
              <w:adjustRightInd w:val="0"/>
              <w:snapToGrid w:val="0"/>
              <w:spacing w:line="360" w:lineRule="auto"/>
              <w:rPr>
                <w:color w:val="000000" w:themeColor="text1"/>
                <w:kern w:val="0"/>
              </w:rPr>
            </w:pPr>
            <w:r>
              <w:rPr>
                <w:color w:val="000000" w:themeColor="text1"/>
                <w:kern w:val="0"/>
              </w:rPr>
              <w:t>518000</w:t>
            </w:r>
          </w:p>
        </w:tc>
        <w:tc>
          <w:tcPr>
            <w:tcW w:w="3490" w:type="dxa"/>
            <w:vAlign w:val="center"/>
          </w:tcPr>
          <w:p w14:paraId="03A40CCA">
            <w:pPr>
              <w:autoSpaceDE w:val="0"/>
              <w:autoSpaceDN w:val="0"/>
              <w:adjustRightInd w:val="0"/>
              <w:snapToGrid w:val="0"/>
              <w:spacing w:before="29" w:line="360" w:lineRule="auto"/>
              <w:ind w:left="15"/>
              <w:rPr>
                <w:color w:val="000000" w:themeColor="text1"/>
                <w:kern w:val="0"/>
              </w:rPr>
            </w:pPr>
            <w:r>
              <w:rPr>
                <w:color w:val="000000" w:themeColor="text1"/>
                <w:kern w:val="0"/>
              </w:rPr>
              <w:t>300457</w:t>
            </w:r>
          </w:p>
        </w:tc>
      </w:tr>
      <w:tr w14:paraId="79373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183B9824">
            <w:pPr>
              <w:adjustRightInd w:val="0"/>
              <w:snapToGrid w:val="0"/>
              <w:spacing w:line="360" w:lineRule="auto"/>
              <w:rPr>
                <w:color w:val="000000" w:themeColor="text1"/>
                <w:kern w:val="0"/>
              </w:rPr>
            </w:pPr>
            <w:r>
              <w:rPr>
                <w:color w:val="000000" w:themeColor="text1"/>
                <w:kern w:val="0"/>
              </w:rPr>
              <w:t>法定代表人</w:t>
            </w:r>
          </w:p>
        </w:tc>
        <w:tc>
          <w:tcPr>
            <w:tcW w:w="2432" w:type="dxa"/>
            <w:vAlign w:val="center"/>
          </w:tcPr>
          <w:p w14:paraId="41484EE8">
            <w:pPr>
              <w:adjustRightInd w:val="0"/>
              <w:snapToGrid w:val="0"/>
              <w:spacing w:line="360" w:lineRule="auto"/>
              <w:rPr>
                <w:color w:val="000000" w:themeColor="text1"/>
                <w:kern w:val="0"/>
              </w:rPr>
            </w:pPr>
            <w:r>
              <w:rPr>
                <w:color w:val="000000" w:themeColor="text1"/>
                <w:kern w:val="0"/>
              </w:rPr>
              <w:t>张东</w:t>
            </w:r>
          </w:p>
        </w:tc>
        <w:tc>
          <w:tcPr>
            <w:tcW w:w="3490" w:type="dxa"/>
            <w:vAlign w:val="center"/>
          </w:tcPr>
          <w:p w14:paraId="0E07F9C3">
            <w:pPr>
              <w:autoSpaceDE w:val="0"/>
              <w:autoSpaceDN w:val="0"/>
              <w:adjustRightInd w:val="0"/>
              <w:snapToGrid w:val="0"/>
              <w:spacing w:before="29" w:line="360" w:lineRule="auto"/>
              <w:ind w:left="15"/>
              <w:rPr>
                <w:color w:val="000000" w:themeColor="text1"/>
                <w:kern w:val="0"/>
              </w:rPr>
            </w:pPr>
            <w:r>
              <w:rPr>
                <w:color w:val="000000" w:themeColor="text1"/>
                <w:kern w:val="0"/>
              </w:rPr>
              <w:t>杨帆</w:t>
            </w:r>
          </w:p>
        </w:tc>
      </w:tr>
    </w:tbl>
    <w:p w14:paraId="4478AEA5">
      <w:pPr>
        <w:adjustRightInd w:val="0"/>
        <w:snapToGrid w:val="0"/>
        <w:spacing w:line="360" w:lineRule="auto"/>
        <w:rPr>
          <w:b/>
          <w:color w:val="000000" w:themeColor="text1"/>
          <w:kern w:val="0"/>
          <w:sz w:val="24"/>
          <w:szCs w:val="24"/>
        </w:rPr>
      </w:pPr>
      <w:r>
        <w:rPr>
          <w:b/>
          <w:color w:val="000000" w:themeColor="text1"/>
          <w:kern w:val="0"/>
          <w:sz w:val="24"/>
          <w:szCs w:val="24"/>
        </w:rPr>
        <w:t>2.5  基金托管人、资产支持证券管理人、资产支持证券托管人</w:t>
      </w:r>
    </w:p>
    <w:tbl>
      <w:tblPr>
        <w:tblStyle w:val="24"/>
        <w:tblW w:w="848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3"/>
        <w:gridCol w:w="1769"/>
        <w:gridCol w:w="2564"/>
        <w:gridCol w:w="2794"/>
      </w:tblGrid>
      <w:tr w14:paraId="19A1E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64D0DA0A">
            <w:pPr>
              <w:adjustRightInd w:val="0"/>
              <w:spacing w:before="29" w:line="360" w:lineRule="auto"/>
              <w:ind w:left="17"/>
              <w:jc w:val="center"/>
              <w:rPr>
                <w:kern w:val="0"/>
              </w:rPr>
            </w:pPr>
            <w:r>
              <w:rPr>
                <w:kern w:val="0"/>
              </w:rPr>
              <w:t>项目</w:t>
            </w:r>
          </w:p>
        </w:tc>
        <w:tc>
          <w:tcPr>
            <w:tcW w:w="1769" w:type="dxa"/>
            <w:vAlign w:val="center"/>
          </w:tcPr>
          <w:p w14:paraId="3B499344">
            <w:pPr>
              <w:spacing w:line="360" w:lineRule="auto"/>
              <w:ind w:left="17"/>
              <w:jc w:val="center"/>
              <w:rPr>
                <w:kern w:val="0"/>
              </w:rPr>
            </w:pPr>
            <w:r>
              <w:rPr>
                <w:kern w:val="0"/>
              </w:rPr>
              <w:t>基金托管人</w:t>
            </w:r>
          </w:p>
        </w:tc>
        <w:tc>
          <w:tcPr>
            <w:tcW w:w="2564" w:type="dxa"/>
            <w:vAlign w:val="center"/>
          </w:tcPr>
          <w:p w14:paraId="10A3652F">
            <w:pPr>
              <w:spacing w:line="360" w:lineRule="auto"/>
              <w:ind w:left="17"/>
              <w:jc w:val="center"/>
              <w:rPr>
                <w:kern w:val="0"/>
              </w:rPr>
            </w:pPr>
            <w:r>
              <w:rPr>
                <w:kern w:val="0"/>
              </w:rPr>
              <w:t>资产支持证券管理人</w:t>
            </w:r>
          </w:p>
        </w:tc>
        <w:tc>
          <w:tcPr>
            <w:tcW w:w="2794" w:type="dxa"/>
            <w:vAlign w:val="center"/>
          </w:tcPr>
          <w:p w14:paraId="676D6881">
            <w:pPr>
              <w:spacing w:line="360" w:lineRule="auto"/>
              <w:ind w:left="17"/>
              <w:jc w:val="center"/>
              <w:rPr>
                <w:kern w:val="0"/>
              </w:rPr>
            </w:pPr>
            <w:r>
              <w:rPr>
                <w:kern w:val="0"/>
              </w:rPr>
              <w:t>资产支持证券托管人</w:t>
            </w:r>
          </w:p>
        </w:tc>
      </w:tr>
      <w:tr w14:paraId="44050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73279F39">
            <w:pPr>
              <w:adjustRightInd w:val="0"/>
              <w:spacing w:before="29" w:line="360" w:lineRule="auto"/>
              <w:ind w:left="17"/>
              <w:jc w:val="left"/>
              <w:rPr>
                <w:kern w:val="0"/>
              </w:rPr>
            </w:pPr>
            <w:r>
              <w:rPr>
                <w:kern w:val="0"/>
              </w:rPr>
              <w:t>名称</w:t>
            </w:r>
          </w:p>
        </w:tc>
        <w:tc>
          <w:tcPr>
            <w:tcW w:w="1769" w:type="dxa"/>
            <w:vAlign w:val="center"/>
          </w:tcPr>
          <w:p w14:paraId="52143EB3">
            <w:pPr>
              <w:adjustRightInd w:val="0"/>
              <w:snapToGrid w:val="0"/>
              <w:spacing w:line="360" w:lineRule="auto"/>
              <w:jc w:val="left"/>
              <w:rPr>
                <w:color w:val="000000" w:themeColor="text1"/>
                <w:kern w:val="0"/>
              </w:rPr>
            </w:pPr>
            <w:r>
              <w:rPr>
                <w:color w:val="000000" w:themeColor="text1"/>
                <w:kern w:val="0"/>
              </w:rPr>
              <w:t>渤海银行股份有限公司</w:t>
            </w:r>
          </w:p>
        </w:tc>
        <w:tc>
          <w:tcPr>
            <w:tcW w:w="2564" w:type="dxa"/>
            <w:vAlign w:val="center"/>
          </w:tcPr>
          <w:p w14:paraId="6DB62F91">
            <w:pPr>
              <w:adjustRightInd w:val="0"/>
              <w:snapToGrid w:val="0"/>
              <w:spacing w:line="360" w:lineRule="auto"/>
              <w:jc w:val="left"/>
              <w:rPr>
                <w:color w:val="000000" w:themeColor="text1"/>
                <w:kern w:val="0"/>
              </w:rPr>
            </w:pPr>
            <w:r>
              <w:rPr>
                <w:color w:val="000000" w:themeColor="text1"/>
                <w:kern w:val="0"/>
              </w:rPr>
              <w:t>博时资本管理有限公司</w:t>
            </w:r>
          </w:p>
        </w:tc>
        <w:tc>
          <w:tcPr>
            <w:tcW w:w="2794" w:type="dxa"/>
            <w:vAlign w:val="center"/>
          </w:tcPr>
          <w:p w14:paraId="014BC604">
            <w:pPr>
              <w:adjustRightInd w:val="0"/>
              <w:snapToGrid w:val="0"/>
              <w:spacing w:line="360" w:lineRule="auto"/>
              <w:jc w:val="left"/>
              <w:rPr>
                <w:color w:val="000000" w:themeColor="text1"/>
                <w:kern w:val="0"/>
              </w:rPr>
            </w:pPr>
            <w:r>
              <w:rPr>
                <w:color w:val="000000" w:themeColor="text1"/>
                <w:kern w:val="0"/>
              </w:rPr>
              <w:t>渤海银行股份有限公司</w:t>
            </w:r>
          </w:p>
        </w:tc>
      </w:tr>
      <w:tr w14:paraId="688F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0F0E5124">
            <w:pPr>
              <w:adjustRightInd w:val="0"/>
              <w:snapToGrid w:val="0"/>
              <w:spacing w:line="360" w:lineRule="auto"/>
              <w:jc w:val="left"/>
              <w:rPr>
                <w:color w:val="000000" w:themeColor="text1"/>
                <w:kern w:val="0"/>
              </w:rPr>
            </w:pPr>
            <w:r>
              <w:rPr>
                <w:color w:val="000000" w:themeColor="text1"/>
                <w:kern w:val="0"/>
              </w:rPr>
              <w:t>注册地址</w:t>
            </w:r>
          </w:p>
        </w:tc>
        <w:tc>
          <w:tcPr>
            <w:tcW w:w="1769" w:type="dxa"/>
            <w:vAlign w:val="center"/>
          </w:tcPr>
          <w:p w14:paraId="334B97D6">
            <w:pPr>
              <w:adjustRightInd w:val="0"/>
              <w:snapToGrid w:val="0"/>
              <w:spacing w:line="360" w:lineRule="auto"/>
              <w:jc w:val="left"/>
              <w:rPr>
                <w:color w:val="000000" w:themeColor="text1"/>
                <w:kern w:val="0"/>
              </w:rPr>
            </w:pPr>
            <w:r>
              <w:rPr>
                <w:color w:val="000000" w:themeColor="text1"/>
                <w:kern w:val="0"/>
              </w:rPr>
              <w:t>天津市河东区海河东路218号</w:t>
            </w:r>
          </w:p>
        </w:tc>
        <w:tc>
          <w:tcPr>
            <w:tcW w:w="2564" w:type="dxa"/>
            <w:vAlign w:val="center"/>
          </w:tcPr>
          <w:p w14:paraId="760CCAB3">
            <w:pPr>
              <w:adjustRightInd w:val="0"/>
              <w:snapToGrid w:val="0"/>
              <w:spacing w:line="360" w:lineRule="auto"/>
              <w:jc w:val="left"/>
              <w:rPr>
                <w:color w:val="000000" w:themeColor="text1"/>
                <w:kern w:val="0"/>
              </w:rPr>
            </w:pPr>
            <w:r>
              <w:rPr>
                <w:color w:val="000000" w:themeColor="text1"/>
                <w:kern w:val="0"/>
              </w:rPr>
              <w:t>深圳市前海深港合作区南山街道梦海大道5035号前海华润金融中心T5写字楼3009、3010B</w:t>
            </w:r>
          </w:p>
        </w:tc>
        <w:tc>
          <w:tcPr>
            <w:tcW w:w="2794" w:type="dxa"/>
            <w:vAlign w:val="center"/>
          </w:tcPr>
          <w:p w14:paraId="63C92CB0">
            <w:pPr>
              <w:adjustRightInd w:val="0"/>
              <w:snapToGrid w:val="0"/>
              <w:spacing w:line="360" w:lineRule="auto"/>
              <w:jc w:val="left"/>
              <w:rPr>
                <w:color w:val="000000" w:themeColor="text1"/>
                <w:kern w:val="0"/>
              </w:rPr>
            </w:pPr>
            <w:r>
              <w:rPr>
                <w:color w:val="000000" w:themeColor="text1"/>
                <w:kern w:val="0"/>
              </w:rPr>
              <w:t>天津市河东区海河东路 218 号</w:t>
            </w:r>
          </w:p>
        </w:tc>
      </w:tr>
      <w:tr w14:paraId="2D93C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73ED7C87">
            <w:pPr>
              <w:adjustRightInd w:val="0"/>
              <w:snapToGrid w:val="0"/>
              <w:spacing w:line="360" w:lineRule="auto"/>
              <w:rPr>
                <w:color w:val="000000" w:themeColor="text1"/>
                <w:kern w:val="0"/>
              </w:rPr>
            </w:pPr>
            <w:r>
              <w:rPr>
                <w:color w:val="000000" w:themeColor="text1"/>
                <w:kern w:val="0"/>
              </w:rPr>
              <w:t>办公地址</w:t>
            </w:r>
          </w:p>
        </w:tc>
        <w:tc>
          <w:tcPr>
            <w:tcW w:w="1769" w:type="dxa"/>
            <w:vAlign w:val="center"/>
          </w:tcPr>
          <w:p w14:paraId="78CF4631">
            <w:pPr>
              <w:adjustRightInd w:val="0"/>
              <w:snapToGrid w:val="0"/>
              <w:spacing w:line="360" w:lineRule="auto"/>
              <w:rPr>
                <w:color w:val="000000" w:themeColor="text1"/>
                <w:kern w:val="0"/>
              </w:rPr>
            </w:pPr>
            <w:r>
              <w:rPr>
                <w:color w:val="000000" w:themeColor="text1"/>
                <w:kern w:val="0"/>
              </w:rPr>
              <w:t>天津市河东区海河东路218号</w:t>
            </w:r>
          </w:p>
        </w:tc>
        <w:tc>
          <w:tcPr>
            <w:tcW w:w="2564" w:type="dxa"/>
            <w:vAlign w:val="center"/>
          </w:tcPr>
          <w:p w14:paraId="42C4CF72">
            <w:pPr>
              <w:adjustRightInd w:val="0"/>
              <w:snapToGrid w:val="0"/>
              <w:spacing w:line="360" w:lineRule="auto"/>
              <w:rPr>
                <w:color w:val="000000" w:themeColor="text1"/>
                <w:kern w:val="0"/>
              </w:rPr>
            </w:pPr>
            <w:r>
              <w:rPr>
                <w:color w:val="000000" w:themeColor="text1"/>
                <w:kern w:val="0"/>
              </w:rPr>
              <w:t>广东省深圳市福田区益田路5999号基金大厦18层</w:t>
            </w:r>
          </w:p>
        </w:tc>
        <w:tc>
          <w:tcPr>
            <w:tcW w:w="2794" w:type="dxa"/>
            <w:vAlign w:val="center"/>
          </w:tcPr>
          <w:p w14:paraId="135715D1">
            <w:pPr>
              <w:adjustRightInd w:val="0"/>
              <w:snapToGrid w:val="0"/>
              <w:spacing w:line="360" w:lineRule="auto"/>
              <w:rPr>
                <w:color w:val="000000" w:themeColor="text1"/>
                <w:kern w:val="0"/>
              </w:rPr>
            </w:pPr>
            <w:r>
              <w:rPr>
                <w:color w:val="000000" w:themeColor="text1"/>
                <w:kern w:val="0"/>
              </w:rPr>
              <w:t>天津市河东区海河东路 218 号</w:t>
            </w:r>
          </w:p>
        </w:tc>
      </w:tr>
      <w:tr w14:paraId="5B993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190D04CA">
            <w:pPr>
              <w:adjustRightInd w:val="0"/>
              <w:snapToGrid w:val="0"/>
              <w:spacing w:line="360" w:lineRule="auto"/>
              <w:rPr>
                <w:color w:val="000000" w:themeColor="text1"/>
                <w:kern w:val="0"/>
              </w:rPr>
            </w:pPr>
            <w:r>
              <w:rPr>
                <w:color w:val="000000" w:themeColor="text1"/>
                <w:kern w:val="0"/>
              </w:rPr>
              <w:t>邮政编码</w:t>
            </w:r>
          </w:p>
        </w:tc>
        <w:tc>
          <w:tcPr>
            <w:tcW w:w="1769" w:type="dxa"/>
            <w:vAlign w:val="center"/>
          </w:tcPr>
          <w:p w14:paraId="237D76D3">
            <w:pPr>
              <w:adjustRightInd w:val="0"/>
              <w:snapToGrid w:val="0"/>
              <w:spacing w:line="360" w:lineRule="auto"/>
              <w:rPr>
                <w:color w:val="000000" w:themeColor="text1"/>
                <w:kern w:val="0"/>
              </w:rPr>
            </w:pPr>
            <w:r>
              <w:rPr>
                <w:color w:val="000000" w:themeColor="text1"/>
                <w:kern w:val="0"/>
              </w:rPr>
              <w:t>300012</w:t>
            </w:r>
          </w:p>
        </w:tc>
        <w:tc>
          <w:tcPr>
            <w:tcW w:w="2564" w:type="dxa"/>
            <w:vAlign w:val="center"/>
          </w:tcPr>
          <w:p w14:paraId="1F445465">
            <w:pPr>
              <w:adjustRightInd w:val="0"/>
              <w:snapToGrid w:val="0"/>
              <w:spacing w:line="360" w:lineRule="auto"/>
              <w:rPr>
                <w:color w:val="000000" w:themeColor="text1"/>
                <w:kern w:val="0"/>
              </w:rPr>
            </w:pPr>
            <w:r>
              <w:rPr>
                <w:color w:val="000000" w:themeColor="text1"/>
                <w:kern w:val="0"/>
              </w:rPr>
              <w:t>518000</w:t>
            </w:r>
          </w:p>
        </w:tc>
        <w:tc>
          <w:tcPr>
            <w:tcW w:w="2794" w:type="dxa"/>
            <w:vAlign w:val="center"/>
          </w:tcPr>
          <w:p w14:paraId="1B667512">
            <w:pPr>
              <w:adjustRightInd w:val="0"/>
              <w:snapToGrid w:val="0"/>
              <w:spacing w:line="360" w:lineRule="auto"/>
              <w:rPr>
                <w:color w:val="000000" w:themeColor="text1"/>
                <w:kern w:val="0"/>
              </w:rPr>
            </w:pPr>
            <w:r>
              <w:rPr>
                <w:color w:val="000000" w:themeColor="text1"/>
                <w:kern w:val="0"/>
              </w:rPr>
              <w:t>300012</w:t>
            </w:r>
          </w:p>
        </w:tc>
      </w:tr>
      <w:tr w14:paraId="5C372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20F6D63A">
            <w:pPr>
              <w:adjustRightInd w:val="0"/>
              <w:snapToGrid w:val="0"/>
              <w:spacing w:line="360" w:lineRule="auto"/>
              <w:rPr>
                <w:color w:val="000000" w:themeColor="text1"/>
                <w:kern w:val="0"/>
              </w:rPr>
            </w:pPr>
            <w:r>
              <w:rPr>
                <w:color w:val="000000" w:themeColor="text1"/>
                <w:kern w:val="0"/>
              </w:rPr>
              <w:t>法定代表人</w:t>
            </w:r>
          </w:p>
        </w:tc>
        <w:tc>
          <w:tcPr>
            <w:tcW w:w="1769" w:type="dxa"/>
            <w:vAlign w:val="center"/>
          </w:tcPr>
          <w:p w14:paraId="38853DE5">
            <w:pPr>
              <w:adjustRightInd w:val="0"/>
              <w:snapToGrid w:val="0"/>
              <w:spacing w:line="360" w:lineRule="auto"/>
              <w:rPr>
                <w:color w:val="000000" w:themeColor="text1"/>
                <w:kern w:val="0"/>
              </w:rPr>
            </w:pPr>
            <w:r>
              <w:rPr>
                <w:color w:val="000000" w:themeColor="text1"/>
                <w:kern w:val="0"/>
              </w:rPr>
              <w:t>王锦虹</w:t>
            </w:r>
          </w:p>
        </w:tc>
        <w:tc>
          <w:tcPr>
            <w:tcW w:w="2564" w:type="dxa"/>
            <w:vAlign w:val="center"/>
          </w:tcPr>
          <w:p w14:paraId="6AA45753">
            <w:pPr>
              <w:adjustRightInd w:val="0"/>
              <w:snapToGrid w:val="0"/>
              <w:spacing w:line="360" w:lineRule="auto"/>
              <w:rPr>
                <w:color w:val="000000" w:themeColor="text1"/>
                <w:kern w:val="0"/>
              </w:rPr>
            </w:pPr>
            <w:r>
              <w:rPr>
                <w:color w:val="000000" w:themeColor="text1"/>
                <w:kern w:val="0"/>
              </w:rPr>
              <w:t>吴慧峰</w:t>
            </w:r>
          </w:p>
        </w:tc>
        <w:tc>
          <w:tcPr>
            <w:tcW w:w="2794" w:type="dxa"/>
            <w:vAlign w:val="center"/>
          </w:tcPr>
          <w:p w14:paraId="3DB702E3">
            <w:pPr>
              <w:adjustRightInd w:val="0"/>
              <w:snapToGrid w:val="0"/>
              <w:spacing w:line="360" w:lineRule="auto"/>
              <w:rPr>
                <w:color w:val="000000" w:themeColor="text1"/>
                <w:kern w:val="0"/>
              </w:rPr>
            </w:pPr>
            <w:r>
              <w:rPr>
                <w:color w:val="000000" w:themeColor="text1"/>
                <w:kern w:val="0"/>
              </w:rPr>
              <w:t>王锦虹</w:t>
            </w:r>
          </w:p>
        </w:tc>
      </w:tr>
    </w:tbl>
    <w:p w14:paraId="49555282">
      <w:pPr>
        <w:pStyle w:val="2"/>
        <w:spacing w:before="312" w:beforeLines="100" w:after="312" w:afterLines="100" w:line="360" w:lineRule="auto"/>
        <w:jc w:val="center"/>
        <w:rPr>
          <w:kern w:val="0"/>
          <w:sz w:val="24"/>
          <w:szCs w:val="24"/>
        </w:rPr>
      </w:pPr>
      <w:r>
        <w:rPr>
          <w:kern w:val="0"/>
          <w:sz w:val="24"/>
          <w:szCs w:val="24"/>
        </w:rPr>
        <w:t>§3  主要财务指标和不动产基金运作情况</w:t>
      </w:r>
    </w:p>
    <w:p w14:paraId="694B2C1A">
      <w:pPr>
        <w:autoSpaceDE w:val="0"/>
        <w:autoSpaceDN w:val="0"/>
        <w:adjustRightInd w:val="0"/>
        <w:spacing w:line="360" w:lineRule="auto"/>
        <w:jc w:val="left"/>
        <w:rPr>
          <w:b/>
          <w:bCs/>
          <w:kern w:val="0"/>
          <w:sz w:val="24"/>
          <w:szCs w:val="24"/>
        </w:rPr>
      </w:pPr>
      <w:r>
        <w:rPr>
          <w:b/>
          <w:bCs/>
          <w:kern w:val="0"/>
          <w:sz w:val="24"/>
          <w:szCs w:val="24"/>
        </w:rPr>
        <w:t>3.1 主要财务指标</w:t>
      </w:r>
    </w:p>
    <w:p w14:paraId="03E7CA59">
      <w:pPr>
        <w:autoSpaceDE w:val="0"/>
        <w:autoSpaceDN w:val="0"/>
        <w:adjustRightInd w:val="0"/>
        <w:spacing w:before="29" w:line="360" w:lineRule="auto"/>
        <w:ind w:left="15"/>
        <w:jc w:val="right"/>
        <w:rPr>
          <w:kern w:val="0"/>
        </w:rPr>
      </w:pPr>
      <w:r>
        <w:rPr>
          <w:kern w:val="0"/>
        </w:rPr>
        <w:t>单位：人民币元</w:t>
      </w:r>
    </w:p>
    <w:tbl>
      <w:tblPr>
        <w:tblStyle w:val="24"/>
        <w:tblW w:w="49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1"/>
        <w:gridCol w:w="4821"/>
      </w:tblGrid>
      <w:tr w14:paraId="31E3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55" w:type="pct"/>
            <w:tcBorders>
              <w:top w:val="single" w:color="auto" w:sz="4" w:space="0"/>
              <w:left w:val="single" w:color="auto" w:sz="4" w:space="0"/>
              <w:bottom w:val="single" w:color="auto" w:sz="4" w:space="0"/>
              <w:right w:val="single" w:color="auto" w:sz="4" w:space="0"/>
            </w:tcBorders>
            <w:vAlign w:val="center"/>
          </w:tcPr>
          <w:p w14:paraId="6E4A7732">
            <w:pPr>
              <w:adjustRightInd w:val="0"/>
              <w:spacing w:before="29" w:line="360" w:lineRule="auto"/>
              <w:ind w:left="17"/>
              <w:jc w:val="center"/>
              <w:rPr>
                <w:kern w:val="0"/>
              </w:rPr>
            </w:pPr>
            <w:r>
              <w:rPr>
                <w:kern w:val="0"/>
              </w:rPr>
              <w:t>主要财务指标</w:t>
            </w:r>
          </w:p>
        </w:tc>
        <w:tc>
          <w:tcPr>
            <w:tcW w:w="1506" w:type="pct"/>
            <w:tcBorders>
              <w:top w:val="single" w:color="auto" w:sz="4" w:space="0"/>
              <w:left w:val="single" w:color="auto" w:sz="4" w:space="0"/>
              <w:bottom w:val="single" w:color="auto" w:sz="4" w:space="0"/>
              <w:right w:val="single" w:color="auto" w:sz="4" w:space="0"/>
            </w:tcBorders>
            <w:vAlign w:val="center"/>
          </w:tcPr>
          <w:p w14:paraId="39CBA237">
            <w:pPr>
              <w:adjustRightInd w:val="0"/>
              <w:spacing w:before="29" w:line="360" w:lineRule="auto"/>
              <w:ind w:left="17"/>
              <w:jc w:val="center"/>
            </w:pPr>
            <w:r>
              <w:t>报告期</w:t>
            </w:r>
          </w:p>
          <w:p w14:paraId="541AE4EE">
            <w:pPr>
              <w:adjustRightInd w:val="0"/>
              <w:spacing w:before="29" w:line="360" w:lineRule="auto"/>
              <w:ind w:left="17"/>
              <w:jc w:val="center"/>
            </w:pPr>
            <w:r>
              <w:t>2026年7月1日-2026年9月30日</w:t>
            </w:r>
          </w:p>
        </w:tc>
      </w:tr>
      <w:tr w14:paraId="0F1B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5" w:type="pct"/>
            <w:tcBorders>
              <w:top w:val="single" w:color="auto" w:sz="4" w:space="0"/>
              <w:left w:val="single" w:color="auto" w:sz="4" w:space="0"/>
              <w:bottom w:val="single" w:color="auto" w:sz="4" w:space="0"/>
              <w:right w:val="single" w:color="auto" w:sz="4" w:space="0"/>
            </w:tcBorders>
            <w:vAlign w:val="center"/>
          </w:tcPr>
          <w:p w14:paraId="787021D3">
            <w:pPr>
              <w:adjustRightInd w:val="0"/>
              <w:spacing w:before="29" w:line="360" w:lineRule="auto"/>
              <w:ind w:left="17"/>
              <w:rPr>
                <w:kern w:val="0"/>
              </w:rPr>
            </w:pPr>
            <w:r>
              <w:rPr>
                <w:kern w:val="0"/>
              </w:rPr>
              <w:t>1.本期收入</w:t>
            </w:r>
          </w:p>
        </w:tc>
        <w:tc>
          <w:tcPr>
            <w:tcW w:w="1506" w:type="pct"/>
            <w:tcBorders>
              <w:top w:val="single" w:color="auto" w:sz="4" w:space="0"/>
              <w:left w:val="single" w:color="auto" w:sz="4" w:space="0"/>
              <w:bottom w:val="single" w:color="auto" w:sz="4" w:space="0"/>
              <w:right w:val="single" w:color="auto" w:sz="4" w:space="0"/>
            </w:tcBorders>
            <w:vAlign w:val="center"/>
          </w:tcPr>
          <w:p w14:paraId="00CE85AE">
            <w:pPr>
              <w:adjustRightInd w:val="0"/>
              <w:spacing w:before="29" w:line="360" w:lineRule="auto"/>
              <w:ind w:left="17"/>
              <w:jc w:val="right"/>
            </w:pPr>
            <w:r>
              <w:t>29,334,517.63</w:t>
            </w:r>
          </w:p>
        </w:tc>
      </w:tr>
      <w:tr w14:paraId="4E13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5" w:type="pct"/>
            <w:tcBorders>
              <w:top w:val="single" w:color="auto" w:sz="4" w:space="0"/>
              <w:left w:val="single" w:color="auto" w:sz="4" w:space="0"/>
              <w:bottom w:val="single" w:color="auto" w:sz="4" w:space="0"/>
              <w:right w:val="single" w:color="auto" w:sz="4" w:space="0"/>
            </w:tcBorders>
            <w:vAlign w:val="center"/>
          </w:tcPr>
          <w:p w14:paraId="1B841841">
            <w:pPr>
              <w:adjustRightInd w:val="0"/>
              <w:spacing w:before="29" w:line="360" w:lineRule="auto"/>
              <w:ind w:left="17"/>
              <w:rPr>
                <w:kern w:val="0"/>
              </w:rPr>
            </w:pPr>
            <w:r>
              <w:rPr>
                <w:kern w:val="0"/>
              </w:rPr>
              <w:t>2.本期净利润</w:t>
            </w:r>
          </w:p>
        </w:tc>
        <w:tc>
          <w:tcPr>
            <w:tcW w:w="1506" w:type="pct"/>
            <w:tcBorders>
              <w:top w:val="single" w:color="auto" w:sz="4" w:space="0"/>
              <w:left w:val="single" w:color="auto" w:sz="4" w:space="0"/>
              <w:bottom w:val="single" w:color="auto" w:sz="4" w:space="0"/>
              <w:right w:val="single" w:color="auto" w:sz="4" w:space="0"/>
            </w:tcBorders>
            <w:vAlign w:val="center"/>
          </w:tcPr>
          <w:p w14:paraId="35A3309F">
            <w:pPr>
              <w:adjustRightInd w:val="0"/>
              <w:spacing w:before="29" w:line="360" w:lineRule="auto"/>
              <w:ind w:left="17"/>
              <w:jc w:val="right"/>
            </w:pPr>
            <w:r>
              <w:t>9,661,923.99</w:t>
            </w:r>
          </w:p>
        </w:tc>
      </w:tr>
      <w:tr w14:paraId="7C0D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5" w:type="pct"/>
            <w:tcBorders>
              <w:top w:val="single" w:color="auto" w:sz="4" w:space="0"/>
              <w:left w:val="single" w:color="auto" w:sz="4" w:space="0"/>
              <w:bottom w:val="single" w:color="auto" w:sz="4" w:space="0"/>
              <w:right w:val="single" w:color="auto" w:sz="4" w:space="0"/>
            </w:tcBorders>
            <w:vAlign w:val="center"/>
          </w:tcPr>
          <w:p w14:paraId="57E2ED5D">
            <w:pPr>
              <w:adjustRightInd w:val="0"/>
              <w:spacing w:before="29" w:line="360" w:lineRule="auto"/>
              <w:ind w:left="17"/>
              <w:rPr>
                <w:kern w:val="0"/>
              </w:rPr>
            </w:pPr>
            <w:r>
              <w:rPr>
                <w:kern w:val="0"/>
              </w:rPr>
              <w:t>3.本期经营活动产生的现金流量净额</w:t>
            </w:r>
          </w:p>
        </w:tc>
        <w:tc>
          <w:tcPr>
            <w:tcW w:w="1506" w:type="pct"/>
            <w:tcBorders>
              <w:top w:val="single" w:color="auto" w:sz="4" w:space="0"/>
              <w:left w:val="single" w:color="auto" w:sz="4" w:space="0"/>
              <w:bottom w:val="single" w:color="auto" w:sz="4" w:space="0"/>
              <w:right w:val="single" w:color="auto" w:sz="4" w:space="0"/>
            </w:tcBorders>
            <w:vAlign w:val="center"/>
          </w:tcPr>
          <w:p w14:paraId="37B8DD01">
            <w:pPr>
              <w:adjustRightInd w:val="0"/>
              <w:spacing w:before="29" w:line="360" w:lineRule="auto"/>
              <w:ind w:left="17"/>
              <w:jc w:val="right"/>
            </w:pPr>
            <w:r>
              <w:t>44,898,790.88</w:t>
            </w:r>
          </w:p>
        </w:tc>
      </w:tr>
      <w:tr w14:paraId="197A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5" w:type="pct"/>
            <w:tcBorders>
              <w:top w:val="single" w:color="auto" w:sz="4" w:space="0"/>
              <w:left w:val="single" w:color="auto" w:sz="4" w:space="0"/>
              <w:bottom w:val="single" w:color="auto" w:sz="4" w:space="0"/>
              <w:right w:val="single" w:color="auto" w:sz="4" w:space="0"/>
            </w:tcBorders>
            <w:vAlign w:val="center"/>
          </w:tcPr>
          <w:p w14:paraId="5DF7D8C3">
            <w:pPr>
              <w:adjustRightInd w:val="0"/>
              <w:spacing w:before="29" w:line="360" w:lineRule="auto"/>
              <w:ind w:left="17"/>
              <w:rPr>
                <w:kern w:val="0"/>
              </w:rPr>
            </w:pPr>
            <w:r>
              <w:rPr>
                <w:kern w:val="0"/>
              </w:rPr>
              <w:t>4. 本期现金流分派率（%）</w:t>
            </w:r>
          </w:p>
        </w:tc>
        <w:tc>
          <w:tcPr>
            <w:tcW w:w="1506" w:type="pct"/>
            <w:tcBorders>
              <w:top w:val="single" w:color="auto" w:sz="4" w:space="0"/>
              <w:left w:val="single" w:color="auto" w:sz="4" w:space="0"/>
              <w:bottom w:val="single" w:color="auto" w:sz="4" w:space="0"/>
              <w:right w:val="single" w:color="auto" w:sz="4" w:space="0"/>
            </w:tcBorders>
            <w:vAlign w:val="center"/>
          </w:tcPr>
          <w:p w14:paraId="08439ADE">
            <w:pPr>
              <w:adjustRightInd w:val="0"/>
              <w:spacing w:before="29" w:line="360" w:lineRule="auto"/>
              <w:ind w:left="17"/>
              <w:jc w:val="right"/>
            </w:pPr>
            <w:r>
              <w:t>1.64%</w:t>
            </w:r>
          </w:p>
        </w:tc>
      </w:tr>
      <w:tr w14:paraId="0294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55" w:type="pct"/>
            <w:tcBorders>
              <w:top w:val="single" w:color="auto" w:sz="4" w:space="0"/>
              <w:left w:val="single" w:color="auto" w:sz="4" w:space="0"/>
              <w:bottom w:val="single" w:color="auto" w:sz="4" w:space="0"/>
              <w:right w:val="single" w:color="auto" w:sz="4" w:space="0"/>
            </w:tcBorders>
            <w:vAlign w:val="center"/>
          </w:tcPr>
          <w:p w14:paraId="7E28FAD2">
            <w:pPr>
              <w:adjustRightInd w:val="0"/>
              <w:spacing w:before="29" w:line="360" w:lineRule="auto"/>
              <w:ind w:left="17"/>
              <w:rPr>
                <w:kern w:val="0"/>
              </w:rPr>
            </w:pPr>
            <w:r>
              <w:rPr>
                <w:kern w:val="0"/>
              </w:rPr>
              <w:t>5. 年化现金流分派率（%）</w:t>
            </w:r>
          </w:p>
        </w:tc>
        <w:tc>
          <w:tcPr>
            <w:tcW w:w="1506" w:type="pct"/>
            <w:tcBorders>
              <w:top w:val="single" w:color="auto" w:sz="4" w:space="0"/>
              <w:left w:val="single" w:color="auto" w:sz="4" w:space="0"/>
              <w:bottom w:val="single" w:color="auto" w:sz="4" w:space="0"/>
              <w:right w:val="single" w:color="auto" w:sz="4" w:space="0"/>
            </w:tcBorders>
            <w:vAlign w:val="center"/>
          </w:tcPr>
          <w:p w14:paraId="052B4241">
            <w:pPr>
              <w:adjustRightInd w:val="0"/>
              <w:spacing w:before="29" w:line="360" w:lineRule="auto"/>
              <w:ind w:left="17"/>
              <w:jc w:val="right"/>
            </w:pPr>
            <w:r>
              <w:t>6.31%</w:t>
            </w:r>
          </w:p>
        </w:tc>
      </w:tr>
    </w:tbl>
    <w:p w14:paraId="52FD0CD9">
      <w:pPr>
        <w:autoSpaceDE w:val="0"/>
        <w:autoSpaceDN w:val="0"/>
        <w:adjustRightInd w:val="0"/>
        <w:spacing w:line="360" w:lineRule="auto"/>
        <w:jc w:val="left"/>
        <w:rPr>
          <w:rFonts w:hint="eastAsia" w:eastAsia="宋体"/>
          <w:b/>
          <w:bCs/>
          <w:kern w:val="0"/>
          <w:sz w:val="24"/>
          <w:szCs w:val="24"/>
          <w:lang w:val="en-US" w:eastAsia="zh-CN"/>
        </w:rPr>
      </w:pPr>
      <w:r>
        <w:t>注：年化现金流分派率指截至报告期末本年累计可供分配金额/报告期末市值/年初至今实际天数*本年总天数</w:t>
      </w:r>
      <w:r>
        <w:rPr>
          <w:rFonts w:hint="eastAsia"/>
          <w:lang w:eastAsia="zh-CN"/>
        </w:rPr>
        <w:t>。</w:t>
      </w:r>
    </w:p>
    <w:p w14:paraId="34549AB9">
      <w:pPr>
        <w:autoSpaceDE w:val="0"/>
        <w:autoSpaceDN w:val="0"/>
        <w:adjustRightInd w:val="0"/>
        <w:spacing w:line="360" w:lineRule="auto"/>
        <w:jc w:val="left"/>
        <w:rPr>
          <w:b/>
          <w:bCs/>
          <w:kern w:val="0"/>
          <w:sz w:val="24"/>
          <w:szCs w:val="24"/>
        </w:rPr>
      </w:pPr>
      <w:r>
        <w:rPr>
          <w:b/>
          <w:bCs/>
          <w:kern w:val="0"/>
          <w:sz w:val="24"/>
          <w:szCs w:val="24"/>
        </w:rPr>
        <w:t>3.2 其他财务指标</w:t>
      </w:r>
    </w:p>
    <w:p w14:paraId="2CC08905">
      <w:pPr>
        <w:spacing w:line="360" w:lineRule="auto"/>
        <w:ind w:firstLine="420" w:firstLineChars="200"/>
      </w:pPr>
      <w:r>
        <w:t>无。</w:t>
      </w:r>
    </w:p>
    <w:p w14:paraId="7155482D">
      <w:pPr>
        <w:adjustRightInd w:val="0"/>
        <w:snapToGrid w:val="0"/>
        <w:spacing w:line="360" w:lineRule="auto"/>
        <w:rPr>
          <w:b/>
          <w:bCs/>
          <w:sz w:val="24"/>
          <w:szCs w:val="24"/>
        </w:rPr>
      </w:pPr>
      <w:r>
        <w:rPr>
          <w:b/>
          <w:bCs/>
          <w:sz w:val="24"/>
          <w:szCs w:val="24"/>
        </w:rPr>
        <w:t>3.3 不动产基金收益分配情况</w:t>
      </w:r>
    </w:p>
    <w:p w14:paraId="6FBECB80">
      <w:pPr>
        <w:adjustRightInd w:val="0"/>
        <w:snapToGrid w:val="0"/>
        <w:spacing w:line="360" w:lineRule="auto"/>
        <w:rPr>
          <w:b/>
          <w:bCs/>
          <w:sz w:val="24"/>
          <w:szCs w:val="24"/>
        </w:rPr>
      </w:pPr>
      <w:r>
        <w:rPr>
          <w:b/>
          <w:bCs/>
          <w:sz w:val="24"/>
          <w:szCs w:val="24"/>
        </w:rPr>
        <w:t>3.3.1本报告期的可供分配金额</w:t>
      </w:r>
    </w:p>
    <w:p w14:paraId="0591CFBC">
      <w:pPr>
        <w:autoSpaceDE w:val="0"/>
        <w:autoSpaceDN w:val="0"/>
        <w:adjustRightInd w:val="0"/>
        <w:spacing w:before="29" w:line="360" w:lineRule="auto"/>
        <w:ind w:left="15"/>
        <w:jc w:val="right"/>
        <w:rPr>
          <w:kern w:val="0"/>
        </w:rPr>
      </w:pPr>
      <w:r>
        <w:rPr>
          <w:kern w:val="0"/>
        </w:rPr>
        <w:t>单位：人民币元</w:t>
      </w:r>
    </w:p>
    <w:tbl>
      <w:tblPr>
        <w:tblStyle w:val="24"/>
        <w:tblW w:w="850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4"/>
        <w:gridCol w:w="2664"/>
        <w:gridCol w:w="2156"/>
        <w:gridCol w:w="1672"/>
      </w:tblGrid>
      <w:tr w14:paraId="5B35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dxa"/>
            <w:vAlign w:val="center"/>
          </w:tcPr>
          <w:p w14:paraId="45DB17DE">
            <w:pPr>
              <w:spacing w:line="360" w:lineRule="auto"/>
              <w:jc w:val="center"/>
            </w:pPr>
            <w:r>
              <w:t>期间</w:t>
            </w:r>
          </w:p>
        </w:tc>
        <w:tc>
          <w:tcPr>
            <w:tcW w:w="2664" w:type="dxa"/>
            <w:vAlign w:val="center"/>
          </w:tcPr>
          <w:p w14:paraId="012F7ED0">
            <w:pPr>
              <w:spacing w:line="360" w:lineRule="auto"/>
              <w:jc w:val="center"/>
            </w:pPr>
            <w:r>
              <w:t>可供分配金额</w:t>
            </w:r>
          </w:p>
        </w:tc>
        <w:tc>
          <w:tcPr>
            <w:tcW w:w="2156" w:type="dxa"/>
            <w:vAlign w:val="center"/>
          </w:tcPr>
          <w:p w14:paraId="162098E7">
            <w:pPr>
              <w:spacing w:line="360" w:lineRule="auto"/>
              <w:jc w:val="center"/>
            </w:pPr>
            <w:r>
              <w:t>单位可供分配金额</w:t>
            </w:r>
          </w:p>
        </w:tc>
        <w:tc>
          <w:tcPr>
            <w:tcW w:w="1672" w:type="dxa"/>
            <w:vAlign w:val="center"/>
          </w:tcPr>
          <w:p w14:paraId="7B969741">
            <w:pPr>
              <w:spacing w:line="360" w:lineRule="auto"/>
              <w:jc w:val="center"/>
            </w:pPr>
            <w:r>
              <w:t>备注</w:t>
            </w:r>
          </w:p>
        </w:tc>
      </w:tr>
      <w:tr w14:paraId="4FE2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dxa"/>
            <w:vAlign w:val="center"/>
          </w:tcPr>
          <w:p w14:paraId="306CC036">
            <w:pPr>
              <w:spacing w:line="360" w:lineRule="auto"/>
            </w:pPr>
            <w:r>
              <w:t>本期</w:t>
            </w:r>
          </w:p>
        </w:tc>
        <w:tc>
          <w:tcPr>
            <w:tcW w:w="2664" w:type="dxa"/>
            <w:vAlign w:val="center"/>
          </w:tcPr>
          <w:p w14:paraId="5716961B">
            <w:pPr>
              <w:spacing w:line="360" w:lineRule="auto"/>
              <w:jc w:val="center"/>
              <w:rPr>
                <w:kern w:val="0"/>
              </w:rPr>
            </w:pPr>
            <w:r>
              <w:rPr>
                <w:kern w:val="0"/>
              </w:rPr>
              <w:t>19,860,577.66</w:t>
            </w:r>
          </w:p>
        </w:tc>
        <w:tc>
          <w:tcPr>
            <w:tcW w:w="2156" w:type="dxa"/>
          </w:tcPr>
          <w:p w14:paraId="18897662">
            <w:pPr>
              <w:spacing w:line="360" w:lineRule="auto"/>
              <w:jc w:val="center"/>
              <w:rPr>
                <w:kern w:val="0"/>
              </w:rPr>
            </w:pPr>
            <w:r>
              <w:rPr>
                <w:kern w:val="0"/>
              </w:rPr>
              <w:t>0.0397</w:t>
            </w:r>
          </w:p>
        </w:tc>
        <w:tc>
          <w:tcPr>
            <w:tcW w:w="1672" w:type="dxa"/>
          </w:tcPr>
          <w:p w14:paraId="6C8F48A5">
            <w:pPr>
              <w:spacing w:line="360" w:lineRule="auto"/>
              <w:jc w:val="center"/>
              <w:rPr>
                <w:kern w:val="0"/>
              </w:rPr>
            </w:pPr>
            <w:r>
              <w:rPr>
                <w:kern w:val="0"/>
              </w:rPr>
              <w:t>-</w:t>
            </w:r>
          </w:p>
        </w:tc>
      </w:tr>
      <w:tr w14:paraId="7FE5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dxa"/>
            <w:vAlign w:val="center"/>
          </w:tcPr>
          <w:p w14:paraId="490E309C">
            <w:pPr>
              <w:spacing w:line="360" w:lineRule="auto"/>
            </w:pPr>
            <w:r>
              <w:t>本年累计</w:t>
            </w:r>
          </w:p>
        </w:tc>
        <w:tc>
          <w:tcPr>
            <w:tcW w:w="2664" w:type="dxa"/>
            <w:vAlign w:val="center"/>
          </w:tcPr>
          <w:p w14:paraId="406BA557">
            <w:pPr>
              <w:spacing w:line="360" w:lineRule="auto"/>
              <w:jc w:val="center"/>
              <w:rPr>
                <w:kern w:val="0"/>
              </w:rPr>
            </w:pPr>
            <w:r>
              <w:rPr>
                <w:kern w:val="0"/>
              </w:rPr>
              <w:t>57,128,251.59</w:t>
            </w:r>
          </w:p>
        </w:tc>
        <w:tc>
          <w:tcPr>
            <w:tcW w:w="2156" w:type="dxa"/>
          </w:tcPr>
          <w:p w14:paraId="7CB2DE2F">
            <w:pPr>
              <w:spacing w:line="360" w:lineRule="auto"/>
              <w:jc w:val="center"/>
              <w:rPr>
                <w:kern w:val="0"/>
              </w:rPr>
            </w:pPr>
            <w:r>
              <w:rPr>
                <w:kern w:val="0"/>
              </w:rPr>
              <w:t>0.1143</w:t>
            </w:r>
          </w:p>
        </w:tc>
        <w:tc>
          <w:tcPr>
            <w:tcW w:w="1672" w:type="dxa"/>
          </w:tcPr>
          <w:p w14:paraId="75029A45">
            <w:pPr>
              <w:spacing w:line="360" w:lineRule="auto"/>
              <w:jc w:val="center"/>
              <w:rPr>
                <w:kern w:val="0"/>
              </w:rPr>
            </w:pPr>
            <w:r>
              <w:rPr>
                <w:kern w:val="0"/>
              </w:rPr>
              <w:t>-</w:t>
            </w:r>
          </w:p>
        </w:tc>
      </w:tr>
    </w:tbl>
    <w:p w14:paraId="15985C1E">
      <w:pPr>
        <w:adjustRightInd w:val="0"/>
        <w:snapToGrid w:val="0"/>
        <w:spacing w:line="360" w:lineRule="auto"/>
        <w:rPr>
          <w:b/>
          <w:bCs/>
          <w:sz w:val="24"/>
          <w:szCs w:val="24"/>
        </w:rPr>
      </w:pPr>
      <w:r>
        <w:rPr>
          <w:b/>
          <w:bCs/>
          <w:sz w:val="24"/>
          <w:szCs w:val="24"/>
        </w:rPr>
        <w:t>3.3.2本报告期的实际分配金额</w:t>
      </w:r>
    </w:p>
    <w:p w14:paraId="11129935">
      <w:pPr>
        <w:autoSpaceDE w:val="0"/>
        <w:autoSpaceDN w:val="0"/>
        <w:adjustRightInd w:val="0"/>
        <w:spacing w:before="29" w:line="360" w:lineRule="auto"/>
        <w:ind w:left="15"/>
        <w:jc w:val="right"/>
        <w:rPr>
          <w:kern w:val="0"/>
        </w:rPr>
      </w:pPr>
      <w:r>
        <w:rPr>
          <w:kern w:val="0"/>
        </w:rPr>
        <w:t>单位：人民币元</w:t>
      </w:r>
    </w:p>
    <w:tbl>
      <w:tblPr>
        <w:tblStyle w:val="2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1"/>
        <w:gridCol w:w="1486"/>
        <w:gridCol w:w="2902"/>
        <w:gridCol w:w="2844"/>
      </w:tblGrid>
      <w:tr w14:paraId="59970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1" w:type="dxa"/>
            <w:vAlign w:val="center"/>
          </w:tcPr>
          <w:p w14:paraId="118C4379">
            <w:pPr>
              <w:spacing w:line="360" w:lineRule="auto"/>
              <w:jc w:val="center"/>
            </w:pPr>
            <w:r>
              <w:t>期间</w:t>
            </w:r>
          </w:p>
        </w:tc>
        <w:tc>
          <w:tcPr>
            <w:tcW w:w="1486" w:type="dxa"/>
            <w:vAlign w:val="center"/>
          </w:tcPr>
          <w:p w14:paraId="4D053BCB">
            <w:pPr>
              <w:spacing w:line="360" w:lineRule="auto"/>
              <w:jc w:val="center"/>
            </w:pPr>
            <w:r>
              <w:t>实际分配金额</w:t>
            </w:r>
          </w:p>
        </w:tc>
        <w:tc>
          <w:tcPr>
            <w:tcW w:w="0" w:type="auto"/>
            <w:vAlign w:val="center"/>
          </w:tcPr>
          <w:p w14:paraId="5CD3B57C">
            <w:pPr>
              <w:spacing w:line="360" w:lineRule="auto"/>
              <w:jc w:val="center"/>
            </w:pPr>
            <w:r>
              <w:t>单位实际分配金额</w:t>
            </w:r>
          </w:p>
        </w:tc>
        <w:tc>
          <w:tcPr>
            <w:tcW w:w="0" w:type="auto"/>
            <w:vAlign w:val="center"/>
          </w:tcPr>
          <w:p w14:paraId="40E62E9D">
            <w:pPr>
              <w:spacing w:line="360" w:lineRule="auto"/>
              <w:jc w:val="center"/>
            </w:pPr>
            <w:r>
              <w:t>备注</w:t>
            </w:r>
          </w:p>
        </w:tc>
      </w:tr>
      <w:tr w14:paraId="21C4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1" w:type="dxa"/>
            <w:vAlign w:val="center"/>
          </w:tcPr>
          <w:p w14:paraId="129AB4F7">
            <w:pPr>
              <w:spacing w:line="360" w:lineRule="auto"/>
              <w:jc w:val="both"/>
            </w:pPr>
            <w:r>
              <w:t>本期</w:t>
            </w:r>
          </w:p>
        </w:tc>
        <w:tc>
          <w:tcPr>
            <w:tcW w:w="1486" w:type="dxa"/>
            <w:vAlign w:val="center"/>
          </w:tcPr>
          <w:p w14:paraId="541D2F96">
            <w:pPr>
              <w:spacing w:line="360" w:lineRule="auto"/>
              <w:jc w:val="center"/>
            </w:pPr>
            <w:r>
              <w:t>41,999,999.98</w:t>
            </w:r>
          </w:p>
        </w:tc>
        <w:tc>
          <w:tcPr>
            <w:tcW w:w="0" w:type="auto"/>
          </w:tcPr>
          <w:p w14:paraId="7EB76EBF">
            <w:pPr>
              <w:spacing w:line="360" w:lineRule="auto"/>
              <w:jc w:val="center"/>
            </w:pPr>
            <w:r>
              <w:t>0.0840</w:t>
            </w:r>
          </w:p>
        </w:tc>
        <w:tc>
          <w:tcPr>
            <w:tcW w:w="0" w:type="auto"/>
          </w:tcPr>
          <w:p w14:paraId="5E208CBF">
            <w:pPr>
              <w:spacing w:line="360" w:lineRule="auto"/>
              <w:jc w:val="center"/>
            </w:pPr>
            <w:r>
              <w:t>2026年度第一次分红</w:t>
            </w:r>
          </w:p>
        </w:tc>
      </w:tr>
      <w:tr w14:paraId="6ED5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1" w:type="dxa"/>
            <w:vAlign w:val="center"/>
          </w:tcPr>
          <w:p w14:paraId="06118C35">
            <w:pPr>
              <w:spacing w:line="360" w:lineRule="auto"/>
              <w:jc w:val="both"/>
            </w:pPr>
            <w:r>
              <w:t>本年累计</w:t>
            </w:r>
          </w:p>
        </w:tc>
        <w:tc>
          <w:tcPr>
            <w:tcW w:w="1486" w:type="dxa"/>
            <w:vAlign w:val="center"/>
          </w:tcPr>
          <w:p w14:paraId="6A3C9183">
            <w:pPr>
              <w:spacing w:line="360" w:lineRule="auto"/>
              <w:jc w:val="both"/>
            </w:pPr>
            <w:r>
              <w:t>58,500,000.38</w:t>
            </w:r>
          </w:p>
        </w:tc>
        <w:tc>
          <w:tcPr>
            <w:tcW w:w="2902" w:type="dxa"/>
            <w:vAlign w:val="center"/>
          </w:tcPr>
          <w:p w14:paraId="30A73AA3">
            <w:pPr>
              <w:spacing w:line="360" w:lineRule="auto"/>
              <w:jc w:val="center"/>
            </w:pPr>
            <w:r>
              <w:t>0.1170</w:t>
            </w:r>
          </w:p>
        </w:tc>
        <w:tc>
          <w:tcPr>
            <w:tcW w:w="2844" w:type="dxa"/>
            <w:vAlign w:val="top"/>
          </w:tcPr>
          <w:p w14:paraId="1A815636">
            <w:pPr>
              <w:spacing w:line="360" w:lineRule="auto"/>
              <w:jc w:val="both"/>
            </w:pPr>
            <w:r>
              <w:t>2025年度第三次分红、2026年度第一次分红</w:t>
            </w:r>
          </w:p>
        </w:tc>
      </w:tr>
    </w:tbl>
    <w:p w14:paraId="73972EB4">
      <w:pPr>
        <w:spacing w:line="360" w:lineRule="auto"/>
        <w:ind w:firstLine="420" w:firstLineChars="200"/>
      </w:pPr>
      <w:r>
        <w:t>注：本期实际分配金额为41,999,999.98元，其中包括2025年剩余可供分配金额4,732,326.05元以及2026年上半年可供分配金额37,267,673.93元。</w:t>
      </w:r>
    </w:p>
    <w:p w14:paraId="09E7B3F1">
      <w:pPr>
        <w:adjustRightInd w:val="0"/>
        <w:snapToGrid w:val="0"/>
        <w:spacing w:line="360" w:lineRule="auto"/>
        <w:rPr>
          <w:b/>
          <w:bCs/>
          <w:color w:val="000000" w:themeColor="text1"/>
          <w:sz w:val="24"/>
          <w:szCs w:val="24"/>
        </w:rPr>
      </w:pPr>
      <w:r>
        <w:rPr>
          <w:b/>
          <w:bCs/>
          <w:color w:val="000000" w:themeColor="text1"/>
          <w:sz w:val="24"/>
          <w:szCs w:val="24"/>
        </w:rPr>
        <w:t>3.3.3本期可供分配金额计算过程</w:t>
      </w:r>
    </w:p>
    <w:p w14:paraId="18EEE478">
      <w:pPr>
        <w:autoSpaceDE w:val="0"/>
        <w:autoSpaceDN w:val="0"/>
        <w:adjustRightInd w:val="0"/>
        <w:spacing w:before="29" w:line="360" w:lineRule="auto"/>
        <w:ind w:left="15"/>
        <w:jc w:val="right"/>
        <w:rPr>
          <w:color w:val="000000" w:themeColor="text1"/>
          <w:kern w:val="0"/>
        </w:rPr>
      </w:pPr>
      <w:r>
        <w:rPr>
          <w:color w:val="000000" w:themeColor="text1"/>
          <w:kern w:val="0"/>
        </w:rPr>
        <w:t>单位：人民币元</w:t>
      </w:r>
    </w:p>
    <w:tbl>
      <w:tblPr>
        <w:tblStyle w:val="2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552"/>
        <w:gridCol w:w="2410"/>
      </w:tblGrid>
      <w:tr w14:paraId="0CE92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FBF80C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项目</w:t>
            </w:r>
          </w:p>
        </w:tc>
        <w:tc>
          <w:tcPr>
            <w:tcW w:w="2552" w:type="dxa"/>
            <w:vAlign w:val="center"/>
          </w:tcPr>
          <w:p w14:paraId="10BAFF3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w:t>
            </w:r>
          </w:p>
        </w:tc>
        <w:tc>
          <w:tcPr>
            <w:tcW w:w="2410" w:type="dxa"/>
          </w:tcPr>
          <w:p w14:paraId="70DDED6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备注</w:t>
            </w:r>
          </w:p>
        </w:tc>
      </w:tr>
      <w:tr w14:paraId="657ED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67307A07">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本期合并净利润</w:t>
            </w:r>
          </w:p>
        </w:tc>
        <w:tc>
          <w:tcPr>
            <w:tcW w:w="2552" w:type="dxa"/>
            <w:vAlign w:val="center"/>
          </w:tcPr>
          <w:p w14:paraId="49C64A7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9,661,923.99</w:t>
            </w:r>
          </w:p>
        </w:tc>
        <w:tc>
          <w:tcPr>
            <w:tcW w:w="2410" w:type="dxa"/>
            <w:vAlign w:val="center"/>
          </w:tcPr>
          <w:p w14:paraId="57229A1B">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2F71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EB66661">
            <w:pPr>
              <w:pStyle w:val="19"/>
              <w:adjustRightInd w:val="0"/>
              <w:snapToGrid w:val="0"/>
              <w:spacing w:line="360" w:lineRule="auto"/>
              <w:ind w:firstLine="210" w:firstLineChars="100"/>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本期折旧和摊销</w:t>
            </w:r>
          </w:p>
        </w:tc>
        <w:tc>
          <w:tcPr>
            <w:tcW w:w="2552" w:type="dxa"/>
            <w:vAlign w:val="center"/>
          </w:tcPr>
          <w:p w14:paraId="468284A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9,997,187.89</w:t>
            </w:r>
          </w:p>
        </w:tc>
        <w:tc>
          <w:tcPr>
            <w:tcW w:w="2410" w:type="dxa"/>
            <w:vAlign w:val="center"/>
          </w:tcPr>
          <w:p w14:paraId="18271C3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35FC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F5AD5EA">
            <w:pPr>
              <w:pStyle w:val="19"/>
              <w:adjustRightInd w:val="0"/>
              <w:snapToGrid w:val="0"/>
              <w:spacing w:line="360" w:lineRule="auto"/>
              <w:ind w:firstLine="210" w:firstLineChars="100"/>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本期利息支出</w:t>
            </w:r>
          </w:p>
        </w:tc>
        <w:tc>
          <w:tcPr>
            <w:tcW w:w="2552" w:type="dxa"/>
            <w:vAlign w:val="center"/>
          </w:tcPr>
          <w:p w14:paraId="7ACD3F55">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650,176.88</w:t>
            </w:r>
          </w:p>
        </w:tc>
        <w:tc>
          <w:tcPr>
            <w:tcW w:w="2410" w:type="dxa"/>
            <w:vAlign w:val="center"/>
          </w:tcPr>
          <w:p w14:paraId="2F038B1A">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0754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2886CCD9">
            <w:pPr>
              <w:pStyle w:val="19"/>
              <w:adjustRightInd w:val="0"/>
              <w:snapToGrid w:val="0"/>
              <w:spacing w:line="360" w:lineRule="auto"/>
              <w:ind w:firstLine="210" w:firstLineChars="100"/>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本期所得税费用</w:t>
            </w:r>
          </w:p>
        </w:tc>
        <w:tc>
          <w:tcPr>
            <w:tcW w:w="2552" w:type="dxa"/>
            <w:vAlign w:val="center"/>
          </w:tcPr>
          <w:p w14:paraId="566D752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410" w:type="dxa"/>
            <w:vAlign w:val="center"/>
          </w:tcPr>
          <w:p w14:paraId="403333BA">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478C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5DBD1F4">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本期息税折旧及摊销前利润</w:t>
            </w:r>
          </w:p>
        </w:tc>
        <w:tc>
          <w:tcPr>
            <w:tcW w:w="2552" w:type="dxa"/>
            <w:vAlign w:val="center"/>
          </w:tcPr>
          <w:p w14:paraId="1D1267D1">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20,309,288.76</w:t>
            </w:r>
          </w:p>
        </w:tc>
        <w:tc>
          <w:tcPr>
            <w:tcW w:w="2410" w:type="dxa"/>
            <w:vAlign w:val="center"/>
          </w:tcPr>
          <w:p w14:paraId="66257F29">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3044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693E5534">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调增项</w:t>
            </w:r>
          </w:p>
        </w:tc>
        <w:tc>
          <w:tcPr>
            <w:tcW w:w="2552" w:type="dxa"/>
          </w:tcPr>
          <w:p w14:paraId="17579D8F">
            <w:pPr>
              <w:pStyle w:val="19"/>
              <w:adjustRightInd w:val="0"/>
              <w:snapToGrid w:val="0"/>
              <w:spacing w:line="360" w:lineRule="auto"/>
              <w:jc w:val="center"/>
              <w:rPr>
                <w:rFonts w:ascii="Times New Roman" w:hAnsi="Times New Roman" w:cs="Times New Roman"/>
                <w:color w:val="000000" w:themeColor="text1"/>
                <w:sz w:val="21"/>
                <w:szCs w:val="21"/>
                <w:highlight w:val="yellow"/>
              </w:rPr>
            </w:pPr>
          </w:p>
        </w:tc>
        <w:tc>
          <w:tcPr>
            <w:tcW w:w="2410" w:type="dxa"/>
          </w:tcPr>
          <w:p w14:paraId="17443F7C">
            <w:pPr>
              <w:pStyle w:val="19"/>
              <w:adjustRightInd w:val="0"/>
              <w:snapToGrid w:val="0"/>
              <w:spacing w:line="360" w:lineRule="auto"/>
              <w:jc w:val="center"/>
              <w:rPr>
                <w:rFonts w:ascii="Times New Roman" w:hAnsi="Times New Roman" w:cs="Times New Roman"/>
                <w:color w:val="000000" w:themeColor="text1"/>
                <w:sz w:val="21"/>
                <w:szCs w:val="21"/>
                <w:highlight w:val="yellow"/>
              </w:rPr>
            </w:pPr>
          </w:p>
        </w:tc>
      </w:tr>
      <w:tr w14:paraId="7529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vAlign w:val="center"/>
          </w:tcPr>
          <w:p w14:paraId="4881456A">
            <w:pPr>
              <w:jc w:val="left"/>
            </w:pPr>
            <w:r>
              <w:rPr>
                <w:color w:val="000000" w:themeColor="text1"/>
                <w:kern w:val="0"/>
              </w:rPr>
              <w:t>1 .应收和应付项目的变动</w:t>
            </w:r>
          </w:p>
        </w:tc>
        <w:tc>
          <w:tcPr>
            <w:vAlign w:val="center"/>
          </w:tcPr>
          <w:p w14:paraId="2036E5E4">
            <w:pPr>
              <w:jc w:val="right"/>
            </w:pPr>
            <w:r>
              <w:rPr>
                <w:color w:val="000000" w:themeColor="text1"/>
                <w:kern w:val="0"/>
              </w:rPr>
              <w:t>3,775,089.18</w:t>
            </w:r>
          </w:p>
        </w:tc>
        <w:tc>
          <w:tcPr>
            <w:vAlign w:val="center"/>
          </w:tcPr>
          <w:p w14:paraId="70A17FF3">
            <w:pPr>
              <w:jc w:val="right"/>
            </w:pPr>
            <w:r>
              <w:rPr>
                <w:color w:val="000000" w:themeColor="text1"/>
                <w:kern w:val="0"/>
              </w:rPr>
              <w:t>-</w:t>
            </w:r>
          </w:p>
        </w:tc>
      </w:tr>
      <w:tr w14:paraId="25D7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45BA84B">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调减项</w:t>
            </w:r>
          </w:p>
        </w:tc>
        <w:tc>
          <w:tcPr>
            <w:tcW w:w="2552" w:type="dxa"/>
          </w:tcPr>
          <w:p w14:paraId="5B541AE3">
            <w:pPr>
              <w:pStyle w:val="19"/>
              <w:adjustRightInd w:val="0"/>
              <w:snapToGrid w:val="0"/>
              <w:spacing w:line="360" w:lineRule="auto"/>
              <w:jc w:val="center"/>
              <w:rPr>
                <w:rFonts w:ascii="Times New Roman" w:hAnsi="Times New Roman" w:cs="Times New Roman"/>
                <w:color w:val="000000" w:themeColor="text1"/>
                <w:sz w:val="21"/>
                <w:szCs w:val="21"/>
              </w:rPr>
            </w:pPr>
          </w:p>
        </w:tc>
        <w:tc>
          <w:tcPr>
            <w:tcW w:w="2410" w:type="dxa"/>
          </w:tcPr>
          <w:p w14:paraId="449867E8">
            <w:pPr>
              <w:pStyle w:val="19"/>
              <w:adjustRightInd w:val="0"/>
              <w:snapToGrid w:val="0"/>
              <w:spacing w:line="360" w:lineRule="auto"/>
              <w:jc w:val="center"/>
              <w:rPr>
                <w:rFonts w:ascii="Times New Roman" w:hAnsi="Times New Roman" w:cs="Times New Roman"/>
                <w:color w:val="000000" w:themeColor="text1"/>
                <w:sz w:val="21"/>
                <w:szCs w:val="21"/>
              </w:rPr>
            </w:pPr>
          </w:p>
        </w:tc>
      </w:tr>
      <w:tr w14:paraId="5C8E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vAlign w:val="center"/>
          </w:tcPr>
          <w:p w14:paraId="0282FFEE">
            <w:pPr>
              <w:jc w:val="left"/>
            </w:pPr>
            <w:r>
              <w:rPr>
                <w:color w:val="000000" w:themeColor="text1"/>
                <w:kern w:val="0"/>
              </w:rPr>
              <w:t>1 .未来合理的相关支出预留</w:t>
            </w:r>
          </w:p>
        </w:tc>
        <w:tc>
          <w:tcPr>
            <w:vAlign w:val="center"/>
          </w:tcPr>
          <w:p w14:paraId="16524D18">
            <w:pPr>
              <w:jc w:val="right"/>
            </w:pPr>
            <w:r>
              <w:rPr>
                <w:color w:val="000000" w:themeColor="text1"/>
                <w:kern w:val="0"/>
              </w:rPr>
              <w:t>-4,203,015.28</w:t>
            </w:r>
          </w:p>
        </w:tc>
        <w:tc>
          <w:tcPr>
            <w:vAlign w:val="center"/>
          </w:tcPr>
          <w:p w14:paraId="046BB3FC">
            <w:pPr>
              <w:jc w:val="left"/>
            </w:pPr>
            <w:r>
              <w:rPr>
                <w:color w:val="000000" w:themeColor="text1"/>
                <w:kern w:val="0"/>
              </w:rPr>
              <w:t>注1</w:t>
            </w:r>
          </w:p>
        </w:tc>
      </w:tr>
      <w:tr w14:paraId="76E74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vAlign w:val="center"/>
          </w:tcPr>
          <w:p w14:paraId="53E3A1E9">
            <w:pPr>
              <w:jc w:val="left"/>
            </w:pPr>
            <w:r>
              <w:rPr>
                <w:color w:val="000000" w:themeColor="text1"/>
                <w:kern w:val="0"/>
              </w:rPr>
              <w:t>2 .其他</w:t>
            </w:r>
          </w:p>
        </w:tc>
        <w:tc>
          <w:tcPr>
            <w:vAlign w:val="center"/>
          </w:tcPr>
          <w:p w14:paraId="153F4CD7">
            <w:pPr>
              <w:jc w:val="right"/>
            </w:pPr>
            <w:r>
              <w:rPr>
                <w:color w:val="000000" w:themeColor="text1"/>
                <w:kern w:val="0"/>
              </w:rPr>
              <w:t>-20,785.00</w:t>
            </w:r>
          </w:p>
        </w:tc>
        <w:tc>
          <w:tcPr>
            <w:vAlign w:val="center"/>
          </w:tcPr>
          <w:p w14:paraId="169183D1">
            <w:pPr>
              <w:jc w:val="left"/>
            </w:pPr>
            <w:r>
              <w:rPr>
                <w:color w:val="000000" w:themeColor="text1"/>
                <w:kern w:val="0"/>
              </w:rPr>
              <w:t>注2</w:t>
            </w:r>
          </w:p>
        </w:tc>
      </w:tr>
      <w:tr w14:paraId="477D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7300B084">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本期可供分配金额</w:t>
            </w:r>
          </w:p>
        </w:tc>
        <w:tc>
          <w:tcPr>
            <w:tcW w:w="2552" w:type="dxa"/>
            <w:vAlign w:val="center"/>
          </w:tcPr>
          <w:p w14:paraId="7C809C94">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19,860,577.66</w:t>
            </w:r>
          </w:p>
        </w:tc>
        <w:tc>
          <w:tcPr>
            <w:tcW w:w="2410" w:type="dxa"/>
            <w:vAlign w:val="center"/>
          </w:tcPr>
          <w:p w14:paraId="6D03D7DE">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bl>
    <w:p w14:paraId="38ED4A2E">
      <w:pPr>
        <w:spacing w:line="360" w:lineRule="auto"/>
        <w:rPr>
          <w:color w:val="000000" w:themeColor="text1"/>
        </w:rPr>
      </w:pPr>
      <w:r>
        <w:rPr>
          <w:color w:val="000000" w:themeColor="text1"/>
        </w:rPr>
        <w:t>注：1、未来合理的相关支出预留包括本报告期预留的基金管理费、托管费、中介费、资本性支出、其他运营费及税费等；以及本报告期内支付的前期预留的运营费及税费等，需在本期加回，不影响本期可供分配金额。</w:t>
      </w:r>
    </w:p>
    <w:p w14:paraId="2E1E139A">
      <w:pPr>
        <w:spacing w:line="360" w:lineRule="auto"/>
        <w:ind w:firstLine="420" w:firstLineChars="200"/>
        <w:rPr>
          <w:color w:val="000000" w:themeColor="text1"/>
        </w:rPr>
      </w:pPr>
      <w:r>
        <w:rPr>
          <w:color w:val="000000" w:themeColor="text1"/>
        </w:rPr>
        <w:t>2、其他为购买其他长期资产支付的金额。</w:t>
      </w:r>
    </w:p>
    <w:p w14:paraId="20DD0DBC">
      <w:pPr>
        <w:adjustRightInd w:val="0"/>
        <w:snapToGrid w:val="0"/>
        <w:spacing w:line="360" w:lineRule="auto"/>
        <w:rPr>
          <w:b/>
          <w:color w:val="000000" w:themeColor="text1"/>
          <w:kern w:val="0"/>
          <w:sz w:val="24"/>
          <w:szCs w:val="24"/>
        </w:rPr>
      </w:pPr>
      <w:r>
        <w:rPr>
          <w:b/>
          <w:color w:val="000000" w:themeColor="text1"/>
          <w:kern w:val="0"/>
          <w:sz w:val="24"/>
          <w:szCs w:val="24"/>
        </w:rPr>
        <w:t>3.3.4 可供分配金额较上年同期变化超过10%的情况说明</w:t>
      </w:r>
    </w:p>
    <w:p w14:paraId="51756CD5">
      <w:pPr>
        <w:spacing w:line="360" w:lineRule="auto"/>
        <w:ind w:firstLine="420" w:firstLineChars="200"/>
      </w:pPr>
      <w:r>
        <w:t>未涉及。</w:t>
      </w:r>
    </w:p>
    <w:p w14:paraId="52E2C187">
      <w:pPr>
        <w:adjustRightInd w:val="0"/>
        <w:snapToGrid w:val="0"/>
        <w:spacing w:line="360" w:lineRule="auto"/>
        <w:rPr>
          <w:b/>
          <w:color w:val="000000" w:themeColor="text1"/>
          <w:kern w:val="0"/>
          <w:sz w:val="24"/>
          <w:szCs w:val="24"/>
        </w:rPr>
      </w:pPr>
      <w:r>
        <w:rPr>
          <w:b/>
          <w:color w:val="000000" w:themeColor="text1"/>
          <w:kern w:val="0"/>
          <w:sz w:val="24"/>
          <w:szCs w:val="24"/>
        </w:rPr>
        <w:t>3.3.5设置未来合理支出相关预留调整项的原因（如有），上年同期未来合理支出相关预留调整项的前期设置金额与实际使用金额差异超过10%的原因及合理性</w:t>
      </w:r>
    </w:p>
    <w:p w14:paraId="60650A1A">
      <w:pPr>
        <w:spacing w:line="360" w:lineRule="auto"/>
        <w:ind w:firstLine="420" w:firstLineChars="200"/>
      </w:pPr>
      <w:r>
        <w:t>未来合理的相关支出预留包括本报告期预留的基金管理费、托管费、中介费、资本性支出、其他运营费及税费等，并扣减本期支付的前期已预留的上述费用。</w:t>
      </w:r>
    </w:p>
    <w:p w14:paraId="602735ED">
      <w:pPr>
        <w:spacing w:line="360" w:lineRule="auto"/>
        <w:ind w:firstLine="420" w:firstLineChars="200"/>
      </w:pPr>
      <w:r>
        <w:t>上年同期未来合理支出相关预留调整项的前期设置金额与实际使用金额差异未超过10%。</w:t>
      </w:r>
    </w:p>
    <w:p w14:paraId="0D5F44F2">
      <w:pPr>
        <w:adjustRightInd w:val="0"/>
        <w:snapToGrid w:val="0"/>
        <w:spacing w:line="360" w:lineRule="auto"/>
        <w:rPr>
          <w:b/>
          <w:color w:val="000000" w:themeColor="text1"/>
          <w:kern w:val="0"/>
          <w:sz w:val="24"/>
          <w:szCs w:val="24"/>
        </w:rPr>
      </w:pPr>
      <w:r>
        <w:rPr>
          <w:b/>
          <w:color w:val="000000" w:themeColor="text1"/>
          <w:kern w:val="0"/>
          <w:sz w:val="24"/>
          <w:szCs w:val="24"/>
        </w:rPr>
        <w:t>3.4 报告期内不动产基金费用收取情况的说明</w:t>
      </w:r>
    </w:p>
    <w:p w14:paraId="7242F288">
      <w:pPr>
        <w:spacing w:line="360" w:lineRule="auto"/>
        <w:ind w:firstLine="420" w:firstLineChars="200"/>
      </w:pPr>
      <w:r>
        <w:t>根据《博时津开科工产业园封闭式基础设施证券投资基金更新招募说明书》、《博时津开科工产业园封闭式基础设施证券投资基金基金合同》和《关于博时津开科工产业园封闭式基础设施证券投资基金之运营管理协议》的约定，本报告期内，基金管理人计提管理费297,311.80元，资产支持专项计划管理人计提管理费594,622.68元，基金托管人计提托管费59,462.36元，资产支持专项计划计提托管费0.00元，运营管理机构计提运营管理费（不含税）827,081.04元。</w:t>
      </w:r>
    </w:p>
    <w:p w14:paraId="40E021C0">
      <w:pPr>
        <w:pStyle w:val="2"/>
        <w:spacing w:before="312" w:beforeLines="100" w:after="312" w:afterLines="100" w:line="360" w:lineRule="auto"/>
        <w:jc w:val="center"/>
        <w:rPr>
          <w:kern w:val="0"/>
          <w:sz w:val="24"/>
          <w:szCs w:val="24"/>
        </w:rPr>
      </w:pPr>
      <w:r>
        <w:rPr>
          <w:kern w:val="0"/>
          <w:sz w:val="24"/>
          <w:szCs w:val="24"/>
        </w:rPr>
        <w:t>§4 不动产项目基本情况</w:t>
      </w:r>
    </w:p>
    <w:p w14:paraId="717B977E">
      <w:pPr>
        <w:adjustRightInd w:val="0"/>
        <w:snapToGrid w:val="0"/>
        <w:spacing w:line="360" w:lineRule="auto"/>
        <w:rPr>
          <w:b/>
          <w:bCs/>
          <w:sz w:val="24"/>
          <w:szCs w:val="24"/>
        </w:rPr>
      </w:pPr>
      <w:bookmarkStart w:id="0" w:name="_Toc123732457"/>
      <w:bookmarkStart w:id="1" w:name="_Toc98602638"/>
      <w:bookmarkStart w:id="2" w:name="_Toc167195414"/>
      <w:bookmarkStart w:id="3" w:name="_Toc98511603"/>
      <w:bookmarkStart w:id="4" w:name="_Toc98601289"/>
      <w:bookmarkStart w:id="5" w:name="_Toc98512359"/>
      <w:bookmarkStart w:id="6" w:name="_Toc98602968"/>
      <w:bookmarkStart w:id="7" w:name="_Toc98508940"/>
      <w:r>
        <w:rPr>
          <w:b/>
          <w:bCs/>
          <w:sz w:val="24"/>
          <w:szCs w:val="24"/>
        </w:rPr>
        <w:t xml:space="preserve">4.1 </w:t>
      </w:r>
      <w:bookmarkEnd w:id="0"/>
      <w:bookmarkEnd w:id="1"/>
      <w:bookmarkEnd w:id="2"/>
      <w:bookmarkEnd w:id="3"/>
      <w:bookmarkEnd w:id="4"/>
      <w:bookmarkEnd w:id="5"/>
      <w:bookmarkEnd w:id="6"/>
      <w:bookmarkEnd w:id="7"/>
      <w:r>
        <w:rPr>
          <w:b/>
          <w:bCs/>
          <w:sz w:val="24"/>
          <w:szCs w:val="24"/>
        </w:rPr>
        <w:t>报告期内不动产项目的运营情况</w:t>
      </w:r>
    </w:p>
    <w:p w14:paraId="2D6FA753">
      <w:pPr>
        <w:adjustRightInd w:val="0"/>
        <w:snapToGrid w:val="0"/>
        <w:spacing w:line="360" w:lineRule="auto"/>
        <w:rPr>
          <w:b/>
          <w:color w:val="000000" w:themeColor="text1"/>
          <w:kern w:val="0"/>
          <w:sz w:val="24"/>
          <w:szCs w:val="24"/>
        </w:rPr>
      </w:pPr>
      <w:bookmarkStart w:id="8" w:name="_Toc26659"/>
      <w:bookmarkStart w:id="9" w:name="_Toc9041"/>
      <w:bookmarkStart w:id="10" w:name="_Toc30259"/>
      <w:bookmarkStart w:id="11" w:name="_Toc2122"/>
      <w:r>
        <w:rPr>
          <w:b/>
          <w:color w:val="000000" w:themeColor="text1"/>
          <w:kern w:val="0"/>
          <w:sz w:val="24"/>
          <w:szCs w:val="24"/>
        </w:rPr>
        <w:t>4.1.1 对报告期内重要不动产项目运营情况的说明</w:t>
      </w:r>
      <w:bookmarkEnd w:id="8"/>
      <w:bookmarkEnd w:id="9"/>
      <w:bookmarkEnd w:id="10"/>
      <w:bookmarkEnd w:id="11"/>
    </w:p>
    <w:p w14:paraId="5770C0BB">
      <w:pPr>
        <w:spacing w:line="360" w:lineRule="auto"/>
        <w:ind w:firstLine="420" w:firstLineChars="200"/>
      </w:pPr>
      <w:r>
        <w:t>本报告期内不动产项目包括天河数字产业园和大陆汽车厂房产业园。天河数字产业园自2009年起陆续投入运营，项目不动产权证到期日为2057年6月26日。大陆汽车厂房产业园自2005年起陆续投入运营，项目不动产权证到期日为2054年6月22日。报告期内周边无新增竞争性项目入市，报告期内未发生重大变化和经营策略调整。</w:t>
      </w:r>
    </w:p>
    <w:p w14:paraId="2F72DA05">
      <w:pPr>
        <w:spacing w:line="360" w:lineRule="auto"/>
        <w:ind w:firstLine="420" w:firstLineChars="200"/>
      </w:pPr>
      <w:r>
        <w:t>截至本报告期末，不动产项目合计可出租面积为205,745.62平方米，不动产项目期末时点合计实际出租面积为171,878.86平方米，期末时点出租率为83.54%。不动产项目运营情况较为稳定。</w:t>
      </w:r>
    </w:p>
    <w:p w14:paraId="6422B480">
      <w:pPr>
        <w:adjustRightInd w:val="0"/>
        <w:snapToGrid w:val="0"/>
        <w:spacing w:line="360" w:lineRule="auto"/>
        <w:rPr>
          <w:b/>
          <w:color w:val="000000" w:themeColor="text1"/>
          <w:kern w:val="0"/>
          <w:sz w:val="24"/>
          <w:szCs w:val="24"/>
        </w:rPr>
      </w:pPr>
      <w:r>
        <w:rPr>
          <w:b/>
          <w:color w:val="000000" w:themeColor="text1"/>
          <w:kern w:val="0"/>
          <w:sz w:val="24"/>
          <w:szCs w:val="24"/>
        </w:rPr>
        <w:t>4.1.2 报告期以及上年同期不动产项目整体运营指标</w:t>
      </w:r>
    </w:p>
    <w:tbl>
      <w:tblPr>
        <w:tblStyle w:val="24"/>
        <w:tblW w:w="507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318"/>
        <w:gridCol w:w="1586"/>
        <w:gridCol w:w="1332"/>
        <w:gridCol w:w="1394"/>
        <w:gridCol w:w="1277"/>
        <w:gridCol w:w="886"/>
      </w:tblGrid>
      <w:tr w14:paraId="6D96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495" w:type="pct"/>
            <w:vAlign w:val="center"/>
          </w:tcPr>
          <w:p w14:paraId="205E2AF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762" w:type="pct"/>
            <w:vAlign w:val="center"/>
          </w:tcPr>
          <w:p w14:paraId="57A3AE3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指标名称</w:t>
            </w:r>
          </w:p>
        </w:tc>
        <w:tc>
          <w:tcPr>
            <w:tcW w:w="917" w:type="pct"/>
            <w:vAlign w:val="center"/>
          </w:tcPr>
          <w:p w14:paraId="3D5FFF7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指标含义说明及计算方式</w:t>
            </w:r>
          </w:p>
        </w:tc>
        <w:tc>
          <w:tcPr>
            <w:tcW w:w="770" w:type="pct"/>
            <w:vAlign w:val="center"/>
          </w:tcPr>
          <w:p w14:paraId="26D8B05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指标单位</w:t>
            </w:r>
          </w:p>
        </w:tc>
        <w:tc>
          <w:tcPr>
            <w:tcW w:w="1524" w:type="dxa"/>
            <w:noWrap/>
            <w:vAlign w:val="center"/>
          </w:tcPr>
          <w:p w14:paraId="61F16B8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本期（2026年7月1日-2026年9月30日）/报告期末（2026年9月30日）</w:t>
            </w:r>
          </w:p>
        </w:tc>
        <w:tc>
          <w:tcPr>
            <w:tcW w:w="1380" w:type="dxa"/>
            <w:noWrap/>
            <w:vAlign w:val="center"/>
          </w:tcPr>
          <w:p w14:paraId="05B6A17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上年同期（2025年7月1日-2025年9月30日）/上年同期末（2025年9月30日）</w:t>
            </w:r>
          </w:p>
        </w:tc>
        <w:tc>
          <w:tcPr>
            <w:tcW w:w="512" w:type="pct"/>
            <w:noWrap/>
            <w:vAlign w:val="center"/>
          </w:tcPr>
          <w:p w14:paraId="4A5D0508">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同比（%）</w:t>
            </w:r>
          </w:p>
        </w:tc>
      </w:tr>
      <w:tr w14:paraId="0720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44C2903">
            <w:pPr>
              <w:jc w:val="left"/>
            </w:pPr>
            <w:r>
              <w:rPr>
                <w:color w:val="000000" w:themeColor="text1"/>
                <w:kern w:val="0"/>
              </w:rPr>
              <w:t>1</w:t>
            </w:r>
          </w:p>
        </w:tc>
        <w:tc>
          <w:tcPr>
            <w:vAlign w:val="center"/>
          </w:tcPr>
          <w:p w14:paraId="3B58F124">
            <w:pPr>
              <w:jc w:val="left"/>
            </w:pPr>
            <w:r>
              <w:rPr>
                <w:color w:val="000000" w:themeColor="text1"/>
                <w:kern w:val="0"/>
              </w:rPr>
              <w:t>报告期末可出租面积</w:t>
            </w:r>
          </w:p>
        </w:tc>
        <w:tc>
          <w:tcPr>
            <w:vAlign w:val="center"/>
          </w:tcPr>
          <w:p w14:paraId="4A22FD45">
            <w:pPr>
              <w:jc w:val="left"/>
            </w:pPr>
            <w:r>
              <w:rPr>
                <w:color w:val="000000" w:themeColor="text1"/>
                <w:kern w:val="0"/>
              </w:rPr>
              <w:t>报告期末可出租面积</w:t>
            </w:r>
          </w:p>
        </w:tc>
        <w:tc>
          <w:tcPr>
            <w:vAlign w:val="center"/>
          </w:tcPr>
          <w:p w14:paraId="0CA6A07D">
            <w:pPr>
              <w:jc w:val="left"/>
            </w:pPr>
            <w:r>
              <w:rPr>
                <w:color w:val="000000" w:themeColor="text1"/>
                <w:kern w:val="0"/>
              </w:rPr>
              <w:t>平方米</w:t>
            </w:r>
          </w:p>
        </w:tc>
        <w:tc>
          <w:tcPr>
            <w:vAlign w:val="center"/>
          </w:tcPr>
          <w:p w14:paraId="341812ED">
            <w:pPr>
              <w:jc w:val="center"/>
            </w:pPr>
            <w:r>
              <w:rPr>
                <w:color w:val="000000" w:themeColor="text1"/>
                <w:kern w:val="0"/>
              </w:rPr>
              <w:t>205,745.62</w:t>
            </w:r>
          </w:p>
        </w:tc>
        <w:tc>
          <w:tcPr>
            <w:vAlign w:val="center"/>
          </w:tcPr>
          <w:p w14:paraId="0DD3F071">
            <w:pPr>
              <w:jc w:val="center"/>
            </w:pPr>
            <w:r>
              <w:rPr>
                <w:color w:val="000000" w:themeColor="text1"/>
                <w:kern w:val="0"/>
              </w:rPr>
              <w:t>205,745.62</w:t>
            </w:r>
          </w:p>
        </w:tc>
        <w:tc>
          <w:tcPr>
            <w:vAlign w:val="center"/>
          </w:tcPr>
          <w:p w14:paraId="1ACAA4B7">
            <w:pPr>
              <w:jc w:val="center"/>
            </w:pPr>
            <w:r>
              <w:rPr>
                <w:color w:val="000000" w:themeColor="text1"/>
                <w:kern w:val="0"/>
              </w:rPr>
              <w:t>0.00%</w:t>
            </w:r>
          </w:p>
        </w:tc>
      </w:tr>
      <w:tr w14:paraId="093DB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0C9C501">
            <w:pPr>
              <w:jc w:val="left"/>
            </w:pPr>
            <w:r>
              <w:rPr>
                <w:color w:val="000000" w:themeColor="text1"/>
                <w:kern w:val="0"/>
              </w:rPr>
              <w:t>2</w:t>
            </w:r>
          </w:p>
        </w:tc>
        <w:tc>
          <w:tcPr>
            <w:vAlign w:val="center"/>
          </w:tcPr>
          <w:p w14:paraId="1BDBEBA0">
            <w:pPr>
              <w:jc w:val="left"/>
            </w:pPr>
            <w:r>
              <w:rPr>
                <w:color w:val="000000" w:themeColor="text1"/>
                <w:kern w:val="0"/>
              </w:rPr>
              <w:t>报告期末实际出租面积</w:t>
            </w:r>
          </w:p>
        </w:tc>
        <w:tc>
          <w:tcPr>
            <w:vAlign w:val="center"/>
          </w:tcPr>
          <w:p w14:paraId="686091DF">
            <w:pPr>
              <w:jc w:val="left"/>
            </w:pPr>
            <w:r>
              <w:rPr>
                <w:color w:val="000000" w:themeColor="text1"/>
                <w:kern w:val="0"/>
              </w:rPr>
              <w:t>报告期末实际出租面积</w:t>
            </w:r>
          </w:p>
        </w:tc>
        <w:tc>
          <w:tcPr>
            <w:vAlign w:val="center"/>
          </w:tcPr>
          <w:p w14:paraId="4A4F8727">
            <w:pPr>
              <w:jc w:val="left"/>
            </w:pPr>
            <w:r>
              <w:rPr>
                <w:color w:val="000000" w:themeColor="text1"/>
                <w:kern w:val="0"/>
              </w:rPr>
              <w:t>平方米</w:t>
            </w:r>
          </w:p>
        </w:tc>
        <w:tc>
          <w:tcPr>
            <w:vAlign w:val="center"/>
          </w:tcPr>
          <w:p w14:paraId="4151645F">
            <w:pPr>
              <w:jc w:val="center"/>
            </w:pPr>
            <w:r>
              <w:rPr>
                <w:color w:val="000000" w:themeColor="text1"/>
                <w:kern w:val="0"/>
              </w:rPr>
              <w:t>171,878.86</w:t>
            </w:r>
          </w:p>
        </w:tc>
        <w:tc>
          <w:tcPr>
            <w:vAlign w:val="center"/>
          </w:tcPr>
          <w:p w14:paraId="0A37211F">
            <w:pPr>
              <w:jc w:val="center"/>
            </w:pPr>
            <w:r>
              <w:rPr>
                <w:color w:val="000000" w:themeColor="text1"/>
                <w:kern w:val="0"/>
              </w:rPr>
              <w:t>178,536.26</w:t>
            </w:r>
          </w:p>
        </w:tc>
        <w:tc>
          <w:tcPr>
            <w:vAlign w:val="center"/>
          </w:tcPr>
          <w:p w14:paraId="19B49191">
            <w:pPr>
              <w:jc w:val="center"/>
            </w:pPr>
            <w:r>
              <w:rPr>
                <w:color w:val="000000" w:themeColor="text1"/>
                <w:kern w:val="0"/>
              </w:rPr>
              <w:t>-3.73%</w:t>
            </w:r>
          </w:p>
        </w:tc>
      </w:tr>
      <w:tr w14:paraId="1CFC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DBBAFF2">
            <w:pPr>
              <w:jc w:val="left"/>
            </w:pPr>
            <w:r>
              <w:rPr>
                <w:color w:val="000000" w:themeColor="text1"/>
                <w:kern w:val="0"/>
              </w:rPr>
              <w:t>3</w:t>
            </w:r>
          </w:p>
        </w:tc>
        <w:tc>
          <w:tcPr>
            <w:vAlign w:val="center"/>
          </w:tcPr>
          <w:p w14:paraId="2CD1930D">
            <w:pPr>
              <w:jc w:val="left"/>
            </w:pPr>
            <w:r>
              <w:rPr>
                <w:color w:val="000000" w:themeColor="text1"/>
                <w:kern w:val="0"/>
              </w:rPr>
              <w:t>报告期末时点出租率</w:t>
            </w:r>
          </w:p>
        </w:tc>
        <w:tc>
          <w:tcPr>
            <w:vAlign w:val="center"/>
          </w:tcPr>
          <w:p w14:paraId="6CC2F0A7">
            <w:pPr>
              <w:jc w:val="left"/>
            </w:pPr>
            <w:r>
              <w:rPr>
                <w:color w:val="000000" w:themeColor="text1"/>
                <w:kern w:val="0"/>
              </w:rPr>
              <w:t>报告期末实际出租面积/报告期末可出租面积</w:t>
            </w:r>
          </w:p>
        </w:tc>
        <w:tc>
          <w:tcPr>
            <w:vAlign w:val="center"/>
          </w:tcPr>
          <w:p w14:paraId="2A5D1449">
            <w:pPr>
              <w:jc w:val="left"/>
            </w:pPr>
            <w:r>
              <w:rPr>
                <w:color w:val="000000" w:themeColor="text1"/>
                <w:kern w:val="0"/>
              </w:rPr>
              <w:t>%</w:t>
            </w:r>
          </w:p>
        </w:tc>
        <w:tc>
          <w:tcPr>
            <w:vAlign w:val="center"/>
          </w:tcPr>
          <w:p w14:paraId="591AEFD3">
            <w:pPr>
              <w:jc w:val="center"/>
            </w:pPr>
            <w:r>
              <w:rPr>
                <w:color w:val="000000" w:themeColor="text1"/>
                <w:kern w:val="0"/>
              </w:rPr>
              <w:t>83.54</w:t>
            </w:r>
          </w:p>
        </w:tc>
        <w:tc>
          <w:tcPr>
            <w:vAlign w:val="center"/>
          </w:tcPr>
          <w:p w14:paraId="63A0AB61">
            <w:pPr>
              <w:jc w:val="center"/>
            </w:pPr>
            <w:r>
              <w:rPr>
                <w:color w:val="000000" w:themeColor="text1"/>
                <w:kern w:val="0"/>
              </w:rPr>
              <w:t>86.78</w:t>
            </w:r>
          </w:p>
        </w:tc>
        <w:tc>
          <w:tcPr>
            <w:vAlign w:val="center"/>
          </w:tcPr>
          <w:p w14:paraId="0E8CE724">
            <w:pPr>
              <w:jc w:val="center"/>
            </w:pPr>
            <w:r>
              <w:rPr>
                <w:color w:val="000000" w:themeColor="text1"/>
                <w:kern w:val="0"/>
              </w:rPr>
              <w:t>-3.73%</w:t>
            </w:r>
          </w:p>
        </w:tc>
      </w:tr>
      <w:tr w14:paraId="7DFB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5688F14">
            <w:pPr>
              <w:jc w:val="left"/>
            </w:pPr>
            <w:r>
              <w:rPr>
                <w:color w:val="000000" w:themeColor="text1"/>
                <w:kern w:val="0"/>
              </w:rPr>
              <w:t>4</w:t>
            </w:r>
          </w:p>
        </w:tc>
        <w:tc>
          <w:tcPr>
            <w:vAlign w:val="center"/>
          </w:tcPr>
          <w:p w14:paraId="4D1AD102">
            <w:pPr>
              <w:jc w:val="left"/>
            </w:pPr>
            <w:r>
              <w:rPr>
                <w:color w:val="000000" w:themeColor="text1"/>
                <w:kern w:val="0"/>
              </w:rPr>
              <w:t>报告期内平均含税月租金</w:t>
            </w:r>
          </w:p>
        </w:tc>
        <w:tc>
          <w:tcPr>
            <w:vAlign w:val="center"/>
          </w:tcPr>
          <w:p w14:paraId="53FFB3F9">
            <w:pPr>
              <w:jc w:val="left"/>
            </w:pPr>
            <w:r>
              <w:rPr>
                <w:color w:val="000000" w:themeColor="text1"/>
                <w:kern w:val="0"/>
              </w:rPr>
              <w:t>报告期内累计含税租金收入/累计月末实际出租面积</w:t>
            </w:r>
          </w:p>
        </w:tc>
        <w:tc>
          <w:tcPr>
            <w:vAlign w:val="center"/>
          </w:tcPr>
          <w:p w14:paraId="0B2C58E5">
            <w:pPr>
              <w:jc w:val="left"/>
            </w:pPr>
            <w:r>
              <w:rPr>
                <w:color w:val="000000" w:themeColor="text1"/>
                <w:kern w:val="0"/>
              </w:rPr>
              <w:t>元/平方米</w:t>
            </w:r>
          </w:p>
        </w:tc>
        <w:tc>
          <w:tcPr>
            <w:vAlign w:val="center"/>
          </w:tcPr>
          <w:p w14:paraId="30D71877">
            <w:pPr>
              <w:jc w:val="center"/>
            </w:pPr>
            <w:r>
              <w:rPr>
                <w:color w:val="000000" w:themeColor="text1"/>
                <w:kern w:val="0"/>
              </w:rPr>
              <w:t>48.62</w:t>
            </w:r>
          </w:p>
        </w:tc>
        <w:tc>
          <w:tcPr>
            <w:vAlign w:val="center"/>
          </w:tcPr>
          <w:p w14:paraId="18EAC159">
            <w:pPr>
              <w:jc w:val="center"/>
            </w:pPr>
            <w:r>
              <w:rPr>
                <w:color w:val="000000" w:themeColor="text1"/>
                <w:kern w:val="0"/>
              </w:rPr>
              <w:t>48.38</w:t>
            </w:r>
          </w:p>
        </w:tc>
        <w:tc>
          <w:tcPr>
            <w:vAlign w:val="center"/>
          </w:tcPr>
          <w:p w14:paraId="380D0C5E">
            <w:pPr>
              <w:jc w:val="center"/>
            </w:pPr>
            <w:r>
              <w:rPr>
                <w:color w:val="000000" w:themeColor="text1"/>
                <w:kern w:val="0"/>
              </w:rPr>
              <w:t>0.50%</w:t>
            </w:r>
          </w:p>
        </w:tc>
      </w:tr>
      <w:tr w14:paraId="3668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DE5E808">
            <w:pPr>
              <w:jc w:val="left"/>
            </w:pPr>
            <w:r>
              <w:rPr>
                <w:color w:val="000000" w:themeColor="text1"/>
                <w:kern w:val="0"/>
              </w:rPr>
              <w:t>5</w:t>
            </w:r>
          </w:p>
        </w:tc>
        <w:tc>
          <w:tcPr>
            <w:vAlign w:val="center"/>
          </w:tcPr>
          <w:p w14:paraId="4DDCFAA3">
            <w:pPr>
              <w:jc w:val="left"/>
            </w:pPr>
            <w:r>
              <w:rPr>
                <w:color w:val="000000" w:themeColor="text1"/>
                <w:kern w:val="0"/>
              </w:rPr>
              <w:t>累计租金收缴率</w:t>
            </w:r>
          </w:p>
        </w:tc>
        <w:tc>
          <w:tcPr>
            <w:vAlign w:val="center"/>
          </w:tcPr>
          <w:p w14:paraId="73B99AA3">
            <w:pPr>
              <w:jc w:val="left"/>
            </w:pPr>
            <w:r>
              <w:rPr>
                <w:color w:val="000000" w:themeColor="text1"/>
                <w:kern w:val="0"/>
              </w:rPr>
              <w:t>当年累计租金收缴额/当年累计合同总应收</w:t>
            </w:r>
          </w:p>
        </w:tc>
        <w:tc>
          <w:tcPr>
            <w:vAlign w:val="center"/>
          </w:tcPr>
          <w:p w14:paraId="61EC2027">
            <w:pPr>
              <w:jc w:val="left"/>
            </w:pPr>
            <w:r>
              <w:rPr>
                <w:color w:val="000000" w:themeColor="text1"/>
                <w:kern w:val="0"/>
              </w:rPr>
              <w:t>%</w:t>
            </w:r>
          </w:p>
        </w:tc>
        <w:tc>
          <w:tcPr>
            <w:vAlign w:val="center"/>
          </w:tcPr>
          <w:p w14:paraId="3D34F1E8">
            <w:pPr>
              <w:jc w:val="center"/>
            </w:pPr>
            <w:r>
              <w:rPr>
                <w:color w:val="000000" w:themeColor="text1"/>
                <w:kern w:val="0"/>
              </w:rPr>
              <w:t>95.99</w:t>
            </w:r>
          </w:p>
        </w:tc>
        <w:tc>
          <w:tcPr>
            <w:vAlign w:val="center"/>
          </w:tcPr>
          <w:p w14:paraId="6B9137CD">
            <w:pPr>
              <w:jc w:val="center"/>
            </w:pPr>
            <w:r>
              <w:rPr>
                <w:color w:val="000000" w:themeColor="text1"/>
                <w:kern w:val="0"/>
              </w:rPr>
              <w:t>95.55</w:t>
            </w:r>
          </w:p>
        </w:tc>
        <w:tc>
          <w:tcPr>
            <w:vAlign w:val="center"/>
          </w:tcPr>
          <w:p w14:paraId="6E6482C7">
            <w:pPr>
              <w:jc w:val="center"/>
            </w:pPr>
            <w:r>
              <w:rPr>
                <w:color w:val="000000" w:themeColor="text1"/>
                <w:kern w:val="0"/>
              </w:rPr>
              <w:t>0.46%</w:t>
            </w:r>
          </w:p>
        </w:tc>
      </w:tr>
      <w:tr w14:paraId="001C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462B6C3">
            <w:pPr>
              <w:jc w:val="left"/>
            </w:pPr>
            <w:r>
              <w:rPr>
                <w:color w:val="000000" w:themeColor="text1"/>
                <w:kern w:val="0"/>
              </w:rPr>
              <w:t>6</w:t>
            </w:r>
          </w:p>
        </w:tc>
        <w:tc>
          <w:tcPr>
            <w:vAlign w:val="center"/>
          </w:tcPr>
          <w:p w14:paraId="1A6680FA">
            <w:pPr>
              <w:jc w:val="left"/>
            </w:pPr>
            <w:r>
              <w:rPr>
                <w:color w:val="000000" w:themeColor="text1"/>
                <w:kern w:val="0"/>
              </w:rPr>
              <w:t>报告期末加权平均剩余租期</w:t>
            </w:r>
          </w:p>
        </w:tc>
        <w:tc>
          <w:tcPr>
            <w:vAlign w:val="center"/>
          </w:tcPr>
          <w:p w14:paraId="45505FEC">
            <w:pPr>
              <w:jc w:val="left"/>
            </w:pPr>
            <w:r>
              <w:rPr>
                <w:color w:val="000000" w:themeColor="text1"/>
                <w:kern w:val="0"/>
              </w:rPr>
              <w:t>（各租约剩余租期*租约建筑面积之和）/总租约建筑面积</w:t>
            </w:r>
          </w:p>
        </w:tc>
        <w:tc>
          <w:tcPr>
            <w:vAlign w:val="center"/>
          </w:tcPr>
          <w:p w14:paraId="2D60B75C">
            <w:pPr>
              <w:jc w:val="left"/>
            </w:pPr>
            <w:r>
              <w:rPr>
                <w:color w:val="000000" w:themeColor="text1"/>
                <w:kern w:val="0"/>
              </w:rPr>
              <w:t>天</w:t>
            </w:r>
          </w:p>
        </w:tc>
        <w:tc>
          <w:tcPr>
            <w:vAlign w:val="center"/>
          </w:tcPr>
          <w:p w14:paraId="4D5592A8">
            <w:pPr>
              <w:jc w:val="center"/>
            </w:pPr>
            <w:r>
              <w:rPr>
                <w:color w:val="000000" w:themeColor="text1"/>
                <w:kern w:val="0"/>
              </w:rPr>
              <w:t>1,489.38</w:t>
            </w:r>
          </w:p>
        </w:tc>
        <w:tc>
          <w:tcPr>
            <w:vAlign w:val="center"/>
          </w:tcPr>
          <w:p w14:paraId="4A266703">
            <w:pPr>
              <w:jc w:val="center"/>
            </w:pPr>
            <w:r>
              <w:rPr>
                <w:color w:val="000000" w:themeColor="text1"/>
                <w:kern w:val="0"/>
              </w:rPr>
              <w:t>1,622.55</w:t>
            </w:r>
          </w:p>
        </w:tc>
        <w:tc>
          <w:tcPr>
            <w:vAlign w:val="center"/>
          </w:tcPr>
          <w:p w14:paraId="58916958">
            <w:pPr>
              <w:jc w:val="center"/>
            </w:pPr>
            <w:r>
              <w:rPr>
                <w:color w:val="000000" w:themeColor="text1"/>
                <w:kern w:val="0"/>
              </w:rPr>
              <w:t>-8.21%</w:t>
            </w:r>
          </w:p>
        </w:tc>
      </w:tr>
    </w:tbl>
    <w:p w14:paraId="5C476BF2">
      <w:pPr>
        <w:adjustRightInd w:val="0"/>
        <w:snapToGrid w:val="0"/>
        <w:spacing w:line="360" w:lineRule="auto"/>
        <w:rPr>
          <w:b/>
          <w:color w:val="000000" w:themeColor="text1"/>
          <w:kern w:val="0"/>
          <w:sz w:val="24"/>
          <w:szCs w:val="24"/>
        </w:rPr>
      </w:pPr>
      <w:r>
        <w:rPr>
          <w:b/>
          <w:color w:val="000000" w:themeColor="text1"/>
          <w:kern w:val="0"/>
          <w:sz w:val="24"/>
          <w:szCs w:val="24"/>
        </w:rPr>
        <w:t>4.1.3 报告期及上年同期重要不动产项目运营指标</w:t>
      </w:r>
    </w:p>
    <w:p w14:paraId="3B04FF14">
      <w:pPr>
        <w:adjustRightInd w:val="0"/>
        <w:snapToGrid w:val="0"/>
        <w:spacing w:line="360" w:lineRule="auto"/>
        <w:ind w:firstLine="420" w:firstLineChars="200"/>
        <w:jc w:val="left"/>
        <w:rPr>
          <w:bCs/>
          <w:color w:val="000000"/>
        </w:rPr>
      </w:pPr>
      <w:r>
        <w:rPr>
          <w:bCs/>
          <w:color w:val="000000"/>
        </w:rPr>
        <w:t>不动产项目名称：1 天河数字产业园</w:t>
      </w:r>
    </w:p>
    <w:tbl>
      <w:tblPr>
        <w:tblStyle w:val="24"/>
        <w:tblW w:w="507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320"/>
        <w:gridCol w:w="1586"/>
        <w:gridCol w:w="1332"/>
        <w:gridCol w:w="1401"/>
        <w:gridCol w:w="1268"/>
        <w:gridCol w:w="886"/>
      </w:tblGrid>
      <w:tr w14:paraId="1152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495" w:type="pct"/>
            <w:vAlign w:val="center"/>
          </w:tcPr>
          <w:p w14:paraId="546BF43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763" w:type="pct"/>
            <w:vAlign w:val="center"/>
          </w:tcPr>
          <w:p w14:paraId="4C83B1D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指标名称</w:t>
            </w:r>
          </w:p>
        </w:tc>
        <w:tc>
          <w:tcPr>
            <w:tcW w:w="917" w:type="pct"/>
            <w:vAlign w:val="center"/>
          </w:tcPr>
          <w:p w14:paraId="7349C41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指标含义说明及计算公式</w:t>
            </w:r>
          </w:p>
        </w:tc>
        <w:tc>
          <w:tcPr>
            <w:tcW w:w="770" w:type="pct"/>
            <w:vAlign w:val="center"/>
          </w:tcPr>
          <w:p w14:paraId="6FF3A6E6">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指标单位</w:t>
            </w:r>
          </w:p>
        </w:tc>
        <w:tc>
          <w:tcPr>
            <w:tcW w:w="810" w:type="pct"/>
            <w:noWrap/>
            <w:vAlign w:val="center"/>
          </w:tcPr>
          <w:p w14:paraId="7156C6F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本期（2026年7月1日-2026年9月30日）/报告期末（2026年9月30日）</w:t>
            </w:r>
          </w:p>
        </w:tc>
        <w:tc>
          <w:tcPr>
            <w:tcW w:w="733" w:type="pct"/>
            <w:noWrap/>
            <w:vAlign w:val="center"/>
          </w:tcPr>
          <w:p w14:paraId="291B7328">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上年同期（2025年7月1日-2025年9月30日）/上年同期末（2025年9月30日）</w:t>
            </w:r>
          </w:p>
        </w:tc>
        <w:tc>
          <w:tcPr>
            <w:tcW w:w="512" w:type="pct"/>
            <w:noWrap/>
            <w:vAlign w:val="center"/>
          </w:tcPr>
          <w:p w14:paraId="1D1D8A6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同比（%）</w:t>
            </w:r>
          </w:p>
        </w:tc>
      </w:tr>
      <w:tr w14:paraId="659C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D6D245E">
            <w:pPr>
              <w:jc w:val="left"/>
            </w:pPr>
            <w:r>
              <w:rPr>
                <w:color w:val="000000" w:themeColor="text1"/>
                <w:kern w:val="0"/>
              </w:rPr>
              <w:t>1</w:t>
            </w:r>
          </w:p>
        </w:tc>
        <w:tc>
          <w:tcPr>
            <w:vAlign w:val="center"/>
          </w:tcPr>
          <w:p w14:paraId="4A851820">
            <w:pPr>
              <w:jc w:val="left"/>
            </w:pPr>
            <w:r>
              <w:rPr>
                <w:color w:val="000000" w:themeColor="text1"/>
                <w:kern w:val="0"/>
              </w:rPr>
              <w:t>报告期末可出租面积</w:t>
            </w:r>
          </w:p>
        </w:tc>
        <w:tc>
          <w:tcPr>
            <w:vAlign w:val="center"/>
          </w:tcPr>
          <w:p w14:paraId="1ADFC798">
            <w:pPr>
              <w:jc w:val="left"/>
            </w:pPr>
            <w:r>
              <w:rPr>
                <w:color w:val="000000" w:themeColor="text1"/>
                <w:kern w:val="0"/>
              </w:rPr>
              <w:t>报告期末可出租面积</w:t>
            </w:r>
          </w:p>
        </w:tc>
        <w:tc>
          <w:tcPr>
            <w:vAlign w:val="center"/>
          </w:tcPr>
          <w:p w14:paraId="2100BD95">
            <w:pPr>
              <w:jc w:val="left"/>
            </w:pPr>
            <w:r>
              <w:rPr>
                <w:color w:val="000000" w:themeColor="text1"/>
                <w:kern w:val="0"/>
              </w:rPr>
              <w:t>平方米</w:t>
            </w:r>
          </w:p>
        </w:tc>
        <w:tc>
          <w:tcPr>
            <w:vAlign w:val="center"/>
          </w:tcPr>
          <w:p w14:paraId="5AAFDA03">
            <w:pPr>
              <w:jc w:val="center"/>
            </w:pPr>
            <w:r>
              <w:rPr>
                <w:color w:val="000000" w:themeColor="text1"/>
                <w:kern w:val="0"/>
              </w:rPr>
              <w:t>142,512.01</w:t>
            </w:r>
          </w:p>
        </w:tc>
        <w:tc>
          <w:tcPr>
            <w:vAlign w:val="center"/>
          </w:tcPr>
          <w:p w14:paraId="00F7BD69">
            <w:pPr>
              <w:jc w:val="center"/>
            </w:pPr>
            <w:r>
              <w:rPr>
                <w:color w:val="000000" w:themeColor="text1"/>
                <w:kern w:val="0"/>
              </w:rPr>
              <w:t>142,512.01</w:t>
            </w:r>
          </w:p>
        </w:tc>
        <w:tc>
          <w:tcPr>
            <w:vAlign w:val="center"/>
          </w:tcPr>
          <w:p w14:paraId="5848C840">
            <w:pPr>
              <w:jc w:val="center"/>
            </w:pPr>
            <w:r>
              <w:rPr>
                <w:color w:val="000000" w:themeColor="text1"/>
                <w:kern w:val="0"/>
              </w:rPr>
              <w:t>0.00%</w:t>
            </w:r>
          </w:p>
        </w:tc>
      </w:tr>
      <w:tr w14:paraId="0900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1AD803E">
            <w:pPr>
              <w:jc w:val="left"/>
            </w:pPr>
            <w:r>
              <w:rPr>
                <w:color w:val="000000" w:themeColor="text1"/>
                <w:kern w:val="0"/>
              </w:rPr>
              <w:t>2</w:t>
            </w:r>
          </w:p>
        </w:tc>
        <w:tc>
          <w:tcPr>
            <w:vAlign w:val="center"/>
          </w:tcPr>
          <w:p w14:paraId="7C93BEAF">
            <w:pPr>
              <w:jc w:val="left"/>
            </w:pPr>
            <w:r>
              <w:rPr>
                <w:color w:val="000000" w:themeColor="text1"/>
                <w:kern w:val="0"/>
              </w:rPr>
              <w:t>报告期末实际出租面积</w:t>
            </w:r>
          </w:p>
        </w:tc>
        <w:tc>
          <w:tcPr>
            <w:vAlign w:val="center"/>
          </w:tcPr>
          <w:p w14:paraId="680AA0E7">
            <w:pPr>
              <w:jc w:val="left"/>
            </w:pPr>
            <w:r>
              <w:rPr>
                <w:color w:val="000000" w:themeColor="text1"/>
                <w:kern w:val="0"/>
              </w:rPr>
              <w:t>报告期末实际出租面积</w:t>
            </w:r>
          </w:p>
        </w:tc>
        <w:tc>
          <w:tcPr>
            <w:vAlign w:val="center"/>
          </w:tcPr>
          <w:p w14:paraId="568CE9C1">
            <w:pPr>
              <w:jc w:val="left"/>
            </w:pPr>
            <w:r>
              <w:rPr>
                <w:color w:val="000000" w:themeColor="text1"/>
                <w:kern w:val="0"/>
              </w:rPr>
              <w:t>平方米</w:t>
            </w:r>
          </w:p>
        </w:tc>
        <w:tc>
          <w:tcPr>
            <w:vAlign w:val="center"/>
          </w:tcPr>
          <w:p w14:paraId="7B731933">
            <w:pPr>
              <w:jc w:val="center"/>
            </w:pPr>
            <w:r>
              <w:rPr>
                <w:color w:val="000000" w:themeColor="text1"/>
                <w:kern w:val="0"/>
              </w:rPr>
              <w:t>108,645.25</w:t>
            </w:r>
          </w:p>
        </w:tc>
        <w:tc>
          <w:tcPr>
            <w:vAlign w:val="center"/>
          </w:tcPr>
          <w:p w14:paraId="7727CD3F">
            <w:pPr>
              <w:jc w:val="center"/>
            </w:pPr>
            <w:r>
              <w:rPr>
                <w:color w:val="000000" w:themeColor="text1"/>
                <w:kern w:val="0"/>
              </w:rPr>
              <w:t>115,302.65</w:t>
            </w:r>
          </w:p>
        </w:tc>
        <w:tc>
          <w:tcPr>
            <w:vAlign w:val="center"/>
          </w:tcPr>
          <w:p w14:paraId="7805B50E">
            <w:pPr>
              <w:jc w:val="center"/>
            </w:pPr>
            <w:r>
              <w:rPr>
                <w:color w:val="000000" w:themeColor="text1"/>
                <w:kern w:val="0"/>
              </w:rPr>
              <w:t>-5.77%</w:t>
            </w:r>
          </w:p>
        </w:tc>
      </w:tr>
      <w:tr w14:paraId="22BC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8491B50">
            <w:pPr>
              <w:jc w:val="left"/>
            </w:pPr>
            <w:r>
              <w:rPr>
                <w:color w:val="000000" w:themeColor="text1"/>
                <w:kern w:val="0"/>
              </w:rPr>
              <w:t>3</w:t>
            </w:r>
          </w:p>
        </w:tc>
        <w:tc>
          <w:tcPr>
            <w:vAlign w:val="center"/>
          </w:tcPr>
          <w:p w14:paraId="351C8C24">
            <w:pPr>
              <w:jc w:val="left"/>
            </w:pPr>
            <w:r>
              <w:rPr>
                <w:color w:val="000000" w:themeColor="text1"/>
                <w:kern w:val="0"/>
              </w:rPr>
              <w:t>报告期末时点出租率</w:t>
            </w:r>
          </w:p>
        </w:tc>
        <w:tc>
          <w:tcPr>
            <w:vAlign w:val="center"/>
          </w:tcPr>
          <w:p w14:paraId="7322A758">
            <w:pPr>
              <w:jc w:val="left"/>
            </w:pPr>
            <w:r>
              <w:rPr>
                <w:color w:val="000000" w:themeColor="text1"/>
                <w:kern w:val="0"/>
              </w:rPr>
              <w:t>报告期末实际出租面积/报告期末可出租面积</w:t>
            </w:r>
          </w:p>
        </w:tc>
        <w:tc>
          <w:tcPr>
            <w:vAlign w:val="center"/>
          </w:tcPr>
          <w:p w14:paraId="4267874A">
            <w:pPr>
              <w:jc w:val="left"/>
            </w:pPr>
            <w:r>
              <w:rPr>
                <w:color w:val="000000" w:themeColor="text1"/>
                <w:kern w:val="0"/>
              </w:rPr>
              <w:t>%</w:t>
            </w:r>
          </w:p>
        </w:tc>
        <w:tc>
          <w:tcPr>
            <w:vAlign w:val="center"/>
          </w:tcPr>
          <w:p w14:paraId="022BDFA3">
            <w:pPr>
              <w:jc w:val="center"/>
            </w:pPr>
            <w:r>
              <w:rPr>
                <w:color w:val="000000" w:themeColor="text1"/>
                <w:kern w:val="0"/>
              </w:rPr>
              <w:t>76.24</w:t>
            </w:r>
          </w:p>
        </w:tc>
        <w:tc>
          <w:tcPr>
            <w:vAlign w:val="center"/>
          </w:tcPr>
          <w:p w14:paraId="55F026B2">
            <w:pPr>
              <w:jc w:val="center"/>
            </w:pPr>
            <w:r>
              <w:rPr>
                <w:color w:val="000000" w:themeColor="text1"/>
                <w:kern w:val="0"/>
              </w:rPr>
              <w:t>80.91</w:t>
            </w:r>
          </w:p>
        </w:tc>
        <w:tc>
          <w:tcPr>
            <w:vAlign w:val="center"/>
          </w:tcPr>
          <w:p w14:paraId="11332975">
            <w:pPr>
              <w:jc w:val="center"/>
            </w:pPr>
            <w:r>
              <w:rPr>
                <w:color w:val="000000" w:themeColor="text1"/>
                <w:kern w:val="0"/>
              </w:rPr>
              <w:t>-5.77%</w:t>
            </w:r>
          </w:p>
        </w:tc>
      </w:tr>
      <w:tr w14:paraId="3D64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771C608">
            <w:pPr>
              <w:jc w:val="left"/>
            </w:pPr>
            <w:r>
              <w:rPr>
                <w:color w:val="000000" w:themeColor="text1"/>
                <w:kern w:val="0"/>
              </w:rPr>
              <w:t>4</w:t>
            </w:r>
          </w:p>
        </w:tc>
        <w:tc>
          <w:tcPr>
            <w:vAlign w:val="center"/>
          </w:tcPr>
          <w:p w14:paraId="20E02644">
            <w:pPr>
              <w:jc w:val="left"/>
            </w:pPr>
            <w:r>
              <w:rPr>
                <w:color w:val="000000" w:themeColor="text1"/>
                <w:kern w:val="0"/>
              </w:rPr>
              <w:t>报告期内平均含税月租金</w:t>
            </w:r>
          </w:p>
        </w:tc>
        <w:tc>
          <w:tcPr>
            <w:vAlign w:val="center"/>
          </w:tcPr>
          <w:p w14:paraId="79F4D001">
            <w:pPr>
              <w:jc w:val="left"/>
            </w:pPr>
            <w:r>
              <w:rPr>
                <w:color w:val="000000" w:themeColor="text1"/>
                <w:kern w:val="0"/>
              </w:rPr>
              <w:t>报告期内累计含税租金收入/累计月末实际出租面积</w:t>
            </w:r>
          </w:p>
        </w:tc>
        <w:tc>
          <w:tcPr>
            <w:vAlign w:val="center"/>
          </w:tcPr>
          <w:p w14:paraId="7846D43F">
            <w:pPr>
              <w:jc w:val="left"/>
            </w:pPr>
            <w:r>
              <w:rPr>
                <w:color w:val="000000" w:themeColor="text1"/>
                <w:kern w:val="0"/>
              </w:rPr>
              <w:t>元/平方米</w:t>
            </w:r>
          </w:p>
        </w:tc>
        <w:tc>
          <w:tcPr>
            <w:vAlign w:val="center"/>
          </w:tcPr>
          <w:p w14:paraId="7B4B8024">
            <w:pPr>
              <w:jc w:val="center"/>
            </w:pPr>
            <w:r>
              <w:rPr>
                <w:color w:val="000000" w:themeColor="text1"/>
                <w:kern w:val="0"/>
              </w:rPr>
              <w:t>44.51</w:t>
            </w:r>
          </w:p>
        </w:tc>
        <w:tc>
          <w:tcPr>
            <w:vAlign w:val="center"/>
          </w:tcPr>
          <w:p w14:paraId="26A6DAD7">
            <w:pPr>
              <w:jc w:val="center"/>
            </w:pPr>
            <w:r>
              <w:rPr>
                <w:color w:val="000000" w:themeColor="text1"/>
                <w:kern w:val="0"/>
              </w:rPr>
              <w:t>44.37</w:t>
            </w:r>
          </w:p>
        </w:tc>
        <w:tc>
          <w:tcPr>
            <w:vAlign w:val="center"/>
          </w:tcPr>
          <w:p w14:paraId="3C02F09E">
            <w:pPr>
              <w:jc w:val="center"/>
            </w:pPr>
            <w:r>
              <w:rPr>
                <w:color w:val="000000" w:themeColor="text1"/>
                <w:kern w:val="0"/>
              </w:rPr>
              <w:t>0.32%</w:t>
            </w:r>
          </w:p>
        </w:tc>
      </w:tr>
      <w:tr w14:paraId="1711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563FB61">
            <w:pPr>
              <w:jc w:val="left"/>
            </w:pPr>
            <w:r>
              <w:rPr>
                <w:color w:val="000000" w:themeColor="text1"/>
                <w:kern w:val="0"/>
              </w:rPr>
              <w:t>5</w:t>
            </w:r>
          </w:p>
        </w:tc>
        <w:tc>
          <w:tcPr>
            <w:vAlign w:val="center"/>
          </w:tcPr>
          <w:p w14:paraId="2B9F0D24">
            <w:pPr>
              <w:jc w:val="left"/>
            </w:pPr>
            <w:r>
              <w:rPr>
                <w:color w:val="000000" w:themeColor="text1"/>
                <w:kern w:val="0"/>
              </w:rPr>
              <w:t>累计租金收缴率</w:t>
            </w:r>
          </w:p>
        </w:tc>
        <w:tc>
          <w:tcPr>
            <w:vAlign w:val="center"/>
          </w:tcPr>
          <w:p w14:paraId="3EDDE606">
            <w:pPr>
              <w:jc w:val="left"/>
            </w:pPr>
            <w:r>
              <w:rPr>
                <w:color w:val="000000" w:themeColor="text1"/>
                <w:kern w:val="0"/>
              </w:rPr>
              <w:t>当年累计租金收缴额/当年累计合同总应收</w:t>
            </w:r>
          </w:p>
        </w:tc>
        <w:tc>
          <w:tcPr>
            <w:vAlign w:val="center"/>
          </w:tcPr>
          <w:p w14:paraId="0C0D9100">
            <w:pPr>
              <w:jc w:val="left"/>
            </w:pPr>
            <w:r>
              <w:rPr>
                <w:color w:val="000000" w:themeColor="text1"/>
                <w:kern w:val="0"/>
              </w:rPr>
              <w:t>%</w:t>
            </w:r>
          </w:p>
        </w:tc>
        <w:tc>
          <w:tcPr>
            <w:vAlign w:val="center"/>
          </w:tcPr>
          <w:p w14:paraId="59751FE7">
            <w:pPr>
              <w:jc w:val="center"/>
            </w:pPr>
            <w:r>
              <w:rPr>
                <w:color w:val="000000" w:themeColor="text1"/>
                <w:kern w:val="0"/>
              </w:rPr>
              <w:t>93.98</w:t>
            </w:r>
          </w:p>
        </w:tc>
        <w:tc>
          <w:tcPr>
            <w:vAlign w:val="center"/>
          </w:tcPr>
          <w:p w14:paraId="35ADFDCF">
            <w:pPr>
              <w:jc w:val="center"/>
            </w:pPr>
            <w:r>
              <w:rPr>
                <w:color w:val="000000" w:themeColor="text1"/>
                <w:kern w:val="0"/>
              </w:rPr>
              <w:t>93.54</w:t>
            </w:r>
          </w:p>
        </w:tc>
        <w:tc>
          <w:tcPr>
            <w:vAlign w:val="center"/>
          </w:tcPr>
          <w:p w14:paraId="19F4147D">
            <w:pPr>
              <w:jc w:val="center"/>
            </w:pPr>
            <w:r>
              <w:rPr>
                <w:color w:val="000000" w:themeColor="text1"/>
                <w:kern w:val="0"/>
              </w:rPr>
              <w:t>0.47%</w:t>
            </w:r>
          </w:p>
        </w:tc>
      </w:tr>
      <w:tr w14:paraId="4733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F71A249">
            <w:pPr>
              <w:jc w:val="left"/>
            </w:pPr>
            <w:r>
              <w:rPr>
                <w:color w:val="000000" w:themeColor="text1"/>
                <w:kern w:val="0"/>
              </w:rPr>
              <w:t>6</w:t>
            </w:r>
          </w:p>
        </w:tc>
        <w:tc>
          <w:tcPr>
            <w:vAlign w:val="center"/>
          </w:tcPr>
          <w:p w14:paraId="0BED2F20">
            <w:pPr>
              <w:jc w:val="left"/>
            </w:pPr>
            <w:r>
              <w:rPr>
                <w:color w:val="000000" w:themeColor="text1"/>
                <w:kern w:val="0"/>
              </w:rPr>
              <w:t>报告期末加权平均剩余租期</w:t>
            </w:r>
          </w:p>
        </w:tc>
        <w:tc>
          <w:tcPr>
            <w:vAlign w:val="center"/>
          </w:tcPr>
          <w:p w14:paraId="11C2BFB4">
            <w:pPr>
              <w:jc w:val="left"/>
            </w:pPr>
            <w:r>
              <w:rPr>
                <w:color w:val="000000" w:themeColor="text1"/>
                <w:kern w:val="0"/>
              </w:rPr>
              <w:t>（各租约剩余租期*租约建筑面积之和）/总租约建筑面积</w:t>
            </w:r>
          </w:p>
        </w:tc>
        <w:tc>
          <w:tcPr>
            <w:vAlign w:val="center"/>
          </w:tcPr>
          <w:p w14:paraId="3629A13D">
            <w:pPr>
              <w:jc w:val="left"/>
            </w:pPr>
            <w:r>
              <w:rPr>
                <w:color w:val="000000" w:themeColor="text1"/>
                <w:kern w:val="0"/>
              </w:rPr>
              <w:t>天</w:t>
            </w:r>
          </w:p>
        </w:tc>
        <w:tc>
          <w:tcPr>
            <w:vAlign w:val="center"/>
          </w:tcPr>
          <w:p w14:paraId="259DE147">
            <w:pPr>
              <w:jc w:val="center"/>
            </w:pPr>
            <w:r>
              <w:rPr>
                <w:color w:val="000000" w:themeColor="text1"/>
                <w:kern w:val="0"/>
              </w:rPr>
              <w:t>765.16</w:t>
            </w:r>
          </w:p>
        </w:tc>
        <w:tc>
          <w:tcPr>
            <w:vAlign w:val="center"/>
          </w:tcPr>
          <w:p w14:paraId="2B534692">
            <w:pPr>
              <w:jc w:val="center"/>
            </w:pPr>
            <w:r>
              <w:rPr>
                <w:color w:val="000000" w:themeColor="text1"/>
                <w:kern w:val="0"/>
              </w:rPr>
              <w:t>813.00</w:t>
            </w:r>
          </w:p>
        </w:tc>
        <w:tc>
          <w:tcPr>
            <w:vAlign w:val="center"/>
          </w:tcPr>
          <w:p w14:paraId="1E786B04">
            <w:pPr>
              <w:jc w:val="center"/>
            </w:pPr>
            <w:r>
              <w:rPr>
                <w:color w:val="000000" w:themeColor="text1"/>
                <w:kern w:val="0"/>
              </w:rPr>
              <w:t>-5.88%</w:t>
            </w:r>
          </w:p>
        </w:tc>
      </w:tr>
    </w:tbl>
    <w:p w14:paraId="2EE76EBB">
      <w:pPr>
        <w:adjustRightInd w:val="0"/>
        <w:snapToGrid w:val="0"/>
        <w:spacing w:line="360" w:lineRule="auto"/>
        <w:ind w:firstLine="420" w:firstLineChars="200"/>
        <w:jc w:val="left"/>
        <w:rPr>
          <w:bCs/>
          <w:color w:val="000000"/>
        </w:rPr>
      </w:pPr>
      <w:r>
        <w:rPr>
          <w:bCs/>
          <w:color w:val="000000"/>
        </w:rPr>
        <w:t>不动产项目名称：2 大陆汽车厂房产业园</w:t>
      </w:r>
    </w:p>
    <w:tbl>
      <w:tblPr>
        <w:tblStyle w:val="24"/>
        <w:tblW w:w="5070"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2173"/>
        <w:gridCol w:w="1766"/>
        <w:gridCol w:w="869"/>
        <w:gridCol w:w="1108"/>
        <w:gridCol w:w="1163"/>
        <w:gridCol w:w="940"/>
      </w:tblGrid>
      <w:tr w14:paraId="01A5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363" w:type="pct"/>
            <w:vAlign w:val="center"/>
          </w:tcPr>
          <w:p w14:paraId="56D0369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256" w:type="pct"/>
            <w:vAlign w:val="center"/>
          </w:tcPr>
          <w:p w14:paraId="0CCA9C5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指标名称</w:t>
            </w:r>
          </w:p>
        </w:tc>
        <w:tc>
          <w:tcPr>
            <w:tcW w:w="1021" w:type="pct"/>
            <w:vAlign w:val="center"/>
          </w:tcPr>
          <w:p w14:paraId="53DB8D0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指标含义说明及计算公式</w:t>
            </w:r>
          </w:p>
        </w:tc>
        <w:tc>
          <w:tcPr>
            <w:tcW w:w="502" w:type="pct"/>
            <w:vAlign w:val="center"/>
          </w:tcPr>
          <w:p w14:paraId="28BDB82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指标单位</w:t>
            </w:r>
          </w:p>
        </w:tc>
        <w:tc>
          <w:tcPr>
            <w:tcW w:w="640" w:type="pct"/>
            <w:noWrap/>
            <w:vAlign w:val="center"/>
          </w:tcPr>
          <w:p w14:paraId="114DB67D">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本期（2026年7月1日-2026年9月30日）/报告期末（2026年9月30日）</w:t>
            </w:r>
          </w:p>
        </w:tc>
        <w:tc>
          <w:tcPr>
            <w:tcW w:w="672" w:type="pct"/>
            <w:noWrap/>
            <w:vAlign w:val="center"/>
          </w:tcPr>
          <w:p w14:paraId="6D5E8D7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上年同期（2025年7月1日-2025年9月30日）/上年同期末（2025年9月30日）</w:t>
            </w:r>
          </w:p>
        </w:tc>
        <w:tc>
          <w:tcPr>
            <w:tcW w:w="543" w:type="pct"/>
            <w:noWrap/>
            <w:vAlign w:val="center"/>
          </w:tcPr>
          <w:p w14:paraId="5F66B11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同比（%）</w:t>
            </w:r>
          </w:p>
        </w:tc>
      </w:tr>
      <w:tr w14:paraId="669E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50CED5E8">
            <w:pPr>
              <w:jc w:val="left"/>
            </w:pPr>
            <w:r>
              <w:rPr>
                <w:color w:val="000000" w:themeColor="text1"/>
                <w:kern w:val="0"/>
              </w:rPr>
              <w:t>1</w:t>
            </w:r>
          </w:p>
        </w:tc>
        <w:tc>
          <w:tcPr>
            <w:tcW w:w="1256" w:type="pct"/>
            <w:vAlign w:val="center"/>
          </w:tcPr>
          <w:p w14:paraId="6E79F9D3">
            <w:pPr>
              <w:jc w:val="left"/>
            </w:pPr>
            <w:r>
              <w:rPr>
                <w:color w:val="000000" w:themeColor="text1"/>
                <w:kern w:val="0"/>
              </w:rPr>
              <w:t>报告期末可出租面积</w:t>
            </w:r>
          </w:p>
        </w:tc>
        <w:tc>
          <w:tcPr>
            <w:tcW w:w="1021" w:type="pct"/>
            <w:vAlign w:val="center"/>
          </w:tcPr>
          <w:p w14:paraId="57FDCAF2">
            <w:pPr>
              <w:jc w:val="left"/>
            </w:pPr>
            <w:r>
              <w:rPr>
                <w:color w:val="000000" w:themeColor="text1"/>
                <w:kern w:val="0"/>
              </w:rPr>
              <w:t>报告期末可出租面积</w:t>
            </w:r>
          </w:p>
        </w:tc>
        <w:tc>
          <w:tcPr>
            <w:tcW w:w="502" w:type="pct"/>
            <w:vAlign w:val="center"/>
          </w:tcPr>
          <w:p w14:paraId="5B5E3A1D">
            <w:pPr>
              <w:jc w:val="left"/>
            </w:pPr>
            <w:r>
              <w:rPr>
                <w:color w:val="000000" w:themeColor="text1"/>
                <w:kern w:val="0"/>
              </w:rPr>
              <w:t>平方米</w:t>
            </w:r>
          </w:p>
        </w:tc>
        <w:tc>
          <w:tcPr>
            <w:tcW w:w="640" w:type="pct"/>
            <w:vAlign w:val="center"/>
          </w:tcPr>
          <w:p w14:paraId="22EDD16D">
            <w:pPr>
              <w:jc w:val="center"/>
            </w:pPr>
            <w:r>
              <w:rPr>
                <w:color w:val="000000" w:themeColor="text1"/>
                <w:kern w:val="0"/>
              </w:rPr>
              <w:t>63,233.61</w:t>
            </w:r>
          </w:p>
        </w:tc>
        <w:tc>
          <w:tcPr>
            <w:tcW w:w="672" w:type="pct"/>
            <w:vAlign w:val="center"/>
          </w:tcPr>
          <w:p w14:paraId="202E0F51">
            <w:pPr>
              <w:jc w:val="center"/>
            </w:pPr>
            <w:r>
              <w:rPr>
                <w:color w:val="000000" w:themeColor="text1"/>
                <w:kern w:val="0"/>
              </w:rPr>
              <w:t>63,233.61</w:t>
            </w:r>
          </w:p>
        </w:tc>
        <w:tc>
          <w:tcPr>
            <w:tcW w:w="543" w:type="pct"/>
            <w:vAlign w:val="center"/>
          </w:tcPr>
          <w:p w14:paraId="44F575B7">
            <w:pPr>
              <w:jc w:val="center"/>
            </w:pPr>
            <w:r>
              <w:rPr>
                <w:color w:val="000000" w:themeColor="text1"/>
                <w:kern w:val="0"/>
              </w:rPr>
              <w:t>0.00%</w:t>
            </w:r>
          </w:p>
        </w:tc>
      </w:tr>
      <w:tr w14:paraId="70372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0800CE5F">
            <w:pPr>
              <w:jc w:val="left"/>
            </w:pPr>
            <w:r>
              <w:rPr>
                <w:color w:val="000000" w:themeColor="text1"/>
                <w:kern w:val="0"/>
              </w:rPr>
              <w:t>2</w:t>
            </w:r>
          </w:p>
        </w:tc>
        <w:tc>
          <w:tcPr>
            <w:tcW w:w="1256" w:type="pct"/>
            <w:vAlign w:val="center"/>
          </w:tcPr>
          <w:p w14:paraId="623CADA9">
            <w:pPr>
              <w:jc w:val="left"/>
            </w:pPr>
            <w:r>
              <w:rPr>
                <w:color w:val="000000" w:themeColor="text1"/>
                <w:kern w:val="0"/>
              </w:rPr>
              <w:t>报告期末实际出租面积</w:t>
            </w:r>
          </w:p>
        </w:tc>
        <w:tc>
          <w:tcPr>
            <w:tcW w:w="1021" w:type="pct"/>
            <w:vAlign w:val="center"/>
          </w:tcPr>
          <w:p w14:paraId="627B556C">
            <w:pPr>
              <w:jc w:val="left"/>
            </w:pPr>
            <w:r>
              <w:rPr>
                <w:color w:val="000000" w:themeColor="text1"/>
                <w:kern w:val="0"/>
              </w:rPr>
              <w:t>报告期末实际出租面积</w:t>
            </w:r>
          </w:p>
        </w:tc>
        <w:tc>
          <w:tcPr>
            <w:tcW w:w="502" w:type="pct"/>
            <w:vAlign w:val="center"/>
          </w:tcPr>
          <w:p w14:paraId="6D5B4CE0">
            <w:pPr>
              <w:jc w:val="left"/>
            </w:pPr>
            <w:r>
              <w:rPr>
                <w:color w:val="000000" w:themeColor="text1"/>
                <w:kern w:val="0"/>
              </w:rPr>
              <w:t>平方米</w:t>
            </w:r>
          </w:p>
        </w:tc>
        <w:tc>
          <w:tcPr>
            <w:tcW w:w="640" w:type="pct"/>
            <w:vAlign w:val="center"/>
          </w:tcPr>
          <w:p w14:paraId="0DBD1EF9">
            <w:pPr>
              <w:jc w:val="center"/>
            </w:pPr>
            <w:r>
              <w:rPr>
                <w:color w:val="000000" w:themeColor="text1"/>
                <w:kern w:val="0"/>
              </w:rPr>
              <w:t>63,233.61</w:t>
            </w:r>
          </w:p>
        </w:tc>
        <w:tc>
          <w:tcPr>
            <w:tcW w:w="672" w:type="pct"/>
            <w:vAlign w:val="center"/>
          </w:tcPr>
          <w:p w14:paraId="4D32EBE7">
            <w:pPr>
              <w:jc w:val="center"/>
            </w:pPr>
            <w:r>
              <w:rPr>
                <w:color w:val="000000" w:themeColor="text1"/>
                <w:kern w:val="0"/>
              </w:rPr>
              <w:t>63,233.61</w:t>
            </w:r>
          </w:p>
        </w:tc>
        <w:tc>
          <w:tcPr>
            <w:tcW w:w="543" w:type="pct"/>
            <w:vAlign w:val="center"/>
          </w:tcPr>
          <w:p w14:paraId="0F906242">
            <w:pPr>
              <w:jc w:val="center"/>
            </w:pPr>
            <w:r>
              <w:rPr>
                <w:color w:val="000000" w:themeColor="text1"/>
                <w:kern w:val="0"/>
              </w:rPr>
              <w:t>0.00%</w:t>
            </w:r>
          </w:p>
        </w:tc>
      </w:tr>
      <w:tr w14:paraId="2C31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222E75B1">
            <w:pPr>
              <w:jc w:val="left"/>
            </w:pPr>
            <w:r>
              <w:rPr>
                <w:color w:val="000000" w:themeColor="text1"/>
                <w:kern w:val="0"/>
              </w:rPr>
              <w:t>3</w:t>
            </w:r>
          </w:p>
        </w:tc>
        <w:tc>
          <w:tcPr>
            <w:tcW w:w="1256" w:type="pct"/>
            <w:vAlign w:val="center"/>
          </w:tcPr>
          <w:p w14:paraId="27455960">
            <w:pPr>
              <w:jc w:val="left"/>
            </w:pPr>
            <w:r>
              <w:rPr>
                <w:color w:val="000000" w:themeColor="text1"/>
                <w:kern w:val="0"/>
              </w:rPr>
              <w:t>报告期末时点出租率</w:t>
            </w:r>
          </w:p>
        </w:tc>
        <w:tc>
          <w:tcPr>
            <w:tcW w:w="1021" w:type="pct"/>
            <w:vAlign w:val="center"/>
          </w:tcPr>
          <w:p w14:paraId="21652A84">
            <w:pPr>
              <w:jc w:val="left"/>
            </w:pPr>
            <w:r>
              <w:rPr>
                <w:color w:val="000000" w:themeColor="text1"/>
                <w:kern w:val="0"/>
              </w:rPr>
              <w:t>报告期末</w:t>
            </w:r>
            <w:bookmarkStart w:id="16" w:name="_GoBack"/>
            <w:bookmarkEnd w:id="16"/>
            <w:r>
              <w:rPr>
                <w:color w:val="000000" w:themeColor="text1"/>
                <w:kern w:val="0"/>
              </w:rPr>
              <w:t>实际出租面积/报告期末可出租面积</w:t>
            </w:r>
          </w:p>
        </w:tc>
        <w:tc>
          <w:tcPr>
            <w:tcW w:w="502" w:type="pct"/>
            <w:vAlign w:val="center"/>
          </w:tcPr>
          <w:p w14:paraId="05D41D11">
            <w:pPr>
              <w:jc w:val="left"/>
            </w:pPr>
            <w:r>
              <w:rPr>
                <w:color w:val="000000" w:themeColor="text1"/>
                <w:kern w:val="0"/>
              </w:rPr>
              <w:t>%</w:t>
            </w:r>
          </w:p>
        </w:tc>
        <w:tc>
          <w:tcPr>
            <w:tcW w:w="640" w:type="pct"/>
            <w:vAlign w:val="center"/>
          </w:tcPr>
          <w:p w14:paraId="2DCB28D0">
            <w:pPr>
              <w:jc w:val="center"/>
            </w:pPr>
            <w:r>
              <w:rPr>
                <w:color w:val="000000" w:themeColor="text1"/>
                <w:kern w:val="0"/>
              </w:rPr>
              <w:t>100.00</w:t>
            </w:r>
          </w:p>
        </w:tc>
        <w:tc>
          <w:tcPr>
            <w:tcW w:w="672" w:type="pct"/>
            <w:vAlign w:val="center"/>
          </w:tcPr>
          <w:p w14:paraId="2EA366BD">
            <w:pPr>
              <w:jc w:val="center"/>
            </w:pPr>
            <w:r>
              <w:rPr>
                <w:color w:val="000000" w:themeColor="text1"/>
                <w:kern w:val="0"/>
              </w:rPr>
              <w:t>100.00</w:t>
            </w:r>
          </w:p>
        </w:tc>
        <w:tc>
          <w:tcPr>
            <w:tcW w:w="543" w:type="pct"/>
            <w:vAlign w:val="center"/>
          </w:tcPr>
          <w:p w14:paraId="56909FB2">
            <w:pPr>
              <w:jc w:val="center"/>
            </w:pPr>
            <w:r>
              <w:rPr>
                <w:color w:val="000000" w:themeColor="text1"/>
                <w:kern w:val="0"/>
              </w:rPr>
              <w:t>0.00%</w:t>
            </w:r>
          </w:p>
        </w:tc>
      </w:tr>
      <w:tr w14:paraId="04460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703C7DA3">
            <w:pPr>
              <w:jc w:val="left"/>
            </w:pPr>
            <w:r>
              <w:rPr>
                <w:color w:val="000000" w:themeColor="text1"/>
                <w:kern w:val="0"/>
              </w:rPr>
              <w:t>4</w:t>
            </w:r>
          </w:p>
        </w:tc>
        <w:tc>
          <w:tcPr>
            <w:tcW w:w="1256" w:type="pct"/>
            <w:vAlign w:val="center"/>
          </w:tcPr>
          <w:p w14:paraId="6A764B37">
            <w:pPr>
              <w:jc w:val="left"/>
            </w:pPr>
            <w:r>
              <w:rPr>
                <w:color w:val="000000" w:themeColor="text1"/>
                <w:kern w:val="0"/>
              </w:rPr>
              <w:t>报告期内平均含税月租金</w:t>
            </w:r>
          </w:p>
        </w:tc>
        <w:tc>
          <w:tcPr>
            <w:tcW w:w="1021" w:type="pct"/>
            <w:vAlign w:val="center"/>
          </w:tcPr>
          <w:p w14:paraId="545F3D9C">
            <w:pPr>
              <w:jc w:val="left"/>
            </w:pPr>
            <w:r>
              <w:rPr>
                <w:color w:val="000000" w:themeColor="text1"/>
                <w:kern w:val="0"/>
              </w:rPr>
              <w:t>报告期内累计含税租金收入/累计月末实际出租面积</w:t>
            </w:r>
          </w:p>
        </w:tc>
        <w:tc>
          <w:tcPr>
            <w:tcW w:w="502" w:type="pct"/>
            <w:vAlign w:val="center"/>
          </w:tcPr>
          <w:p w14:paraId="1DF09F02">
            <w:pPr>
              <w:jc w:val="left"/>
            </w:pPr>
            <w:r>
              <w:rPr>
                <w:color w:val="000000" w:themeColor="text1"/>
                <w:kern w:val="0"/>
              </w:rPr>
              <w:t>元/平方米</w:t>
            </w:r>
          </w:p>
        </w:tc>
        <w:tc>
          <w:tcPr>
            <w:tcW w:w="640" w:type="pct"/>
            <w:vAlign w:val="center"/>
          </w:tcPr>
          <w:p w14:paraId="36BA6499">
            <w:pPr>
              <w:jc w:val="center"/>
            </w:pPr>
            <w:r>
              <w:rPr>
                <w:color w:val="000000" w:themeColor="text1"/>
                <w:kern w:val="0"/>
              </w:rPr>
              <w:t>55.73</w:t>
            </w:r>
          </w:p>
        </w:tc>
        <w:tc>
          <w:tcPr>
            <w:tcW w:w="672" w:type="pct"/>
            <w:vAlign w:val="center"/>
          </w:tcPr>
          <w:p w14:paraId="7DFBB9D9">
            <w:pPr>
              <w:jc w:val="center"/>
            </w:pPr>
            <w:r>
              <w:rPr>
                <w:color w:val="000000" w:themeColor="text1"/>
                <w:kern w:val="0"/>
              </w:rPr>
              <w:t>55.73</w:t>
            </w:r>
          </w:p>
        </w:tc>
        <w:tc>
          <w:tcPr>
            <w:tcW w:w="543" w:type="pct"/>
            <w:vAlign w:val="center"/>
          </w:tcPr>
          <w:p w14:paraId="276D4BEA">
            <w:pPr>
              <w:jc w:val="center"/>
            </w:pPr>
            <w:r>
              <w:rPr>
                <w:color w:val="000000" w:themeColor="text1"/>
                <w:kern w:val="0"/>
              </w:rPr>
              <w:t>0.00%</w:t>
            </w:r>
          </w:p>
        </w:tc>
      </w:tr>
      <w:tr w14:paraId="6653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26467BC4">
            <w:pPr>
              <w:jc w:val="left"/>
            </w:pPr>
            <w:r>
              <w:rPr>
                <w:color w:val="000000" w:themeColor="text1"/>
                <w:kern w:val="0"/>
              </w:rPr>
              <w:t>5</w:t>
            </w:r>
          </w:p>
        </w:tc>
        <w:tc>
          <w:tcPr>
            <w:tcW w:w="1256" w:type="pct"/>
            <w:vAlign w:val="center"/>
          </w:tcPr>
          <w:p w14:paraId="092CD21E">
            <w:pPr>
              <w:jc w:val="left"/>
            </w:pPr>
            <w:r>
              <w:rPr>
                <w:color w:val="000000" w:themeColor="text1"/>
                <w:kern w:val="0"/>
              </w:rPr>
              <w:t>累计租金收缴率</w:t>
            </w:r>
          </w:p>
        </w:tc>
        <w:tc>
          <w:tcPr>
            <w:tcW w:w="1021" w:type="pct"/>
            <w:vAlign w:val="center"/>
          </w:tcPr>
          <w:p w14:paraId="59C5D912">
            <w:pPr>
              <w:jc w:val="left"/>
            </w:pPr>
            <w:r>
              <w:rPr>
                <w:color w:val="000000" w:themeColor="text1"/>
                <w:kern w:val="0"/>
              </w:rPr>
              <w:t>当年累计租金收缴额/当年累计合同总应收</w:t>
            </w:r>
          </w:p>
        </w:tc>
        <w:tc>
          <w:tcPr>
            <w:tcW w:w="502" w:type="pct"/>
            <w:vAlign w:val="center"/>
          </w:tcPr>
          <w:p w14:paraId="08DF4621">
            <w:pPr>
              <w:jc w:val="left"/>
            </w:pPr>
            <w:r>
              <w:rPr>
                <w:color w:val="000000" w:themeColor="text1"/>
                <w:kern w:val="0"/>
              </w:rPr>
              <w:t>%</w:t>
            </w:r>
          </w:p>
        </w:tc>
        <w:tc>
          <w:tcPr>
            <w:tcW w:w="640" w:type="pct"/>
            <w:vAlign w:val="center"/>
          </w:tcPr>
          <w:p w14:paraId="34B48C26">
            <w:pPr>
              <w:jc w:val="center"/>
            </w:pPr>
            <w:r>
              <w:rPr>
                <w:color w:val="000000" w:themeColor="text1"/>
                <w:kern w:val="0"/>
              </w:rPr>
              <w:t>100.00</w:t>
            </w:r>
          </w:p>
        </w:tc>
        <w:tc>
          <w:tcPr>
            <w:tcW w:w="672" w:type="pct"/>
            <w:vAlign w:val="center"/>
          </w:tcPr>
          <w:p w14:paraId="0A1E3E93">
            <w:pPr>
              <w:jc w:val="center"/>
            </w:pPr>
            <w:r>
              <w:rPr>
                <w:color w:val="000000" w:themeColor="text1"/>
                <w:kern w:val="0"/>
              </w:rPr>
              <w:t>100.00</w:t>
            </w:r>
          </w:p>
        </w:tc>
        <w:tc>
          <w:tcPr>
            <w:tcW w:w="543" w:type="pct"/>
            <w:vAlign w:val="center"/>
          </w:tcPr>
          <w:p w14:paraId="66B9DFBA">
            <w:pPr>
              <w:jc w:val="center"/>
            </w:pPr>
            <w:r>
              <w:rPr>
                <w:color w:val="000000" w:themeColor="text1"/>
                <w:kern w:val="0"/>
              </w:rPr>
              <w:t>0.00%</w:t>
            </w:r>
          </w:p>
        </w:tc>
      </w:tr>
      <w:tr w14:paraId="2818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092065D6">
            <w:pPr>
              <w:jc w:val="left"/>
            </w:pPr>
            <w:r>
              <w:rPr>
                <w:color w:val="000000" w:themeColor="text1"/>
                <w:kern w:val="0"/>
              </w:rPr>
              <w:t>6</w:t>
            </w:r>
          </w:p>
        </w:tc>
        <w:tc>
          <w:tcPr>
            <w:tcW w:w="1256" w:type="pct"/>
            <w:vAlign w:val="center"/>
          </w:tcPr>
          <w:p w14:paraId="48C38501">
            <w:pPr>
              <w:jc w:val="left"/>
            </w:pPr>
            <w:r>
              <w:rPr>
                <w:color w:val="000000" w:themeColor="text1"/>
                <w:kern w:val="0"/>
              </w:rPr>
              <w:t>报告期末加权平均剩余租期</w:t>
            </w:r>
          </w:p>
        </w:tc>
        <w:tc>
          <w:tcPr>
            <w:tcW w:w="1021" w:type="pct"/>
            <w:vAlign w:val="center"/>
          </w:tcPr>
          <w:p w14:paraId="1DC424CA">
            <w:pPr>
              <w:jc w:val="left"/>
            </w:pPr>
            <w:r>
              <w:rPr>
                <w:color w:val="000000" w:themeColor="text1"/>
                <w:kern w:val="0"/>
              </w:rPr>
              <w:t>（各租约剩余租期*租约建筑面积之和）/总租约建筑面积</w:t>
            </w:r>
          </w:p>
        </w:tc>
        <w:tc>
          <w:tcPr>
            <w:tcW w:w="502" w:type="pct"/>
            <w:vAlign w:val="center"/>
          </w:tcPr>
          <w:p w14:paraId="5B38C83A">
            <w:pPr>
              <w:jc w:val="left"/>
            </w:pPr>
            <w:r>
              <w:rPr>
                <w:color w:val="000000" w:themeColor="text1"/>
                <w:kern w:val="0"/>
              </w:rPr>
              <w:t>天</w:t>
            </w:r>
          </w:p>
        </w:tc>
        <w:tc>
          <w:tcPr>
            <w:tcW w:w="640" w:type="pct"/>
            <w:vAlign w:val="center"/>
          </w:tcPr>
          <w:p w14:paraId="2B7A3F76">
            <w:pPr>
              <w:jc w:val="center"/>
            </w:pPr>
            <w:r>
              <w:rPr>
                <w:color w:val="000000" w:themeColor="text1"/>
                <w:kern w:val="0"/>
              </w:rPr>
              <w:t>2,733.70</w:t>
            </w:r>
          </w:p>
        </w:tc>
        <w:tc>
          <w:tcPr>
            <w:tcW w:w="672" w:type="pct"/>
            <w:vAlign w:val="center"/>
          </w:tcPr>
          <w:p w14:paraId="004DAB65">
            <w:pPr>
              <w:jc w:val="center"/>
            </w:pPr>
            <w:r>
              <w:rPr>
                <w:color w:val="000000" w:themeColor="text1"/>
                <w:kern w:val="0"/>
              </w:rPr>
              <w:t>3,098.70</w:t>
            </w:r>
          </w:p>
        </w:tc>
        <w:tc>
          <w:tcPr>
            <w:tcW w:w="543" w:type="pct"/>
            <w:vAlign w:val="center"/>
          </w:tcPr>
          <w:p w14:paraId="14A9E21B">
            <w:pPr>
              <w:jc w:val="center"/>
            </w:pPr>
            <w:r>
              <w:rPr>
                <w:color w:val="000000" w:themeColor="text1"/>
                <w:kern w:val="0"/>
              </w:rPr>
              <w:t>-11.78%</w:t>
            </w:r>
          </w:p>
        </w:tc>
      </w:tr>
    </w:tbl>
    <w:p w14:paraId="1B846A9D">
      <w:pPr>
        <w:adjustRightInd w:val="0"/>
        <w:snapToGrid w:val="0"/>
        <w:spacing w:line="360" w:lineRule="auto"/>
        <w:rPr>
          <w:b/>
          <w:color w:val="000000" w:themeColor="text1"/>
          <w:kern w:val="0"/>
          <w:sz w:val="24"/>
          <w:szCs w:val="24"/>
        </w:rPr>
      </w:pPr>
      <w:r>
        <w:rPr>
          <w:b/>
          <w:color w:val="000000" w:themeColor="text1"/>
          <w:kern w:val="0"/>
          <w:sz w:val="24"/>
          <w:szCs w:val="24"/>
        </w:rPr>
        <w:t>4.1.4 其他运营情况说明</w:t>
      </w:r>
    </w:p>
    <w:p w14:paraId="54CC0ED1">
      <w:pPr>
        <w:spacing w:line="360" w:lineRule="auto"/>
        <w:ind w:firstLine="420" w:firstLineChars="200"/>
      </w:pPr>
      <w:r>
        <w:t>截至本报告期末，天河数字产业园租户数104户，行业以科技、专业技术及现代服务业为主，前述行业租赁面积占比约83%。</w:t>
      </w:r>
    </w:p>
    <w:p w14:paraId="62EB2B5A">
      <w:pPr>
        <w:spacing w:line="360" w:lineRule="auto"/>
        <w:ind w:firstLine="420" w:firstLineChars="200"/>
      </w:pPr>
      <w:r>
        <w:t>报告期内天河数字产业园前五大租户租金及物业管理费收入情况和占全部租金及物业管理费收入比例情况如下：</w:t>
      </w:r>
    </w:p>
    <w:tbl>
      <w:tblPr>
        <w:tblStyle w:val="24"/>
        <w:tblW w:w="8529" w:type="dxa"/>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3318"/>
        <w:gridCol w:w="1985"/>
        <w:gridCol w:w="2126"/>
      </w:tblGrid>
      <w:tr w14:paraId="2FB1E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100" w:type="dxa"/>
            <w:shd w:val="clear" w:color="auto" w:fill="auto"/>
            <w:vAlign w:val="center"/>
          </w:tcPr>
          <w:p w14:paraId="4FE03286">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b/>
                <w:color w:val="000000"/>
                <w:kern w:val="0"/>
                <w:sz w:val="21"/>
                <w:szCs w:val="21"/>
                <w:highlight w:val="none"/>
              </w:rPr>
              <w:t>序号</w:t>
            </w:r>
          </w:p>
        </w:tc>
        <w:tc>
          <w:tcPr>
            <w:tcW w:w="3318" w:type="dxa"/>
            <w:shd w:val="clear" w:color="auto" w:fill="auto"/>
            <w:vAlign w:val="center"/>
          </w:tcPr>
          <w:p w14:paraId="66FF1632">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b/>
                <w:color w:val="000000"/>
                <w:kern w:val="0"/>
                <w:sz w:val="21"/>
                <w:szCs w:val="21"/>
                <w:highlight w:val="none"/>
              </w:rPr>
              <w:t>客户名称</w:t>
            </w:r>
          </w:p>
        </w:tc>
        <w:tc>
          <w:tcPr>
            <w:tcW w:w="1985" w:type="dxa"/>
            <w:shd w:val="clear" w:color="auto" w:fill="auto"/>
            <w:vAlign w:val="center"/>
          </w:tcPr>
          <w:p w14:paraId="63035BFF">
            <w:pPr>
              <w:widowControl/>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金额（元）</w:t>
            </w:r>
          </w:p>
        </w:tc>
        <w:tc>
          <w:tcPr>
            <w:tcW w:w="2126" w:type="dxa"/>
            <w:shd w:val="clear" w:color="auto" w:fill="auto"/>
            <w:vAlign w:val="center"/>
          </w:tcPr>
          <w:p w14:paraId="12ED2BB1">
            <w:pPr>
              <w:widowControl/>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占该项目租金及物业管理费收入比例（％）</w:t>
            </w:r>
          </w:p>
        </w:tc>
      </w:tr>
      <w:tr w14:paraId="1F26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00" w:type="dxa"/>
            <w:shd w:val="clear" w:color="auto" w:fill="auto"/>
            <w:vAlign w:val="center"/>
          </w:tcPr>
          <w:p w14:paraId="571AC1D7">
            <w:pPr>
              <w:widowControl/>
              <w:jc w:val="center"/>
              <w:rPr>
                <w:rFonts w:ascii="宋体" w:hAnsi="宋体" w:cs="宋体"/>
                <w:color w:val="000000"/>
                <w:kern w:val="0"/>
                <w:sz w:val="21"/>
                <w:szCs w:val="21"/>
                <w:highlight w:val="none"/>
              </w:rPr>
            </w:pPr>
            <w:r>
              <w:rPr>
                <w:rFonts w:hint="eastAsia" w:ascii="宋体" w:hAnsi="宋体" w:cs="宋体"/>
                <w:color w:val="000000"/>
                <w:kern w:val="0"/>
                <w:sz w:val="21"/>
                <w:szCs w:val="21"/>
                <w:highlight w:val="none"/>
              </w:rPr>
              <w:t>1</w:t>
            </w:r>
          </w:p>
        </w:tc>
        <w:tc>
          <w:tcPr>
            <w:tcW w:w="3318" w:type="dxa"/>
            <w:shd w:val="clear" w:color="auto" w:fill="auto"/>
            <w:vAlign w:val="top"/>
          </w:tcPr>
          <w:p w14:paraId="388B3A09">
            <w:pPr>
              <w:jc w:val="center"/>
              <w:rPr>
                <w:rFonts w:ascii="Times New Roman" w:hAnsi="Times New Roman" w:cs="Times New Roman"/>
                <w:color w:val="000000"/>
                <w:sz w:val="21"/>
                <w:szCs w:val="21"/>
                <w:highlight w:val="none"/>
              </w:rPr>
            </w:pPr>
            <w:r>
              <w:rPr>
                <w:rFonts w:hint="eastAsia" w:ascii="宋体" w:hAnsi="宋体" w:eastAsia="宋体" w:cs="Times New Roman"/>
                <w:color w:val="000000" w:themeColor="text1"/>
                <w:kern w:val="0"/>
                <w:sz w:val="21"/>
                <w:szCs w:val="21"/>
                <w:highlight w:val="none"/>
                <w:lang w:val="en-US" w:eastAsia="zh-CN"/>
              </w:rPr>
              <w:t>租户1</w:t>
            </w:r>
          </w:p>
        </w:tc>
        <w:tc>
          <w:tcPr>
            <w:tcW w:w="1985" w:type="dxa"/>
            <w:shd w:val="clear" w:color="auto" w:fill="auto"/>
          </w:tcPr>
          <w:p w14:paraId="503E3872">
            <w:pPr>
              <w:widowControl/>
              <w:jc w:val="right"/>
              <w:rPr>
                <w:rFonts w:ascii="宋体" w:hAnsi="宋体" w:cs="宋体"/>
                <w:kern w:val="0"/>
                <w:sz w:val="21"/>
                <w:szCs w:val="21"/>
                <w:highlight w:val="none"/>
              </w:rPr>
            </w:pPr>
            <w:r>
              <w:rPr>
                <w:rFonts w:hint="eastAsia" w:ascii="宋体" w:hAnsi="宋体" w:cs="宋体"/>
                <w:kern w:val="0"/>
                <w:sz w:val="21"/>
                <w:szCs w:val="21"/>
                <w:highlight w:val="none"/>
              </w:rPr>
              <w:t xml:space="preserve"> 4,722,591.68 </w:t>
            </w:r>
          </w:p>
        </w:tc>
        <w:tc>
          <w:tcPr>
            <w:tcW w:w="2126" w:type="dxa"/>
            <w:shd w:val="clear" w:color="auto" w:fill="auto"/>
          </w:tcPr>
          <w:p w14:paraId="7E084AB2">
            <w:pPr>
              <w:widowControl/>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24.19</w:t>
            </w:r>
          </w:p>
        </w:tc>
      </w:tr>
      <w:tr w14:paraId="2306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00" w:type="dxa"/>
            <w:shd w:val="clear" w:color="auto" w:fill="auto"/>
            <w:vAlign w:val="center"/>
          </w:tcPr>
          <w:p w14:paraId="261582E2">
            <w:pPr>
              <w:widowControl/>
              <w:jc w:val="center"/>
              <w:rPr>
                <w:rFonts w:ascii="宋体" w:hAnsi="宋体" w:cs="宋体"/>
                <w:color w:val="000000"/>
                <w:kern w:val="0"/>
                <w:sz w:val="21"/>
                <w:szCs w:val="21"/>
                <w:highlight w:val="none"/>
              </w:rPr>
            </w:pPr>
            <w:r>
              <w:rPr>
                <w:rFonts w:hint="eastAsia" w:ascii="宋体" w:hAnsi="宋体" w:cs="宋体"/>
                <w:color w:val="000000"/>
                <w:kern w:val="0"/>
                <w:sz w:val="21"/>
                <w:szCs w:val="21"/>
                <w:highlight w:val="none"/>
              </w:rPr>
              <w:t>2</w:t>
            </w:r>
          </w:p>
        </w:tc>
        <w:tc>
          <w:tcPr>
            <w:tcW w:w="3318" w:type="dxa"/>
            <w:shd w:val="clear" w:color="auto" w:fill="auto"/>
            <w:vAlign w:val="top"/>
          </w:tcPr>
          <w:p w14:paraId="224AD133">
            <w:pPr>
              <w:jc w:val="center"/>
              <w:rPr>
                <w:rFonts w:ascii="Times New Roman" w:hAnsi="Times New Roman" w:cs="Times New Roman"/>
                <w:color w:val="000000"/>
                <w:sz w:val="21"/>
                <w:szCs w:val="21"/>
                <w:highlight w:val="none"/>
              </w:rPr>
            </w:pPr>
            <w:r>
              <w:rPr>
                <w:rFonts w:hint="eastAsia" w:ascii="宋体" w:hAnsi="宋体" w:eastAsia="宋体" w:cs="Times New Roman"/>
                <w:color w:val="000000" w:themeColor="text1"/>
                <w:kern w:val="0"/>
                <w:sz w:val="21"/>
                <w:szCs w:val="21"/>
                <w:highlight w:val="none"/>
                <w:lang w:val="en-US" w:eastAsia="zh-CN"/>
              </w:rPr>
              <w:t>租户2</w:t>
            </w:r>
          </w:p>
        </w:tc>
        <w:tc>
          <w:tcPr>
            <w:tcW w:w="1985" w:type="dxa"/>
            <w:shd w:val="clear" w:color="auto" w:fill="auto"/>
          </w:tcPr>
          <w:p w14:paraId="2B4854BD">
            <w:pPr>
              <w:widowControl/>
              <w:jc w:val="right"/>
              <w:rPr>
                <w:rFonts w:ascii="宋体" w:hAnsi="宋体" w:cs="宋体"/>
                <w:kern w:val="0"/>
                <w:sz w:val="21"/>
                <w:szCs w:val="21"/>
                <w:highlight w:val="none"/>
              </w:rPr>
            </w:pPr>
            <w:r>
              <w:rPr>
                <w:rFonts w:hint="eastAsia" w:ascii="宋体" w:hAnsi="宋体" w:cs="宋体"/>
                <w:kern w:val="0"/>
                <w:sz w:val="21"/>
                <w:szCs w:val="21"/>
                <w:highlight w:val="none"/>
              </w:rPr>
              <w:t xml:space="preserve"> 1</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276</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 xml:space="preserve">265.08 </w:t>
            </w:r>
          </w:p>
        </w:tc>
        <w:tc>
          <w:tcPr>
            <w:tcW w:w="2126" w:type="dxa"/>
            <w:shd w:val="clear" w:color="auto" w:fill="auto"/>
          </w:tcPr>
          <w:p w14:paraId="10E7ADE1">
            <w:pPr>
              <w:widowControl/>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6.54</w:t>
            </w:r>
          </w:p>
        </w:tc>
      </w:tr>
      <w:tr w14:paraId="7084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00" w:type="dxa"/>
            <w:shd w:val="clear" w:color="auto" w:fill="auto"/>
            <w:vAlign w:val="center"/>
          </w:tcPr>
          <w:p w14:paraId="44EC2733">
            <w:pPr>
              <w:widowControl/>
              <w:jc w:val="center"/>
              <w:rPr>
                <w:rFonts w:ascii="宋体" w:hAnsi="宋体" w:cs="宋体"/>
                <w:color w:val="000000"/>
                <w:kern w:val="0"/>
                <w:sz w:val="21"/>
                <w:szCs w:val="21"/>
                <w:highlight w:val="none"/>
              </w:rPr>
            </w:pPr>
            <w:r>
              <w:rPr>
                <w:rFonts w:hint="eastAsia" w:ascii="宋体" w:hAnsi="宋体" w:cs="宋体"/>
                <w:color w:val="000000"/>
                <w:kern w:val="0"/>
                <w:sz w:val="21"/>
                <w:szCs w:val="21"/>
                <w:highlight w:val="none"/>
              </w:rPr>
              <w:t>3</w:t>
            </w:r>
          </w:p>
        </w:tc>
        <w:tc>
          <w:tcPr>
            <w:tcW w:w="3318" w:type="dxa"/>
            <w:shd w:val="clear" w:color="auto" w:fill="auto"/>
            <w:vAlign w:val="top"/>
          </w:tcPr>
          <w:p w14:paraId="32A8B701">
            <w:pPr>
              <w:jc w:val="center"/>
              <w:rPr>
                <w:rFonts w:ascii="Times New Roman" w:hAnsi="Times New Roman" w:cs="Times New Roman"/>
                <w:color w:val="000000"/>
                <w:sz w:val="21"/>
                <w:szCs w:val="21"/>
                <w:highlight w:val="none"/>
              </w:rPr>
            </w:pPr>
            <w:r>
              <w:rPr>
                <w:rFonts w:hint="eastAsia" w:ascii="宋体" w:hAnsi="宋体" w:eastAsia="宋体" w:cs="Times New Roman"/>
                <w:color w:val="000000" w:themeColor="text1"/>
                <w:kern w:val="0"/>
                <w:sz w:val="21"/>
                <w:szCs w:val="21"/>
                <w:highlight w:val="none"/>
                <w:lang w:val="en-US" w:eastAsia="zh-CN"/>
              </w:rPr>
              <w:t>租户3</w:t>
            </w:r>
          </w:p>
        </w:tc>
        <w:tc>
          <w:tcPr>
            <w:tcW w:w="1985" w:type="dxa"/>
            <w:shd w:val="clear" w:color="auto" w:fill="auto"/>
          </w:tcPr>
          <w:p w14:paraId="0D817549">
            <w:pPr>
              <w:widowControl/>
              <w:jc w:val="right"/>
              <w:rPr>
                <w:rFonts w:ascii="宋体" w:hAnsi="宋体" w:cs="宋体"/>
                <w:kern w:val="0"/>
                <w:sz w:val="21"/>
                <w:szCs w:val="21"/>
                <w:highlight w:val="none"/>
              </w:rPr>
            </w:pPr>
            <w:r>
              <w:rPr>
                <w:rFonts w:hint="eastAsia" w:ascii="宋体" w:hAnsi="宋体" w:cs="宋体"/>
                <w:kern w:val="0"/>
                <w:sz w:val="21"/>
                <w:szCs w:val="21"/>
                <w:highlight w:val="none"/>
              </w:rPr>
              <w:t>1</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201</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215</w:t>
            </w:r>
            <w:r>
              <w:rPr>
                <w:rFonts w:hint="eastAsia" w:ascii="宋体" w:hAnsi="宋体" w:cs="宋体"/>
                <w:kern w:val="0"/>
                <w:sz w:val="21"/>
                <w:szCs w:val="21"/>
                <w:highlight w:val="none"/>
                <w:lang w:val="en-US" w:eastAsia="zh-CN"/>
              </w:rPr>
              <w:t>.00</w:t>
            </w:r>
            <w:r>
              <w:rPr>
                <w:rFonts w:hint="eastAsia" w:ascii="宋体" w:hAnsi="宋体" w:cs="宋体"/>
                <w:kern w:val="0"/>
                <w:sz w:val="21"/>
                <w:szCs w:val="21"/>
                <w:highlight w:val="none"/>
              </w:rPr>
              <w:t xml:space="preserve"> </w:t>
            </w:r>
          </w:p>
        </w:tc>
        <w:tc>
          <w:tcPr>
            <w:tcW w:w="2126" w:type="dxa"/>
            <w:shd w:val="clear" w:color="auto" w:fill="auto"/>
          </w:tcPr>
          <w:p w14:paraId="3A7D35C8">
            <w:pPr>
              <w:widowControl/>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6.15</w:t>
            </w:r>
          </w:p>
        </w:tc>
      </w:tr>
      <w:tr w14:paraId="320A4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00" w:type="dxa"/>
            <w:shd w:val="clear" w:color="auto" w:fill="auto"/>
            <w:vAlign w:val="center"/>
          </w:tcPr>
          <w:p w14:paraId="39448399">
            <w:pPr>
              <w:widowControl/>
              <w:jc w:val="center"/>
              <w:rPr>
                <w:rFonts w:ascii="宋体" w:hAnsi="宋体" w:cs="宋体"/>
                <w:color w:val="000000"/>
                <w:kern w:val="0"/>
                <w:sz w:val="21"/>
                <w:szCs w:val="21"/>
                <w:highlight w:val="none"/>
              </w:rPr>
            </w:pPr>
            <w:r>
              <w:rPr>
                <w:rFonts w:hint="eastAsia" w:ascii="宋体" w:hAnsi="宋体" w:cs="宋体"/>
                <w:color w:val="000000"/>
                <w:kern w:val="0"/>
                <w:sz w:val="21"/>
                <w:szCs w:val="21"/>
                <w:highlight w:val="none"/>
              </w:rPr>
              <w:t>4</w:t>
            </w:r>
          </w:p>
        </w:tc>
        <w:tc>
          <w:tcPr>
            <w:tcW w:w="3318" w:type="dxa"/>
            <w:shd w:val="clear" w:color="auto" w:fill="auto"/>
            <w:vAlign w:val="top"/>
          </w:tcPr>
          <w:p w14:paraId="14795A14">
            <w:pPr>
              <w:jc w:val="center"/>
              <w:rPr>
                <w:rFonts w:ascii="Times New Roman" w:hAnsi="Times New Roman" w:cs="Times New Roman"/>
                <w:color w:val="000000"/>
                <w:sz w:val="21"/>
                <w:szCs w:val="21"/>
                <w:highlight w:val="none"/>
              </w:rPr>
            </w:pPr>
            <w:r>
              <w:rPr>
                <w:rFonts w:hint="eastAsia" w:ascii="宋体" w:hAnsi="宋体" w:eastAsia="宋体" w:cs="Times New Roman"/>
                <w:color w:val="000000" w:themeColor="text1"/>
                <w:kern w:val="0"/>
                <w:sz w:val="21"/>
                <w:szCs w:val="21"/>
                <w:highlight w:val="none"/>
                <w:lang w:val="en-US" w:eastAsia="zh-CN"/>
              </w:rPr>
              <w:t>租户4</w:t>
            </w:r>
          </w:p>
        </w:tc>
        <w:tc>
          <w:tcPr>
            <w:tcW w:w="1985" w:type="dxa"/>
            <w:shd w:val="clear" w:color="auto" w:fill="auto"/>
          </w:tcPr>
          <w:p w14:paraId="0E816E69">
            <w:pPr>
              <w:widowControl/>
              <w:jc w:val="right"/>
              <w:rPr>
                <w:rFonts w:ascii="宋体" w:hAnsi="宋体" w:cs="宋体"/>
                <w:kern w:val="0"/>
                <w:sz w:val="21"/>
                <w:szCs w:val="21"/>
                <w:highlight w:val="none"/>
              </w:rPr>
            </w:pPr>
            <w:r>
              <w:rPr>
                <w:rFonts w:hint="eastAsia" w:ascii="宋体" w:hAnsi="宋体" w:cs="宋体"/>
                <w:kern w:val="0"/>
                <w:sz w:val="21"/>
                <w:szCs w:val="21"/>
                <w:highlight w:val="none"/>
              </w:rPr>
              <w:t xml:space="preserve"> 949,307.43 </w:t>
            </w:r>
          </w:p>
        </w:tc>
        <w:tc>
          <w:tcPr>
            <w:tcW w:w="2126" w:type="dxa"/>
            <w:shd w:val="clear" w:color="auto" w:fill="auto"/>
          </w:tcPr>
          <w:p w14:paraId="16756E04">
            <w:pPr>
              <w:widowControl/>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4.86</w:t>
            </w:r>
          </w:p>
        </w:tc>
      </w:tr>
      <w:tr w14:paraId="188A3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00" w:type="dxa"/>
            <w:shd w:val="clear" w:color="auto" w:fill="auto"/>
            <w:vAlign w:val="center"/>
          </w:tcPr>
          <w:p w14:paraId="4F770D78">
            <w:pPr>
              <w:widowControl/>
              <w:jc w:val="center"/>
              <w:rPr>
                <w:rFonts w:ascii="宋体" w:hAnsi="宋体" w:cs="宋体"/>
                <w:color w:val="000000"/>
                <w:kern w:val="0"/>
                <w:sz w:val="21"/>
                <w:szCs w:val="21"/>
                <w:highlight w:val="none"/>
              </w:rPr>
            </w:pPr>
            <w:r>
              <w:rPr>
                <w:rFonts w:hint="eastAsia" w:ascii="宋体" w:hAnsi="宋体" w:cs="宋体"/>
                <w:color w:val="000000"/>
                <w:kern w:val="0"/>
                <w:sz w:val="21"/>
                <w:szCs w:val="21"/>
                <w:highlight w:val="none"/>
              </w:rPr>
              <w:t>5</w:t>
            </w:r>
          </w:p>
        </w:tc>
        <w:tc>
          <w:tcPr>
            <w:tcW w:w="3318" w:type="dxa"/>
            <w:shd w:val="clear" w:color="auto" w:fill="auto"/>
            <w:vAlign w:val="top"/>
          </w:tcPr>
          <w:p w14:paraId="254C866B">
            <w:pPr>
              <w:jc w:val="center"/>
              <w:rPr>
                <w:rFonts w:ascii="Times New Roman" w:hAnsi="Times New Roman" w:cs="Times New Roman"/>
                <w:color w:val="000000"/>
                <w:sz w:val="21"/>
                <w:szCs w:val="21"/>
                <w:highlight w:val="none"/>
              </w:rPr>
            </w:pPr>
            <w:r>
              <w:rPr>
                <w:rFonts w:hint="eastAsia" w:ascii="宋体" w:hAnsi="宋体" w:eastAsia="宋体" w:cs="Times New Roman"/>
                <w:color w:val="000000" w:themeColor="text1"/>
                <w:kern w:val="0"/>
                <w:sz w:val="21"/>
                <w:szCs w:val="21"/>
                <w:highlight w:val="none"/>
                <w:lang w:val="en-US" w:eastAsia="zh-CN"/>
              </w:rPr>
              <w:t>租户5</w:t>
            </w:r>
          </w:p>
        </w:tc>
        <w:tc>
          <w:tcPr>
            <w:tcW w:w="1985" w:type="dxa"/>
            <w:shd w:val="clear" w:color="auto" w:fill="auto"/>
          </w:tcPr>
          <w:p w14:paraId="03CD77D7">
            <w:pPr>
              <w:widowControl/>
              <w:jc w:val="right"/>
              <w:rPr>
                <w:rFonts w:ascii="宋体" w:hAnsi="宋体" w:cs="宋体"/>
                <w:kern w:val="0"/>
                <w:sz w:val="21"/>
                <w:szCs w:val="21"/>
                <w:highlight w:val="none"/>
              </w:rPr>
            </w:pPr>
            <w:r>
              <w:rPr>
                <w:rFonts w:hint="eastAsia" w:ascii="宋体" w:hAnsi="宋体" w:cs="宋体"/>
                <w:kern w:val="0"/>
                <w:sz w:val="21"/>
                <w:szCs w:val="21"/>
                <w:highlight w:val="none"/>
              </w:rPr>
              <w:t xml:space="preserve"> 830</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 xml:space="preserve">491.68 </w:t>
            </w:r>
          </w:p>
        </w:tc>
        <w:tc>
          <w:tcPr>
            <w:tcW w:w="2126" w:type="dxa"/>
            <w:shd w:val="clear" w:color="auto" w:fill="auto"/>
          </w:tcPr>
          <w:p w14:paraId="7C7B12B9">
            <w:pPr>
              <w:widowControl/>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rPr>
              <w:t>4.</w:t>
            </w:r>
            <w:r>
              <w:rPr>
                <w:rFonts w:hint="eastAsia" w:ascii="宋体" w:hAnsi="宋体" w:cs="宋体"/>
                <w:kern w:val="0"/>
                <w:sz w:val="21"/>
                <w:szCs w:val="21"/>
                <w:highlight w:val="none"/>
                <w:lang w:val="en-US" w:eastAsia="zh-CN"/>
              </w:rPr>
              <w:t>25</w:t>
            </w:r>
          </w:p>
        </w:tc>
      </w:tr>
      <w:tr w14:paraId="48C1C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100" w:type="dxa"/>
            <w:shd w:val="clear" w:color="auto" w:fill="auto"/>
            <w:vAlign w:val="center"/>
          </w:tcPr>
          <w:p w14:paraId="09493BEA">
            <w:pPr>
              <w:widowControl/>
              <w:jc w:val="center"/>
              <w:rPr>
                <w:rFonts w:ascii="宋体" w:hAnsi="宋体" w:cs="宋体"/>
                <w:color w:val="000000"/>
                <w:kern w:val="0"/>
                <w:sz w:val="21"/>
                <w:szCs w:val="21"/>
                <w:highlight w:val="none"/>
              </w:rPr>
            </w:pPr>
          </w:p>
        </w:tc>
        <w:tc>
          <w:tcPr>
            <w:tcW w:w="3318" w:type="dxa"/>
            <w:shd w:val="clear" w:color="auto" w:fill="auto"/>
          </w:tcPr>
          <w:p w14:paraId="598C3EA6">
            <w:pPr>
              <w:jc w:val="center"/>
              <w:rPr>
                <w:rFonts w:ascii="Times New Roman" w:hAnsi="Times New Roman" w:cs="Times New Roman"/>
                <w:color w:val="000000"/>
                <w:sz w:val="18"/>
                <w:szCs w:val="18"/>
                <w:highlight w:val="none"/>
              </w:rPr>
            </w:pPr>
            <w:r>
              <w:rPr>
                <w:rFonts w:hint="eastAsia" w:ascii="Times New Roman" w:hAnsi="Times New Roman" w:cs="Times New Roman"/>
                <w:color w:val="000000"/>
                <w:sz w:val="21"/>
                <w:szCs w:val="21"/>
                <w:highlight w:val="none"/>
              </w:rPr>
              <w:t>合计</w:t>
            </w:r>
          </w:p>
        </w:tc>
        <w:tc>
          <w:tcPr>
            <w:tcW w:w="1985" w:type="dxa"/>
            <w:shd w:val="clear" w:color="auto" w:fill="auto"/>
          </w:tcPr>
          <w:p w14:paraId="744C3A72">
            <w:pPr>
              <w:widowControl/>
              <w:jc w:val="right"/>
              <w:rPr>
                <w:rFonts w:ascii="宋体" w:hAnsi="宋体" w:cs="宋体"/>
                <w:kern w:val="0"/>
                <w:sz w:val="21"/>
                <w:szCs w:val="21"/>
                <w:highlight w:val="none"/>
              </w:rPr>
            </w:pPr>
            <w:r>
              <w:rPr>
                <w:rFonts w:hint="eastAsia" w:ascii="宋体" w:hAnsi="宋体" w:cs="宋体"/>
                <w:kern w:val="0"/>
                <w:sz w:val="21"/>
                <w:szCs w:val="21"/>
                <w:highlight w:val="none"/>
              </w:rPr>
              <w:t>8</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979</w:t>
            </w:r>
            <w:r>
              <w:rPr>
                <w:rFonts w:hint="eastAsia" w:ascii="宋体" w:hAnsi="宋体" w:cs="宋体"/>
                <w:kern w:val="0"/>
                <w:sz w:val="21"/>
                <w:szCs w:val="21"/>
                <w:highlight w:val="none"/>
                <w:lang w:val="en-US" w:eastAsia="zh-CN"/>
              </w:rPr>
              <w:t>,</w:t>
            </w:r>
            <w:r>
              <w:rPr>
                <w:rFonts w:hint="eastAsia" w:ascii="宋体" w:hAnsi="宋体" w:cs="宋体"/>
                <w:kern w:val="0"/>
                <w:sz w:val="21"/>
                <w:szCs w:val="21"/>
                <w:highlight w:val="none"/>
              </w:rPr>
              <w:t>870.87</w:t>
            </w:r>
            <w:r>
              <w:rPr>
                <w:rFonts w:ascii="宋体" w:hAnsi="宋体" w:cs="宋体"/>
                <w:kern w:val="0"/>
                <w:sz w:val="21"/>
                <w:szCs w:val="21"/>
                <w:highlight w:val="none"/>
              </w:rPr>
              <w:t xml:space="preserve"> </w:t>
            </w:r>
          </w:p>
        </w:tc>
        <w:tc>
          <w:tcPr>
            <w:tcW w:w="2126" w:type="dxa"/>
            <w:shd w:val="clear" w:color="auto" w:fill="auto"/>
          </w:tcPr>
          <w:p w14:paraId="2B6B26F2">
            <w:pPr>
              <w:widowControl/>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45.99</w:t>
            </w:r>
          </w:p>
        </w:tc>
      </w:tr>
    </w:tbl>
    <w:p w14:paraId="41FAD95C">
      <w:pPr>
        <w:spacing w:line="360" w:lineRule="auto"/>
        <w:ind w:firstLine="420" w:firstLineChars="200"/>
      </w:pPr>
      <w:r>
        <w:t>截至报告期末，大陆汽车厂房产业园由单一租户A承租，其租金收入占大陆汽车厂房产业园全部租金收入的比例为100%，其行业归属为制造业。</w:t>
      </w:r>
    </w:p>
    <w:p w14:paraId="4F716D78">
      <w:pPr>
        <w:adjustRightInd w:val="0"/>
        <w:snapToGrid w:val="0"/>
        <w:spacing w:line="360" w:lineRule="auto"/>
        <w:rPr>
          <w:b/>
          <w:color w:val="000000" w:themeColor="text1"/>
          <w:kern w:val="0"/>
          <w:sz w:val="24"/>
          <w:szCs w:val="24"/>
        </w:rPr>
      </w:pPr>
      <w:r>
        <w:rPr>
          <w:b/>
          <w:color w:val="000000" w:themeColor="text1"/>
          <w:kern w:val="0"/>
          <w:sz w:val="24"/>
          <w:szCs w:val="24"/>
        </w:rPr>
        <w:t>4.1.5 可能对基金份额持有人权益产生重大不利影响的经营风险、行业风险、周期性风险</w:t>
      </w:r>
    </w:p>
    <w:p w14:paraId="4D8186A2">
      <w:pPr>
        <w:spacing w:line="360" w:lineRule="auto"/>
        <w:ind w:firstLine="420" w:firstLineChars="200"/>
      </w:pPr>
      <w:r>
        <w:t>未涉及。</w:t>
      </w:r>
    </w:p>
    <w:p w14:paraId="32DB3678">
      <w:pPr>
        <w:adjustRightInd w:val="0"/>
        <w:snapToGrid w:val="0"/>
        <w:spacing w:line="360" w:lineRule="auto"/>
        <w:rPr>
          <w:b/>
          <w:bCs/>
          <w:sz w:val="24"/>
          <w:szCs w:val="24"/>
        </w:rPr>
      </w:pPr>
      <w:r>
        <w:rPr>
          <w:b/>
          <w:bCs/>
          <w:sz w:val="24"/>
          <w:szCs w:val="24"/>
        </w:rPr>
        <w:t>4.2 不动产项目运营相关财务信息</w:t>
      </w:r>
    </w:p>
    <w:p w14:paraId="1EC5681F">
      <w:pPr>
        <w:autoSpaceDE w:val="0"/>
        <w:autoSpaceDN w:val="0"/>
        <w:adjustRightInd w:val="0"/>
        <w:spacing w:line="360" w:lineRule="auto"/>
        <w:jc w:val="left"/>
        <w:rPr>
          <w:b/>
          <w:color w:val="000000" w:themeColor="text1"/>
          <w:kern w:val="0"/>
          <w:sz w:val="24"/>
          <w:szCs w:val="24"/>
        </w:rPr>
      </w:pPr>
      <w:r>
        <w:rPr>
          <w:b/>
          <w:color w:val="000000" w:themeColor="text1"/>
          <w:kern w:val="0"/>
          <w:sz w:val="24"/>
          <w:szCs w:val="24"/>
        </w:rPr>
        <w:t>4.2.1不动产项目公司整体财务情况</w:t>
      </w:r>
    </w:p>
    <w:tbl>
      <w:tblPr>
        <w:tblStyle w:val="24"/>
        <w:tblW w:w="10276" w:type="dxa"/>
        <w:jc w:val="center"/>
        <w:tblLayout w:type="fixed"/>
        <w:tblCellMar>
          <w:top w:w="0" w:type="dxa"/>
          <w:left w:w="108" w:type="dxa"/>
          <w:bottom w:w="0" w:type="dxa"/>
          <w:right w:w="108" w:type="dxa"/>
        </w:tblCellMar>
      </w:tblPr>
      <w:tblGrid>
        <w:gridCol w:w="680"/>
        <w:gridCol w:w="1646"/>
        <w:gridCol w:w="2342"/>
        <w:gridCol w:w="2410"/>
        <w:gridCol w:w="3198"/>
      </w:tblGrid>
      <w:tr w14:paraId="6E5326C3">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16382E8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646" w:type="dxa"/>
            <w:tcBorders>
              <w:top w:val="single" w:color="000000" w:sz="4" w:space="0"/>
              <w:left w:val="nil"/>
              <w:bottom w:val="single" w:color="000000" w:sz="4" w:space="0"/>
              <w:right w:val="single" w:color="000000" w:sz="4" w:space="0"/>
            </w:tcBorders>
            <w:vAlign w:val="center"/>
          </w:tcPr>
          <w:p w14:paraId="045DAC8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科目名称</w:t>
            </w:r>
          </w:p>
        </w:tc>
        <w:tc>
          <w:tcPr>
            <w:tcW w:w="2342" w:type="dxa"/>
            <w:tcBorders>
              <w:top w:val="single" w:color="000000" w:sz="4" w:space="0"/>
              <w:left w:val="nil"/>
              <w:bottom w:val="single" w:color="000000" w:sz="4" w:space="0"/>
              <w:right w:val="single" w:color="000000" w:sz="4" w:space="0"/>
            </w:tcBorders>
            <w:vAlign w:val="center"/>
          </w:tcPr>
          <w:p w14:paraId="18B0E62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报告期末金额（元）</w:t>
            </w:r>
          </w:p>
        </w:tc>
        <w:tc>
          <w:tcPr>
            <w:tcW w:w="2410" w:type="dxa"/>
            <w:tcBorders>
              <w:top w:val="single" w:color="000000" w:sz="4" w:space="0"/>
              <w:left w:val="nil"/>
              <w:bottom w:val="single" w:color="000000" w:sz="4" w:space="0"/>
              <w:right w:val="single" w:color="000000" w:sz="4" w:space="0"/>
            </w:tcBorders>
            <w:vAlign w:val="center"/>
          </w:tcPr>
          <w:p w14:paraId="557A2C9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上年末金额（元）</w:t>
            </w:r>
          </w:p>
        </w:tc>
        <w:tc>
          <w:tcPr>
            <w:tcW w:w="3198" w:type="dxa"/>
            <w:tcBorders>
              <w:top w:val="single" w:color="000000" w:sz="4" w:space="0"/>
              <w:left w:val="nil"/>
              <w:bottom w:val="single" w:color="000000" w:sz="4" w:space="0"/>
              <w:right w:val="single" w:color="000000" w:sz="4" w:space="0"/>
            </w:tcBorders>
            <w:vAlign w:val="center"/>
          </w:tcPr>
          <w:p w14:paraId="4B0DDFE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变动比例（%）</w:t>
            </w:r>
          </w:p>
        </w:tc>
      </w:tr>
      <w:tr w14:paraId="35450F6A">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0702E72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w:t>
            </w:r>
          </w:p>
        </w:tc>
        <w:tc>
          <w:tcPr>
            <w:tcW w:w="1646" w:type="dxa"/>
            <w:tcBorders>
              <w:top w:val="single" w:color="000000" w:sz="4" w:space="0"/>
              <w:left w:val="nil"/>
              <w:bottom w:val="single" w:color="000000" w:sz="4" w:space="0"/>
              <w:right w:val="single" w:color="000000" w:sz="4" w:space="0"/>
            </w:tcBorders>
            <w:vAlign w:val="center"/>
          </w:tcPr>
          <w:p w14:paraId="156979D7">
            <w:pPr>
              <w:pStyle w:val="19"/>
              <w:adjustRightInd w:val="0"/>
              <w:snapToGrid w:val="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总资产</w:t>
            </w:r>
          </w:p>
        </w:tc>
        <w:tc>
          <w:tcPr>
            <w:tcW w:w="2342" w:type="dxa"/>
            <w:tcBorders>
              <w:top w:val="single" w:color="000000" w:sz="4" w:space="0"/>
              <w:left w:val="nil"/>
              <w:bottom w:val="single" w:color="000000" w:sz="4" w:space="0"/>
              <w:right w:val="single" w:color="000000" w:sz="4" w:space="0"/>
            </w:tcBorders>
            <w:vAlign w:val="center"/>
          </w:tcPr>
          <w:p w14:paraId="0A73DDF6">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889,015,357.25</w:t>
            </w:r>
          </w:p>
        </w:tc>
        <w:tc>
          <w:tcPr>
            <w:tcW w:w="2410" w:type="dxa"/>
            <w:tcBorders>
              <w:top w:val="single" w:color="000000" w:sz="4" w:space="0"/>
              <w:left w:val="nil"/>
              <w:bottom w:val="single" w:color="000000" w:sz="4" w:space="0"/>
              <w:right w:val="single" w:color="000000" w:sz="4" w:space="0"/>
            </w:tcBorders>
            <w:vAlign w:val="center"/>
          </w:tcPr>
          <w:p w14:paraId="1A16EA54">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918,110,647.50</w:t>
            </w:r>
          </w:p>
        </w:tc>
        <w:tc>
          <w:tcPr>
            <w:tcW w:w="3198" w:type="dxa"/>
            <w:tcBorders>
              <w:top w:val="single" w:color="000000" w:sz="4" w:space="0"/>
              <w:left w:val="nil"/>
              <w:bottom w:val="single" w:color="000000" w:sz="4" w:space="0"/>
              <w:right w:val="single" w:color="000000" w:sz="4" w:space="0"/>
            </w:tcBorders>
            <w:vAlign w:val="center"/>
          </w:tcPr>
          <w:p w14:paraId="7C2868B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-3.17%</w:t>
            </w:r>
          </w:p>
        </w:tc>
      </w:tr>
      <w:tr w14:paraId="3A8BC3B3">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356D298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w:t>
            </w:r>
          </w:p>
        </w:tc>
        <w:tc>
          <w:tcPr>
            <w:tcW w:w="1646" w:type="dxa"/>
            <w:tcBorders>
              <w:top w:val="single" w:color="000000" w:sz="4" w:space="0"/>
              <w:left w:val="nil"/>
              <w:bottom w:val="single" w:color="000000" w:sz="4" w:space="0"/>
              <w:right w:val="single" w:color="000000" w:sz="4" w:space="0"/>
            </w:tcBorders>
            <w:vAlign w:val="center"/>
          </w:tcPr>
          <w:p w14:paraId="37DE0518">
            <w:pPr>
              <w:pStyle w:val="19"/>
              <w:adjustRightInd w:val="0"/>
              <w:snapToGrid w:val="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总负债</w:t>
            </w:r>
          </w:p>
        </w:tc>
        <w:tc>
          <w:tcPr>
            <w:tcW w:w="2342" w:type="dxa"/>
            <w:tcBorders>
              <w:top w:val="single" w:color="000000" w:sz="4" w:space="0"/>
              <w:left w:val="nil"/>
              <w:bottom w:val="single" w:color="000000" w:sz="4" w:space="0"/>
              <w:right w:val="single" w:color="000000" w:sz="4" w:space="0"/>
            </w:tcBorders>
            <w:vAlign w:val="center"/>
          </w:tcPr>
          <w:p w14:paraId="5B762B48">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859,548,871.87</w:t>
            </w:r>
          </w:p>
        </w:tc>
        <w:tc>
          <w:tcPr>
            <w:tcW w:w="2410" w:type="dxa"/>
            <w:tcBorders>
              <w:top w:val="single" w:color="000000" w:sz="4" w:space="0"/>
              <w:left w:val="nil"/>
              <w:bottom w:val="single" w:color="000000" w:sz="4" w:space="0"/>
              <w:right w:val="single" w:color="000000" w:sz="4" w:space="0"/>
            </w:tcBorders>
            <w:vAlign w:val="center"/>
          </w:tcPr>
          <w:p w14:paraId="5F674085">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859,969,653.03</w:t>
            </w:r>
          </w:p>
        </w:tc>
        <w:tc>
          <w:tcPr>
            <w:tcW w:w="3198" w:type="dxa"/>
            <w:tcBorders>
              <w:top w:val="single" w:color="000000" w:sz="4" w:space="0"/>
              <w:left w:val="nil"/>
              <w:bottom w:val="single" w:color="000000" w:sz="4" w:space="0"/>
              <w:right w:val="single" w:color="000000" w:sz="4" w:space="0"/>
            </w:tcBorders>
            <w:vAlign w:val="center"/>
          </w:tcPr>
          <w:p w14:paraId="17232694">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-0.05%</w:t>
            </w:r>
          </w:p>
        </w:tc>
      </w:tr>
      <w:tr w14:paraId="0479B93B">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1EDF6BE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646" w:type="dxa"/>
            <w:tcBorders>
              <w:top w:val="single" w:color="000000" w:sz="4" w:space="0"/>
              <w:left w:val="nil"/>
              <w:bottom w:val="single" w:color="000000" w:sz="4" w:space="0"/>
              <w:right w:val="single" w:color="000000" w:sz="4" w:space="0"/>
            </w:tcBorders>
            <w:vAlign w:val="center"/>
          </w:tcPr>
          <w:p w14:paraId="7C3AD6B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科目名称</w:t>
            </w:r>
          </w:p>
        </w:tc>
        <w:tc>
          <w:tcPr>
            <w:tcW w:w="2342" w:type="dxa"/>
            <w:tcBorders>
              <w:top w:val="single" w:color="000000" w:sz="4" w:space="0"/>
              <w:left w:val="nil"/>
              <w:bottom w:val="single" w:color="000000" w:sz="4" w:space="0"/>
              <w:right w:val="single" w:color="000000" w:sz="4" w:space="0"/>
            </w:tcBorders>
            <w:vAlign w:val="center"/>
          </w:tcPr>
          <w:p w14:paraId="784B9F2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报告期金额（元）</w:t>
            </w:r>
          </w:p>
        </w:tc>
        <w:tc>
          <w:tcPr>
            <w:tcW w:w="2410" w:type="dxa"/>
            <w:tcBorders>
              <w:top w:val="single" w:color="000000" w:sz="4" w:space="0"/>
              <w:left w:val="nil"/>
              <w:bottom w:val="single" w:color="000000" w:sz="4" w:space="0"/>
              <w:right w:val="single" w:color="000000" w:sz="4" w:space="0"/>
            </w:tcBorders>
            <w:vAlign w:val="center"/>
          </w:tcPr>
          <w:p w14:paraId="0825FE2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上年同期金额（元）</w:t>
            </w:r>
          </w:p>
        </w:tc>
        <w:tc>
          <w:tcPr>
            <w:tcW w:w="3198" w:type="dxa"/>
            <w:tcBorders>
              <w:top w:val="single" w:color="000000" w:sz="4" w:space="0"/>
              <w:left w:val="nil"/>
              <w:bottom w:val="single" w:color="000000" w:sz="4" w:space="0"/>
              <w:right w:val="single" w:color="000000" w:sz="4" w:space="0"/>
            </w:tcBorders>
            <w:vAlign w:val="center"/>
          </w:tcPr>
          <w:p w14:paraId="3492F2C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变动比例（%）</w:t>
            </w:r>
          </w:p>
        </w:tc>
      </w:tr>
      <w:tr w14:paraId="072769A3">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4CC3D198">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w:t>
            </w:r>
          </w:p>
        </w:tc>
        <w:tc>
          <w:tcPr>
            <w:tcW w:w="1646" w:type="dxa"/>
            <w:tcBorders>
              <w:top w:val="single" w:color="000000" w:sz="4" w:space="0"/>
              <w:left w:val="nil"/>
              <w:bottom w:val="single" w:color="000000" w:sz="4" w:space="0"/>
              <w:right w:val="single" w:color="000000" w:sz="4" w:space="0"/>
            </w:tcBorders>
            <w:vAlign w:val="center"/>
          </w:tcPr>
          <w:p w14:paraId="0F4C80CC">
            <w:pPr>
              <w:pStyle w:val="19"/>
              <w:adjustRightInd w:val="0"/>
              <w:snapToGrid w:val="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营业收入</w:t>
            </w:r>
          </w:p>
        </w:tc>
        <w:tc>
          <w:tcPr>
            <w:tcW w:w="2342" w:type="dxa"/>
            <w:tcBorders>
              <w:top w:val="single" w:color="000000" w:sz="4" w:space="0"/>
              <w:left w:val="nil"/>
              <w:bottom w:val="single" w:color="000000" w:sz="4" w:space="0"/>
              <w:right w:val="single" w:color="000000" w:sz="4" w:space="0"/>
            </w:tcBorders>
            <w:vAlign w:val="center"/>
          </w:tcPr>
          <w:p w14:paraId="04F5DE04">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29,223,530.03</w:t>
            </w:r>
          </w:p>
        </w:tc>
        <w:tc>
          <w:tcPr>
            <w:tcW w:w="2410" w:type="dxa"/>
            <w:tcBorders>
              <w:top w:val="single" w:color="000000" w:sz="4" w:space="0"/>
              <w:left w:val="nil"/>
              <w:bottom w:val="single" w:color="000000" w:sz="4" w:space="0"/>
              <w:right w:val="single" w:color="000000" w:sz="4" w:space="0"/>
            </w:tcBorders>
            <w:vAlign w:val="center"/>
          </w:tcPr>
          <w:p w14:paraId="6752F30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30,519,829.55</w:t>
            </w:r>
          </w:p>
        </w:tc>
        <w:tc>
          <w:tcPr>
            <w:tcW w:w="3198" w:type="dxa"/>
            <w:tcBorders>
              <w:top w:val="single" w:color="000000" w:sz="4" w:space="0"/>
              <w:left w:val="nil"/>
              <w:bottom w:val="single" w:color="000000" w:sz="4" w:space="0"/>
              <w:right w:val="single" w:color="000000" w:sz="4" w:space="0"/>
            </w:tcBorders>
            <w:vAlign w:val="center"/>
          </w:tcPr>
          <w:p w14:paraId="7441460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-4.25%</w:t>
            </w:r>
          </w:p>
        </w:tc>
      </w:tr>
      <w:tr w14:paraId="5615C7B7">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0E0C3A9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w:t>
            </w:r>
          </w:p>
        </w:tc>
        <w:tc>
          <w:tcPr>
            <w:tcW w:w="1646" w:type="dxa"/>
            <w:tcBorders>
              <w:top w:val="single" w:color="000000" w:sz="4" w:space="0"/>
              <w:left w:val="nil"/>
              <w:bottom w:val="single" w:color="000000" w:sz="4" w:space="0"/>
              <w:right w:val="single" w:color="000000" w:sz="4" w:space="0"/>
            </w:tcBorders>
            <w:vAlign w:val="center"/>
          </w:tcPr>
          <w:p w14:paraId="0630FC1E">
            <w:pPr>
              <w:pStyle w:val="19"/>
              <w:adjustRightInd w:val="0"/>
              <w:snapToGrid w:val="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营业成本/费用</w:t>
            </w:r>
          </w:p>
        </w:tc>
        <w:tc>
          <w:tcPr>
            <w:tcW w:w="2342" w:type="dxa"/>
            <w:tcBorders>
              <w:top w:val="single" w:color="000000" w:sz="4" w:space="0"/>
              <w:left w:val="nil"/>
              <w:bottom w:val="single" w:color="000000" w:sz="4" w:space="0"/>
              <w:right w:val="single" w:color="000000" w:sz="4" w:space="0"/>
            </w:tcBorders>
            <w:vAlign w:val="center"/>
          </w:tcPr>
          <w:p w14:paraId="2044BA08">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12,292,945.24</w:t>
            </w:r>
          </w:p>
        </w:tc>
        <w:tc>
          <w:tcPr>
            <w:tcW w:w="2410" w:type="dxa"/>
            <w:tcBorders>
              <w:top w:val="single" w:color="000000" w:sz="4" w:space="0"/>
              <w:left w:val="nil"/>
              <w:bottom w:val="single" w:color="000000" w:sz="4" w:space="0"/>
              <w:right w:val="single" w:color="000000" w:sz="4" w:space="0"/>
            </w:tcBorders>
            <w:vAlign w:val="center"/>
          </w:tcPr>
          <w:p w14:paraId="07A1820D">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12,809,556.77</w:t>
            </w:r>
          </w:p>
        </w:tc>
        <w:tc>
          <w:tcPr>
            <w:tcW w:w="3198" w:type="dxa"/>
            <w:tcBorders>
              <w:top w:val="single" w:color="000000" w:sz="4" w:space="0"/>
              <w:left w:val="nil"/>
              <w:bottom w:val="single" w:color="000000" w:sz="4" w:space="0"/>
              <w:right w:val="single" w:color="000000" w:sz="4" w:space="0"/>
            </w:tcBorders>
            <w:vAlign w:val="center"/>
          </w:tcPr>
          <w:p w14:paraId="5A06E897">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-4.03%</w:t>
            </w:r>
          </w:p>
        </w:tc>
      </w:tr>
      <w:tr w14:paraId="770BF5F9">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1C9B8FA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w:t>
            </w:r>
          </w:p>
        </w:tc>
        <w:tc>
          <w:tcPr>
            <w:tcW w:w="1646" w:type="dxa"/>
            <w:tcBorders>
              <w:top w:val="single" w:color="000000" w:sz="4" w:space="0"/>
              <w:left w:val="nil"/>
              <w:bottom w:val="single" w:color="000000" w:sz="4" w:space="0"/>
              <w:right w:val="single" w:color="000000" w:sz="4" w:space="0"/>
            </w:tcBorders>
            <w:vAlign w:val="center"/>
          </w:tcPr>
          <w:p w14:paraId="16E38B4F">
            <w:pPr>
              <w:pStyle w:val="19"/>
              <w:adjustRightInd w:val="0"/>
              <w:snapToGrid w:val="0"/>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EBITDA</w:t>
            </w:r>
          </w:p>
        </w:tc>
        <w:tc>
          <w:tcPr>
            <w:tcW w:w="2342" w:type="dxa"/>
            <w:tcBorders>
              <w:top w:val="single" w:color="000000" w:sz="4" w:space="0"/>
              <w:left w:val="nil"/>
              <w:bottom w:val="single" w:color="000000" w:sz="4" w:space="0"/>
              <w:right w:val="single" w:color="000000" w:sz="4" w:space="0"/>
            </w:tcBorders>
            <w:vAlign w:val="center"/>
          </w:tcPr>
          <w:p w14:paraId="326416AA">
            <w:pPr>
              <w:pStyle w:val="19"/>
              <w:adjustRightInd w:val="0"/>
              <w:snapToGrid w:val="0"/>
              <w:spacing w:line="360" w:lineRule="auto"/>
              <w:jc w:val="right"/>
              <w:rPr>
                <w:rFonts w:ascii="Times New Roman" w:hAnsi="Times New Roman" w:cs="Times New Roman"/>
                <w:color w:val="000000" w:themeColor="text1"/>
                <w:sz w:val="21"/>
                <w:szCs w:val="21"/>
              </w:rPr>
            </w:pPr>
            <w:bookmarkStart w:id="12" w:name="_Hlk202280126"/>
            <w:bookmarkEnd w:id="12"/>
            <w:r>
              <w:rPr>
                <w:rFonts w:ascii="Times New Roman" w:hAnsi="Times New Roman" w:cs="Times New Roman"/>
                <w:color w:val="000000" w:themeColor="text1"/>
                <w:sz w:val="21"/>
                <w:szCs w:val="21"/>
              </w:rPr>
              <w:t>21,613,131.83</w:t>
            </w:r>
          </w:p>
        </w:tc>
        <w:tc>
          <w:tcPr>
            <w:tcW w:w="2410" w:type="dxa"/>
            <w:tcBorders>
              <w:top w:val="single" w:color="000000" w:sz="4" w:space="0"/>
              <w:left w:val="nil"/>
              <w:bottom w:val="single" w:color="000000" w:sz="4" w:space="0"/>
              <w:right w:val="single" w:color="000000" w:sz="4" w:space="0"/>
            </w:tcBorders>
            <w:vAlign w:val="center"/>
          </w:tcPr>
          <w:p w14:paraId="44C63DBE">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22,879,569.85</w:t>
            </w:r>
          </w:p>
        </w:tc>
        <w:tc>
          <w:tcPr>
            <w:tcW w:w="3198" w:type="dxa"/>
            <w:tcBorders>
              <w:top w:val="single" w:color="000000" w:sz="4" w:space="0"/>
              <w:left w:val="nil"/>
              <w:bottom w:val="single" w:color="000000" w:sz="4" w:space="0"/>
              <w:right w:val="single" w:color="000000" w:sz="4" w:space="0"/>
            </w:tcBorders>
            <w:vAlign w:val="center"/>
          </w:tcPr>
          <w:p w14:paraId="043B6E87">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-5.54%</w:t>
            </w:r>
          </w:p>
        </w:tc>
      </w:tr>
    </w:tbl>
    <w:p w14:paraId="71A4CFB5">
      <w:pPr>
        <w:adjustRightInd w:val="0"/>
        <w:snapToGrid w:val="0"/>
        <w:spacing w:line="360" w:lineRule="auto"/>
        <w:rPr>
          <w:b/>
          <w:color w:val="000000" w:themeColor="text1"/>
          <w:kern w:val="0"/>
          <w:sz w:val="24"/>
          <w:szCs w:val="24"/>
        </w:rPr>
      </w:pPr>
      <w:bookmarkStart w:id="13" w:name="_Toc98602640"/>
      <w:bookmarkStart w:id="14" w:name="_Toc98601291"/>
      <w:bookmarkStart w:id="15" w:name="_Toc96424895"/>
      <w:r>
        <w:rPr>
          <w:b/>
          <w:color w:val="000000" w:themeColor="text1"/>
          <w:kern w:val="0"/>
          <w:sz w:val="24"/>
          <w:szCs w:val="24"/>
        </w:rPr>
        <w:t xml:space="preserve">4.2.2 </w:t>
      </w:r>
      <w:bookmarkEnd w:id="13"/>
      <w:bookmarkEnd w:id="14"/>
      <w:bookmarkEnd w:id="15"/>
      <w:r>
        <w:rPr>
          <w:b/>
          <w:color w:val="000000" w:themeColor="text1"/>
          <w:kern w:val="0"/>
          <w:sz w:val="24"/>
          <w:szCs w:val="24"/>
        </w:rPr>
        <w:t>重要不动产项目公司的主要资产负债科目分析</w:t>
      </w:r>
    </w:p>
    <w:p w14:paraId="5AC14D43">
      <w:pPr>
        <w:adjustRightInd w:val="0"/>
        <w:snapToGrid w:val="0"/>
        <w:spacing w:line="360" w:lineRule="auto"/>
        <w:ind w:firstLine="420" w:firstLineChars="200"/>
        <w:jc w:val="left"/>
        <w:rPr>
          <w:bCs/>
          <w:color w:val="000000"/>
        </w:rPr>
      </w:pPr>
      <w:r>
        <w:rPr>
          <w:bCs/>
          <w:color w:val="000000"/>
        </w:rPr>
        <w:t>项目公司名称：1 天津泰达数字产业园有限公司</w:t>
      </w:r>
    </w:p>
    <w:tbl>
      <w:tblPr>
        <w:tblStyle w:val="24"/>
        <w:tblW w:w="8977"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889"/>
        <w:gridCol w:w="2413"/>
        <w:gridCol w:w="2299"/>
        <w:gridCol w:w="1206"/>
      </w:tblGrid>
      <w:tr w14:paraId="2FA1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170" w:type="dxa"/>
            <w:vAlign w:val="center"/>
          </w:tcPr>
          <w:p w14:paraId="44BDDC9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889" w:type="dxa"/>
            <w:vAlign w:val="center"/>
          </w:tcPr>
          <w:p w14:paraId="42C4006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构成</w:t>
            </w:r>
          </w:p>
        </w:tc>
        <w:tc>
          <w:tcPr>
            <w:tcW w:w="2413" w:type="dxa"/>
            <w:vAlign w:val="center"/>
          </w:tcPr>
          <w:p w14:paraId="7450DCDD">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报告期末金额（元）</w:t>
            </w:r>
          </w:p>
        </w:tc>
        <w:tc>
          <w:tcPr>
            <w:tcW w:w="2299" w:type="dxa"/>
            <w:vAlign w:val="center"/>
          </w:tcPr>
          <w:p w14:paraId="5D35FBE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上年末金额（元）</w:t>
            </w:r>
          </w:p>
        </w:tc>
        <w:tc>
          <w:tcPr>
            <w:tcW w:w="1206" w:type="dxa"/>
            <w:vAlign w:val="center"/>
          </w:tcPr>
          <w:p w14:paraId="7B0CA84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较上年末变动（%）</w:t>
            </w:r>
          </w:p>
        </w:tc>
      </w:tr>
      <w:tr w14:paraId="314C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5E5300A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主要资产科目</w:t>
            </w:r>
          </w:p>
        </w:tc>
      </w:tr>
      <w:tr w14:paraId="77DA1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668FA25">
            <w:pPr>
              <w:jc w:val="left"/>
            </w:pPr>
            <w:r>
              <w:rPr>
                <w:color w:val="000000" w:themeColor="text1"/>
                <w:kern w:val="0"/>
              </w:rPr>
              <w:t>1</w:t>
            </w:r>
          </w:p>
        </w:tc>
        <w:tc>
          <w:tcPr>
            <w:vAlign w:val="center"/>
          </w:tcPr>
          <w:p w14:paraId="192A5DA9">
            <w:pPr>
              <w:jc w:val="left"/>
            </w:pPr>
            <w:r>
              <w:rPr>
                <w:color w:val="000000" w:themeColor="text1"/>
                <w:kern w:val="0"/>
              </w:rPr>
              <w:t>投资性房地产</w:t>
            </w:r>
          </w:p>
        </w:tc>
        <w:tc>
          <w:tcPr>
            <w:vAlign w:val="center"/>
          </w:tcPr>
          <w:p w14:paraId="4EF95BCD">
            <w:pPr>
              <w:jc w:val="right"/>
            </w:pPr>
            <w:r>
              <w:rPr>
                <w:color w:val="000000" w:themeColor="text1"/>
                <w:kern w:val="0"/>
              </w:rPr>
              <w:t>459,211,851.12</w:t>
            </w:r>
          </w:p>
        </w:tc>
        <w:tc>
          <w:tcPr>
            <w:vAlign w:val="center"/>
          </w:tcPr>
          <w:p w14:paraId="25C659D2">
            <w:pPr>
              <w:jc w:val="right"/>
            </w:pPr>
            <w:r>
              <w:rPr>
                <w:color w:val="000000" w:themeColor="text1"/>
                <w:kern w:val="0"/>
              </w:rPr>
              <w:t>469,820,678.19</w:t>
            </w:r>
          </w:p>
        </w:tc>
        <w:tc>
          <w:tcPr>
            <w:vAlign w:val="center"/>
          </w:tcPr>
          <w:p w14:paraId="7BF63670">
            <w:pPr>
              <w:jc w:val="right"/>
            </w:pPr>
            <w:r>
              <w:rPr>
                <w:color w:val="000000" w:themeColor="text1"/>
                <w:kern w:val="0"/>
              </w:rPr>
              <w:t>-2.26%</w:t>
            </w:r>
          </w:p>
        </w:tc>
      </w:tr>
      <w:tr w14:paraId="32FC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13976B5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主要负债科目</w:t>
            </w:r>
          </w:p>
        </w:tc>
      </w:tr>
      <w:tr w14:paraId="45C1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45F7E4E">
            <w:pPr>
              <w:jc w:val="left"/>
            </w:pPr>
            <w:r>
              <w:rPr>
                <w:color w:val="000000" w:themeColor="text1"/>
                <w:kern w:val="0"/>
              </w:rPr>
              <w:t>1</w:t>
            </w:r>
          </w:p>
        </w:tc>
        <w:tc>
          <w:tcPr>
            <w:vAlign w:val="center"/>
          </w:tcPr>
          <w:p w14:paraId="62C6660F">
            <w:pPr>
              <w:jc w:val="left"/>
            </w:pPr>
            <w:r>
              <w:rPr>
                <w:color w:val="000000" w:themeColor="text1"/>
                <w:kern w:val="0"/>
              </w:rPr>
              <w:t>长期应付款</w:t>
            </w:r>
          </w:p>
        </w:tc>
        <w:tc>
          <w:tcPr>
            <w:vAlign w:val="center"/>
          </w:tcPr>
          <w:p w14:paraId="4FA0FB93">
            <w:pPr>
              <w:jc w:val="right"/>
            </w:pPr>
            <w:r>
              <w:rPr>
                <w:color w:val="000000" w:themeColor="text1"/>
                <w:kern w:val="0"/>
              </w:rPr>
              <w:t>537,981,353.52</w:t>
            </w:r>
          </w:p>
        </w:tc>
        <w:tc>
          <w:tcPr>
            <w:vAlign w:val="center"/>
          </w:tcPr>
          <w:p w14:paraId="547C2F6E">
            <w:pPr>
              <w:jc w:val="right"/>
            </w:pPr>
            <w:r>
              <w:rPr>
                <w:color w:val="000000" w:themeColor="text1"/>
                <w:kern w:val="0"/>
              </w:rPr>
              <w:t>538,213,908.17</w:t>
            </w:r>
          </w:p>
        </w:tc>
        <w:tc>
          <w:tcPr>
            <w:vAlign w:val="center"/>
          </w:tcPr>
          <w:p w14:paraId="4EC8C70A">
            <w:pPr>
              <w:jc w:val="right"/>
            </w:pPr>
            <w:r>
              <w:rPr>
                <w:color w:val="000000" w:themeColor="text1"/>
                <w:kern w:val="0"/>
              </w:rPr>
              <w:t>-0.04%</w:t>
            </w:r>
          </w:p>
        </w:tc>
      </w:tr>
    </w:tbl>
    <w:p w14:paraId="0AACDEB9">
      <w:pPr>
        <w:adjustRightInd w:val="0"/>
        <w:snapToGrid w:val="0"/>
        <w:spacing w:line="360" w:lineRule="auto"/>
        <w:ind w:firstLine="420" w:firstLineChars="200"/>
        <w:jc w:val="left"/>
        <w:rPr>
          <w:bCs/>
          <w:color w:val="000000"/>
        </w:rPr>
      </w:pPr>
      <w:r>
        <w:rPr>
          <w:bCs/>
          <w:color w:val="000000"/>
        </w:rPr>
        <w:t>项目公司名称：2 天津泰达智造产业园有限公司</w:t>
      </w:r>
    </w:p>
    <w:tbl>
      <w:tblPr>
        <w:tblStyle w:val="24"/>
        <w:tblW w:w="8977"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889"/>
        <w:gridCol w:w="2413"/>
        <w:gridCol w:w="2299"/>
        <w:gridCol w:w="1206"/>
      </w:tblGrid>
      <w:tr w14:paraId="57E8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170" w:type="dxa"/>
            <w:vAlign w:val="center"/>
          </w:tcPr>
          <w:p w14:paraId="24E91F46">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889" w:type="dxa"/>
            <w:vAlign w:val="center"/>
          </w:tcPr>
          <w:p w14:paraId="1E617F86">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构成</w:t>
            </w:r>
          </w:p>
        </w:tc>
        <w:tc>
          <w:tcPr>
            <w:tcW w:w="2413" w:type="dxa"/>
            <w:vAlign w:val="center"/>
          </w:tcPr>
          <w:p w14:paraId="1D65E8E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报告期末金额（元）</w:t>
            </w:r>
          </w:p>
        </w:tc>
        <w:tc>
          <w:tcPr>
            <w:tcW w:w="2299" w:type="dxa"/>
            <w:vAlign w:val="center"/>
          </w:tcPr>
          <w:p w14:paraId="69A4F31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上年末金额（元）</w:t>
            </w:r>
          </w:p>
        </w:tc>
        <w:tc>
          <w:tcPr>
            <w:tcW w:w="1206" w:type="dxa"/>
            <w:vAlign w:val="center"/>
          </w:tcPr>
          <w:p w14:paraId="780E4E8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较上年末变动（%）</w:t>
            </w:r>
          </w:p>
        </w:tc>
      </w:tr>
      <w:tr w14:paraId="6EA1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144D257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主要资产科目</w:t>
            </w:r>
          </w:p>
        </w:tc>
      </w:tr>
      <w:tr w14:paraId="1D517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434E32C">
            <w:pPr>
              <w:jc w:val="left"/>
            </w:pPr>
            <w:r>
              <w:rPr>
                <w:color w:val="000000" w:themeColor="text1"/>
                <w:kern w:val="0"/>
              </w:rPr>
              <w:t>1</w:t>
            </w:r>
          </w:p>
        </w:tc>
        <w:tc>
          <w:tcPr>
            <w:vAlign w:val="center"/>
          </w:tcPr>
          <w:p w14:paraId="3717BB67">
            <w:pPr>
              <w:jc w:val="left"/>
            </w:pPr>
            <w:r>
              <w:rPr>
                <w:color w:val="000000" w:themeColor="text1"/>
                <w:kern w:val="0"/>
              </w:rPr>
              <w:t>投资性房地产</w:t>
            </w:r>
          </w:p>
        </w:tc>
        <w:tc>
          <w:tcPr>
            <w:vAlign w:val="center"/>
          </w:tcPr>
          <w:p w14:paraId="188B9B84">
            <w:pPr>
              <w:jc w:val="right"/>
            </w:pPr>
            <w:r>
              <w:rPr>
                <w:color w:val="000000" w:themeColor="text1"/>
                <w:kern w:val="0"/>
              </w:rPr>
              <w:t>360,314,190.28</w:t>
            </w:r>
          </w:p>
        </w:tc>
        <w:tc>
          <w:tcPr>
            <w:vAlign w:val="center"/>
          </w:tcPr>
          <w:p w14:paraId="0950F58C">
            <w:pPr>
              <w:jc w:val="right"/>
            </w:pPr>
            <w:r>
              <w:rPr>
                <w:color w:val="000000" w:themeColor="text1"/>
                <w:kern w:val="0"/>
              </w:rPr>
              <w:t>370,276,387.48</w:t>
            </w:r>
          </w:p>
        </w:tc>
        <w:tc>
          <w:tcPr>
            <w:vAlign w:val="center"/>
          </w:tcPr>
          <w:p w14:paraId="5CC6061F">
            <w:pPr>
              <w:jc w:val="right"/>
            </w:pPr>
            <w:r>
              <w:rPr>
                <w:color w:val="000000" w:themeColor="text1"/>
                <w:kern w:val="0"/>
              </w:rPr>
              <w:t>-2.69%</w:t>
            </w:r>
          </w:p>
        </w:tc>
      </w:tr>
      <w:tr w14:paraId="1D90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42D9189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主要负债科目</w:t>
            </w:r>
          </w:p>
        </w:tc>
      </w:tr>
      <w:tr w14:paraId="6384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64B09AD">
            <w:pPr>
              <w:jc w:val="left"/>
            </w:pPr>
            <w:r>
              <w:rPr>
                <w:color w:val="000000" w:themeColor="text1"/>
                <w:kern w:val="0"/>
              </w:rPr>
              <w:t>1</w:t>
            </w:r>
          </w:p>
        </w:tc>
        <w:tc>
          <w:tcPr>
            <w:vAlign w:val="center"/>
          </w:tcPr>
          <w:p w14:paraId="08F84274">
            <w:pPr>
              <w:jc w:val="left"/>
            </w:pPr>
            <w:r>
              <w:rPr>
                <w:color w:val="000000" w:themeColor="text1"/>
                <w:kern w:val="0"/>
              </w:rPr>
              <w:t>长期应付款</w:t>
            </w:r>
          </w:p>
        </w:tc>
        <w:tc>
          <w:tcPr>
            <w:vAlign w:val="center"/>
          </w:tcPr>
          <w:p w14:paraId="3D408900">
            <w:pPr>
              <w:jc w:val="right"/>
            </w:pPr>
            <w:r>
              <w:rPr>
                <w:color w:val="000000" w:themeColor="text1"/>
                <w:kern w:val="0"/>
              </w:rPr>
              <w:t>261,000,000.00</w:t>
            </w:r>
          </w:p>
        </w:tc>
        <w:tc>
          <w:tcPr>
            <w:vAlign w:val="center"/>
          </w:tcPr>
          <w:p w14:paraId="5E8071B6">
            <w:pPr>
              <w:jc w:val="right"/>
            </w:pPr>
            <w:r>
              <w:rPr>
                <w:color w:val="000000" w:themeColor="text1"/>
                <w:kern w:val="0"/>
              </w:rPr>
              <w:t>261,000,000.00</w:t>
            </w:r>
          </w:p>
        </w:tc>
        <w:tc>
          <w:tcPr>
            <w:vAlign w:val="center"/>
          </w:tcPr>
          <w:p w14:paraId="6BE207B6">
            <w:pPr>
              <w:jc w:val="right"/>
            </w:pPr>
            <w:r>
              <w:rPr>
                <w:color w:val="000000" w:themeColor="text1"/>
                <w:kern w:val="0"/>
              </w:rPr>
              <w:t>0.00%</w:t>
            </w:r>
          </w:p>
        </w:tc>
      </w:tr>
    </w:tbl>
    <w:p w14:paraId="3D580547">
      <w:pPr>
        <w:adjustRightInd w:val="0"/>
        <w:snapToGrid w:val="0"/>
        <w:spacing w:line="360" w:lineRule="auto"/>
        <w:rPr>
          <w:b/>
          <w:color w:val="000000" w:themeColor="text1"/>
          <w:kern w:val="0"/>
          <w:sz w:val="24"/>
          <w:szCs w:val="24"/>
        </w:rPr>
      </w:pPr>
      <w:r>
        <w:rPr>
          <w:b/>
          <w:color w:val="000000" w:themeColor="text1"/>
          <w:kern w:val="0"/>
          <w:sz w:val="24"/>
          <w:szCs w:val="24"/>
        </w:rPr>
        <w:t>4.2.3 重要不动产项目公司的营业收入分析</w:t>
      </w:r>
    </w:p>
    <w:p w14:paraId="74CF523A">
      <w:pPr>
        <w:adjustRightInd w:val="0"/>
        <w:snapToGrid w:val="0"/>
        <w:spacing w:line="360" w:lineRule="auto"/>
        <w:ind w:firstLine="420" w:firstLineChars="200"/>
        <w:jc w:val="left"/>
        <w:rPr>
          <w:bCs/>
          <w:color w:val="000000"/>
        </w:rPr>
      </w:pPr>
      <w:r>
        <w:rPr>
          <w:bCs/>
          <w:color w:val="000000"/>
        </w:rPr>
        <w:t>项目公司名称：1 天津泰达数字产业园有限公司</w:t>
      </w:r>
    </w:p>
    <w:tbl>
      <w:tblPr>
        <w:tblStyle w:val="24"/>
        <w:tblW w:w="9215" w:type="dxa"/>
        <w:tblInd w:w="-3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40"/>
        <w:gridCol w:w="1772"/>
        <w:gridCol w:w="1700"/>
        <w:gridCol w:w="1136"/>
        <w:gridCol w:w="1699"/>
        <w:gridCol w:w="1135"/>
        <w:gridCol w:w="1133"/>
      </w:tblGrid>
      <w:tr w14:paraId="17450C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40" w:type="dxa"/>
            <w:vMerge w:val="restart"/>
            <w:vAlign w:val="center"/>
          </w:tcPr>
          <w:p w14:paraId="5092685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772" w:type="dxa"/>
            <w:vMerge w:val="restart"/>
            <w:vAlign w:val="center"/>
          </w:tcPr>
          <w:p w14:paraId="1BB8BEF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构成</w:t>
            </w:r>
          </w:p>
        </w:tc>
        <w:tc>
          <w:tcPr>
            <w:tcW w:w="2836" w:type="dxa"/>
            <w:gridSpan w:val="2"/>
            <w:noWrap/>
            <w:vAlign w:val="center"/>
          </w:tcPr>
          <w:p w14:paraId="19831E3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本期2026年7月1日至2026年9月30日</w:t>
            </w:r>
          </w:p>
        </w:tc>
        <w:tc>
          <w:tcPr>
            <w:tcW w:w="2834" w:type="dxa"/>
            <w:gridSpan w:val="2"/>
            <w:noWrap/>
            <w:vAlign w:val="center"/>
          </w:tcPr>
          <w:p w14:paraId="562BE47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上年同期2025年7月1日至2025年9月30日</w:t>
            </w:r>
          </w:p>
        </w:tc>
        <w:tc>
          <w:tcPr>
            <w:tcW w:w="1133" w:type="dxa"/>
            <w:vMerge w:val="restart"/>
            <w:vAlign w:val="center"/>
          </w:tcPr>
          <w:p w14:paraId="6CE7E4E5">
            <w:pPr>
              <w:pStyle w:val="19"/>
              <w:adjustRightInd w:val="0"/>
              <w:snapToGrid w:val="0"/>
              <w:spacing w:before="0" w:beforeAutospacing="0" w:after="0" w:afterAutospacing="0"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金额同比（%）</w:t>
            </w:r>
          </w:p>
        </w:tc>
      </w:tr>
      <w:tr w14:paraId="745391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40" w:type="dxa"/>
            <w:vMerge w:val="continue"/>
            <w:vAlign w:val="center"/>
          </w:tcPr>
          <w:p w14:paraId="4EF290E4">
            <w:pPr>
              <w:pStyle w:val="19"/>
              <w:adjustRightInd w:val="0"/>
              <w:snapToGrid w:val="0"/>
              <w:spacing w:line="360" w:lineRule="auto"/>
              <w:jc w:val="center"/>
              <w:rPr>
                <w:rFonts w:ascii="Times New Roman" w:hAnsi="Times New Roman" w:cs="Times New Roman"/>
                <w:color w:val="000000" w:themeColor="text1"/>
                <w:sz w:val="21"/>
                <w:szCs w:val="21"/>
              </w:rPr>
            </w:pPr>
          </w:p>
        </w:tc>
        <w:tc>
          <w:tcPr>
            <w:tcW w:w="1772" w:type="dxa"/>
            <w:vMerge w:val="continue"/>
            <w:vAlign w:val="center"/>
          </w:tcPr>
          <w:p w14:paraId="4AAD5EC8">
            <w:pPr>
              <w:pStyle w:val="19"/>
              <w:adjustRightInd w:val="0"/>
              <w:snapToGrid w:val="0"/>
              <w:spacing w:line="360" w:lineRule="auto"/>
              <w:jc w:val="center"/>
              <w:rPr>
                <w:rFonts w:ascii="Times New Roman" w:hAnsi="Times New Roman" w:cs="Times New Roman"/>
                <w:color w:val="000000" w:themeColor="text1"/>
                <w:sz w:val="21"/>
                <w:szCs w:val="21"/>
              </w:rPr>
            </w:pPr>
          </w:p>
        </w:tc>
        <w:tc>
          <w:tcPr>
            <w:tcW w:w="1700" w:type="dxa"/>
            <w:vAlign w:val="center"/>
          </w:tcPr>
          <w:p w14:paraId="781A0455">
            <w:pPr>
              <w:pStyle w:val="19"/>
              <w:adjustRightInd w:val="0"/>
              <w:snapToGrid w:val="0"/>
              <w:spacing w:before="0" w:beforeAutospacing="0" w:after="0" w:afterAutospacing="0"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6" w:type="dxa"/>
            <w:vAlign w:val="center"/>
          </w:tcPr>
          <w:p w14:paraId="19251D61">
            <w:pPr>
              <w:pStyle w:val="19"/>
              <w:adjustRightInd w:val="0"/>
              <w:snapToGrid w:val="0"/>
              <w:spacing w:before="0" w:beforeAutospacing="0" w:after="0" w:afterAutospacing="0"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占该项目总收入比例（％）</w:t>
            </w:r>
          </w:p>
        </w:tc>
        <w:tc>
          <w:tcPr>
            <w:tcW w:w="1699" w:type="dxa"/>
            <w:vAlign w:val="center"/>
          </w:tcPr>
          <w:p w14:paraId="3FE4C650">
            <w:pPr>
              <w:pStyle w:val="19"/>
              <w:adjustRightInd w:val="0"/>
              <w:snapToGrid w:val="0"/>
              <w:spacing w:before="0" w:beforeAutospacing="0" w:after="0" w:afterAutospacing="0"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5" w:type="dxa"/>
            <w:vAlign w:val="center"/>
          </w:tcPr>
          <w:p w14:paraId="4698CE1E">
            <w:pPr>
              <w:pStyle w:val="19"/>
              <w:adjustRightInd w:val="0"/>
              <w:snapToGrid w:val="0"/>
              <w:spacing w:before="0" w:beforeAutospacing="0" w:after="0" w:afterAutospacing="0"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占该项目总收入比例（％）</w:t>
            </w:r>
          </w:p>
        </w:tc>
        <w:tc>
          <w:tcPr>
            <w:tcW w:w="1133" w:type="dxa"/>
            <w:vMerge w:val="continue"/>
            <w:vAlign w:val="center"/>
          </w:tcPr>
          <w:p w14:paraId="6F2833AE">
            <w:pPr>
              <w:pStyle w:val="19"/>
              <w:adjustRightInd w:val="0"/>
              <w:snapToGrid w:val="0"/>
              <w:spacing w:line="360" w:lineRule="auto"/>
              <w:rPr>
                <w:rFonts w:ascii="Times New Roman" w:hAnsi="Times New Roman" w:cs="Times New Roman"/>
                <w:sz w:val="21"/>
                <w:szCs w:val="21"/>
              </w:rPr>
            </w:pPr>
          </w:p>
        </w:tc>
      </w:tr>
      <w:tr w14:paraId="7B0977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0" w:type="dxa"/>
            <w:vAlign w:val="center"/>
          </w:tcPr>
          <w:p w14:paraId="0D6BD1F8">
            <w:pPr>
              <w:jc w:val="center"/>
            </w:pPr>
            <w:r>
              <w:rPr>
                <w:color w:val="000000" w:themeColor="text1"/>
                <w:kern w:val="0"/>
              </w:rPr>
              <w:t>1</w:t>
            </w:r>
          </w:p>
        </w:tc>
        <w:tc>
          <w:tcPr>
            <w:tcW w:w="1772" w:type="dxa"/>
            <w:vAlign w:val="center"/>
          </w:tcPr>
          <w:p w14:paraId="4515A932">
            <w:pPr>
              <w:jc w:val="left"/>
            </w:pPr>
            <w:r>
              <w:rPr>
                <w:color w:val="000000" w:themeColor="text1"/>
                <w:kern w:val="0"/>
              </w:rPr>
              <w:t>租金收入</w:t>
            </w:r>
          </w:p>
        </w:tc>
        <w:tc>
          <w:tcPr>
            <w:vAlign w:val="center"/>
          </w:tcPr>
          <w:p w14:paraId="6459BD40">
            <w:pPr>
              <w:jc w:val="right"/>
            </w:pPr>
            <w:r>
              <w:rPr>
                <w:color w:val="000000" w:themeColor="text1"/>
                <w:kern w:val="0"/>
              </w:rPr>
              <w:t>13,376,340.77</w:t>
            </w:r>
          </w:p>
        </w:tc>
        <w:tc>
          <w:tcPr>
            <w:vAlign w:val="center"/>
          </w:tcPr>
          <w:p w14:paraId="0B4F92BA">
            <w:pPr>
              <w:jc w:val="right"/>
            </w:pPr>
            <w:r>
              <w:rPr>
                <w:color w:val="000000" w:themeColor="text1"/>
                <w:kern w:val="0"/>
              </w:rPr>
              <w:t>68.51%</w:t>
            </w:r>
          </w:p>
        </w:tc>
        <w:tc>
          <w:tcPr>
            <w:vAlign w:val="center"/>
          </w:tcPr>
          <w:p w14:paraId="504BFF13">
            <w:pPr>
              <w:jc w:val="right"/>
            </w:pPr>
            <w:r>
              <w:rPr>
                <w:color w:val="000000" w:themeColor="text1"/>
                <w:kern w:val="0"/>
              </w:rPr>
              <w:t>14,135,946.97</w:t>
            </w:r>
          </w:p>
        </w:tc>
        <w:tc>
          <w:tcPr>
            <w:vAlign w:val="center"/>
          </w:tcPr>
          <w:p w14:paraId="3618CC18">
            <w:pPr>
              <w:jc w:val="right"/>
            </w:pPr>
            <w:r>
              <w:rPr>
                <w:color w:val="000000" w:themeColor="text1"/>
                <w:kern w:val="0"/>
              </w:rPr>
              <w:t>67.89%</w:t>
            </w:r>
          </w:p>
        </w:tc>
        <w:tc>
          <w:tcPr>
            <w:vAlign w:val="center"/>
          </w:tcPr>
          <w:p w14:paraId="7B19C063">
            <w:pPr>
              <w:jc w:val="right"/>
            </w:pPr>
            <w:r>
              <w:rPr>
                <w:color w:val="000000" w:themeColor="text1"/>
                <w:kern w:val="0"/>
              </w:rPr>
              <w:t>-5.37%</w:t>
            </w:r>
          </w:p>
        </w:tc>
      </w:tr>
      <w:tr w14:paraId="187FD5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0" w:type="dxa"/>
            <w:vAlign w:val="center"/>
          </w:tcPr>
          <w:p w14:paraId="5A9BC17D">
            <w:pPr>
              <w:jc w:val="center"/>
            </w:pPr>
            <w:r>
              <w:rPr>
                <w:color w:val="000000" w:themeColor="text1"/>
                <w:kern w:val="0"/>
              </w:rPr>
              <w:t>2</w:t>
            </w:r>
          </w:p>
        </w:tc>
        <w:tc>
          <w:tcPr>
            <w:tcW w:w="1772" w:type="dxa"/>
            <w:vAlign w:val="center"/>
          </w:tcPr>
          <w:p w14:paraId="379F773E">
            <w:pPr>
              <w:jc w:val="left"/>
            </w:pPr>
            <w:r>
              <w:rPr>
                <w:color w:val="000000" w:themeColor="text1"/>
                <w:kern w:val="0"/>
              </w:rPr>
              <w:t>物业管理费收入</w:t>
            </w:r>
          </w:p>
        </w:tc>
        <w:tc>
          <w:tcPr>
            <w:vAlign w:val="center"/>
          </w:tcPr>
          <w:p w14:paraId="282A5F15">
            <w:pPr>
              <w:jc w:val="right"/>
            </w:pPr>
            <w:r>
              <w:rPr>
                <w:color w:val="000000" w:themeColor="text1"/>
                <w:kern w:val="0"/>
              </w:rPr>
              <w:t>6,148,681.04</w:t>
            </w:r>
          </w:p>
        </w:tc>
        <w:tc>
          <w:tcPr>
            <w:vAlign w:val="center"/>
          </w:tcPr>
          <w:p w14:paraId="2BC3C31D">
            <w:pPr>
              <w:jc w:val="right"/>
            </w:pPr>
            <w:r>
              <w:rPr>
                <w:color w:val="000000" w:themeColor="text1"/>
                <w:kern w:val="0"/>
              </w:rPr>
              <w:t>31.49%</w:t>
            </w:r>
          </w:p>
        </w:tc>
        <w:tc>
          <w:tcPr>
            <w:vAlign w:val="center"/>
          </w:tcPr>
          <w:p w14:paraId="67B2360F">
            <w:pPr>
              <w:jc w:val="right"/>
            </w:pPr>
            <w:r>
              <w:rPr>
                <w:color w:val="000000" w:themeColor="text1"/>
                <w:kern w:val="0"/>
              </w:rPr>
              <w:t>6,685,374.36</w:t>
            </w:r>
          </w:p>
        </w:tc>
        <w:tc>
          <w:tcPr>
            <w:vAlign w:val="center"/>
          </w:tcPr>
          <w:p w14:paraId="75CF5DEF">
            <w:pPr>
              <w:jc w:val="right"/>
            </w:pPr>
            <w:r>
              <w:rPr>
                <w:color w:val="000000" w:themeColor="text1"/>
                <w:kern w:val="0"/>
              </w:rPr>
              <w:t>32.11%</w:t>
            </w:r>
          </w:p>
        </w:tc>
        <w:tc>
          <w:tcPr>
            <w:vAlign w:val="center"/>
          </w:tcPr>
          <w:p w14:paraId="3034C60C">
            <w:pPr>
              <w:jc w:val="right"/>
            </w:pPr>
            <w:r>
              <w:rPr>
                <w:color w:val="000000" w:themeColor="text1"/>
                <w:kern w:val="0"/>
              </w:rPr>
              <w:t>-8.03%</w:t>
            </w:r>
          </w:p>
        </w:tc>
      </w:tr>
      <w:tr w14:paraId="1A1E6C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40" w:type="dxa"/>
            <w:vAlign w:val="center"/>
          </w:tcPr>
          <w:p w14:paraId="4F90031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w:t>
            </w:r>
          </w:p>
        </w:tc>
        <w:tc>
          <w:tcPr>
            <w:tcW w:w="1772" w:type="dxa"/>
            <w:vAlign w:val="center"/>
          </w:tcPr>
          <w:p w14:paraId="62D3C234">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其他收入</w:t>
            </w:r>
          </w:p>
        </w:tc>
        <w:tc>
          <w:tcPr>
            <w:tcW w:w="1700" w:type="dxa"/>
            <w:vAlign w:val="center"/>
          </w:tcPr>
          <w:p w14:paraId="70CE22D9">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136" w:type="dxa"/>
            <w:vAlign w:val="center"/>
          </w:tcPr>
          <w:p w14:paraId="2F1BD67E">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699" w:type="dxa"/>
            <w:vAlign w:val="center"/>
          </w:tcPr>
          <w:p w14:paraId="5A007CC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135" w:type="dxa"/>
            <w:vAlign w:val="center"/>
          </w:tcPr>
          <w:p w14:paraId="5FBF0846">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133" w:type="dxa"/>
            <w:vAlign w:val="center"/>
          </w:tcPr>
          <w:p w14:paraId="3EAD518D">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631DEC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40" w:type="dxa"/>
            <w:vAlign w:val="center"/>
          </w:tcPr>
          <w:p w14:paraId="1C29186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4</w:t>
            </w:r>
          </w:p>
        </w:tc>
        <w:tc>
          <w:tcPr>
            <w:tcW w:w="1772" w:type="dxa"/>
            <w:vAlign w:val="center"/>
          </w:tcPr>
          <w:p w14:paraId="6F98D16C">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营业收入合计</w:t>
            </w:r>
          </w:p>
        </w:tc>
        <w:tc>
          <w:tcPr>
            <w:tcW w:w="1700" w:type="dxa"/>
            <w:vAlign w:val="center"/>
          </w:tcPr>
          <w:p w14:paraId="54A6FF1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19,525,021.81</w:t>
            </w:r>
          </w:p>
        </w:tc>
        <w:tc>
          <w:tcPr>
            <w:tcW w:w="1136" w:type="dxa"/>
            <w:vAlign w:val="center"/>
          </w:tcPr>
          <w:p w14:paraId="2593F92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699" w:type="dxa"/>
            <w:vAlign w:val="center"/>
          </w:tcPr>
          <w:p w14:paraId="38C94B8B">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20,821,321.33</w:t>
            </w:r>
          </w:p>
        </w:tc>
        <w:tc>
          <w:tcPr>
            <w:tcW w:w="1135" w:type="dxa"/>
            <w:vAlign w:val="center"/>
          </w:tcPr>
          <w:p w14:paraId="1D63E43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133" w:type="dxa"/>
            <w:vAlign w:val="center"/>
          </w:tcPr>
          <w:p w14:paraId="1C361DB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-6.23%</w:t>
            </w:r>
          </w:p>
        </w:tc>
      </w:tr>
    </w:tbl>
    <w:p w14:paraId="108008E5">
      <w:pPr>
        <w:adjustRightInd w:val="0"/>
        <w:snapToGrid w:val="0"/>
        <w:spacing w:line="360" w:lineRule="auto"/>
        <w:ind w:firstLine="420" w:firstLineChars="200"/>
        <w:jc w:val="left"/>
        <w:rPr>
          <w:bCs/>
          <w:color w:val="000000"/>
        </w:rPr>
      </w:pPr>
      <w:r>
        <w:rPr>
          <w:bCs/>
          <w:color w:val="000000"/>
        </w:rPr>
        <w:t>项目公司名称：2 天津泰达智造产业园有限公司</w:t>
      </w:r>
    </w:p>
    <w:tbl>
      <w:tblPr>
        <w:tblStyle w:val="24"/>
        <w:tblW w:w="9215" w:type="dxa"/>
        <w:tblInd w:w="-3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36"/>
        <w:gridCol w:w="1276"/>
        <w:gridCol w:w="1700"/>
        <w:gridCol w:w="1136"/>
        <w:gridCol w:w="1699"/>
        <w:gridCol w:w="1135"/>
        <w:gridCol w:w="1133"/>
      </w:tblGrid>
      <w:tr w14:paraId="7B7FDA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Merge w:val="restart"/>
            <w:vAlign w:val="center"/>
          </w:tcPr>
          <w:p w14:paraId="1AE1F30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276" w:type="dxa"/>
            <w:vMerge w:val="restart"/>
            <w:vAlign w:val="center"/>
          </w:tcPr>
          <w:p w14:paraId="693582C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构成</w:t>
            </w:r>
          </w:p>
        </w:tc>
        <w:tc>
          <w:tcPr>
            <w:tcW w:w="2836" w:type="dxa"/>
            <w:gridSpan w:val="2"/>
            <w:noWrap/>
            <w:vAlign w:val="center"/>
          </w:tcPr>
          <w:p w14:paraId="44E7C6D8">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本期2026年7月1日至2026年9月30日</w:t>
            </w:r>
          </w:p>
        </w:tc>
        <w:tc>
          <w:tcPr>
            <w:tcW w:w="2834" w:type="dxa"/>
            <w:gridSpan w:val="2"/>
            <w:noWrap/>
            <w:vAlign w:val="center"/>
          </w:tcPr>
          <w:p w14:paraId="0AC4142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上年同期2025年7月1日至2025年9月30日</w:t>
            </w:r>
          </w:p>
        </w:tc>
        <w:tc>
          <w:tcPr>
            <w:tcW w:w="1133" w:type="dxa"/>
            <w:vMerge w:val="restart"/>
            <w:vAlign w:val="center"/>
          </w:tcPr>
          <w:p w14:paraId="1F46D5A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金额同比（%）</w:t>
            </w:r>
          </w:p>
        </w:tc>
      </w:tr>
      <w:tr w14:paraId="428F49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Merge w:val="continue"/>
            <w:vAlign w:val="center"/>
          </w:tcPr>
          <w:p w14:paraId="72E8E212">
            <w:pPr>
              <w:pStyle w:val="19"/>
              <w:adjustRightInd w:val="0"/>
              <w:snapToGrid w:val="0"/>
              <w:spacing w:line="360" w:lineRule="auto"/>
              <w:jc w:val="center"/>
              <w:rPr>
                <w:rFonts w:ascii="Times New Roman" w:hAnsi="Times New Roman" w:cs="Times New Roman"/>
                <w:color w:val="000000" w:themeColor="text1"/>
                <w:sz w:val="21"/>
                <w:szCs w:val="21"/>
              </w:rPr>
            </w:pPr>
          </w:p>
        </w:tc>
        <w:tc>
          <w:tcPr>
            <w:tcW w:w="1276" w:type="dxa"/>
            <w:vMerge w:val="continue"/>
            <w:vAlign w:val="center"/>
          </w:tcPr>
          <w:p w14:paraId="6B35C70B">
            <w:pPr>
              <w:pStyle w:val="19"/>
              <w:adjustRightInd w:val="0"/>
              <w:snapToGrid w:val="0"/>
              <w:spacing w:line="360" w:lineRule="auto"/>
              <w:jc w:val="center"/>
              <w:rPr>
                <w:rFonts w:ascii="Times New Roman" w:hAnsi="Times New Roman" w:cs="Times New Roman"/>
                <w:color w:val="000000" w:themeColor="text1"/>
                <w:sz w:val="21"/>
                <w:szCs w:val="21"/>
              </w:rPr>
            </w:pPr>
          </w:p>
        </w:tc>
        <w:tc>
          <w:tcPr>
            <w:tcW w:w="1700" w:type="dxa"/>
            <w:vAlign w:val="center"/>
          </w:tcPr>
          <w:p w14:paraId="0921F09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6" w:type="dxa"/>
            <w:vAlign w:val="center"/>
          </w:tcPr>
          <w:p w14:paraId="7618044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占该项目总收入比例（％）</w:t>
            </w:r>
          </w:p>
        </w:tc>
        <w:tc>
          <w:tcPr>
            <w:tcW w:w="1699" w:type="dxa"/>
            <w:vAlign w:val="center"/>
          </w:tcPr>
          <w:p w14:paraId="126A25AA">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5" w:type="dxa"/>
            <w:vAlign w:val="center"/>
          </w:tcPr>
          <w:p w14:paraId="0D33B20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占该项目总收入比例（％）</w:t>
            </w:r>
          </w:p>
        </w:tc>
        <w:tc>
          <w:tcPr>
            <w:tcW w:w="1133" w:type="dxa"/>
            <w:vMerge w:val="continue"/>
            <w:vAlign w:val="center"/>
          </w:tcPr>
          <w:p w14:paraId="13411354">
            <w:pPr>
              <w:pStyle w:val="19"/>
              <w:adjustRightInd w:val="0"/>
              <w:snapToGrid w:val="0"/>
              <w:spacing w:line="360" w:lineRule="auto"/>
              <w:rPr>
                <w:rFonts w:ascii="Times New Roman" w:hAnsi="Times New Roman" w:cs="Times New Roman"/>
                <w:sz w:val="21"/>
                <w:szCs w:val="21"/>
              </w:rPr>
            </w:pPr>
          </w:p>
        </w:tc>
      </w:tr>
      <w:tr w14:paraId="3920EF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5A324D90">
            <w:pPr>
              <w:jc w:val="center"/>
            </w:pPr>
            <w:r>
              <w:rPr>
                <w:color w:val="000000" w:themeColor="text1"/>
                <w:kern w:val="0"/>
              </w:rPr>
              <w:t>1</w:t>
            </w:r>
          </w:p>
        </w:tc>
        <w:tc>
          <w:tcPr>
            <w:vAlign w:val="center"/>
          </w:tcPr>
          <w:p w14:paraId="13C3F319">
            <w:pPr>
              <w:jc w:val="left"/>
            </w:pPr>
            <w:r>
              <w:rPr>
                <w:color w:val="000000" w:themeColor="text1"/>
                <w:kern w:val="0"/>
              </w:rPr>
              <w:t>租金收入</w:t>
            </w:r>
          </w:p>
        </w:tc>
        <w:tc>
          <w:tcPr>
            <w:vAlign w:val="center"/>
          </w:tcPr>
          <w:p w14:paraId="7C97AB99">
            <w:pPr>
              <w:jc w:val="right"/>
            </w:pPr>
            <w:r>
              <w:rPr>
                <w:color w:val="000000" w:themeColor="text1"/>
                <w:kern w:val="0"/>
              </w:rPr>
              <w:t>9,698,508.22</w:t>
            </w:r>
          </w:p>
        </w:tc>
        <w:tc>
          <w:tcPr>
            <w:vAlign w:val="center"/>
          </w:tcPr>
          <w:p w14:paraId="1C0836A7">
            <w:pPr>
              <w:jc w:val="right"/>
            </w:pPr>
            <w:r>
              <w:rPr>
                <w:color w:val="000000" w:themeColor="text1"/>
                <w:kern w:val="0"/>
              </w:rPr>
              <w:t>100.00%</w:t>
            </w:r>
          </w:p>
        </w:tc>
        <w:tc>
          <w:tcPr>
            <w:vAlign w:val="center"/>
          </w:tcPr>
          <w:p w14:paraId="584C8401">
            <w:pPr>
              <w:jc w:val="right"/>
            </w:pPr>
            <w:r>
              <w:rPr>
                <w:color w:val="000000" w:themeColor="text1"/>
                <w:kern w:val="0"/>
              </w:rPr>
              <w:t>9,698,508.22</w:t>
            </w:r>
          </w:p>
        </w:tc>
        <w:tc>
          <w:tcPr>
            <w:vAlign w:val="center"/>
          </w:tcPr>
          <w:p w14:paraId="30571487">
            <w:pPr>
              <w:jc w:val="right"/>
            </w:pPr>
            <w:r>
              <w:rPr>
                <w:color w:val="000000" w:themeColor="text1"/>
                <w:kern w:val="0"/>
              </w:rPr>
              <w:t>100.00%</w:t>
            </w:r>
          </w:p>
        </w:tc>
        <w:tc>
          <w:tcPr>
            <w:vAlign w:val="center"/>
          </w:tcPr>
          <w:p w14:paraId="0CB64169">
            <w:pPr>
              <w:jc w:val="right"/>
            </w:pPr>
            <w:r>
              <w:rPr>
                <w:color w:val="000000" w:themeColor="text1"/>
                <w:kern w:val="0"/>
              </w:rPr>
              <w:t>0.00%</w:t>
            </w:r>
          </w:p>
        </w:tc>
      </w:tr>
      <w:tr w14:paraId="4EFACD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Align w:val="center"/>
          </w:tcPr>
          <w:p w14:paraId="7F2B001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w:t>
            </w:r>
          </w:p>
        </w:tc>
        <w:tc>
          <w:tcPr>
            <w:tcW w:w="1276" w:type="dxa"/>
            <w:vAlign w:val="center"/>
          </w:tcPr>
          <w:p w14:paraId="2FAFC2A8">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其他收入</w:t>
            </w:r>
          </w:p>
        </w:tc>
        <w:tc>
          <w:tcPr>
            <w:tcW w:w="1700" w:type="dxa"/>
            <w:vAlign w:val="center"/>
          </w:tcPr>
          <w:p w14:paraId="04CB7F6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136" w:type="dxa"/>
            <w:vAlign w:val="center"/>
          </w:tcPr>
          <w:p w14:paraId="0DE23F46">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699" w:type="dxa"/>
            <w:vAlign w:val="center"/>
          </w:tcPr>
          <w:p w14:paraId="3BA21927">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135" w:type="dxa"/>
            <w:vAlign w:val="center"/>
          </w:tcPr>
          <w:p w14:paraId="54ABB3E6">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1133" w:type="dxa"/>
            <w:vAlign w:val="center"/>
          </w:tcPr>
          <w:p w14:paraId="5A216A6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300928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Align w:val="center"/>
          </w:tcPr>
          <w:p w14:paraId="06A3CAF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w:t>
            </w:r>
          </w:p>
        </w:tc>
        <w:tc>
          <w:tcPr>
            <w:tcW w:w="1276" w:type="dxa"/>
            <w:vAlign w:val="center"/>
          </w:tcPr>
          <w:p w14:paraId="54AD0E3C">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营业收入合计</w:t>
            </w:r>
          </w:p>
        </w:tc>
        <w:tc>
          <w:tcPr>
            <w:tcW w:w="1700" w:type="dxa"/>
            <w:vAlign w:val="center"/>
          </w:tcPr>
          <w:p w14:paraId="0E0804B8">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9,698,508.22</w:t>
            </w:r>
          </w:p>
        </w:tc>
        <w:tc>
          <w:tcPr>
            <w:tcW w:w="1136" w:type="dxa"/>
            <w:vAlign w:val="center"/>
          </w:tcPr>
          <w:p w14:paraId="64A9B00D">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699" w:type="dxa"/>
            <w:vAlign w:val="center"/>
          </w:tcPr>
          <w:p w14:paraId="5CD3DF2D">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9,698,508.22</w:t>
            </w:r>
          </w:p>
        </w:tc>
        <w:tc>
          <w:tcPr>
            <w:tcW w:w="1135" w:type="dxa"/>
            <w:vAlign w:val="center"/>
          </w:tcPr>
          <w:p w14:paraId="4725B63C">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133" w:type="dxa"/>
            <w:vAlign w:val="center"/>
          </w:tcPr>
          <w:p w14:paraId="0CCD036D">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0.00%</w:t>
            </w:r>
          </w:p>
        </w:tc>
      </w:tr>
    </w:tbl>
    <w:p w14:paraId="40BBE4CC">
      <w:pPr>
        <w:adjustRightInd w:val="0"/>
        <w:snapToGrid w:val="0"/>
        <w:spacing w:line="360" w:lineRule="auto"/>
        <w:rPr>
          <w:b/>
          <w:color w:val="000000" w:themeColor="text1"/>
          <w:kern w:val="0"/>
          <w:sz w:val="24"/>
          <w:szCs w:val="24"/>
        </w:rPr>
      </w:pPr>
      <w:r>
        <w:rPr>
          <w:b/>
          <w:color w:val="000000" w:themeColor="text1"/>
          <w:kern w:val="0"/>
          <w:sz w:val="24"/>
          <w:szCs w:val="24"/>
        </w:rPr>
        <w:t>4.2.4 重要不动产项目公司的营业成本及主要费用分析</w:t>
      </w:r>
    </w:p>
    <w:p w14:paraId="03455023">
      <w:pPr>
        <w:adjustRightInd w:val="0"/>
        <w:snapToGrid w:val="0"/>
        <w:spacing w:line="360" w:lineRule="auto"/>
        <w:ind w:firstLine="420" w:firstLineChars="200"/>
        <w:jc w:val="left"/>
        <w:rPr>
          <w:bCs/>
          <w:color w:val="000000"/>
        </w:rPr>
      </w:pPr>
      <w:r>
        <w:rPr>
          <w:bCs/>
          <w:color w:val="000000"/>
        </w:rPr>
        <w:t>项目公司名称：1 天津泰达数字产业园有限公司</w:t>
      </w:r>
    </w:p>
    <w:tbl>
      <w:tblPr>
        <w:tblStyle w:val="24"/>
        <w:tblW w:w="9215" w:type="dxa"/>
        <w:tblInd w:w="-3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36"/>
        <w:gridCol w:w="1276"/>
        <w:gridCol w:w="1700"/>
        <w:gridCol w:w="1136"/>
        <w:gridCol w:w="1699"/>
        <w:gridCol w:w="1135"/>
        <w:gridCol w:w="1133"/>
      </w:tblGrid>
      <w:tr w14:paraId="6CD106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Merge w:val="restart"/>
            <w:vAlign w:val="center"/>
          </w:tcPr>
          <w:p w14:paraId="1520030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1276" w:type="dxa"/>
            <w:vMerge w:val="restart"/>
            <w:vAlign w:val="center"/>
          </w:tcPr>
          <w:p w14:paraId="0820820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构成</w:t>
            </w:r>
          </w:p>
        </w:tc>
        <w:tc>
          <w:tcPr>
            <w:tcW w:w="2836" w:type="dxa"/>
            <w:gridSpan w:val="2"/>
            <w:noWrap/>
            <w:vAlign w:val="center"/>
          </w:tcPr>
          <w:p w14:paraId="622A162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本期2026年7月1日至2026年9月30日</w:t>
            </w:r>
          </w:p>
        </w:tc>
        <w:tc>
          <w:tcPr>
            <w:tcW w:w="2834" w:type="dxa"/>
            <w:gridSpan w:val="2"/>
            <w:noWrap/>
            <w:vAlign w:val="center"/>
          </w:tcPr>
          <w:p w14:paraId="03A0791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上年同期2025年7月1日至2025年9月30日</w:t>
            </w:r>
          </w:p>
        </w:tc>
        <w:tc>
          <w:tcPr>
            <w:tcW w:w="1133" w:type="dxa"/>
            <w:vMerge w:val="restart"/>
            <w:vAlign w:val="center"/>
          </w:tcPr>
          <w:p w14:paraId="3E520D3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金额同比（%）</w:t>
            </w:r>
          </w:p>
        </w:tc>
      </w:tr>
      <w:tr w14:paraId="1A1DF7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Merge w:val="continue"/>
            <w:vAlign w:val="center"/>
          </w:tcPr>
          <w:p w14:paraId="29F69703">
            <w:pPr>
              <w:pStyle w:val="19"/>
              <w:adjustRightInd w:val="0"/>
              <w:snapToGrid w:val="0"/>
              <w:spacing w:line="360" w:lineRule="auto"/>
              <w:jc w:val="center"/>
              <w:rPr>
                <w:rFonts w:ascii="Times New Roman" w:hAnsi="Times New Roman" w:cs="Times New Roman"/>
                <w:color w:val="000000" w:themeColor="text1"/>
                <w:sz w:val="21"/>
                <w:szCs w:val="21"/>
              </w:rPr>
            </w:pPr>
          </w:p>
        </w:tc>
        <w:tc>
          <w:tcPr>
            <w:tcW w:w="1276" w:type="dxa"/>
            <w:vMerge w:val="continue"/>
            <w:vAlign w:val="center"/>
          </w:tcPr>
          <w:p w14:paraId="740C24EE">
            <w:pPr>
              <w:pStyle w:val="19"/>
              <w:adjustRightInd w:val="0"/>
              <w:snapToGrid w:val="0"/>
              <w:spacing w:line="360" w:lineRule="auto"/>
              <w:jc w:val="center"/>
              <w:rPr>
                <w:rFonts w:ascii="Times New Roman" w:hAnsi="Times New Roman" w:cs="Times New Roman"/>
                <w:color w:val="000000" w:themeColor="text1"/>
                <w:sz w:val="21"/>
                <w:szCs w:val="21"/>
              </w:rPr>
            </w:pPr>
          </w:p>
        </w:tc>
        <w:tc>
          <w:tcPr>
            <w:tcW w:w="1700" w:type="dxa"/>
            <w:vAlign w:val="center"/>
          </w:tcPr>
          <w:p w14:paraId="10F1AC4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6" w:type="dxa"/>
            <w:vAlign w:val="center"/>
          </w:tcPr>
          <w:p w14:paraId="226C114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占该项目总成本比例（％）</w:t>
            </w:r>
          </w:p>
        </w:tc>
        <w:tc>
          <w:tcPr>
            <w:tcW w:w="1699" w:type="dxa"/>
            <w:vAlign w:val="center"/>
          </w:tcPr>
          <w:p w14:paraId="26DF2AE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5" w:type="dxa"/>
            <w:vAlign w:val="center"/>
          </w:tcPr>
          <w:p w14:paraId="5A7CD706">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占该项目总成本比例（％）</w:t>
            </w:r>
          </w:p>
        </w:tc>
        <w:tc>
          <w:tcPr>
            <w:tcW w:w="1133" w:type="dxa"/>
            <w:vMerge w:val="continue"/>
            <w:vAlign w:val="center"/>
          </w:tcPr>
          <w:p w14:paraId="0251E07E">
            <w:pPr>
              <w:pStyle w:val="19"/>
              <w:adjustRightInd w:val="0"/>
              <w:snapToGrid w:val="0"/>
              <w:spacing w:line="360" w:lineRule="auto"/>
              <w:rPr>
                <w:rFonts w:ascii="Times New Roman" w:hAnsi="Times New Roman" w:cs="Times New Roman"/>
                <w:sz w:val="21"/>
                <w:szCs w:val="21"/>
              </w:rPr>
            </w:pPr>
          </w:p>
        </w:tc>
      </w:tr>
      <w:tr w14:paraId="6FA53C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4217ACA5">
            <w:pPr>
              <w:jc w:val="center"/>
            </w:pPr>
            <w:r>
              <w:rPr>
                <w:color w:val="000000" w:themeColor="text1"/>
                <w:kern w:val="0"/>
              </w:rPr>
              <w:t>1</w:t>
            </w:r>
          </w:p>
        </w:tc>
        <w:tc>
          <w:tcPr>
            <w:vAlign w:val="center"/>
          </w:tcPr>
          <w:p w14:paraId="51D35E35">
            <w:pPr>
              <w:jc w:val="left"/>
            </w:pPr>
            <w:r>
              <w:rPr>
                <w:color w:val="000000" w:themeColor="text1"/>
                <w:kern w:val="0"/>
              </w:rPr>
              <w:t>租赁成本</w:t>
            </w:r>
          </w:p>
        </w:tc>
        <w:tc>
          <w:tcPr>
            <w:vAlign w:val="center"/>
          </w:tcPr>
          <w:p w14:paraId="0F089CA6">
            <w:pPr>
              <w:jc w:val="right"/>
            </w:pPr>
            <w:r>
              <w:rPr>
                <w:color w:val="000000" w:themeColor="text1"/>
                <w:kern w:val="0"/>
              </w:rPr>
              <w:t>1,512,772.70</w:t>
            </w:r>
          </w:p>
        </w:tc>
        <w:tc>
          <w:tcPr>
            <w:vAlign w:val="center"/>
          </w:tcPr>
          <w:p w14:paraId="1F196361">
            <w:pPr>
              <w:jc w:val="right"/>
            </w:pPr>
            <w:r>
              <w:rPr>
                <w:color w:val="000000" w:themeColor="text1"/>
                <w:kern w:val="0"/>
              </w:rPr>
              <w:t>17.58%</w:t>
            </w:r>
          </w:p>
        </w:tc>
        <w:tc>
          <w:tcPr>
            <w:vAlign w:val="center"/>
          </w:tcPr>
          <w:p w14:paraId="5231E8E8">
            <w:pPr>
              <w:jc w:val="right"/>
            </w:pPr>
            <w:r>
              <w:rPr>
                <w:color w:val="000000" w:themeColor="text1"/>
                <w:kern w:val="0"/>
              </w:rPr>
              <w:t>1,792,411.17</w:t>
            </w:r>
          </w:p>
        </w:tc>
        <w:tc>
          <w:tcPr>
            <w:vAlign w:val="center"/>
          </w:tcPr>
          <w:p w14:paraId="58873D17">
            <w:pPr>
              <w:jc w:val="right"/>
            </w:pPr>
            <w:r>
              <w:rPr>
                <w:color w:val="000000" w:themeColor="text1"/>
                <w:kern w:val="0"/>
              </w:rPr>
              <w:t>19.50%</w:t>
            </w:r>
          </w:p>
        </w:tc>
        <w:tc>
          <w:tcPr>
            <w:vAlign w:val="center"/>
          </w:tcPr>
          <w:p w14:paraId="7716517F">
            <w:pPr>
              <w:jc w:val="right"/>
            </w:pPr>
            <w:r>
              <w:rPr>
                <w:color w:val="000000" w:themeColor="text1"/>
                <w:kern w:val="0"/>
              </w:rPr>
              <w:t>-15.60%</w:t>
            </w:r>
          </w:p>
        </w:tc>
      </w:tr>
      <w:tr w14:paraId="431480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37657DD2">
            <w:pPr>
              <w:jc w:val="center"/>
            </w:pPr>
            <w:r>
              <w:rPr>
                <w:color w:val="000000" w:themeColor="text1"/>
                <w:kern w:val="0"/>
              </w:rPr>
              <w:t>2</w:t>
            </w:r>
          </w:p>
        </w:tc>
        <w:tc>
          <w:tcPr>
            <w:vAlign w:val="center"/>
          </w:tcPr>
          <w:p w14:paraId="5E33DA0D">
            <w:pPr>
              <w:jc w:val="left"/>
            </w:pPr>
            <w:r>
              <w:rPr>
                <w:color w:val="000000" w:themeColor="text1"/>
                <w:kern w:val="0"/>
              </w:rPr>
              <w:t>物业管理成本</w:t>
            </w:r>
          </w:p>
        </w:tc>
        <w:tc>
          <w:tcPr>
            <w:vAlign w:val="center"/>
          </w:tcPr>
          <w:p w14:paraId="022494A4">
            <w:pPr>
              <w:jc w:val="right"/>
            </w:pPr>
            <w:r>
              <w:rPr>
                <w:color w:val="000000" w:themeColor="text1"/>
                <w:kern w:val="0"/>
              </w:rPr>
              <w:t>2,060,811.84</w:t>
            </w:r>
          </w:p>
        </w:tc>
        <w:tc>
          <w:tcPr>
            <w:vAlign w:val="center"/>
          </w:tcPr>
          <w:p w14:paraId="414FC3FA">
            <w:pPr>
              <w:jc w:val="right"/>
            </w:pPr>
            <w:r>
              <w:rPr>
                <w:color w:val="000000" w:themeColor="text1"/>
                <w:kern w:val="0"/>
              </w:rPr>
              <w:t>23.95%</w:t>
            </w:r>
          </w:p>
        </w:tc>
        <w:tc>
          <w:tcPr>
            <w:vAlign w:val="center"/>
          </w:tcPr>
          <w:p w14:paraId="4F55251D">
            <w:pPr>
              <w:jc w:val="right"/>
            </w:pPr>
            <w:r>
              <w:rPr>
                <w:color w:val="000000" w:themeColor="text1"/>
                <w:kern w:val="0"/>
              </w:rPr>
              <w:t>2,303,289.09</w:t>
            </w:r>
          </w:p>
        </w:tc>
        <w:tc>
          <w:tcPr>
            <w:vAlign w:val="center"/>
          </w:tcPr>
          <w:p w14:paraId="1BE4661E">
            <w:pPr>
              <w:jc w:val="right"/>
            </w:pPr>
            <w:r>
              <w:rPr>
                <w:color w:val="000000" w:themeColor="text1"/>
                <w:kern w:val="0"/>
              </w:rPr>
              <w:t>25.06%</w:t>
            </w:r>
          </w:p>
        </w:tc>
        <w:tc>
          <w:tcPr>
            <w:vAlign w:val="center"/>
          </w:tcPr>
          <w:p w14:paraId="0754832D">
            <w:pPr>
              <w:jc w:val="right"/>
            </w:pPr>
            <w:r>
              <w:rPr>
                <w:color w:val="000000" w:themeColor="text1"/>
                <w:kern w:val="0"/>
              </w:rPr>
              <w:t>-10.53%</w:t>
            </w:r>
          </w:p>
        </w:tc>
      </w:tr>
      <w:tr w14:paraId="55C336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3118D5A9">
            <w:pPr>
              <w:jc w:val="center"/>
            </w:pPr>
            <w:r>
              <w:rPr>
                <w:color w:val="000000" w:themeColor="text1"/>
                <w:kern w:val="0"/>
              </w:rPr>
              <w:t>3</w:t>
            </w:r>
          </w:p>
        </w:tc>
        <w:tc>
          <w:tcPr>
            <w:vAlign w:val="center"/>
          </w:tcPr>
          <w:p w14:paraId="12A8CD06">
            <w:pPr>
              <w:jc w:val="left"/>
            </w:pPr>
            <w:r>
              <w:rPr>
                <w:color w:val="000000" w:themeColor="text1"/>
                <w:kern w:val="0"/>
              </w:rPr>
              <w:t>运营管理费</w:t>
            </w:r>
          </w:p>
        </w:tc>
        <w:tc>
          <w:tcPr>
            <w:vAlign w:val="center"/>
          </w:tcPr>
          <w:p w14:paraId="172E964D">
            <w:pPr>
              <w:jc w:val="right"/>
            </w:pPr>
            <w:r>
              <w:rPr>
                <w:color w:val="000000" w:themeColor="text1"/>
                <w:kern w:val="0"/>
              </w:rPr>
              <w:t>552,594.96</w:t>
            </w:r>
          </w:p>
        </w:tc>
        <w:tc>
          <w:tcPr>
            <w:vAlign w:val="center"/>
          </w:tcPr>
          <w:p w14:paraId="5ADF8461">
            <w:pPr>
              <w:jc w:val="right"/>
            </w:pPr>
            <w:r>
              <w:rPr>
                <w:color w:val="000000" w:themeColor="text1"/>
                <w:kern w:val="0"/>
              </w:rPr>
              <w:t>6.42%</w:t>
            </w:r>
          </w:p>
        </w:tc>
        <w:tc>
          <w:tcPr>
            <w:vAlign w:val="center"/>
          </w:tcPr>
          <w:p w14:paraId="4E0804C0">
            <w:pPr>
              <w:jc w:val="right"/>
            </w:pPr>
            <w:r>
              <w:rPr>
                <w:color w:val="000000" w:themeColor="text1"/>
                <w:kern w:val="0"/>
              </w:rPr>
              <w:t>589,282.67</w:t>
            </w:r>
          </w:p>
        </w:tc>
        <w:tc>
          <w:tcPr>
            <w:vAlign w:val="center"/>
          </w:tcPr>
          <w:p w14:paraId="2CE73D98">
            <w:pPr>
              <w:jc w:val="right"/>
            </w:pPr>
            <w:r>
              <w:rPr>
                <w:color w:val="000000" w:themeColor="text1"/>
                <w:kern w:val="0"/>
              </w:rPr>
              <w:t>6.41%</w:t>
            </w:r>
          </w:p>
        </w:tc>
        <w:tc>
          <w:tcPr>
            <w:vAlign w:val="center"/>
          </w:tcPr>
          <w:p w14:paraId="19E52560">
            <w:pPr>
              <w:jc w:val="right"/>
            </w:pPr>
            <w:r>
              <w:rPr>
                <w:color w:val="000000" w:themeColor="text1"/>
                <w:kern w:val="0"/>
              </w:rPr>
              <w:t>-6.23%</w:t>
            </w:r>
          </w:p>
        </w:tc>
      </w:tr>
      <w:tr w14:paraId="02D8A7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5DD85BB8">
            <w:pPr>
              <w:jc w:val="center"/>
            </w:pPr>
            <w:r>
              <w:rPr>
                <w:color w:val="000000" w:themeColor="text1"/>
                <w:kern w:val="0"/>
              </w:rPr>
              <w:t>4</w:t>
            </w:r>
          </w:p>
        </w:tc>
        <w:tc>
          <w:tcPr>
            <w:vAlign w:val="center"/>
          </w:tcPr>
          <w:p w14:paraId="0A4D5034">
            <w:pPr>
              <w:jc w:val="left"/>
            </w:pPr>
            <w:r>
              <w:rPr>
                <w:color w:val="000000" w:themeColor="text1"/>
                <w:kern w:val="0"/>
              </w:rPr>
              <w:t>折旧摊销</w:t>
            </w:r>
          </w:p>
        </w:tc>
        <w:tc>
          <w:tcPr>
            <w:vAlign w:val="center"/>
          </w:tcPr>
          <w:p w14:paraId="75A79533">
            <w:pPr>
              <w:jc w:val="right"/>
            </w:pPr>
            <w:r>
              <w:rPr>
                <w:color w:val="000000" w:themeColor="text1"/>
                <w:kern w:val="0"/>
              </w:rPr>
              <w:t>4,346,647.56</w:t>
            </w:r>
          </w:p>
        </w:tc>
        <w:tc>
          <w:tcPr>
            <w:vAlign w:val="center"/>
          </w:tcPr>
          <w:p w14:paraId="4AF5539B">
            <w:pPr>
              <w:jc w:val="right"/>
            </w:pPr>
            <w:r>
              <w:rPr>
                <w:color w:val="000000" w:themeColor="text1"/>
                <w:kern w:val="0"/>
              </w:rPr>
              <w:t>50.51%</w:t>
            </w:r>
          </w:p>
        </w:tc>
        <w:tc>
          <w:tcPr>
            <w:vAlign w:val="center"/>
          </w:tcPr>
          <w:p w14:paraId="5C81737B">
            <w:pPr>
              <w:jc w:val="right"/>
            </w:pPr>
            <w:r>
              <w:rPr>
                <w:color w:val="000000" w:themeColor="text1"/>
                <w:kern w:val="0"/>
              </w:rPr>
              <w:t>4,373,243.52</w:t>
            </w:r>
          </w:p>
        </w:tc>
        <w:tc>
          <w:tcPr>
            <w:vAlign w:val="center"/>
          </w:tcPr>
          <w:p w14:paraId="29DC116C">
            <w:pPr>
              <w:jc w:val="right"/>
            </w:pPr>
            <w:r>
              <w:rPr>
                <w:color w:val="000000" w:themeColor="text1"/>
                <w:kern w:val="0"/>
              </w:rPr>
              <w:t>47.59%</w:t>
            </w:r>
          </w:p>
        </w:tc>
        <w:tc>
          <w:tcPr>
            <w:vAlign w:val="center"/>
          </w:tcPr>
          <w:p w14:paraId="7A3A73F4">
            <w:pPr>
              <w:jc w:val="right"/>
            </w:pPr>
            <w:r>
              <w:rPr>
                <w:color w:val="000000" w:themeColor="text1"/>
                <w:kern w:val="0"/>
              </w:rPr>
              <w:t>-0.61%</w:t>
            </w:r>
          </w:p>
        </w:tc>
      </w:tr>
      <w:tr w14:paraId="02F3EF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Align w:val="center"/>
          </w:tcPr>
          <w:p w14:paraId="3ACD754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w:t>
            </w:r>
          </w:p>
        </w:tc>
        <w:tc>
          <w:tcPr>
            <w:tcW w:w="1276" w:type="dxa"/>
            <w:vAlign w:val="center"/>
          </w:tcPr>
          <w:p w14:paraId="7718457B">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其他成本/费用</w:t>
            </w:r>
          </w:p>
        </w:tc>
        <w:tc>
          <w:tcPr>
            <w:tcW w:w="1700" w:type="dxa"/>
            <w:vAlign w:val="center"/>
          </w:tcPr>
          <w:p w14:paraId="792E7E16">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132,261.61</w:t>
            </w:r>
          </w:p>
        </w:tc>
        <w:tc>
          <w:tcPr>
            <w:tcW w:w="1136" w:type="dxa"/>
            <w:vAlign w:val="center"/>
          </w:tcPr>
          <w:p w14:paraId="07A7FC5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1.54%</w:t>
            </w:r>
          </w:p>
        </w:tc>
        <w:tc>
          <w:tcPr>
            <w:tcW w:w="1699" w:type="dxa"/>
            <w:vAlign w:val="center"/>
          </w:tcPr>
          <w:p w14:paraId="52877FAC">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131,993.47</w:t>
            </w:r>
          </w:p>
        </w:tc>
        <w:tc>
          <w:tcPr>
            <w:tcW w:w="1135" w:type="dxa"/>
            <w:vAlign w:val="center"/>
          </w:tcPr>
          <w:p w14:paraId="3339D7EE">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1.44%</w:t>
            </w:r>
          </w:p>
        </w:tc>
        <w:tc>
          <w:tcPr>
            <w:tcW w:w="1133" w:type="dxa"/>
            <w:vAlign w:val="center"/>
          </w:tcPr>
          <w:p w14:paraId="4D1D954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0.20%</w:t>
            </w:r>
          </w:p>
        </w:tc>
      </w:tr>
      <w:tr w14:paraId="4D5BDD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Align w:val="center"/>
          </w:tcPr>
          <w:p w14:paraId="634A0BF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w:t>
            </w:r>
          </w:p>
        </w:tc>
        <w:tc>
          <w:tcPr>
            <w:tcW w:w="1276" w:type="dxa"/>
            <w:vAlign w:val="center"/>
          </w:tcPr>
          <w:p w14:paraId="2ABA84F0">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营业成本/费用合计</w:t>
            </w:r>
          </w:p>
        </w:tc>
        <w:tc>
          <w:tcPr>
            <w:tcW w:w="1700" w:type="dxa"/>
            <w:vAlign w:val="center"/>
          </w:tcPr>
          <w:p w14:paraId="508AB31E">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8,605,088.67</w:t>
            </w:r>
          </w:p>
        </w:tc>
        <w:tc>
          <w:tcPr>
            <w:tcW w:w="1136" w:type="dxa"/>
            <w:vAlign w:val="center"/>
          </w:tcPr>
          <w:p w14:paraId="74066E1F">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699" w:type="dxa"/>
            <w:vAlign w:val="center"/>
          </w:tcPr>
          <w:p w14:paraId="35BB8E81">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9,190,219.92</w:t>
            </w:r>
          </w:p>
        </w:tc>
        <w:tc>
          <w:tcPr>
            <w:tcW w:w="1135" w:type="dxa"/>
            <w:vAlign w:val="center"/>
          </w:tcPr>
          <w:p w14:paraId="7756AC6C">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133" w:type="dxa"/>
            <w:vAlign w:val="center"/>
          </w:tcPr>
          <w:p w14:paraId="5321A8F7">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-6.37%</w:t>
            </w:r>
          </w:p>
        </w:tc>
      </w:tr>
    </w:tbl>
    <w:p w14:paraId="40CB91E1">
      <w:pPr>
        <w:adjustRightInd w:val="0"/>
        <w:snapToGrid w:val="0"/>
        <w:spacing w:line="360" w:lineRule="auto"/>
        <w:ind w:firstLine="420" w:firstLineChars="200"/>
        <w:jc w:val="left"/>
        <w:rPr>
          <w:bCs/>
          <w:color w:val="000000"/>
        </w:rPr>
      </w:pPr>
      <w:r>
        <w:rPr>
          <w:bCs/>
          <w:color w:val="000000"/>
        </w:rPr>
        <w:t>项目公司名称：2 天津泰达智造产业园有限公司</w:t>
      </w:r>
    </w:p>
    <w:tbl>
      <w:tblPr>
        <w:tblStyle w:val="24"/>
        <w:tblW w:w="9215" w:type="dxa"/>
        <w:tblInd w:w="-3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36"/>
        <w:gridCol w:w="1276"/>
        <w:gridCol w:w="1700"/>
        <w:gridCol w:w="1136"/>
        <w:gridCol w:w="1699"/>
        <w:gridCol w:w="1135"/>
        <w:gridCol w:w="1133"/>
      </w:tblGrid>
      <w:tr w14:paraId="368DFA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Merge w:val="restart"/>
            <w:vAlign w:val="center"/>
          </w:tcPr>
          <w:p w14:paraId="5CA8325D">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r>
              <w:rPr>
                <w:rFonts w:ascii="Times New Roman" w:hAnsi="Times New Roman" w:cs="Times New Roman"/>
                <w:color w:val="000000"/>
                <w:kern w:val="2"/>
                <w:sz w:val="21"/>
                <w:szCs w:val="21"/>
                <w:shd w:val="clear" w:color="auto" w:fill="FFFFFF"/>
              </w:rPr>
              <w:t xml:space="preserve"> </w:t>
            </w:r>
          </w:p>
        </w:tc>
        <w:tc>
          <w:tcPr>
            <w:tcW w:w="1276" w:type="dxa"/>
            <w:vMerge w:val="restart"/>
            <w:vAlign w:val="center"/>
          </w:tcPr>
          <w:p w14:paraId="3BA0FA8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构成</w:t>
            </w:r>
          </w:p>
        </w:tc>
        <w:tc>
          <w:tcPr>
            <w:tcW w:w="2836" w:type="dxa"/>
            <w:gridSpan w:val="2"/>
            <w:noWrap/>
            <w:vAlign w:val="center"/>
          </w:tcPr>
          <w:p w14:paraId="29B786E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本期2026年7月1日至2026年9月30日</w:t>
            </w:r>
          </w:p>
        </w:tc>
        <w:tc>
          <w:tcPr>
            <w:tcW w:w="2834" w:type="dxa"/>
            <w:gridSpan w:val="2"/>
            <w:noWrap/>
            <w:vAlign w:val="center"/>
          </w:tcPr>
          <w:p w14:paraId="00BF037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上年同期2025年7月1日至2025年9月30日</w:t>
            </w:r>
          </w:p>
        </w:tc>
        <w:tc>
          <w:tcPr>
            <w:tcW w:w="1133" w:type="dxa"/>
            <w:vMerge w:val="restart"/>
            <w:vAlign w:val="center"/>
          </w:tcPr>
          <w:p w14:paraId="3AF3D06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金额同比（%）</w:t>
            </w:r>
          </w:p>
        </w:tc>
      </w:tr>
      <w:tr w14:paraId="005E8F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Merge w:val="continue"/>
            <w:vAlign w:val="center"/>
          </w:tcPr>
          <w:p w14:paraId="7FC716FC">
            <w:pPr>
              <w:pStyle w:val="19"/>
              <w:adjustRightInd w:val="0"/>
              <w:snapToGrid w:val="0"/>
              <w:spacing w:line="360" w:lineRule="auto"/>
              <w:jc w:val="center"/>
              <w:rPr>
                <w:rFonts w:ascii="Times New Roman" w:hAnsi="Times New Roman" w:cs="Times New Roman"/>
                <w:color w:val="000000" w:themeColor="text1"/>
                <w:sz w:val="21"/>
                <w:szCs w:val="21"/>
              </w:rPr>
            </w:pPr>
          </w:p>
        </w:tc>
        <w:tc>
          <w:tcPr>
            <w:tcW w:w="1276" w:type="dxa"/>
            <w:vMerge w:val="continue"/>
            <w:vAlign w:val="center"/>
          </w:tcPr>
          <w:p w14:paraId="13C9AD4C">
            <w:pPr>
              <w:pStyle w:val="19"/>
              <w:adjustRightInd w:val="0"/>
              <w:snapToGrid w:val="0"/>
              <w:spacing w:line="360" w:lineRule="auto"/>
              <w:jc w:val="center"/>
              <w:rPr>
                <w:rFonts w:ascii="Times New Roman" w:hAnsi="Times New Roman" w:cs="Times New Roman"/>
                <w:color w:val="000000" w:themeColor="text1"/>
                <w:sz w:val="21"/>
                <w:szCs w:val="21"/>
              </w:rPr>
            </w:pPr>
          </w:p>
        </w:tc>
        <w:tc>
          <w:tcPr>
            <w:tcW w:w="1700" w:type="dxa"/>
            <w:vAlign w:val="center"/>
          </w:tcPr>
          <w:p w14:paraId="3B09F7E1">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6" w:type="dxa"/>
            <w:vAlign w:val="center"/>
          </w:tcPr>
          <w:p w14:paraId="08774038">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占该项目总成本比例（％）</w:t>
            </w:r>
          </w:p>
        </w:tc>
        <w:tc>
          <w:tcPr>
            <w:tcW w:w="1699" w:type="dxa"/>
            <w:vAlign w:val="center"/>
          </w:tcPr>
          <w:p w14:paraId="61E750C6">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1135" w:type="dxa"/>
            <w:vAlign w:val="center"/>
          </w:tcPr>
          <w:p w14:paraId="0212B11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占该项目总成本比例（％）</w:t>
            </w:r>
          </w:p>
        </w:tc>
        <w:tc>
          <w:tcPr>
            <w:tcW w:w="1133" w:type="dxa"/>
            <w:vMerge w:val="continue"/>
            <w:vAlign w:val="center"/>
          </w:tcPr>
          <w:p w14:paraId="2221A909">
            <w:pPr>
              <w:pStyle w:val="19"/>
              <w:adjustRightInd w:val="0"/>
              <w:snapToGrid w:val="0"/>
              <w:spacing w:line="360" w:lineRule="auto"/>
              <w:rPr>
                <w:rFonts w:ascii="Times New Roman" w:hAnsi="Times New Roman" w:cs="Times New Roman"/>
                <w:sz w:val="21"/>
                <w:szCs w:val="21"/>
              </w:rPr>
            </w:pPr>
          </w:p>
        </w:tc>
      </w:tr>
      <w:tr w14:paraId="103680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7E668FC9">
            <w:pPr>
              <w:jc w:val="center"/>
            </w:pPr>
            <w:r>
              <w:rPr>
                <w:color w:val="000000" w:themeColor="text1"/>
                <w:kern w:val="0"/>
              </w:rPr>
              <w:t>1</w:t>
            </w:r>
          </w:p>
        </w:tc>
        <w:tc>
          <w:tcPr>
            <w:vAlign w:val="center"/>
          </w:tcPr>
          <w:p w14:paraId="480BBF3E">
            <w:pPr>
              <w:jc w:val="left"/>
            </w:pPr>
            <w:r>
              <w:rPr>
                <w:color w:val="000000" w:themeColor="text1"/>
                <w:kern w:val="0"/>
              </w:rPr>
              <w:t>租赁成本</w:t>
            </w:r>
          </w:p>
        </w:tc>
        <w:tc>
          <w:tcPr>
            <w:vAlign w:val="center"/>
          </w:tcPr>
          <w:p w14:paraId="657B46EC">
            <w:pPr>
              <w:jc w:val="right"/>
            </w:pPr>
            <w:r>
              <w:rPr>
                <w:color w:val="000000" w:themeColor="text1"/>
                <w:kern w:val="0"/>
              </w:rPr>
              <w:t>10,180.44</w:t>
            </w:r>
          </w:p>
        </w:tc>
        <w:tc>
          <w:tcPr>
            <w:vAlign w:val="center"/>
          </w:tcPr>
          <w:p w14:paraId="40DC9D75">
            <w:pPr>
              <w:jc w:val="right"/>
            </w:pPr>
            <w:r>
              <w:rPr>
                <w:color w:val="000000" w:themeColor="text1"/>
                <w:kern w:val="0"/>
              </w:rPr>
              <w:t>0.28%</w:t>
            </w:r>
          </w:p>
        </w:tc>
        <w:tc>
          <w:tcPr>
            <w:vAlign w:val="center"/>
          </w:tcPr>
          <w:p w14:paraId="3298708B">
            <w:pPr>
              <w:jc w:val="right"/>
            </w:pPr>
            <w:r>
              <w:rPr>
                <w:color w:val="000000" w:themeColor="text1"/>
                <w:kern w:val="0"/>
              </w:rPr>
              <w:t>-4,183.52</w:t>
            </w:r>
          </w:p>
        </w:tc>
        <w:tc>
          <w:tcPr>
            <w:vAlign w:val="center"/>
          </w:tcPr>
          <w:p w14:paraId="1FD62001">
            <w:pPr>
              <w:jc w:val="right"/>
            </w:pPr>
            <w:r>
              <w:rPr>
                <w:color w:val="000000" w:themeColor="text1"/>
                <w:kern w:val="0"/>
              </w:rPr>
              <w:t>-0.11%</w:t>
            </w:r>
          </w:p>
        </w:tc>
        <w:tc>
          <w:tcPr>
            <w:vAlign w:val="center"/>
          </w:tcPr>
          <w:p w14:paraId="624B0EB3">
            <w:pPr>
              <w:jc w:val="right"/>
            </w:pPr>
            <w:r>
              <w:rPr>
                <w:color w:val="000000" w:themeColor="text1"/>
                <w:kern w:val="0"/>
              </w:rPr>
              <w:t>-343.35%</w:t>
            </w:r>
          </w:p>
        </w:tc>
      </w:tr>
      <w:tr w14:paraId="277BD9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32CCB175">
            <w:pPr>
              <w:jc w:val="center"/>
            </w:pPr>
            <w:r>
              <w:rPr>
                <w:color w:val="000000" w:themeColor="text1"/>
                <w:kern w:val="0"/>
              </w:rPr>
              <w:t>2</w:t>
            </w:r>
          </w:p>
        </w:tc>
        <w:tc>
          <w:tcPr>
            <w:vAlign w:val="center"/>
          </w:tcPr>
          <w:p w14:paraId="4803CCB1">
            <w:pPr>
              <w:jc w:val="left"/>
            </w:pPr>
            <w:r>
              <w:rPr>
                <w:color w:val="000000" w:themeColor="text1"/>
                <w:kern w:val="0"/>
              </w:rPr>
              <w:t>运营管理费</w:t>
            </w:r>
          </w:p>
        </w:tc>
        <w:tc>
          <w:tcPr>
            <w:vAlign w:val="center"/>
          </w:tcPr>
          <w:p w14:paraId="23545FAC">
            <w:pPr>
              <w:jc w:val="right"/>
            </w:pPr>
            <w:r>
              <w:rPr>
                <w:color w:val="000000" w:themeColor="text1"/>
                <w:kern w:val="0"/>
              </w:rPr>
              <w:t>274,486.08</w:t>
            </w:r>
          </w:p>
        </w:tc>
        <w:tc>
          <w:tcPr>
            <w:vAlign w:val="center"/>
          </w:tcPr>
          <w:p w14:paraId="5F7833C7">
            <w:pPr>
              <w:jc w:val="right"/>
            </w:pPr>
            <w:r>
              <w:rPr>
                <w:color w:val="000000" w:themeColor="text1"/>
                <w:kern w:val="0"/>
              </w:rPr>
              <w:t>7.44%</w:t>
            </w:r>
          </w:p>
        </w:tc>
        <w:tc>
          <w:tcPr>
            <w:vAlign w:val="center"/>
          </w:tcPr>
          <w:p w14:paraId="5ECA9259">
            <w:pPr>
              <w:jc w:val="right"/>
            </w:pPr>
            <w:r>
              <w:rPr>
                <w:color w:val="000000" w:themeColor="text1"/>
                <w:kern w:val="0"/>
              </w:rPr>
              <w:t>274,486.08</w:t>
            </w:r>
          </w:p>
        </w:tc>
        <w:tc>
          <w:tcPr>
            <w:vAlign w:val="center"/>
          </w:tcPr>
          <w:p w14:paraId="39F2E7EB">
            <w:pPr>
              <w:jc w:val="right"/>
            </w:pPr>
            <w:r>
              <w:rPr>
                <w:color w:val="000000" w:themeColor="text1"/>
                <w:kern w:val="0"/>
              </w:rPr>
              <w:t>7.58%</w:t>
            </w:r>
          </w:p>
        </w:tc>
        <w:tc>
          <w:tcPr>
            <w:vAlign w:val="center"/>
          </w:tcPr>
          <w:p w14:paraId="1CA2D407">
            <w:pPr>
              <w:jc w:val="right"/>
            </w:pPr>
            <w:r>
              <w:rPr>
                <w:color w:val="000000" w:themeColor="text1"/>
                <w:kern w:val="0"/>
              </w:rPr>
              <w:t>0.00%</w:t>
            </w:r>
          </w:p>
        </w:tc>
      </w:tr>
      <w:tr w14:paraId="4A7C8E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55252BE4">
            <w:pPr>
              <w:jc w:val="center"/>
            </w:pPr>
            <w:r>
              <w:rPr>
                <w:color w:val="000000" w:themeColor="text1"/>
                <w:kern w:val="0"/>
              </w:rPr>
              <w:t>3</w:t>
            </w:r>
          </w:p>
        </w:tc>
        <w:tc>
          <w:tcPr>
            <w:vAlign w:val="center"/>
          </w:tcPr>
          <w:p w14:paraId="4D768644">
            <w:pPr>
              <w:jc w:val="left"/>
            </w:pPr>
            <w:r>
              <w:rPr>
                <w:color w:val="000000" w:themeColor="text1"/>
                <w:kern w:val="0"/>
              </w:rPr>
              <w:t>折旧摊销</w:t>
            </w:r>
          </w:p>
        </w:tc>
        <w:tc>
          <w:tcPr>
            <w:vAlign w:val="center"/>
          </w:tcPr>
          <w:p w14:paraId="14D34C68">
            <w:pPr>
              <w:jc w:val="right"/>
            </w:pPr>
            <w:r>
              <w:rPr>
                <w:color w:val="000000" w:themeColor="text1"/>
                <w:kern w:val="0"/>
              </w:rPr>
              <w:t>3,374,888.16</w:t>
            </w:r>
          </w:p>
        </w:tc>
        <w:tc>
          <w:tcPr>
            <w:vAlign w:val="center"/>
          </w:tcPr>
          <w:p w14:paraId="763A2AEA">
            <w:pPr>
              <w:jc w:val="right"/>
            </w:pPr>
            <w:r>
              <w:rPr>
                <w:color w:val="000000" w:themeColor="text1"/>
                <w:kern w:val="0"/>
              </w:rPr>
              <w:t>91.51%</w:t>
            </w:r>
          </w:p>
        </w:tc>
        <w:tc>
          <w:tcPr>
            <w:vAlign w:val="center"/>
          </w:tcPr>
          <w:p w14:paraId="0D35D4FD">
            <w:pPr>
              <w:jc w:val="right"/>
            </w:pPr>
            <w:r>
              <w:rPr>
                <w:color w:val="000000" w:themeColor="text1"/>
                <w:kern w:val="0"/>
              </w:rPr>
              <w:t>3,320,732.40</w:t>
            </w:r>
          </w:p>
        </w:tc>
        <w:tc>
          <w:tcPr>
            <w:vAlign w:val="center"/>
          </w:tcPr>
          <w:p w14:paraId="00D33B51">
            <w:pPr>
              <w:jc w:val="right"/>
            </w:pPr>
            <w:r>
              <w:rPr>
                <w:color w:val="000000" w:themeColor="text1"/>
                <w:kern w:val="0"/>
              </w:rPr>
              <w:t>91.75%</w:t>
            </w:r>
          </w:p>
        </w:tc>
        <w:tc>
          <w:tcPr>
            <w:vAlign w:val="center"/>
          </w:tcPr>
          <w:p w14:paraId="39C4EDB7">
            <w:pPr>
              <w:jc w:val="right"/>
            </w:pPr>
            <w:r>
              <w:rPr>
                <w:color w:val="000000" w:themeColor="text1"/>
                <w:kern w:val="0"/>
              </w:rPr>
              <w:t>1.63%</w:t>
            </w:r>
          </w:p>
        </w:tc>
      </w:tr>
      <w:tr w14:paraId="6F55B4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Align w:val="center"/>
          </w:tcPr>
          <w:p w14:paraId="5E397FC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4</w:t>
            </w:r>
          </w:p>
        </w:tc>
        <w:tc>
          <w:tcPr>
            <w:tcW w:w="1276" w:type="dxa"/>
            <w:vAlign w:val="center"/>
          </w:tcPr>
          <w:p w14:paraId="5EE834BC">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其他成本/费用</w:t>
            </w:r>
          </w:p>
        </w:tc>
        <w:tc>
          <w:tcPr>
            <w:tcW w:w="1700" w:type="dxa"/>
            <w:vAlign w:val="center"/>
          </w:tcPr>
          <w:p w14:paraId="0D3BEDA9">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28,301.89</w:t>
            </w:r>
          </w:p>
        </w:tc>
        <w:tc>
          <w:tcPr>
            <w:tcW w:w="1136" w:type="dxa"/>
            <w:vAlign w:val="center"/>
          </w:tcPr>
          <w:p w14:paraId="4F192C4F">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0.77%</w:t>
            </w:r>
          </w:p>
        </w:tc>
        <w:tc>
          <w:tcPr>
            <w:tcW w:w="1699" w:type="dxa"/>
            <w:vAlign w:val="center"/>
          </w:tcPr>
          <w:p w14:paraId="13C5AA38">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28,301.89</w:t>
            </w:r>
          </w:p>
        </w:tc>
        <w:tc>
          <w:tcPr>
            <w:tcW w:w="1135" w:type="dxa"/>
            <w:vAlign w:val="center"/>
          </w:tcPr>
          <w:p w14:paraId="211FDFD1">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0.78%</w:t>
            </w:r>
          </w:p>
        </w:tc>
        <w:tc>
          <w:tcPr>
            <w:tcW w:w="1133" w:type="dxa"/>
            <w:vAlign w:val="center"/>
          </w:tcPr>
          <w:p w14:paraId="5EDA149D">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0.00%</w:t>
            </w:r>
          </w:p>
        </w:tc>
      </w:tr>
      <w:tr w14:paraId="6131C8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136" w:type="dxa"/>
            <w:vAlign w:val="center"/>
          </w:tcPr>
          <w:p w14:paraId="45E79CE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w:t>
            </w:r>
          </w:p>
        </w:tc>
        <w:tc>
          <w:tcPr>
            <w:tcW w:w="1276" w:type="dxa"/>
            <w:vAlign w:val="center"/>
          </w:tcPr>
          <w:p w14:paraId="617BEEA9">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营业成本/费用合计</w:t>
            </w:r>
          </w:p>
        </w:tc>
        <w:tc>
          <w:tcPr>
            <w:tcW w:w="1700" w:type="dxa"/>
            <w:vAlign w:val="center"/>
          </w:tcPr>
          <w:p w14:paraId="6A7FBCEF">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3,687,856.57</w:t>
            </w:r>
          </w:p>
        </w:tc>
        <w:tc>
          <w:tcPr>
            <w:tcW w:w="1136" w:type="dxa"/>
            <w:vAlign w:val="center"/>
          </w:tcPr>
          <w:p w14:paraId="417FFA1C">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699" w:type="dxa"/>
            <w:vAlign w:val="center"/>
          </w:tcPr>
          <w:p w14:paraId="65AAE37B">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3,619,336.85</w:t>
            </w:r>
          </w:p>
        </w:tc>
        <w:tc>
          <w:tcPr>
            <w:tcW w:w="1135" w:type="dxa"/>
            <w:vAlign w:val="center"/>
          </w:tcPr>
          <w:p w14:paraId="67E5C152">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c>
          <w:tcPr>
            <w:tcW w:w="1133" w:type="dxa"/>
            <w:vAlign w:val="center"/>
          </w:tcPr>
          <w:p w14:paraId="7436463F">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1.89%</w:t>
            </w:r>
          </w:p>
        </w:tc>
      </w:tr>
    </w:tbl>
    <w:p w14:paraId="4DE42E28">
      <w:pPr>
        <w:spacing w:line="360" w:lineRule="auto"/>
        <w:ind w:firstLine="420" w:firstLineChars="200"/>
        <w:rPr>
          <w:color w:val="000000" w:themeColor="text1"/>
        </w:rPr>
      </w:pPr>
      <w:r>
        <w:rPr>
          <w:color w:val="000000" w:themeColor="text1"/>
        </w:rPr>
        <w:t>注：租赁成本在年度预算范围内按实际情况列支，单个季度同比变动较大属于正常情况。上年同期租赁成本为负数，主要是上年报告期内冲减往期已计提的其他运营费。</w:t>
      </w:r>
    </w:p>
    <w:p w14:paraId="30702291">
      <w:pPr>
        <w:adjustRightInd w:val="0"/>
        <w:snapToGrid w:val="0"/>
        <w:spacing w:line="360" w:lineRule="auto"/>
        <w:rPr>
          <w:b/>
          <w:color w:val="000000" w:themeColor="text1"/>
          <w:kern w:val="0"/>
          <w:sz w:val="24"/>
          <w:szCs w:val="24"/>
        </w:rPr>
      </w:pPr>
      <w:r>
        <w:rPr>
          <w:b/>
          <w:color w:val="000000" w:themeColor="text1"/>
          <w:kern w:val="0"/>
          <w:sz w:val="24"/>
          <w:szCs w:val="24"/>
        </w:rPr>
        <w:t>4.2.5 重要不动产项目公司的财务业绩衡量指标分析</w:t>
      </w:r>
    </w:p>
    <w:p w14:paraId="58EAEDC4">
      <w:pPr>
        <w:adjustRightInd w:val="0"/>
        <w:snapToGrid w:val="0"/>
        <w:spacing w:line="360" w:lineRule="auto"/>
        <w:ind w:firstLine="420" w:firstLineChars="200"/>
        <w:jc w:val="left"/>
        <w:rPr>
          <w:bCs/>
          <w:color w:val="000000"/>
        </w:rPr>
      </w:pPr>
      <w:r>
        <w:rPr>
          <w:bCs/>
          <w:color w:val="000000"/>
        </w:rPr>
        <w:t>项目公司名称：1 天津泰达数字产业园有限公司</w:t>
      </w:r>
    </w:p>
    <w:tbl>
      <w:tblPr>
        <w:tblStyle w:val="24"/>
        <w:tblW w:w="90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664"/>
        <w:gridCol w:w="2082"/>
        <w:gridCol w:w="1250"/>
        <w:gridCol w:w="1664"/>
        <w:gridCol w:w="1557"/>
      </w:tblGrid>
      <w:tr w14:paraId="44F4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restart"/>
            <w:vAlign w:val="center"/>
          </w:tcPr>
          <w:p w14:paraId="47B05C6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r>
              <w:rPr>
                <w:rFonts w:ascii="Times New Roman" w:hAnsi="Times New Roman" w:cs="Times New Roman"/>
                <w:color w:val="000000"/>
                <w:kern w:val="2"/>
                <w:sz w:val="21"/>
                <w:szCs w:val="21"/>
                <w:shd w:val="clear" w:color="auto" w:fill="FFFFFF"/>
              </w:rPr>
              <w:t xml:space="preserve"> </w:t>
            </w:r>
          </w:p>
        </w:tc>
        <w:tc>
          <w:tcPr>
            <w:tcW w:w="1664" w:type="dxa"/>
            <w:vMerge w:val="restart"/>
            <w:vAlign w:val="center"/>
          </w:tcPr>
          <w:p w14:paraId="53D65FB8">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指标名称</w:t>
            </w:r>
          </w:p>
        </w:tc>
        <w:tc>
          <w:tcPr>
            <w:tcW w:w="2082" w:type="dxa"/>
            <w:vMerge w:val="restart"/>
            <w:vAlign w:val="center"/>
          </w:tcPr>
          <w:p w14:paraId="6222F06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指标含义说明及计算公式</w:t>
            </w:r>
          </w:p>
        </w:tc>
        <w:tc>
          <w:tcPr>
            <w:tcW w:w="1250" w:type="dxa"/>
            <w:vMerge w:val="restart"/>
            <w:vAlign w:val="center"/>
          </w:tcPr>
          <w:p w14:paraId="716E9CF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指标单位</w:t>
            </w:r>
          </w:p>
        </w:tc>
        <w:tc>
          <w:tcPr>
            <w:tcW w:w="1664" w:type="dxa"/>
            <w:noWrap/>
            <w:vAlign w:val="center"/>
          </w:tcPr>
          <w:p w14:paraId="3B88132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本期2026年7月1日至2026年9月30日</w:t>
            </w:r>
          </w:p>
        </w:tc>
        <w:tc>
          <w:tcPr>
            <w:tcW w:w="1557" w:type="dxa"/>
            <w:noWrap/>
            <w:vAlign w:val="center"/>
          </w:tcPr>
          <w:p w14:paraId="6E54C41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上年同期2025年7月1日至2025年9月30日</w:t>
            </w:r>
          </w:p>
        </w:tc>
      </w:tr>
      <w:tr w14:paraId="38C0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continue"/>
            <w:vAlign w:val="center"/>
          </w:tcPr>
          <w:p w14:paraId="79EF651E">
            <w:pPr>
              <w:pStyle w:val="19"/>
              <w:adjustRightInd w:val="0"/>
              <w:snapToGrid w:val="0"/>
              <w:spacing w:line="360" w:lineRule="auto"/>
              <w:jc w:val="center"/>
              <w:rPr>
                <w:rFonts w:ascii="Times New Roman" w:hAnsi="Times New Roman" w:cs="Times New Roman"/>
                <w:color w:val="000000" w:themeColor="text1"/>
                <w:sz w:val="21"/>
                <w:szCs w:val="21"/>
              </w:rPr>
            </w:pPr>
          </w:p>
        </w:tc>
        <w:tc>
          <w:tcPr>
            <w:tcW w:w="1664" w:type="dxa"/>
            <w:vMerge w:val="continue"/>
            <w:vAlign w:val="center"/>
          </w:tcPr>
          <w:p w14:paraId="700731D2">
            <w:pPr>
              <w:pStyle w:val="19"/>
              <w:adjustRightInd w:val="0"/>
              <w:snapToGrid w:val="0"/>
              <w:spacing w:line="360" w:lineRule="auto"/>
              <w:jc w:val="center"/>
              <w:rPr>
                <w:rFonts w:ascii="Times New Roman" w:hAnsi="Times New Roman" w:cs="Times New Roman"/>
                <w:color w:val="000000" w:themeColor="text1"/>
                <w:sz w:val="21"/>
                <w:szCs w:val="21"/>
              </w:rPr>
            </w:pPr>
          </w:p>
        </w:tc>
        <w:tc>
          <w:tcPr>
            <w:tcW w:w="2082" w:type="dxa"/>
            <w:vMerge w:val="continue"/>
            <w:vAlign w:val="center"/>
          </w:tcPr>
          <w:p w14:paraId="5F0F444A">
            <w:pPr>
              <w:pStyle w:val="19"/>
              <w:adjustRightInd w:val="0"/>
              <w:snapToGrid w:val="0"/>
              <w:spacing w:line="360" w:lineRule="auto"/>
              <w:jc w:val="center"/>
              <w:rPr>
                <w:rFonts w:ascii="Times New Roman" w:hAnsi="Times New Roman" w:cs="Times New Roman"/>
                <w:color w:val="000000" w:themeColor="text1"/>
                <w:sz w:val="21"/>
                <w:szCs w:val="21"/>
              </w:rPr>
            </w:pPr>
          </w:p>
        </w:tc>
        <w:tc>
          <w:tcPr>
            <w:tcW w:w="1250" w:type="dxa"/>
            <w:vMerge w:val="continue"/>
            <w:vAlign w:val="center"/>
          </w:tcPr>
          <w:p w14:paraId="67BBC696">
            <w:pPr>
              <w:pStyle w:val="19"/>
              <w:adjustRightInd w:val="0"/>
              <w:snapToGrid w:val="0"/>
              <w:spacing w:line="360" w:lineRule="auto"/>
              <w:jc w:val="center"/>
              <w:rPr>
                <w:rFonts w:ascii="Times New Roman" w:hAnsi="Times New Roman" w:cs="Times New Roman"/>
                <w:color w:val="000000" w:themeColor="text1"/>
                <w:sz w:val="21"/>
                <w:szCs w:val="21"/>
              </w:rPr>
            </w:pPr>
          </w:p>
        </w:tc>
        <w:tc>
          <w:tcPr>
            <w:tcW w:w="1664" w:type="dxa"/>
            <w:vAlign w:val="center"/>
          </w:tcPr>
          <w:p w14:paraId="29BE646D">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指标数值</w:t>
            </w:r>
          </w:p>
        </w:tc>
        <w:tc>
          <w:tcPr>
            <w:tcW w:w="1557" w:type="dxa"/>
            <w:vAlign w:val="center"/>
          </w:tcPr>
          <w:p w14:paraId="081F6DB6">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指标数值</w:t>
            </w:r>
          </w:p>
        </w:tc>
      </w:tr>
      <w:tr w14:paraId="0AE4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4DDAFFF">
            <w:pPr>
              <w:jc w:val="center"/>
            </w:pPr>
            <w:r>
              <w:rPr>
                <w:color w:val="000000" w:themeColor="text1"/>
                <w:kern w:val="0"/>
              </w:rPr>
              <w:t>1</w:t>
            </w:r>
          </w:p>
        </w:tc>
        <w:tc>
          <w:tcPr>
            <w:vAlign w:val="center"/>
          </w:tcPr>
          <w:p w14:paraId="04676127">
            <w:pPr>
              <w:jc w:val="center"/>
            </w:pPr>
            <w:r>
              <w:rPr>
                <w:color w:val="000000" w:themeColor="text1"/>
                <w:kern w:val="0"/>
              </w:rPr>
              <w:t>毛利润金额</w:t>
            </w:r>
          </w:p>
        </w:tc>
        <w:tc>
          <w:tcPr>
            <w:vAlign w:val="center"/>
          </w:tcPr>
          <w:p w14:paraId="523CBDD6">
            <w:pPr>
              <w:jc w:val="center"/>
            </w:pPr>
            <w:r>
              <w:rPr>
                <w:color w:val="000000" w:themeColor="text1"/>
                <w:kern w:val="0"/>
              </w:rPr>
              <w:t>营业收入-营业成本</w:t>
            </w:r>
          </w:p>
        </w:tc>
        <w:tc>
          <w:tcPr>
            <w:vAlign w:val="center"/>
          </w:tcPr>
          <w:p w14:paraId="5FDCE1D0">
            <w:pPr>
              <w:jc w:val="center"/>
            </w:pPr>
            <w:r>
              <w:rPr>
                <w:color w:val="000000" w:themeColor="text1"/>
                <w:kern w:val="0"/>
              </w:rPr>
              <w:t>万元</w:t>
            </w:r>
          </w:p>
        </w:tc>
        <w:tc>
          <w:tcPr>
            <w:vAlign w:val="center"/>
          </w:tcPr>
          <w:p w14:paraId="482BF660">
            <w:pPr>
              <w:jc w:val="center"/>
            </w:pPr>
            <w:r>
              <w:rPr>
                <w:color w:val="000000" w:themeColor="text1"/>
                <w:kern w:val="0"/>
              </w:rPr>
              <w:t>1,105.22</w:t>
            </w:r>
          </w:p>
        </w:tc>
        <w:tc>
          <w:tcPr>
            <w:vAlign w:val="center"/>
          </w:tcPr>
          <w:p w14:paraId="7529A885">
            <w:pPr>
              <w:jc w:val="center"/>
            </w:pPr>
            <w:r>
              <w:rPr>
                <w:color w:val="000000" w:themeColor="text1"/>
                <w:kern w:val="0"/>
              </w:rPr>
              <w:t>1,176.31</w:t>
            </w:r>
          </w:p>
        </w:tc>
      </w:tr>
      <w:tr w14:paraId="2703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BA9A0A2">
            <w:pPr>
              <w:jc w:val="center"/>
            </w:pPr>
            <w:r>
              <w:rPr>
                <w:color w:val="000000" w:themeColor="text1"/>
                <w:kern w:val="0"/>
              </w:rPr>
              <w:t>2</w:t>
            </w:r>
          </w:p>
        </w:tc>
        <w:tc>
          <w:tcPr>
            <w:vAlign w:val="center"/>
          </w:tcPr>
          <w:p w14:paraId="2127AED1">
            <w:pPr>
              <w:jc w:val="center"/>
            </w:pPr>
            <w:r>
              <w:rPr>
                <w:color w:val="000000" w:themeColor="text1"/>
                <w:kern w:val="0"/>
              </w:rPr>
              <w:t>毛利率</w:t>
            </w:r>
          </w:p>
        </w:tc>
        <w:tc>
          <w:tcPr>
            <w:vAlign w:val="center"/>
          </w:tcPr>
          <w:p w14:paraId="4D797E65">
            <w:pPr>
              <w:jc w:val="center"/>
            </w:pPr>
            <w:r>
              <w:rPr>
                <w:color w:val="000000" w:themeColor="text1"/>
                <w:kern w:val="0"/>
              </w:rPr>
              <w:t>毛利润/营业收入</w:t>
            </w:r>
          </w:p>
        </w:tc>
        <w:tc>
          <w:tcPr>
            <w:vAlign w:val="center"/>
          </w:tcPr>
          <w:p w14:paraId="4A4FD129">
            <w:pPr>
              <w:jc w:val="center"/>
            </w:pPr>
            <w:r>
              <w:rPr>
                <w:color w:val="000000" w:themeColor="text1"/>
                <w:kern w:val="0"/>
              </w:rPr>
              <w:t>%</w:t>
            </w:r>
          </w:p>
        </w:tc>
        <w:tc>
          <w:tcPr>
            <w:vAlign w:val="center"/>
          </w:tcPr>
          <w:p w14:paraId="0AC179F9">
            <w:pPr>
              <w:jc w:val="center"/>
            </w:pPr>
            <w:r>
              <w:rPr>
                <w:color w:val="000000" w:themeColor="text1"/>
                <w:kern w:val="0"/>
              </w:rPr>
              <w:t>56.61%</w:t>
            </w:r>
          </w:p>
        </w:tc>
        <w:tc>
          <w:tcPr>
            <w:vAlign w:val="center"/>
          </w:tcPr>
          <w:p w14:paraId="30A70DF1">
            <w:pPr>
              <w:jc w:val="center"/>
            </w:pPr>
            <w:r>
              <w:rPr>
                <w:color w:val="000000" w:themeColor="text1"/>
                <w:kern w:val="0"/>
              </w:rPr>
              <w:t>56.50%</w:t>
            </w:r>
          </w:p>
        </w:tc>
      </w:tr>
      <w:tr w14:paraId="0F2D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A1F746B">
            <w:pPr>
              <w:jc w:val="center"/>
            </w:pPr>
            <w:r>
              <w:rPr>
                <w:color w:val="000000" w:themeColor="text1"/>
                <w:kern w:val="0"/>
              </w:rPr>
              <w:t>3</w:t>
            </w:r>
          </w:p>
        </w:tc>
        <w:tc>
          <w:tcPr>
            <w:vAlign w:val="center"/>
          </w:tcPr>
          <w:p w14:paraId="16E7AA90">
            <w:pPr>
              <w:jc w:val="center"/>
            </w:pPr>
            <w:r>
              <w:rPr>
                <w:color w:val="000000" w:themeColor="text1"/>
                <w:kern w:val="0"/>
              </w:rPr>
              <w:t>息税折旧摊销前净利率</w:t>
            </w:r>
          </w:p>
        </w:tc>
        <w:tc>
          <w:tcPr>
            <w:vAlign w:val="center"/>
          </w:tcPr>
          <w:p w14:paraId="5B8B28BC">
            <w:pPr>
              <w:jc w:val="center"/>
            </w:pPr>
            <w:r>
              <w:rPr>
                <w:color w:val="000000" w:themeColor="text1"/>
                <w:kern w:val="0"/>
              </w:rPr>
              <w:t>息税折旧摊销前利润/营业收入</w:t>
            </w:r>
          </w:p>
        </w:tc>
        <w:tc>
          <w:tcPr>
            <w:vAlign w:val="center"/>
          </w:tcPr>
          <w:p w14:paraId="06D214F5">
            <w:pPr>
              <w:jc w:val="center"/>
            </w:pPr>
            <w:r>
              <w:rPr>
                <w:color w:val="000000" w:themeColor="text1"/>
                <w:kern w:val="0"/>
              </w:rPr>
              <w:t>%</w:t>
            </w:r>
          </w:p>
        </w:tc>
        <w:tc>
          <w:tcPr>
            <w:vAlign w:val="center"/>
          </w:tcPr>
          <w:p w14:paraId="417C081C">
            <w:pPr>
              <w:jc w:val="center"/>
            </w:pPr>
            <w:r>
              <w:rPr>
                <w:color w:val="000000" w:themeColor="text1"/>
                <w:kern w:val="0"/>
              </w:rPr>
              <w:t>69.47%</w:t>
            </w:r>
          </w:p>
        </w:tc>
        <w:tc>
          <w:tcPr>
            <w:vAlign w:val="center"/>
          </w:tcPr>
          <w:p w14:paraId="1C7E9DE3">
            <w:pPr>
              <w:jc w:val="center"/>
            </w:pPr>
            <w:r>
              <w:rPr>
                <w:color w:val="000000" w:themeColor="text1"/>
                <w:kern w:val="0"/>
              </w:rPr>
              <w:t>70.97%</w:t>
            </w:r>
          </w:p>
        </w:tc>
      </w:tr>
    </w:tbl>
    <w:p w14:paraId="4C9A0BC9">
      <w:pPr>
        <w:adjustRightInd w:val="0"/>
        <w:snapToGrid w:val="0"/>
        <w:spacing w:line="360" w:lineRule="auto"/>
        <w:ind w:firstLine="420" w:firstLineChars="200"/>
        <w:jc w:val="left"/>
        <w:rPr>
          <w:bCs/>
          <w:color w:val="000000"/>
        </w:rPr>
      </w:pPr>
      <w:r>
        <w:rPr>
          <w:bCs/>
          <w:color w:val="000000"/>
        </w:rPr>
        <w:t>项目公司名称：2 天津泰达智造产业园有限公司</w:t>
      </w:r>
    </w:p>
    <w:tbl>
      <w:tblPr>
        <w:tblStyle w:val="24"/>
        <w:tblW w:w="90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664"/>
        <w:gridCol w:w="2082"/>
        <w:gridCol w:w="1250"/>
        <w:gridCol w:w="1664"/>
        <w:gridCol w:w="1557"/>
      </w:tblGrid>
      <w:tr w14:paraId="0678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restart"/>
            <w:vAlign w:val="center"/>
          </w:tcPr>
          <w:p w14:paraId="4CC2ECB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r>
              <w:rPr>
                <w:rFonts w:ascii="Times New Roman" w:hAnsi="Times New Roman" w:cs="Times New Roman"/>
                <w:color w:val="000000"/>
                <w:kern w:val="2"/>
                <w:sz w:val="21"/>
                <w:szCs w:val="21"/>
                <w:shd w:val="clear" w:color="auto" w:fill="FFFFFF"/>
              </w:rPr>
              <w:t xml:space="preserve"> </w:t>
            </w:r>
          </w:p>
        </w:tc>
        <w:tc>
          <w:tcPr>
            <w:tcW w:w="1664" w:type="dxa"/>
            <w:vMerge w:val="restart"/>
            <w:vAlign w:val="center"/>
          </w:tcPr>
          <w:p w14:paraId="6CFF37DC">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指标名称</w:t>
            </w:r>
          </w:p>
        </w:tc>
        <w:tc>
          <w:tcPr>
            <w:tcW w:w="2082" w:type="dxa"/>
            <w:vMerge w:val="restart"/>
            <w:vAlign w:val="center"/>
          </w:tcPr>
          <w:p w14:paraId="160EF2E7">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指标含义说明及计算公式</w:t>
            </w:r>
          </w:p>
        </w:tc>
        <w:tc>
          <w:tcPr>
            <w:tcW w:w="1250" w:type="dxa"/>
            <w:vMerge w:val="restart"/>
            <w:vAlign w:val="center"/>
          </w:tcPr>
          <w:p w14:paraId="568944A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指标单位</w:t>
            </w:r>
          </w:p>
        </w:tc>
        <w:tc>
          <w:tcPr>
            <w:tcW w:w="1664" w:type="dxa"/>
            <w:noWrap/>
            <w:vAlign w:val="center"/>
          </w:tcPr>
          <w:p w14:paraId="6B1CD35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本期2026年7月1日至2026年9月30日</w:t>
            </w:r>
          </w:p>
        </w:tc>
        <w:tc>
          <w:tcPr>
            <w:tcW w:w="1557" w:type="dxa"/>
            <w:noWrap/>
            <w:vAlign w:val="center"/>
          </w:tcPr>
          <w:p w14:paraId="4BE40A9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上年同期2025年7月1日至2025年9月30日</w:t>
            </w:r>
          </w:p>
        </w:tc>
      </w:tr>
      <w:tr w14:paraId="5D34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continue"/>
            <w:vAlign w:val="center"/>
          </w:tcPr>
          <w:p w14:paraId="4A4EA0C8">
            <w:pPr>
              <w:pStyle w:val="19"/>
              <w:adjustRightInd w:val="0"/>
              <w:snapToGrid w:val="0"/>
              <w:spacing w:line="360" w:lineRule="auto"/>
              <w:jc w:val="center"/>
              <w:rPr>
                <w:rFonts w:ascii="Times New Roman" w:hAnsi="Times New Roman" w:cs="Times New Roman"/>
                <w:color w:val="000000" w:themeColor="text1"/>
                <w:sz w:val="21"/>
                <w:szCs w:val="21"/>
              </w:rPr>
            </w:pPr>
          </w:p>
        </w:tc>
        <w:tc>
          <w:tcPr>
            <w:tcW w:w="1664" w:type="dxa"/>
            <w:vMerge w:val="continue"/>
            <w:vAlign w:val="center"/>
          </w:tcPr>
          <w:p w14:paraId="457AEFCC">
            <w:pPr>
              <w:pStyle w:val="19"/>
              <w:adjustRightInd w:val="0"/>
              <w:snapToGrid w:val="0"/>
              <w:spacing w:line="360" w:lineRule="auto"/>
              <w:jc w:val="center"/>
              <w:rPr>
                <w:rFonts w:ascii="Times New Roman" w:hAnsi="Times New Roman" w:cs="Times New Roman"/>
                <w:color w:val="000000" w:themeColor="text1"/>
                <w:sz w:val="21"/>
                <w:szCs w:val="21"/>
              </w:rPr>
            </w:pPr>
          </w:p>
        </w:tc>
        <w:tc>
          <w:tcPr>
            <w:tcW w:w="2082" w:type="dxa"/>
            <w:vMerge w:val="continue"/>
            <w:vAlign w:val="center"/>
          </w:tcPr>
          <w:p w14:paraId="184E4878">
            <w:pPr>
              <w:pStyle w:val="19"/>
              <w:adjustRightInd w:val="0"/>
              <w:snapToGrid w:val="0"/>
              <w:spacing w:line="360" w:lineRule="auto"/>
              <w:jc w:val="center"/>
              <w:rPr>
                <w:rFonts w:ascii="Times New Roman" w:hAnsi="Times New Roman" w:cs="Times New Roman"/>
                <w:color w:val="000000" w:themeColor="text1"/>
                <w:sz w:val="21"/>
                <w:szCs w:val="21"/>
              </w:rPr>
            </w:pPr>
          </w:p>
        </w:tc>
        <w:tc>
          <w:tcPr>
            <w:tcW w:w="1250" w:type="dxa"/>
            <w:vMerge w:val="continue"/>
            <w:vAlign w:val="center"/>
          </w:tcPr>
          <w:p w14:paraId="0E3ED187">
            <w:pPr>
              <w:pStyle w:val="19"/>
              <w:adjustRightInd w:val="0"/>
              <w:snapToGrid w:val="0"/>
              <w:spacing w:line="360" w:lineRule="auto"/>
              <w:jc w:val="center"/>
              <w:rPr>
                <w:rFonts w:ascii="Times New Roman" w:hAnsi="Times New Roman" w:cs="Times New Roman"/>
                <w:color w:val="000000" w:themeColor="text1"/>
                <w:sz w:val="21"/>
                <w:szCs w:val="21"/>
              </w:rPr>
            </w:pPr>
          </w:p>
        </w:tc>
        <w:tc>
          <w:tcPr>
            <w:tcW w:w="1664" w:type="dxa"/>
            <w:vAlign w:val="center"/>
          </w:tcPr>
          <w:p w14:paraId="1AF8E8C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指标数值</w:t>
            </w:r>
          </w:p>
        </w:tc>
        <w:tc>
          <w:tcPr>
            <w:tcW w:w="1557" w:type="dxa"/>
            <w:vAlign w:val="center"/>
          </w:tcPr>
          <w:p w14:paraId="5A071819">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指标数值</w:t>
            </w:r>
          </w:p>
        </w:tc>
      </w:tr>
      <w:tr w14:paraId="3E00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1A1017E">
            <w:pPr>
              <w:jc w:val="center"/>
            </w:pPr>
            <w:r>
              <w:rPr>
                <w:color w:val="000000" w:themeColor="text1"/>
                <w:kern w:val="0"/>
              </w:rPr>
              <w:t>1</w:t>
            </w:r>
          </w:p>
        </w:tc>
        <w:tc>
          <w:tcPr>
            <w:vAlign w:val="center"/>
          </w:tcPr>
          <w:p w14:paraId="5997F8DF">
            <w:pPr>
              <w:jc w:val="center"/>
            </w:pPr>
            <w:r>
              <w:rPr>
                <w:color w:val="000000" w:themeColor="text1"/>
                <w:kern w:val="0"/>
              </w:rPr>
              <w:t>毛利润金额</w:t>
            </w:r>
          </w:p>
        </w:tc>
        <w:tc>
          <w:tcPr>
            <w:vAlign w:val="center"/>
          </w:tcPr>
          <w:p w14:paraId="2E6A56C0">
            <w:pPr>
              <w:jc w:val="center"/>
            </w:pPr>
            <w:r>
              <w:rPr>
                <w:color w:val="000000" w:themeColor="text1"/>
                <w:kern w:val="0"/>
              </w:rPr>
              <w:t>营业收入-营业成本</w:t>
            </w:r>
          </w:p>
        </w:tc>
        <w:tc>
          <w:tcPr>
            <w:vAlign w:val="center"/>
          </w:tcPr>
          <w:p w14:paraId="64AB1C2A">
            <w:pPr>
              <w:jc w:val="center"/>
            </w:pPr>
            <w:r>
              <w:rPr>
                <w:color w:val="000000" w:themeColor="text1"/>
                <w:kern w:val="0"/>
              </w:rPr>
              <w:t>万元</w:t>
            </w:r>
          </w:p>
        </w:tc>
        <w:tc>
          <w:tcPr>
            <w:vAlign w:val="center"/>
          </w:tcPr>
          <w:p w14:paraId="36BC71D8">
            <w:pPr>
              <w:jc w:val="center"/>
            </w:pPr>
            <w:r>
              <w:rPr>
                <w:color w:val="000000" w:themeColor="text1"/>
                <w:kern w:val="0"/>
              </w:rPr>
              <w:t>603.90</w:t>
            </w:r>
          </w:p>
        </w:tc>
        <w:tc>
          <w:tcPr>
            <w:vAlign w:val="center"/>
          </w:tcPr>
          <w:p w14:paraId="253400BB">
            <w:pPr>
              <w:jc w:val="center"/>
            </w:pPr>
            <w:r>
              <w:rPr>
                <w:color w:val="000000" w:themeColor="text1"/>
                <w:kern w:val="0"/>
              </w:rPr>
              <w:t>610.75</w:t>
            </w:r>
          </w:p>
        </w:tc>
      </w:tr>
      <w:tr w14:paraId="2E42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4D7721D">
            <w:pPr>
              <w:jc w:val="center"/>
            </w:pPr>
            <w:r>
              <w:rPr>
                <w:color w:val="000000" w:themeColor="text1"/>
                <w:kern w:val="0"/>
              </w:rPr>
              <w:t>2</w:t>
            </w:r>
          </w:p>
        </w:tc>
        <w:tc>
          <w:tcPr>
            <w:vAlign w:val="center"/>
          </w:tcPr>
          <w:p w14:paraId="0565041C">
            <w:pPr>
              <w:jc w:val="center"/>
            </w:pPr>
            <w:r>
              <w:rPr>
                <w:color w:val="000000" w:themeColor="text1"/>
                <w:kern w:val="0"/>
              </w:rPr>
              <w:t>毛利率</w:t>
            </w:r>
          </w:p>
        </w:tc>
        <w:tc>
          <w:tcPr>
            <w:vAlign w:val="center"/>
          </w:tcPr>
          <w:p w14:paraId="1658C186">
            <w:pPr>
              <w:jc w:val="center"/>
            </w:pPr>
            <w:r>
              <w:rPr>
                <w:color w:val="000000" w:themeColor="text1"/>
                <w:kern w:val="0"/>
              </w:rPr>
              <w:t>毛利润/营业收入</w:t>
            </w:r>
          </w:p>
        </w:tc>
        <w:tc>
          <w:tcPr>
            <w:vAlign w:val="center"/>
          </w:tcPr>
          <w:p w14:paraId="44AEA475">
            <w:pPr>
              <w:jc w:val="center"/>
            </w:pPr>
            <w:r>
              <w:rPr>
                <w:color w:val="000000" w:themeColor="text1"/>
                <w:kern w:val="0"/>
              </w:rPr>
              <w:t>%</w:t>
            </w:r>
          </w:p>
        </w:tc>
        <w:tc>
          <w:tcPr>
            <w:vAlign w:val="center"/>
          </w:tcPr>
          <w:p w14:paraId="08E6EE87">
            <w:pPr>
              <w:jc w:val="center"/>
            </w:pPr>
            <w:r>
              <w:rPr>
                <w:color w:val="000000" w:themeColor="text1"/>
                <w:kern w:val="0"/>
              </w:rPr>
              <w:t>62.27%</w:t>
            </w:r>
          </w:p>
        </w:tc>
        <w:tc>
          <w:tcPr>
            <w:vAlign w:val="center"/>
          </w:tcPr>
          <w:p w14:paraId="2287ADB6">
            <w:pPr>
              <w:jc w:val="center"/>
            </w:pPr>
            <w:r>
              <w:rPr>
                <w:color w:val="000000" w:themeColor="text1"/>
                <w:kern w:val="0"/>
              </w:rPr>
              <w:t>62.97%</w:t>
            </w:r>
          </w:p>
        </w:tc>
      </w:tr>
      <w:tr w14:paraId="2C69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979A4FD">
            <w:pPr>
              <w:jc w:val="center"/>
            </w:pPr>
            <w:r>
              <w:rPr>
                <w:color w:val="000000" w:themeColor="text1"/>
                <w:kern w:val="0"/>
              </w:rPr>
              <w:t>3</w:t>
            </w:r>
          </w:p>
        </w:tc>
        <w:tc>
          <w:tcPr>
            <w:vAlign w:val="center"/>
          </w:tcPr>
          <w:p w14:paraId="0BB15AC4">
            <w:pPr>
              <w:jc w:val="center"/>
            </w:pPr>
            <w:r>
              <w:rPr>
                <w:color w:val="000000" w:themeColor="text1"/>
                <w:kern w:val="0"/>
              </w:rPr>
              <w:t>息税折旧摊销前净利率</w:t>
            </w:r>
          </w:p>
        </w:tc>
        <w:tc>
          <w:tcPr>
            <w:vAlign w:val="center"/>
          </w:tcPr>
          <w:p w14:paraId="22DDD334">
            <w:pPr>
              <w:jc w:val="center"/>
            </w:pPr>
            <w:r>
              <w:rPr>
                <w:color w:val="000000" w:themeColor="text1"/>
                <w:kern w:val="0"/>
              </w:rPr>
              <w:t>息税折旧摊销前利润/营业收入</w:t>
            </w:r>
          </w:p>
        </w:tc>
        <w:tc>
          <w:tcPr>
            <w:vAlign w:val="center"/>
          </w:tcPr>
          <w:p w14:paraId="4527C515">
            <w:pPr>
              <w:jc w:val="center"/>
            </w:pPr>
            <w:r>
              <w:rPr>
                <w:color w:val="000000" w:themeColor="text1"/>
                <w:kern w:val="0"/>
              </w:rPr>
              <w:t>%</w:t>
            </w:r>
          </w:p>
        </w:tc>
        <w:tc>
          <w:tcPr>
            <w:vAlign w:val="center"/>
          </w:tcPr>
          <w:p w14:paraId="45778B7F">
            <w:pPr>
              <w:jc w:val="center"/>
            </w:pPr>
            <w:r>
              <w:rPr>
                <w:color w:val="000000" w:themeColor="text1"/>
                <w:kern w:val="0"/>
              </w:rPr>
              <w:t>83.00%</w:t>
            </w:r>
          </w:p>
        </w:tc>
        <w:tc>
          <w:tcPr>
            <w:vAlign w:val="center"/>
          </w:tcPr>
          <w:p w14:paraId="39816B87">
            <w:pPr>
              <w:jc w:val="center"/>
            </w:pPr>
            <w:r>
              <w:rPr>
                <w:color w:val="000000" w:themeColor="text1"/>
                <w:kern w:val="0"/>
              </w:rPr>
              <w:t>83.54%</w:t>
            </w:r>
          </w:p>
        </w:tc>
      </w:tr>
    </w:tbl>
    <w:p w14:paraId="085AFC96">
      <w:pPr>
        <w:adjustRightInd w:val="0"/>
        <w:snapToGrid w:val="0"/>
        <w:spacing w:line="360" w:lineRule="auto"/>
        <w:rPr>
          <w:b/>
          <w:bCs/>
          <w:color w:val="000000" w:themeColor="text1"/>
          <w:sz w:val="24"/>
          <w:szCs w:val="24"/>
        </w:rPr>
      </w:pPr>
      <w:r>
        <w:rPr>
          <w:b/>
          <w:color w:val="000000" w:themeColor="text1"/>
          <w:kern w:val="0"/>
          <w:sz w:val="24"/>
          <w:szCs w:val="24"/>
        </w:rPr>
        <w:t>4.3</w:t>
      </w:r>
      <w:r>
        <w:rPr>
          <w:b/>
          <w:bCs/>
          <w:color w:val="000000" w:themeColor="text1"/>
          <w:sz w:val="24"/>
          <w:szCs w:val="24"/>
        </w:rPr>
        <w:t xml:space="preserve"> </w:t>
      </w:r>
      <w:r>
        <w:rPr>
          <w:b/>
          <w:color w:val="000000" w:themeColor="text1"/>
          <w:sz w:val="24"/>
          <w:szCs w:val="24"/>
        </w:rPr>
        <w:t>不动产</w:t>
      </w:r>
      <w:r>
        <w:rPr>
          <w:b/>
          <w:color w:val="000000" w:themeColor="text1"/>
          <w:kern w:val="0"/>
          <w:sz w:val="24"/>
          <w:szCs w:val="24"/>
        </w:rPr>
        <w:t>项目</w:t>
      </w:r>
      <w:r>
        <w:rPr>
          <w:b/>
          <w:color w:val="000000" w:themeColor="text1"/>
          <w:sz w:val="24"/>
          <w:szCs w:val="24"/>
        </w:rPr>
        <w:t>公司</w:t>
      </w:r>
      <w:r>
        <w:rPr>
          <w:b/>
          <w:bCs/>
          <w:color w:val="000000" w:themeColor="text1"/>
          <w:sz w:val="24"/>
          <w:szCs w:val="24"/>
        </w:rPr>
        <w:t>经营现金流</w:t>
      </w:r>
    </w:p>
    <w:p w14:paraId="2598C91B">
      <w:pPr>
        <w:adjustRightInd w:val="0"/>
        <w:snapToGrid w:val="0"/>
        <w:spacing w:line="360" w:lineRule="auto"/>
        <w:rPr>
          <w:b/>
          <w:color w:val="000000" w:themeColor="text1"/>
          <w:sz w:val="24"/>
          <w:szCs w:val="24"/>
        </w:rPr>
      </w:pPr>
      <w:r>
        <w:rPr>
          <w:b/>
          <w:color w:val="000000" w:themeColor="text1"/>
          <w:kern w:val="0"/>
          <w:sz w:val="24"/>
          <w:szCs w:val="24"/>
        </w:rPr>
        <w:t>4.3.1</w:t>
      </w:r>
      <w:r>
        <w:rPr>
          <w:b/>
          <w:color w:val="000000" w:themeColor="text1"/>
          <w:sz w:val="24"/>
          <w:szCs w:val="24"/>
        </w:rPr>
        <w:t>经营活动现金流归集、管理、使用以及变化情况</w:t>
      </w:r>
    </w:p>
    <w:p w14:paraId="6939064A">
      <w:pPr>
        <w:spacing w:line="360" w:lineRule="auto"/>
        <w:ind w:firstLine="420" w:firstLineChars="200"/>
        <w:rPr>
          <w:color w:val="000000" w:themeColor="text1"/>
        </w:rPr>
      </w:pPr>
      <w:r>
        <w:rPr>
          <w:color w:val="000000" w:themeColor="text1"/>
        </w:rPr>
        <w:t>不动产项目的租金收入、物业管理费收入统一由租户支付至项目公司。日常经营支出的划付流程为：运营机构提起付款申请，基金管理人复核数据及预算情况后通过付款申请并提交相关资料至托管行，托管行复核无误后进行划付。</w:t>
      </w:r>
    </w:p>
    <w:p w14:paraId="7167D6A4">
      <w:pPr>
        <w:spacing w:line="360" w:lineRule="auto"/>
        <w:ind w:firstLine="420" w:firstLineChars="200"/>
        <w:rPr>
          <w:color w:val="000000" w:themeColor="text1"/>
        </w:rPr>
      </w:pPr>
      <w:r>
        <w:rPr>
          <w:color w:val="000000" w:themeColor="text1"/>
        </w:rPr>
        <w:t>本基金项目公司持有的不动产项目均为产业园项目，经营活动的现金流入主要包括租金收入、物业管理费收入、租赁保证金、能源费、往来款等，本报告期内项目公司经营性现金流入合计3,942.13万元，上年同期项目公司经营性现金流入合计4,232.58万元。经营活动现金流流出主要包括税费、物业管理费、能源费、维修维护费、运营管理费、往来款等，本报告期内经营性现金流出合计1,362.62万元，上年同期经营性现金流出合计1,430.24万元。</w:t>
      </w:r>
    </w:p>
    <w:p w14:paraId="43FD8023">
      <w:pPr>
        <w:adjustRightInd w:val="0"/>
        <w:snapToGrid w:val="0"/>
        <w:spacing w:line="360" w:lineRule="auto"/>
        <w:rPr>
          <w:b/>
          <w:color w:val="000000" w:themeColor="text1"/>
          <w:kern w:val="0"/>
          <w:sz w:val="24"/>
          <w:szCs w:val="24"/>
        </w:rPr>
      </w:pPr>
      <w:r>
        <w:rPr>
          <w:b/>
          <w:color w:val="000000" w:themeColor="text1"/>
          <w:kern w:val="0"/>
          <w:sz w:val="24"/>
          <w:szCs w:val="24"/>
        </w:rPr>
        <w:t>4.3.2来源于单一客户及其关联方的现金流占比超过10%的情况说明</w:t>
      </w:r>
    </w:p>
    <w:p w14:paraId="4871FB89">
      <w:pPr>
        <w:spacing w:line="360" w:lineRule="auto"/>
        <w:ind w:firstLine="420" w:firstLineChars="200"/>
        <w:rPr>
          <w:color w:val="000000" w:themeColor="text1"/>
        </w:rPr>
      </w:pPr>
      <w:r>
        <w:rPr>
          <w:color w:val="000000" w:themeColor="text1"/>
        </w:rPr>
        <w:t>本报告期内，租户1整栋租赁天河数字产业园7号楼，该租户租赁面积占全部不动产项目合计可出租面积的比例为11.31%，该租户提供的收入占全部不动产项目合计收入的比例为16.16%，为重要现金流提供方。根据租赁合同，报告期内平均有效含税月租金为48.97元/平方米，处于天河数字产业园出租的合理价格区间。租户1系中央某委员会直接领导下的科技研究机构，实行现代化企业管理，已获国家高新技术企业、科技型中小企业认定，是科技创新研发平台和成果转化平台。其运营经费主要来源于上级单位的专项拨款，支付能力较强，支付情况稳定。</w:t>
      </w:r>
    </w:p>
    <w:p w14:paraId="26AFDEA7">
      <w:pPr>
        <w:spacing w:line="360" w:lineRule="auto"/>
        <w:ind w:firstLine="420" w:firstLineChars="200"/>
        <w:rPr>
          <w:color w:val="000000" w:themeColor="text1"/>
        </w:rPr>
      </w:pPr>
      <w:r>
        <w:rPr>
          <w:color w:val="000000" w:themeColor="text1"/>
        </w:rPr>
        <w:t>本报告期内，租户A整租大陆汽车厂房项目，该租户租赁面积占全部不动产项目合计可出租面积的比例为30.73%，该租户提供的收入占全部不动产项目合计收入的比例为33.19%，为重要现金流提供方。报告期内平均有效含税月租金为55.73元/平方米，租金水平偏高于同区域其他产业园，主要由于该厂房为高标准定制化厂房，租金具有合理性。租户A及其母公司是全球领先的汽车电子零部件行业研发商和制造商，财务状况稳健，经营发展良好，客户经营稳定。</w:t>
      </w:r>
    </w:p>
    <w:p w14:paraId="37A23682">
      <w:pPr>
        <w:adjustRightInd w:val="0"/>
        <w:snapToGrid w:val="0"/>
        <w:spacing w:line="360" w:lineRule="auto"/>
        <w:rPr>
          <w:b/>
          <w:color w:val="000000" w:themeColor="text1"/>
          <w:sz w:val="24"/>
          <w:szCs w:val="24"/>
        </w:rPr>
      </w:pPr>
      <w:r>
        <w:rPr>
          <w:b/>
          <w:color w:val="000000" w:themeColor="text1"/>
          <w:kern w:val="0"/>
          <w:sz w:val="24"/>
          <w:szCs w:val="24"/>
        </w:rPr>
        <w:t>4.3.3</w:t>
      </w:r>
      <w:r>
        <w:rPr>
          <w:b/>
          <w:color w:val="000000" w:themeColor="text1"/>
          <w:sz w:val="24"/>
          <w:szCs w:val="24"/>
        </w:rPr>
        <w:t>对报告期内发生的影响未来项目正常现金流的重大情况与拟采取的相应措施的说明</w:t>
      </w:r>
    </w:p>
    <w:p w14:paraId="6511E67A">
      <w:pPr>
        <w:spacing w:line="360" w:lineRule="auto"/>
        <w:ind w:firstLine="420" w:firstLineChars="200"/>
        <w:rPr>
          <w:color w:val="000000" w:themeColor="text1"/>
        </w:rPr>
      </w:pPr>
      <w:r>
        <w:rPr>
          <w:color w:val="000000" w:themeColor="text1"/>
        </w:rPr>
        <w:t>本报告期内，不存在影响未来项目正常现金流的重大情况。</w:t>
      </w:r>
    </w:p>
    <w:p w14:paraId="581F936D">
      <w:pPr>
        <w:pStyle w:val="2"/>
        <w:spacing w:before="312" w:beforeLines="100" w:after="312" w:afterLines="100" w:line="360" w:lineRule="auto"/>
        <w:jc w:val="center"/>
        <w:rPr>
          <w:kern w:val="0"/>
          <w:sz w:val="24"/>
          <w:szCs w:val="24"/>
        </w:rPr>
      </w:pPr>
      <w:r>
        <w:rPr>
          <w:kern w:val="0"/>
          <w:sz w:val="24"/>
          <w:szCs w:val="24"/>
        </w:rPr>
        <w:t>§5  除不动产资产支持证券之外的投资组合报告</w:t>
      </w:r>
    </w:p>
    <w:p w14:paraId="0A62936E">
      <w:pPr>
        <w:adjustRightInd w:val="0"/>
        <w:snapToGrid w:val="0"/>
        <w:spacing w:line="360" w:lineRule="auto"/>
        <w:rPr>
          <w:b/>
          <w:bCs/>
          <w:color w:val="000000" w:themeColor="text1"/>
          <w:sz w:val="24"/>
          <w:szCs w:val="24"/>
        </w:rPr>
      </w:pPr>
      <w:r>
        <w:rPr>
          <w:b/>
          <w:color w:val="000000" w:themeColor="text1"/>
          <w:kern w:val="0"/>
          <w:sz w:val="24"/>
          <w:szCs w:val="24"/>
        </w:rPr>
        <w:t>5.1</w:t>
      </w:r>
      <w:r>
        <w:rPr>
          <w:b/>
          <w:bCs/>
          <w:color w:val="000000" w:themeColor="text1"/>
          <w:sz w:val="24"/>
          <w:szCs w:val="24"/>
        </w:rPr>
        <w:t xml:space="preserve"> 报告期末不动产基金资产组合情况</w:t>
      </w:r>
    </w:p>
    <w:tbl>
      <w:tblPr>
        <w:tblStyle w:val="2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3301"/>
        <w:gridCol w:w="2237"/>
        <w:gridCol w:w="2238"/>
      </w:tblGrid>
      <w:tr w14:paraId="67F19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02BE9A4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序号</w:t>
            </w:r>
          </w:p>
        </w:tc>
        <w:tc>
          <w:tcPr>
            <w:tcW w:w="3301" w:type="dxa"/>
            <w:vAlign w:val="center"/>
          </w:tcPr>
          <w:p w14:paraId="6530B1C3">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项目</w:t>
            </w:r>
          </w:p>
        </w:tc>
        <w:tc>
          <w:tcPr>
            <w:tcW w:w="2237" w:type="dxa"/>
            <w:vAlign w:val="center"/>
          </w:tcPr>
          <w:p w14:paraId="1820733E">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金额（元）</w:t>
            </w:r>
          </w:p>
        </w:tc>
        <w:tc>
          <w:tcPr>
            <w:tcW w:w="2238" w:type="dxa"/>
            <w:vAlign w:val="center"/>
          </w:tcPr>
          <w:p w14:paraId="2FF1BD22">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占不动产资产支持证券之外的投资组合的比例（%）</w:t>
            </w:r>
          </w:p>
        </w:tc>
      </w:tr>
      <w:tr w14:paraId="27FC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3937CB5B">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w:t>
            </w:r>
          </w:p>
        </w:tc>
        <w:tc>
          <w:tcPr>
            <w:tcW w:w="3301" w:type="dxa"/>
            <w:vAlign w:val="center"/>
          </w:tcPr>
          <w:p w14:paraId="2C812F50">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固定收益投资</w:t>
            </w:r>
          </w:p>
        </w:tc>
        <w:tc>
          <w:tcPr>
            <w:tcW w:w="2237" w:type="dxa"/>
            <w:vAlign w:val="center"/>
          </w:tcPr>
          <w:p w14:paraId="7300CDF3">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238" w:type="dxa"/>
            <w:vAlign w:val="center"/>
          </w:tcPr>
          <w:p w14:paraId="00E9E4D5">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2883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1B25495B">
            <w:pPr>
              <w:pStyle w:val="19"/>
              <w:adjustRightInd w:val="0"/>
              <w:snapToGrid w:val="0"/>
              <w:spacing w:line="360" w:lineRule="auto"/>
              <w:jc w:val="center"/>
              <w:rPr>
                <w:rFonts w:ascii="Times New Roman" w:hAnsi="Times New Roman" w:cs="Times New Roman"/>
                <w:color w:val="000000" w:themeColor="text1"/>
                <w:sz w:val="21"/>
                <w:szCs w:val="21"/>
              </w:rPr>
            </w:pPr>
          </w:p>
        </w:tc>
        <w:tc>
          <w:tcPr>
            <w:tcW w:w="3301" w:type="dxa"/>
            <w:vAlign w:val="center"/>
          </w:tcPr>
          <w:p w14:paraId="007BDE0C">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其中：债券</w:t>
            </w:r>
          </w:p>
        </w:tc>
        <w:tc>
          <w:tcPr>
            <w:tcW w:w="2237" w:type="dxa"/>
            <w:vAlign w:val="center"/>
          </w:tcPr>
          <w:p w14:paraId="2B02341C">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238" w:type="dxa"/>
            <w:vAlign w:val="center"/>
          </w:tcPr>
          <w:p w14:paraId="0E95EBC8">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40459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482C138E">
            <w:pPr>
              <w:pStyle w:val="19"/>
              <w:adjustRightInd w:val="0"/>
              <w:snapToGrid w:val="0"/>
              <w:spacing w:line="360" w:lineRule="auto"/>
              <w:jc w:val="center"/>
              <w:rPr>
                <w:rFonts w:ascii="Times New Roman" w:hAnsi="Times New Roman" w:cs="Times New Roman"/>
                <w:color w:val="000000" w:themeColor="text1"/>
                <w:sz w:val="21"/>
                <w:szCs w:val="21"/>
              </w:rPr>
            </w:pPr>
          </w:p>
        </w:tc>
        <w:tc>
          <w:tcPr>
            <w:tcW w:w="3301" w:type="dxa"/>
            <w:vAlign w:val="center"/>
          </w:tcPr>
          <w:p w14:paraId="5DF70E6B">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资产支持证券</w:t>
            </w:r>
          </w:p>
        </w:tc>
        <w:tc>
          <w:tcPr>
            <w:tcW w:w="2237" w:type="dxa"/>
            <w:vAlign w:val="center"/>
          </w:tcPr>
          <w:p w14:paraId="69F104EC">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238" w:type="dxa"/>
            <w:vAlign w:val="center"/>
          </w:tcPr>
          <w:p w14:paraId="5E56BAB5">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336F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49C95835">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w:t>
            </w:r>
          </w:p>
        </w:tc>
        <w:tc>
          <w:tcPr>
            <w:tcW w:w="3301" w:type="dxa"/>
            <w:vAlign w:val="center"/>
          </w:tcPr>
          <w:p w14:paraId="4C49B66E">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买入返售金融资产</w:t>
            </w:r>
          </w:p>
        </w:tc>
        <w:tc>
          <w:tcPr>
            <w:tcW w:w="2237" w:type="dxa"/>
            <w:vAlign w:val="center"/>
          </w:tcPr>
          <w:p w14:paraId="42E8773F">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238" w:type="dxa"/>
            <w:vAlign w:val="center"/>
          </w:tcPr>
          <w:p w14:paraId="6B338B31">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51AF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64DD1001">
            <w:pPr>
              <w:pStyle w:val="19"/>
              <w:adjustRightInd w:val="0"/>
              <w:snapToGrid w:val="0"/>
              <w:spacing w:line="360" w:lineRule="auto"/>
              <w:jc w:val="center"/>
              <w:rPr>
                <w:rFonts w:ascii="Times New Roman" w:hAnsi="Times New Roman" w:cs="Times New Roman"/>
                <w:color w:val="000000" w:themeColor="text1"/>
                <w:sz w:val="21"/>
                <w:szCs w:val="21"/>
              </w:rPr>
            </w:pPr>
          </w:p>
        </w:tc>
        <w:tc>
          <w:tcPr>
            <w:tcW w:w="3301" w:type="dxa"/>
            <w:vAlign w:val="center"/>
          </w:tcPr>
          <w:p w14:paraId="0FBBE6E9">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其中：买断式回购的买入返售金融资产</w:t>
            </w:r>
          </w:p>
        </w:tc>
        <w:tc>
          <w:tcPr>
            <w:tcW w:w="2237" w:type="dxa"/>
            <w:vAlign w:val="center"/>
          </w:tcPr>
          <w:p w14:paraId="36962561">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238" w:type="dxa"/>
            <w:vAlign w:val="center"/>
          </w:tcPr>
          <w:p w14:paraId="3924BE93">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4EDC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624D1DF4">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w:t>
            </w:r>
          </w:p>
        </w:tc>
        <w:tc>
          <w:tcPr>
            <w:tcW w:w="3301" w:type="dxa"/>
            <w:vAlign w:val="center"/>
          </w:tcPr>
          <w:p w14:paraId="438315CC">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货币资金和结算备付金合计</w:t>
            </w:r>
          </w:p>
        </w:tc>
        <w:tc>
          <w:tcPr>
            <w:tcW w:w="2237" w:type="dxa"/>
            <w:vAlign w:val="center"/>
          </w:tcPr>
          <w:p w14:paraId="16E80C21">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16,376.80</w:t>
            </w:r>
          </w:p>
        </w:tc>
        <w:tc>
          <w:tcPr>
            <w:tcW w:w="2238" w:type="dxa"/>
            <w:vAlign w:val="center"/>
          </w:tcPr>
          <w:p w14:paraId="5F25F95F">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r>
      <w:tr w14:paraId="600E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01CBCC30">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4</w:t>
            </w:r>
          </w:p>
        </w:tc>
        <w:tc>
          <w:tcPr>
            <w:tcW w:w="3301" w:type="dxa"/>
            <w:vAlign w:val="center"/>
          </w:tcPr>
          <w:p w14:paraId="0265117A">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其他资产</w:t>
            </w:r>
          </w:p>
        </w:tc>
        <w:tc>
          <w:tcPr>
            <w:tcW w:w="2237" w:type="dxa"/>
            <w:vAlign w:val="center"/>
          </w:tcPr>
          <w:p w14:paraId="7A5C2619">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c>
          <w:tcPr>
            <w:tcW w:w="2238" w:type="dxa"/>
            <w:vAlign w:val="center"/>
          </w:tcPr>
          <w:p w14:paraId="3C2E877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p>
        </w:tc>
      </w:tr>
      <w:tr w14:paraId="14E6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vAlign w:val="center"/>
          </w:tcPr>
          <w:p w14:paraId="2AD10BFF">
            <w:pPr>
              <w:pStyle w:val="19"/>
              <w:adjustRightInd w:val="0"/>
              <w:snapToGrid w:val="0"/>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w:t>
            </w:r>
          </w:p>
        </w:tc>
        <w:tc>
          <w:tcPr>
            <w:tcW w:w="3301" w:type="dxa"/>
            <w:vAlign w:val="center"/>
          </w:tcPr>
          <w:p w14:paraId="30C6073C">
            <w:pPr>
              <w:pStyle w:val="19"/>
              <w:adjustRightInd w:val="0"/>
              <w:snapToGrid w:val="0"/>
              <w:spacing w:line="360"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合计</w:t>
            </w:r>
          </w:p>
        </w:tc>
        <w:tc>
          <w:tcPr>
            <w:tcW w:w="2237" w:type="dxa"/>
            <w:vAlign w:val="center"/>
          </w:tcPr>
          <w:p w14:paraId="38105B38">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16,376.80</w:t>
            </w:r>
          </w:p>
        </w:tc>
        <w:tc>
          <w:tcPr>
            <w:tcW w:w="2238" w:type="dxa"/>
            <w:vAlign w:val="center"/>
          </w:tcPr>
          <w:p w14:paraId="668845B0">
            <w:pPr>
              <w:pStyle w:val="19"/>
              <w:adjustRightInd w:val="0"/>
              <w:snapToGrid w:val="0"/>
              <w:spacing w:line="360" w:lineRule="auto"/>
              <w:jc w:val="right"/>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100.00</w:t>
            </w:r>
          </w:p>
        </w:tc>
      </w:tr>
    </w:tbl>
    <w:p w14:paraId="594D389D">
      <w:pPr>
        <w:adjustRightInd w:val="0"/>
        <w:snapToGrid w:val="0"/>
        <w:spacing w:line="360" w:lineRule="auto"/>
        <w:rPr>
          <w:b/>
          <w:bCs/>
          <w:color w:val="000000" w:themeColor="text1"/>
          <w:sz w:val="24"/>
          <w:szCs w:val="24"/>
        </w:rPr>
      </w:pPr>
      <w:r>
        <w:rPr>
          <w:b/>
          <w:color w:val="000000" w:themeColor="text1"/>
          <w:kern w:val="0"/>
          <w:sz w:val="24"/>
          <w:szCs w:val="24"/>
        </w:rPr>
        <w:t>5.2</w:t>
      </w:r>
      <w:r>
        <w:rPr>
          <w:b/>
          <w:bCs/>
          <w:color w:val="000000" w:themeColor="text1"/>
          <w:sz w:val="24"/>
          <w:szCs w:val="24"/>
        </w:rPr>
        <w:t xml:space="preserve"> 其他投资情况说明</w:t>
      </w:r>
    </w:p>
    <w:p w14:paraId="0EDA7BA9">
      <w:pPr>
        <w:spacing w:line="360" w:lineRule="auto"/>
        <w:ind w:firstLine="420" w:firstLineChars="200"/>
        <w:rPr>
          <w:color w:val="000000" w:themeColor="text1"/>
        </w:rPr>
      </w:pPr>
      <w:r>
        <w:rPr>
          <w:color w:val="000000" w:themeColor="text1"/>
        </w:rPr>
        <w:t>基金管理人未发现本基金投资的前十名证券的发行主体出现本期被监管部门立案调查，或在报告编制日前一年内受到公开谴责、处罚的情形。</w:t>
      </w:r>
    </w:p>
    <w:p w14:paraId="733A7445">
      <w:pPr>
        <w:pStyle w:val="2"/>
        <w:spacing w:before="312" w:beforeLines="100" w:after="312" w:afterLines="100" w:line="360" w:lineRule="auto"/>
        <w:jc w:val="center"/>
        <w:rPr>
          <w:kern w:val="0"/>
          <w:sz w:val="24"/>
          <w:szCs w:val="24"/>
        </w:rPr>
      </w:pPr>
      <w:r>
        <w:rPr>
          <w:kern w:val="0"/>
          <w:sz w:val="24"/>
          <w:szCs w:val="24"/>
        </w:rPr>
        <w:t>§6 回收资金使用情况</w:t>
      </w:r>
    </w:p>
    <w:p w14:paraId="248B647E">
      <w:pPr>
        <w:adjustRightInd w:val="0"/>
        <w:snapToGrid w:val="0"/>
        <w:spacing w:line="360" w:lineRule="auto"/>
        <w:rPr>
          <w:b/>
          <w:bCs/>
          <w:color w:val="000000" w:themeColor="text1"/>
          <w:sz w:val="24"/>
          <w:szCs w:val="24"/>
        </w:rPr>
      </w:pPr>
      <w:r>
        <w:rPr>
          <w:b/>
          <w:bCs/>
          <w:color w:val="000000" w:themeColor="text1"/>
          <w:sz w:val="24"/>
          <w:szCs w:val="24"/>
        </w:rPr>
        <w:t>6.1 原始权益人回收资金使用有关情况说明</w:t>
      </w:r>
    </w:p>
    <w:p w14:paraId="7BF68CDE">
      <w:pPr>
        <w:spacing w:line="360" w:lineRule="auto"/>
        <w:ind w:firstLine="420" w:firstLineChars="200"/>
        <w:rPr>
          <w:color w:val="000000" w:themeColor="text1"/>
        </w:rPr>
      </w:pPr>
      <w:r>
        <w:rPr>
          <w:color w:val="000000" w:themeColor="text1"/>
        </w:rPr>
        <w:t>6.1.1原始权益人净回收资金使用符合基金合同、公开承诺及相关法律法规的情况</w:t>
      </w:r>
    </w:p>
    <w:p w14:paraId="450B6E2E">
      <w:pPr>
        <w:spacing w:line="360" w:lineRule="auto"/>
        <w:ind w:firstLine="420" w:firstLineChars="200"/>
        <w:rPr>
          <w:color w:val="000000" w:themeColor="text1"/>
        </w:rPr>
      </w:pPr>
      <w:r>
        <w:rPr>
          <w:color w:val="000000" w:themeColor="text1"/>
        </w:rPr>
        <w:t xml:space="preserve">基金发行份额募集资金规模为119,900.00万元，剔除偿还外部债务、拟缴纳税费、原始权益人及相关方认购基金份额等因素后，原始权益人净回收资金金额为39,400万元。截至本报告出具之日，净回收资金已使用32,199.82万元，剩余未使用金额7,200.18万元，使用进度为81.73%，剩余未使用资金将按照相关制度的要求进行使用。                  </w:t>
      </w:r>
    </w:p>
    <w:p w14:paraId="2E57B6E6">
      <w:pPr>
        <w:spacing w:line="360" w:lineRule="auto"/>
        <w:ind w:firstLine="420" w:firstLineChars="200"/>
        <w:rPr>
          <w:color w:val="000000" w:themeColor="text1"/>
        </w:rPr>
      </w:pPr>
      <w:r>
        <w:rPr>
          <w:color w:val="000000" w:themeColor="text1"/>
        </w:rPr>
        <w:t>6.1.2原始权益人净回收资金用途变更情况</w:t>
      </w:r>
    </w:p>
    <w:p w14:paraId="44EE1193">
      <w:pPr>
        <w:spacing w:line="360" w:lineRule="auto"/>
        <w:ind w:firstLine="420" w:firstLineChars="200"/>
        <w:rPr>
          <w:color w:val="000000" w:themeColor="text1"/>
        </w:rPr>
      </w:pPr>
      <w:r>
        <w:rPr>
          <w:color w:val="000000" w:themeColor="text1"/>
        </w:rPr>
        <w:t>本项目回收资金原计划用于融达科技园新建厂房、生物医药创新园二期建设、GMP完善和市药检院滨海实验室一期项目、泰达高科技园一二期升级改造项目和天大科技园收购及提升。在本基金完成发行及上市时，原始权益人拟使用净回收资金投资的上述项目已使用专项债等方式满足资金需求。为进一步落实《关于全面推动基础设施领域不动产投资信托基金(REITs)项目常态化发行的通知》(发改投资〔2024〕1014 号)的要求，提升净回收资金使用进度及效果，更好促进存量资产盘活，同时结合原始权益人投资计划调整等情况，将回收资金投向进行了变更。</w:t>
      </w:r>
    </w:p>
    <w:p w14:paraId="6A973C78">
      <w:pPr>
        <w:spacing w:line="360" w:lineRule="auto"/>
        <w:ind w:firstLine="420" w:firstLineChars="200"/>
        <w:rPr>
          <w:color w:val="000000" w:themeColor="text1"/>
        </w:rPr>
      </w:pPr>
      <w:r>
        <w:rPr>
          <w:color w:val="000000" w:themeColor="text1"/>
        </w:rPr>
        <w:t>变更后，将净回收资金的85%用于收购富维海拉天津生产（一期）基地项目及格拉默内饰天津生产基地项目、新建泰达海洋装备产业园项目、汤浅厂房升级改造项目及通过全资子公司天津经开能源技术有限公司投资能源基础设施项目，剩余15%的部分用于补充发起人（原始权益人）流动资金等用途。相关情况已向国家发展和改革委员会等监管部门完成了报备，说明了具体情况。根据2025年12月19日原始权益人向本基金管理人出具的回收资金投向变更说明材料，净回收资金使用方案调整如下：</w:t>
      </w:r>
    </w:p>
    <w:tbl>
      <w:tblPr>
        <w:tblStyle w:val="25"/>
        <w:tblW w:w="7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3"/>
        <w:gridCol w:w="1834"/>
        <w:gridCol w:w="2050"/>
      </w:tblGrid>
      <w:tr w14:paraId="478F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34574BA2">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项目名称</w:t>
            </w:r>
          </w:p>
        </w:tc>
        <w:tc>
          <w:tcPr>
            <w:tcW w:w="1834" w:type="dxa"/>
            <w:vAlign w:val="center"/>
          </w:tcPr>
          <w:p w14:paraId="55C02460">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前次报备金额</w:t>
            </w:r>
          </w:p>
          <w:p w14:paraId="2E4A9B3D">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（万元）</w:t>
            </w:r>
          </w:p>
        </w:tc>
        <w:tc>
          <w:tcPr>
            <w:tcW w:w="2050" w:type="dxa"/>
            <w:vAlign w:val="center"/>
          </w:tcPr>
          <w:p w14:paraId="2A52CC3E">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变更后金额</w:t>
            </w:r>
          </w:p>
          <w:p w14:paraId="1A3E296C">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（万元）</w:t>
            </w:r>
          </w:p>
        </w:tc>
      </w:tr>
      <w:tr w14:paraId="3ED19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120B2E8C">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生物医药创新园二期</w:t>
            </w:r>
          </w:p>
        </w:tc>
        <w:tc>
          <w:tcPr>
            <w:tcW w:w="1834" w:type="dxa"/>
            <w:vAlign w:val="center"/>
          </w:tcPr>
          <w:p w14:paraId="48951046">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21,000</w:t>
            </w:r>
          </w:p>
        </w:tc>
        <w:tc>
          <w:tcPr>
            <w:tcW w:w="2050" w:type="dxa"/>
            <w:vAlign w:val="center"/>
          </w:tcPr>
          <w:p w14:paraId="0A69011F">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r>
      <w:tr w14:paraId="327D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7870F823">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融达科技园新建厂房</w:t>
            </w:r>
          </w:p>
        </w:tc>
        <w:tc>
          <w:tcPr>
            <w:tcW w:w="1834" w:type="dxa"/>
            <w:vAlign w:val="center"/>
          </w:tcPr>
          <w:p w14:paraId="46EE2223">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2,400</w:t>
            </w:r>
          </w:p>
        </w:tc>
        <w:tc>
          <w:tcPr>
            <w:tcW w:w="2050" w:type="dxa"/>
            <w:vAlign w:val="center"/>
          </w:tcPr>
          <w:p w14:paraId="7B5096BC">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r>
      <w:tr w14:paraId="1416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6AFE9E7C">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天大科技园收购及提升改造项目</w:t>
            </w:r>
          </w:p>
        </w:tc>
        <w:tc>
          <w:tcPr>
            <w:tcW w:w="1834" w:type="dxa"/>
            <w:vAlign w:val="center"/>
          </w:tcPr>
          <w:p w14:paraId="29A1E4F2">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4,000</w:t>
            </w:r>
          </w:p>
        </w:tc>
        <w:tc>
          <w:tcPr>
            <w:tcW w:w="2050" w:type="dxa"/>
            <w:vAlign w:val="center"/>
          </w:tcPr>
          <w:p w14:paraId="5A4CF41A">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r>
      <w:tr w14:paraId="0828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2EEA7FB9">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泰达高科技园一二期升级改造项目</w:t>
            </w:r>
          </w:p>
        </w:tc>
        <w:tc>
          <w:tcPr>
            <w:tcW w:w="1834" w:type="dxa"/>
            <w:vAlign w:val="center"/>
          </w:tcPr>
          <w:p w14:paraId="418F341C">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12,000</w:t>
            </w:r>
          </w:p>
        </w:tc>
        <w:tc>
          <w:tcPr>
            <w:tcW w:w="2050" w:type="dxa"/>
            <w:vAlign w:val="center"/>
          </w:tcPr>
          <w:p w14:paraId="68A5343F">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r>
      <w:tr w14:paraId="79CB1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4CFADAE5">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新建泰达海洋装备产业园项目</w:t>
            </w:r>
          </w:p>
        </w:tc>
        <w:tc>
          <w:tcPr>
            <w:tcW w:w="1834" w:type="dxa"/>
            <w:vAlign w:val="center"/>
          </w:tcPr>
          <w:p w14:paraId="1F6AD51A">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c>
          <w:tcPr>
            <w:tcW w:w="2050" w:type="dxa"/>
            <w:vAlign w:val="center"/>
          </w:tcPr>
          <w:p w14:paraId="03942E7B">
            <w:pPr>
              <w:pStyle w:val="80"/>
              <w:keepNext w:val="0"/>
              <w:keepLines w:val="0"/>
              <w:widowControl/>
              <w:numPr>
                <w:ilvl w:val="0"/>
                <w:numId w:val="0"/>
              </w:numPr>
              <w:suppressLineNumbers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6,400</w:t>
            </w:r>
          </w:p>
        </w:tc>
      </w:tr>
      <w:tr w14:paraId="1FF5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50822D6C">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汤浅厂房升级改造项目</w:t>
            </w:r>
          </w:p>
        </w:tc>
        <w:tc>
          <w:tcPr>
            <w:tcW w:w="1834" w:type="dxa"/>
            <w:vAlign w:val="center"/>
          </w:tcPr>
          <w:p w14:paraId="7C242352">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c>
          <w:tcPr>
            <w:tcW w:w="2050" w:type="dxa"/>
            <w:vAlign w:val="center"/>
          </w:tcPr>
          <w:p w14:paraId="25CEF246">
            <w:pPr>
              <w:pStyle w:val="80"/>
              <w:keepNext w:val="0"/>
              <w:keepLines w:val="0"/>
              <w:widowControl/>
              <w:numPr>
                <w:ilvl w:val="0"/>
                <w:numId w:val="0"/>
              </w:numPr>
              <w:suppressLineNumbers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3,900</w:t>
            </w:r>
          </w:p>
        </w:tc>
      </w:tr>
      <w:tr w14:paraId="6569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shd w:val="clear" w:color="auto" w:fill="auto"/>
            <w:vAlign w:val="center"/>
          </w:tcPr>
          <w:p w14:paraId="444425A1">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eastAsia="宋体" w:cs="宋体"/>
                <w:sz w:val="21"/>
                <w:szCs w:val="21"/>
                <w:highlight w:val="none"/>
                <w:vertAlign w:val="baseline"/>
                <w:lang w:val="en-US" w:eastAsia="zh-CN" w:bidi="ar"/>
              </w:rPr>
            </w:pPr>
            <w:r>
              <w:rPr>
                <w:rFonts w:hint="eastAsia" w:ascii="宋体" w:hAnsi="宋体" w:eastAsia="宋体" w:cs="宋体"/>
                <w:sz w:val="21"/>
                <w:szCs w:val="21"/>
                <w:highlight w:val="none"/>
                <w:vertAlign w:val="baseline"/>
                <w:lang w:val="en-US" w:eastAsia="zh-CN"/>
              </w:rPr>
              <w:t>富维海拉天津生产（一期）基地项目</w:t>
            </w:r>
          </w:p>
        </w:tc>
        <w:tc>
          <w:tcPr>
            <w:tcW w:w="1834" w:type="dxa"/>
            <w:vAlign w:val="center"/>
          </w:tcPr>
          <w:p w14:paraId="0C49C3A5">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c>
          <w:tcPr>
            <w:tcW w:w="2050" w:type="dxa"/>
            <w:vAlign w:val="center"/>
          </w:tcPr>
          <w:p w14:paraId="390FB05E">
            <w:pPr>
              <w:pStyle w:val="80"/>
              <w:keepNext w:val="0"/>
              <w:keepLines w:val="0"/>
              <w:widowControl/>
              <w:numPr>
                <w:ilvl w:val="0"/>
                <w:numId w:val="0"/>
              </w:numPr>
              <w:suppressLineNumbers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9,000</w:t>
            </w:r>
          </w:p>
        </w:tc>
      </w:tr>
      <w:tr w14:paraId="70990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shd w:val="clear" w:color="auto" w:fill="auto"/>
            <w:vAlign w:val="center"/>
          </w:tcPr>
          <w:p w14:paraId="3FB942D2">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eastAsia="宋体" w:cs="宋体"/>
                <w:sz w:val="21"/>
                <w:szCs w:val="21"/>
                <w:highlight w:val="none"/>
                <w:vertAlign w:val="baseline"/>
                <w:lang w:val="en-US" w:eastAsia="zh-CN" w:bidi="ar"/>
              </w:rPr>
            </w:pPr>
            <w:r>
              <w:rPr>
                <w:rFonts w:hint="eastAsia" w:ascii="宋体" w:hAnsi="宋体" w:eastAsia="宋体" w:cs="宋体"/>
                <w:sz w:val="21"/>
                <w:szCs w:val="21"/>
                <w:highlight w:val="none"/>
                <w:vertAlign w:val="baseline"/>
                <w:lang w:val="en-US" w:eastAsia="zh-CN"/>
              </w:rPr>
              <w:t>格拉默内饰天津生产基地项目</w:t>
            </w:r>
          </w:p>
        </w:tc>
        <w:tc>
          <w:tcPr>
            <w:tcW w:w="1834" w:type="dxa"/>
            <w:vAlign w:val="center"/>
          </w:tcPr>
          <w:p w14:paraId="0BC76893">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c>
          <w:tcPr>
            <w:tcW w:w="2050" w:type="dxa"/>
            <w:vAlign w:val="center"/>
          </w:tcPr>
          <w:p w14:paraId="64D35BF4">
            <w:pPr>
              <w:pStyle w:val="80"/>
              <w:keepNext w:val="0"/>
              <w:keepLines w:val="0"/>
              <w:widowControl/>
              <w:numPr>
                <w:ilvl w:val="0"/>
                <w:numId w:val="0"/>
              </w:numPr>
              <w:suppressLineNumbers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9,000</w:t>
            </w:r>
          </w:p>
        </w:tc>
      </w:tr>
      <w:tr w14:paraId="0CCD3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shd w:val="clear" w:color="auto" w:fill="auto"/>
            <w:vAlign w:val="center"/>
          </w:tcPr>
          <w:p w14:paraId="431F9771">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eastAsia="宋体" w:cs="宋体"/>
                <w:sz w:val="21"/>
                <w:szCs w:val="21"/>
                <w:highlight w:val="none"/>
                <w:vertAlign w:val="baseline"/>
                <w:lang w:val="en-US" w:eastAsia="zh-CN" w:bidi="ar"/>
              </w:rPr>
            </w:pPr>
            <w:r>
              <w:rPr>
                <w:rFonts w:hint="eastAsia" w:ascii="宋体" w:hAnsi="宋体" w:eastAsia="宋体" w:cs="宋体"/>
                <w:sz w:val="21"/>
                <w:szCs w:val="21"/>
                <w:highlight w:val="none"/>
                <w:vertAlign w:val="baseline"/>
                <w:lang w:val="en-US" w:eastAsia="zh-CN"/>
              </w:rPr>
              <w:t>通过全资子公司天津经开能源技术有限公司投资能源基础设施项目</w:t>
            </w:r>
          </w:p>
        </w:tc>
        <w:tc>
          <w:tcPr>
            <w:tcW w:w="1834" w:type="dxa"/>
            <w:vAlign w:val="center"/>
          </w:tcPr>
          <w:p w14:paraId="25A2E470">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c>
          <w:tcPr>
            <w:tcW w:w="2050" w:type="dxa"/>
            <w:vAlign w:val="center"/>
          </w:tcPr>
          <w:p w14:paraId="0843B393">
            <w:pPr>
              <w:pStyle w:val="80"/>
              <w:keepNext w:val="0"/>
              <w:keepLines w:val="0"/>
              <w:widowControl/>
              <w:numPr>
                <w:ilvl w:val="0"/>
                <w:numId w:val="0"/>
              </w:numPr>
              <w:suppressLineNumbers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5,190</w:t>
            </w:r>
          </w:p>
        </w:tc>
      </w:tr>
      <w:tr w14:paraId="0447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7FBCF95A">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补充发起人（原始权益人）流动资金</w:t>
            </w:r>
          </w:p>
        </w:tc>
        <w:tc>
          <w:tcPr>
            <w:tcW w:w="1834" w:type="dxa"/>
            <w:vAlign w:val="center"/>
          </w:tcPr>
          <w:p w14:paraId="3D8F5B2E">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0</w:t>
            </w:r>
          </w:p>
        </w:tc>
        <w:tc>
          <w:tcPr>
            <w:tcW w:w="2050" w:type="dxa"/>
            <w:vAlign w:val="center"/>
          </w:tcPr>
          <w:p w14:paraId="0B7EC7A7">
            <w:pPr>
              <w:pStyle w:val="80"/>
              <w:keepNext w:val="0"/>
              <w:keepLines w:val="0"/>
              <w:widowControl/>
              <w:numPr>
                <w:ilvl w:val="0"/>
                <w:numId w:val="0"/>
              </w:numPr>
              <w:suppressLineNumbers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5,910</w:t>
            </w:r>
          </w:p>
        </w:tc>
      </w:tr>
      <w:tr w14:paraId="0791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983" w:type="dxa"/>
            <w:vAlign w:val="center"/>
          </w:tcPr>
          <w:p w14:paraId="7D29302F">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合计</w:t>
            </w:r>
          </w:p>
        </w:tc>
        <w:tc>
          <w:tcPr>
            <w:tcW w:w="1834" w:type="dxa"/>
            <w:vAlign w:val="center"/>
          </w:tcPr>
          <w:p w14:paraId="65F1C219">
            <w:pPr>
              <w:pStyle w:val="80"/>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39,400</w:t>
            </w:r>
          </w:p>
        </w:tc>
        <w:tc>
          <w:tcPr>
            <w:tcW w:w="2050" w:type="dxa"/>
            <w:vAlign w:val="center"/>
          </w:tcPr>
          <w:p w14:paraId="78D1756C">
            <w:pPr>
              <w:pStyle w:val="80"/>
              <w:keepNext w:val="0"/>
              <w:keepLines w:val="0"/>
              <w:pageBreakBefore w:val="0"/>
              <w:widowControl/>
              <w:numPr>
                <w:ilvl w:val="0"/>
                <w:numId w:val="0"/>
              </w:numPr>
              <w:suppressLineNumbers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kern w:val="2"/>
                <w:sz w:val="21"/>
                <w:szCs w:val="21"/>
                <w:highlight w:val="none"/>
                <w:u w:val="none"/>
                <w:lang w:val="en-US" w:eastAsia="zh-CN" w:bidi="ar"/>
              </w:rPr>
              <w:t>39,400</w:t>
            </w:r>
          </w:p>
        </w:tc>
      </w:tr>
    </w:tbl>
    <w:p w14:paraId="12C9FA90">
      <w:pPr>
        <w:spacing w:line="360" w:lineRule="auto"/>
        <w:ind w:firstLine="420" w:firstLineChars="200"/>
        <w:rPr>
          <w:color w:val="000000" w:themeColor="text1"/>
        </w:rPr>
      </w:pPr>
      <w:r>
        <w:rPr>
          <w:color w:val="000000" w:themeColor="text1"/>
        </w:rPr>
        <w:t>原始权益人已就本次回收资金投向变更事宜履行了原始权益人总经理办公会、支委会、产发集团专题会和党委会等内部程序。</w:t>
      </w:r>
    </w:p>
    <w:p w14:paraId="129AFF22">
      <w:pPr>
        <w:spacing w:line="360" w:lineRule="auto"/>
        <w:ind w:firstLine="420" w:firstLineChars="200"/>
        <w:rPr>
          <w:color w:val="000000" w:themeColor="text1"/>
        </w:rPr>
      </w:pPr>
      <w:r>
        <w:rPr>
          <w:color w:val="000000" w:themeColor="text1"/>
        </w:rPr>
        <w:t>基金管理人已于2025年12月20日将原始权益人申请变更回收资金投向的具体情况及时进行了信息披露。</w:t>
      </w:r>
    </w:p>
    <w:p w14:paraId="5BF628BB">
      <w:pPr>
        <w:pStyle w:val="2"/>
        <w:spacing w:before="312" w:beforeLines="100" w:after="312" w:afterLines="100" w:line="360" w:lineRule="auto"/>
        <w:jc w:val="center"/>
        <w:rPr>
          <w:kern w:val="0"/>
          <w:sz w:val="24"/>
          <w:szCs w:val="24"/>
        </w:rPr>
      </w:pPr>
      <w:r>
        <w:rPr>
          <w:kern w:val="0"/>
          <w:sz w:val="24"/>
          <w:szCs w:val="24"/>
        </w:rPr>
        <w:t>§7 不动产基金主要负责人员情况</w:t>
      </w:r>
    </w:p>
    <w:tbl>
      <w:tblPr>
        <w:tblStyle w:val="24"/>
        <w:tblW w:w="82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420"/>
        <w:gridCol w:w="1572"/>
        <w:gridCol w:w="1134"/>
        <w:gridCol w:w="967"/>
        <w:gridCol w:w="1443"/>
        <w:gridCol w:w="993"/>
      </w:tblGrid>
      <w:tr w14:paraId="14AE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694" w:type="dxa"/>
            <w:vMerge w:val="restart"/>
            <w:vAlign w:val="center"/>
          </w:tcPr>
          <w:p w14:paraId="0D857377">
            <w:pPr>
              <w:widowControl/>
              <w:spacing w:before="29" w:line="360" w:lineRule="auto"/>
              <w:ind w:left="17"/>
              <w:jc w:val="center"/>
              <w:rPr>
                <w:kern w:val="0"/>
              </w:rPr>
            </w:pPr>
            <w:r>
              <w:rPr>
                <w:kern w:val="0"/>
              </w:rPr>
              <w:t>姓名</w:t>
            </w:r>
          </w:p>
        </w:tc>
        <w:tc>
          <w:tcPr>
            <w:tcW w:w="1420" w:type="dxa"/>
            <w:vMerge w:val="restart"/>
            <w:vAlign w:val="center"/>
          </w:tcPr>
          <w:p w14:paraId="53AB546D">
            <w:pPr>
              <w:widowControl/>
              <w:spacing w:before="29" w:line="360" w:lineRule="auto"/>
              <w:ind w:left="17"/>
              <w:jc w:val="center"/>
              <w:rPr>
                <w:kern w:val="0"/>
              </w:rPr>
            </w:pPr>
            <w:r>
              <w:rPr>
                <w:kern w:val="0"/>
              </w:rPr>
              <w:t>职务</w:t>
            </w:r>
          </w:p>
        </w:tc>
        <w:tc>
          <w:tcPr>
            <w:tcW w:w="2706" w:type="dxa"/>
            <w:gridSpan w:val="2"/>
            <w:vAlign w:val="center"/>
          </w:tcPr>
          <w:p w14:paraId="6ED2BC47">
            <w:pPr>
              <w:autoSpaceDE w:val="0"/>
              <w:autoSpaceDN w:val="0"/>
              <w:adjustRightInd w:val="0"/>
              <w:spacing w:before="29" w:line="360" w:lineRule="auto"/>
              <w:ind w:left="17"/>
              <w:jc w:val="center"/>
              <w:rPr>
                <w:kern w:val="0"/>
              </w:rPr>
            </w:pPr>
            <w:r>
              <w:rPr>
                <w:kern w:val="0"/>
              </w:rPr>
              <w:t>任职期限</w:t>
            </w:r>
          </w:p>
        </w:tc>
        <w:tc>
          <w:tcPr>
            <w:tcW w:w="967" w:type="dxa"/>
            <w:vMerge w:val="restart"/>
            <w:vAlign w:val="center"/>
          </w:tcPr>
          <w:p w14:paraId="258DD21A">
            <w:pPr>
              <w:adjustRightInd w:val="0"/>
              <w:snapToGrid w:val="0"/>
              <w:spacing w:line="360" w:lineRule="auto"/>
              <w:jc w:val="center"/>
              <w:rPr>
                <w:rStyle w:val="31"/>
              </w:rPr>
            </w:pPr>
            <w:r>
              <w:rPr>
                <w:color w:val="000000"/>
              </w:rPr>
              <w:t>不动产项目运营或投资管理年限</w:t>
            </w:r>
          </w:p>
        </w:tc>
        <w:tc>
          <w:tcPr>
            <w:tcW w:w="1443" w:type="dxa"/>
            <w:vMerge w:val="restart"/>
            <w:vAlign w:val="center"/>
          </w:tcPr>
          <w:p w14:paraId="4CC1EEE9">
            <w:pPr>
              <w:adjustRightInd w:val="0"/>
              <w:snapToGrid w:val="0"/>
              <w:spacing w:line="360" w:lineRule="auto"/>
              <w:jc w:val="center"/>
              <w:rPr>
                <w:color w:val="000000"/>
              </w:rPr>
            </w:pPr>
            <w:r>
              <w:rPr>
                <w:color w:val="000000"/>
              </w:rPr>
              <w:t>不动产项目运营或投资管理经验</w:t>
            </w:r>
          </w:p>
        </w:tc>
        <w:tc>
          <w:tcPr>
            <w:tcW w:w="993" w:type="dxa"/>
            <w:vMerge w:val="restart"/>
            <w:vAlign w:val="center"/>
          </w:tcPr>
          <w:p w14:paraId="46F734B7">
            <w:pPr>
              <w:widowControl/>
              <w:spacing w:before="29" w:line="360" w:lineRule="auto"/>
              <w:ind w:left="17"/>
              <w:jc w:val="center"/>
              <w:rPr>
                <w:kern w:val="0"/>
              </w:rPr>
            </w:pPr>
            <w:r>
              <w:rPr>
                <w:kern w:val="0"/>
              </w:rPr>
              <w:t>说明</w:t>
            </w:r>
          </w:p>
        </w:tc>
      </w:tr>
      <w:tr w14:paraId="1B2D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4" w:type="dxa"/>
            <w:vMerge w:val="continue"/>
            <w:vAlign w:val="center"/>
          </w:tcPr>
          <w:p w14:paraId="77752AA6">
            <w:pPr>
              <w:widowControl/>
              <w:spacing w:line="360" w:lineRule="auto"/>
              <w:jc w:val="left"/>
              <w:rPr>
                <w:kern w:val="0"/>
              </w:rPr>
            </w:pPr>
          </w:p>
        </w:tc>
        <w:tc>
          <w:tcPr>
            <w:tcW w:w="1420" w:type="dxa"/>
            <w:vMerge w:val="continue"/>
            <w:vAlign w:val="center"/>
          </w:tcPr>
          <w:p w14:paraId="64F22068">
            <w:pPr>
              <w:widowControl/>
              <w:spacing w:line="360" w:lineRule="auto"/>
              <w:jc w:val="left"/>
              <w:rPr>
                <w:kern w:val="0"/>
              </w:rPr>
            </w:pPr>
          </w:p>
        </w:tc>
        <w:tc>
          <w:tcPr>
            <w:tcW w:w="1572" w:type="dxa"/>
            <w:vAlign w:val="center"/>
          </w:tcPr>
          <w:p w14:paraId="37D22A98">
            <w:pPr>
              <w:autoSpaceDE w:val="0"/>
              <w:autoSpaceDN w:val="0"/>
              <w:adjustRightInd w:val="0"/>
              <w:spacing w:before="29" w:line="360" w:lineRule="auto"/>
              <w:ind w:left="17"/>
              <w:jc w:val="center"/>
              <w:rPr>
                <w:kern w:val="0"/>
              </w:rPr>
            </w:pPr>
            <w:r>
              <w:rPr>
                <w:kern w:val="0"/>
              </w:rPr>
              <w:t>任职日期</w:t>
            </w:r>
          </w:p>
        </w:tc>
        <w:tc>
          <w:tcPr>
            <w:tcW w:w="1134" w:type="dxa"/>
            <w:vAlign w:val="center"/>
          </w:tcPr>
          <w:p w14:paraId="14B8E9E1">
            <w:pPr>
              <w:autoSpaceDE w:val="0"/>
              <w:autoSpaceDN w:val="0"/>
              <w:adjustRightInd w:val="0"/>
              <w:spacing w:before="29" w:line="360" w:lineRule="auto"/>
              <w:ind w:left="17"/>
              <w:jc w:val="center"/>
              <w:rPr>
                <w:kern w:val="0"/>
              </w:rPr>
            </w:pPr>
            <w:r>
              <w:rPr>
                <w:kern w:val="0"/>
              </w:rPr>
              <w:t>离任日期</w:t>
            </w:r>
          </w:p>
        </w:tc>
        <w:tc>
          <w:tcPr>
            <w:tcW w:w="967" w:type="dxa"/>
            <w:vMerge w:val="continue"/>
          </w:tcPr>
          <w:p w14:paraId="14F11C5B">
            <w:pPr>
              <w:widowControl/>
              <w:spacing w:line="360" w:lineRule="auto"/>
              <w:jc w:val="left"/>
              <w:rPr>
                <w:kern w:val="0"/>
              </w:rPr>
            </w:pPr>
          </w:p>
        </w:tc>
        <w:tc>
          <w:tcPr>
            <w:tcW w:w="1443" w:type="dxa"/>
            <w:vMerge w:val="continue"/>
          </w:tcPr>
          <w:p w14:paraId="00D98AB5">
            <w:pPr>
              <w:widowControl/>
              <w:spacing w:line="360" w:lineRule="auto"/>
              <w:jc w:val="left"/>
              <w:rPr>
                <w:kern w:val="0"/>
              </w:rPr>
            </w:pPr>
          </w:p>
        </w:tc>
        <w:tc>
          <w:tcPr>
            <w:tcW w:w="993" w:type="dxa"/>
            <w:vMerge w:val="continue"/>
            <w:vAlign w:val="center"/>
          </w:tcPr>
          <w:p w14:paraId="34AAE559">
            <w:pPr>
              <w:widowControl/>
              <w:spacing w:line="360" w:lineRule="auto"/>
              <w:jc w:val="left"/>
              <w:rPr>
                <w:kern w:val="0"/>
              </w:rPr>
            </w:pPr>
          </w:p>
        </w:tc>
      </w:tr>
      <w:tr w14:paraId="3ABB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14:paraId="47C35230">
            <w:pPr>
              <w:jc w:val="center"/>
            </w:pPr>
            <w:r>
              <w:t>江洲</w:t>
            </w:r>
          </w:p>
        </w:tc>
        <w:tc>
          <w:tcPr>
            <w:tcW w:w="1420" w:type="dxa"/>
            <w:vAlign w:val="center"/>
          </w:tcPr>
          <w:p w14:paraId="452BA4E4">
            <w:pPr>
              <w:jc w:val="center"/>
            </w:pPr>
            <w:r>
              <w:t>基金经理</w:t>
            </w:r>
          </w:p>
        </w:tc>
        <w:tc>
          <w:tcPr>
            <w:tcW w:w="1572" w:type="dxa"/>
            <w:vAlign w:val="center"/>
          </w:tcPr>
          <w:p w14:paraId="20894C9B">
            <w:pPr>
              <w:jc w:val="center"/>
            </w:pPr>
            <w:r>
              <w:t>2024-08-28</w:t>
            </w:r>
          </w:p>
        </w:tc>
        <w:tc>
          <w:tcPr>
            <w:vAlign w:val="center"/>
          </w:tcPr>
          <w:p w14:paraId="4AA9F1F4">
            <w:pPr>
              <w:jc w:val="center"/>
            </w:pPr>
            <w:r>
              <w:t>-</w:t>
            </w:r>
          </w:p>
        </w:tc>
        <w:tc>
          <w:tcPr>
            <w:tcW w:w="967" w:type="dxa"/>
            <w:vAlign w:val="center"/>
          </w:tcPr>
          <w:p w14:paraId="77329ECE">
            <w:pPr>
              <w:jc w:val="center"/>
            </w:pPr>
            <w:r>
              <w:t>9.4</w:t>
            </w:r>
          </w:p>
        </w:tc>
        <w:tc>
          <w:tcPr>
            <w:tcW w:w="1443" w:type="dxa"/>
            <w:vAlign w:val="center"/>
          </w:tcPr>
          <w:p w14:paraId="02F7B22B">
            <w:pPr>
              <w:jc w:val="center"/>
            </w:pPr>
            <w:r>
              <w:t>江洲先生自2017年4月至2021年12月在华融融德资产管理有限公司从事资产投资、资产管理、资产处置等相关工作，工作范围涉及投资项目（包括但不限于不动产）的尽职调查、投资方案设计及报批、投后管理及处置等相关工作，具备多年不动产领域投资管理经验。2022年1月10日起在博时基金管理有限公司从事投资研究工作，已具备5年以上投资管理经验。</w:t>
            </w:r>
          </w:p>
        </w:tc>
        <w:tc>
          <w:tcPr>
            <w:vAlign w:val="center"/>
          </w:tcPr>
          <w:p w14:paraId="50B8C37F">
            <w:pPr>
              <w:jc w:val="center"/>
            </w:pPr>
            <w:r>
              <w:t>江洲先生，学士。2012年起先后在德勤公司、穆迪公司、华融融德资产管理公司工作。2022年加入博时基金管理有限公司。现任博时津开科工产业园封闭式基础设施证券投资基金(2024年8月28日—至今)的基金经理。</w:t>
            </w:r>
          </w:p>
        </w:tc>
      </w:tr>
      <w:tr w14:paraId="0788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14:paraId="34008966">
            <w:pPr>
              <w:jc w:val="center"/>
            </w:pPr>
            <w:r>
              <w:t>王敏燕</w:t>
            </w:r>
          </w:p>
        </w:tc>
        <w:tc>
          <w:tcPr>
            <w:tcW w:w="1420" w:type="dxa"/>
            <w:vAlign w:val="center"/>
          </w:tcPr>
          <w:p w14:paraId="41129296">
            <w:pPr>
              <w:jc w:val="center"/>
            </w:pPr>
            <w:r>
              <w:t>基金经理</w:t>
            </w:r>
          </w:p>
        </w:tc>
        <w:tc>
          <w:tcPr>
            <w:tcW w:w="1572" w:type="dxa"/>
            <w:vAlign w:val="center"/>
          </w:tcPr>
          <w:p w14:paraId="0627D91F">
            <w:pPr>
              <w:jc w:val="center"/>
            </w:pPr>
            <w:r>
              <w:t>2024-08-28</w:t>
            </w:r>
          </w:p>
        </w:tc>
        <w:tc>
          <w:tcPr>
            <w:vAlign w:val="center"/>
          </w:tcPr>
          <w:p w14:paraId="42E6FA57">
            <w:pPr>
              <w:jc w:val="center"/>
            </w:pPr>
            <w:r>
              <w:t>-</w:t>
            </w:r>
          </w:p>
        </w:tc>
        <w:tc>
          <w:tcPr>
            <w:tcW w:w="967" w:type="dxa"/>
            <w:vAlign w:val="center"/>
          </w:tcPr>
          <w:p w14:paraId="7D981F58">
            <w:pPr>
              <w:jc w:val="center"/>
            </w:pPr>
            <w:r>
              <w:t>17.9</w:t>
            </w:r>
          </w:p>
        </w:tc>
        <w:tc>
          <w:tcPr>
            <w:tcW w:w="1443" w:type="dxa"/>
            <w:vAlign w:val="center"/>
          </w:tcPr>
          <w:p w14:paraId="14FCDDA4">
            <w:pPr>
              <w:jc w:val="center"/>
            </w:pPr>
            <w:r>
              <w:t>王敏燕女士于2008年10月至2023年6月供职于招商局蛇口工业区控股股份有限公司，先后参与了光明科技园、番禺科技园、漳州开发区等多个不动产项目的开发运营管理工作，包括但不限于园区运营体系建设、参与产业园区“一园一策”运营提升工作、 撰写招商蛇口存量产业园区复盘报告、为番禺科技园的开发运营提供专业支持、负责产业园区轻资产项目拓展（产园运营管理输出）。</w:t>
            </w:r>
          </w:p>
        </w:tc>
        <w:tc>
          <w:tcPr>
            <w:vAlign w:val="center"/>
          </w:tcPr>
          <w:p w14:paraId="346F710B">
            <w:pPr>
              <w:jc w:val="center"/>
            </w:pPr>
            <w:r>
              <w:t>王敏燕女士，硕士。2006年起先后在深圳市戴德梁行土地房地产评估有限公司、招商局蛇口工业区控股股份有限公司工作，于2023年加入博时基金管理有限公司。现任博时津开科工产业园封闭式基础设施证券投资基金(2024年8月28日—至今)的基金经理。</w:t>
            </w:r>
          </w:p>
        </w:tc>
      </w:tr>
      <w:tr w14:paraId="352A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14:paraId="7D8A806B">
            <w:pPr>
              <w:jc w:val="center"/>
            </w:pPr>
            <w:r>
              <w:t>李瑞伟</w:t>
            </w:r>
          </w:p>
        </w:tc>
        <w:tc>
          <w:tcPr>
            <w:tcW w:w="1420" w:type="dxa"/>
            <w:vAlign w:val="center"/>
          </w:tcPr>
          <w:p w14:paraId="44B4D587">
            <w:pPr>
              <w:jc w:val="center"/>
            </w:pPr>
            <w:r>
              <w:t>基金经理</w:t>
            </w:r>
          </w:p>
        </w:tc>
        <w:tc>
          <w:tcPr>
            <w:tcW w:w="1572" w:type="dxa"/>
            <w:vAlign w:val="center"/>
          </w:tcPr>
          <w:p w14:paraId="3CDB1216">
            <w:pPr>
              <w:jc w:val="center"/>
            </w:pPr>
            <w:r>
              <w:t>2025-10-17</w:t>
            </w:r>
          </w:p>
        </w:tc>
        <w:tc>
          <w:tcPr>
            <w:vAlign w:val="center"/>
          </w:tcPr>
          <w:p w14:paraId="03868C32">
            <w:pPr>
              <w:jc w:val="center"/>
            </w:pPr>
            <w:r>
              <w:t>-</w:t>
            </w:r>
          </w:p>
        </w:tc>
        <w:tc>
          <w:tcPr>
            <w:tcW w:w="967" w:type="dxa"/>
            <w:vAlign w:val="center"/>
          </w:tcPr>
          <w:p w14:paraId="5FB8126A">
            <w:pPr>
              <w:jc w:val="center"/>
            </w:pPr>
            <w:r>
              <w:t>12.4</w:t>
            </w:r>
          </w:p>
        </w:tc>
        <w:tc>
          <w:tcPr>
            <w:tcW w:w="1443" w:type="dxa"/>
            <w:vAlign w:val="center"/>
          </w:tcPr>
          <w:p w14:paraId="2EABA22D">
            <w:pPr>
              <w:jc w:val="center"/>
            </w:pPr>
            <w:r>
              <w:t>李瑞伟先生自2006年起先后在上海涅柔斯投资管理有限公司、启迪控股股份有限公司及其下属企业郑州启迪科技园发展有限公司、昆明云大启迪科技园发展有限公司、腾冲启迪永安科技城开发有限公司工作，先后参与了郑州启迪科技园、昆明云大启迪科技园、腾冲启迪科学家小镇等项目的项目策划、规划设计、投资管理、开发建设、招商、园区运营管理等工作，具有丰富的产业园区运营管理工作经验。已具备5年以上不动产投资/运营管理经验。</w:t>
            </w:r>
          </w:p>
        </w:tc>
        <w:tc>
          <w:tcPr>
            <w:vAlign w:val="center"/>
          </w:tcPr>
          <w:p w14:paraId="0210712F">
            <w:pPr>
              <w:jc w:val="center"/>
            </w:pPr>
            <w:r>
              <w:t>李瑞伟先生，硕士。2006年起先后在上海涅柔斯投资管理有限公司、启迪控股园区及其所属郑州启迪科技园发展有限公司、昆明云大启迪科技园发展有限公司、腾冲启迪永安科技城开发有限公司工作。2024年4月加入博时基金管理有限公司。曾任博时招商蛇口产业园封闭式基础设施证券投资基金(2024年5月31日-2025年10月17日)基金经理。现任博时津开科工产业园封闭式基础设施证券投资基金(2025年10月17日—至今)的基金经理。</w:t>
            </w:r>
          </w:p>
        </w:tc>
      </w:tr>
    </w:tbl>
    <w:p w14:paraId="2FADED5E">
      <w:pPr>
        <w:spacing w:line="360" w:lineRule="auto"/>
        <w:ind w:firstLine="420" w:firstLineChars="200"/>
      </w:pPr>
      <w:r>
        <w:t>注：不动产项目运营或投资管理年限从基金经理首次参与不动产项目运营或者投资项目计算。上述任职日期、离任日期根据本基金管理人对外披露的任免日期填写。</w:t>
      </w:r>
    </w:p>
    <w:p w14:paraId="0BCD9B49">
      <w:pPr>
        <w:pStyle w:val="2"/>
        <w:spacing w:before="312" w:beforeLines="100" w:after="312" w:afterLines="100" w:line="360" w:lineRule="auto"/>
        <w:jc w:val="center"/>
        <w:rPr>
          <w:kern w:val="0"/>
          <w:sz w:val="24"/>
          <w:szCs w:val="24"/>
        </w:rPr>
      </w:pPr>
      <w:r>
        <w:rPr>
          <w:kern w:val="0"/>
          <w:sz w:val="24"/>
          <w:szCs w:val="24"/>
        </w:rPr>
        <w:t>§8  不动产基金份额变动情况</w:t>
      </w:r>
    </w:p>
    <w:p w14:paraId="69CAE4C2">
      <w:pPr>
        <w:autoSpaceDE w:val="0"/>
        <w:autoSpaceDN w:val="0"/>
        <w:adjustRightInd w:val="0"/>
        <w:spacing w:before="29" w:line="360" w:lineRule="auto"/>
        <w:ind w:left="15"/>
        <w:jc w:val="right"/>
        <w:rPr>
          <w:kern w:val="0"/>
        </w:rPr>
      </w:pPr>
      <w:r>
        <w:rPr>
          <w:kern w:val="0"/>
        </w:rPr>
        <w:t>单位：份</w:t>
      </w:r>
    </w:p>
    <w:tbl>
      <w:tblPr>
        <w:tblStyle w:val="24"/>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09"/>
        <w:gridCol w:w="4025"/>
      </w:tblGrid>
      <w:tr w14:paraId="7F285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09" w:type="dxa"/>
            <w:vAlign w:val="center"/>
          </w:tcPr>
          <w:p w14:paraId="02C971C7">
            <w:pPr>
              <w:autoSpaceDE w:val="0"/>
              <w:autoSpaceDN w:val="0"/>
              <w:adjustRightInd w:val="0"/>
              <w:spacing w:before="29" w:line="360" w:lineRule="auto"/>
              <w:ind w:left="17"/>
              <w:rPr>
                <w:kern w:val="0"/>
              </w:rPr>
            </w:pPr>
            <w:r>
              <w:rPr>
                <w:kern w:val="0"/>
              </w:rPr>
              <w:t>报告期期初不动产基金份额总额</w:t>
            </w:r>
          </w:p>
        </w:tc>
        <w:tc>
          <w:tcPr>
            <w:tcW w:w="4025" w:type="dxa"/>
            <w:vAlign w:val="center"/>
          </w:tcPr>
          <w:p w14:paraId="051E86DC">
            <w:pPr>
              <w:autoSpaceDE w:val="0"/>
              <w:autoSpaceDN w:val="0"/>
              <w:adjustRightInd w:val="0"/>
              <w:spacing w:before="29" w:line="360" w:lineRule="auto"/>
              <w:ind w:left="17"/>
              <w:jc w:val="right"/>
            </w:pPr>
            <w:r>
              <w:t>500,000,000.00</w:t>
            </w:r>
          </w:p>
        </w:tc>
      </w:tr>
      <w:tr w14:paraId="133A9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09" w:type="dxa"/>
            <w:vAlign w:val="center"/>
          </w:tcPr>
          <w:p w14:paraId="46DB99AA">
            <w:pPr>
              <w:autoSpaceDE w:val="0"/>
              <w:autoSpaceDN w:val="0"/>
              <w:adjustRightInd w:val="0"/>
              <w:spacing w:before="29" w:line="360" w:lineRule="auto"/>
              <w:ind w:left="17"/>
              <w:rPr>
                <w:kern w:val="0"/>
              </w:rPr>
            </w:pPr>
            <w:r>
              <w:rPr>
                <w:kern w:val="0"/>
              </w:rPr>
              <w:t>报告期期间不动产基金份额变动情况</w:t>
            </w:r>
          </w:p>
        </w:tc>
        <w:tc>
          <w:tcPr>
            <w:tcW w:w="4025" w:type="dxa"/>
            <w:vAlign w:val="center"/>
          </w:tcPr>
          <w:p w14:paraId="71A2F269">
            <w:pPr>
              <w:autoSpaceDE w:val="0"/>
              <w:autoSpaceDN w:val="0"/>
              <w:adjustRightInd w:val="0"/>
              <w:spacing w:before="29" w:line="360" w:lineRule="auto"/>
              <w:ind w:left="17"/>
              <w:jc w:val="right"/>
            </w:pPr>
            <w:r>
              <w:t>-</w:t>
            </w:r>
          </w:p>
        </w:tc>
      </w:tr>
      <w:tr w14:paraId="7C1E6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09" w:type="dxa"/>
            <w:vAlign w:val="center"/>
          </w:tcPr>
          <w:p w14:paraId="49A551C1">
            <w:pPr>
              <w:autoSpaceDE w:val="0"/>
              <w:autoSpaceDN w:val="0"/>
              <w:adjustRightInd w:val="0"/>
              <w:spacing w:before="29" w:line="360" w:lineRule="auto"/>
              <w:ind w:left="17"/>
              <w:rPr>
                <w:kern w:val="0"/>
              </w:rPr>
            </w:pPr>
            <w:r>
              <w:rPr>
                <w:kern w:val="0"/>
              </w:rPr>
              <w:t>报告期期末不动产基金份额总额</w:t>
            </w:r>
          </w:p>
        </w:tc>
        <w:tc>
          <w:tcPr>
            <w:tcW w:w="4025" w:type="dxa"/>
            <w:vAlign w:val="center"/>
          </w:tcPr>
          <w:p w14:paraId="663E3905">
            <w:pPr>
              <w:autoSpaceDE w:val="0"/>
              <w:autoSpaceDN w:val="0"/>
              <w:adjustRightInd w:val="0"/>
              <w:spacing w:before="29" w:line="360" w:lineRule="auto"/>
              <w:ind w:left="17"/>
              <w:jc w:val="right"/>
            </w:pPr>
            <w:r>
              <w:t>500,000,000.00</w:t>
            </w:r>
          </w:p>
        </w:tc>
      </w:tr>
    </w:tbl>
    <w:p w14:paraId="67743AF0">
      <w:pPr>
        <w:pStyle w:val="2"/>
        <w:spacing w:before="312" w:beforeLines="100" w:after="312" w:afterLines="100" w:line="360" w:lineRule="auto"/>
        <w:jc w:val="center"/>
        <w:rPr>
          <w:kern w:val="0"/>
          <w:sz w:val="24"/>
          <w:szCs w:val="24"/>
        </w:rPr>
      </w:pPr>
      <w:r>
        <w:rPr>
          <w:kern w:val="0"/>
          <w:sz w:val="24"/>
          <w:szCs w:val="24"/>
        </w:rPr>
        <w:t>§9  基金管理人运用固有资金投资本不动产基金情况</w:t>
      </w:r>
    </w:p>
    <w:p w14:paraId="1BB13200">
      <w:pPr>
        <w:spacing w:line="360" w:lineRule="auto"/>
        <w:ind w:firstLine="420" w:firstLineChars="200"/>
      </w:pPr>
      <w:r>
        <w:t>基金管理人未持有本基金。</w:t>
      </w:r>
    </w:p>
    <w:p w14:paraId="6FB43AF1">
      <w:pPr>
        <w:pStyle w:val="2"/>
        <w:spacing w:before="312" w:beforeLines="100" w:after="312" w:afterLines="100" w:line="360" w:lineRule="auto"/>
        <w:jc w:val="center"/>
        <w:rPr>
          <w:kern w:val="0"/>
          <w:sz w:val="24"/>
          <w:szCs w:val="24"/>
        </w:rPr>
      </w:pPr>
      <w:r>
        <w:rPr>
          <w:kern w:val="0"/>
          <w:sz w:val="24"/>
          <w:szCs w:val="24"/>
        </w:rPr>
        <w:t>§10  影响投资者决策的其他重要信息</w:t>
      </w:r>
    </w:p>
    <w:p w14:paraId="704613BA">
      <w:pPr>
        <w:spacing w:line="360" w:lineRule="auto"/>
        <w:ind w:firstLine="420" w:firstLineChars="200"/>
      </w:pPr>
      <w:r>
        <w:t>博时基金管理有限公司是中国内地首批成立的五家基金管理公司之一。“创造财富，共赴未来”是公司的使命。公司的投资理念是“投资价值发现者”。截至2026年9月30日，博时基金管理有限公司共管理406只公募基金，并受全国社会保障基金理事会委托管理部分社保基金，以及多个企业年金、职业年金及特定专户，管理资产总规模逾16,913亿元人民币，剔除货币基金后，博时基金管理有限公司公募资产管理总规模逾6,744亿元人民币，累计分红逾2,335亿元人民币，是目前我国资产管理规模领先的基金公司之一。</w:t>
      </w:r>
    </w:p>
    <w:p w14:paraId="4B6FC13A">
      <w:pPr>
        <w:pStyle w:val="2"/>
        <w:spacing w:before="312" w:beforeLines="100" w:after="312" w:afterLines="100" w:line="360" w:lineRule="auto"/>
        <w:jc w:val="center"/>
        <w:rPr>
          <w:kern w:val="0"/>
          <w:sz w:val="24"/>
          <w:szCs w:val="24"/>
        </w:rPr>
      </w:pPr>
      <w:r>
        <w:rPr>
          <w:kern w:val="0"/>
          <w:sz w:val="24"/>
          <w:szCs w:val="24"/>
        </w:rPr>
        <w:t>§11  备查文件目录</w:t>
      </w:r>
    </w:p>
    <w:p w14:paraId="1954B540">
      <w:pPr>
        <w:autoSpaceDE w:val="0"/>
        <w:autoSpaceDN w:val="0"/>
        <w:adjustRightInd w:val="0"/>
        <w:spacing w:line="360" w:lineRule="auto"/>
        <w:jc w:val="left"/>
        <w:rPr>
          <w:b/>
          <w:bCs/>
          <w:kern w:val="0"/>
          <w:sz w:val="24"/>
          <w:szCs w:val="24"/>
        </w:rPr>
      </w:pPr>
      <w:r>
        <w:rPr>
          <w:b/>
          <w:bCs/>
          <w:kern w:val="0"/>
          <w:sz w:val="24"/>
          <w:szCs w:val="24"/>
        </w:rPr>
        <w:t>11.1 备查文件目录</w:t>
      </w:r>
    </w:p>
    <w:p w14:paraId="02751C6D">
      <w:pPr>
        <w:spacing w:line="360" w:lineRule="auto"/>
        <w:ind w:firstLine="420" w:firstLineChars="200"/>
      </w:pPr>
      <w:r>
        <w:t>1、中国证券监督管理委员会批准博时津开科工产业园封闭式基础设施证券投资基金设立的文件</w:t>
      </w:r>
    </w:p>
    <w:p w14:paraId="72F4761D">
      <w:pPr>
        <w:spacing w:line="360" w:lineRule="auto"/>
        <w:ind w:firstLine="420" w:firstLineChars="200"/>
      </w:pPr>
      <w:r>
        <w:t>2、《博时津开科工产业园封闭式基础设施证券投资基金基金合同》</w:t>
      </w:r>
    </w:p>
    <w:p w14:paraId="225B1DD3">
      <w:pPr>
        <w:spacing w:line="360" w:lineRule="auto"/>
        <w:ind w:firstLine="420" w:firstLineChars="200"/>
      </w:pPr>
      <w:r>
        <w:t>3、《博时津开科工产业园封闭式基础设施证券投资基金托管协议》</w:t>
      </w:r>
    </w:p>
    <w:p w14:paraId="6E897101">
      <w:pPr>
        <w:spacing w:line="360" w:lineRule="auto"/>
        <w:ind w:firstLine="420" w:firstLineChars="200"/>
      </w:pPr>
      <w:r>
        <w:t>4、基金管理人业务资格批件、营业执照和公司章程</w:t>
      </w:r>
    </w:p>
    <w:p w14:paraId="79789DB3">
      <w:pPr>
        <w:spacing w:line="360" w:lineRule="auto"/>
        <w:ind w:firstLine="420" w:firstLineChars="200"/>
      </w:pPr>
      <w:r>
        <w:t>5、博时津开科工产业园封闭式基础设施证券投资基金各年度审计报告正本</w:t>
      </w:r>
    </w:p>
    <w:p w14:paraId="61BA104B">
      <w:pPr>
        <w:spacing w:line="360" w:lineRule="auto"/>
        <w:ind w:firstLine="420" w:firstLineChars="200"/>
      </w:pPr>
      <w:r>
        <w:t>6、报告期内博时津开科工产业园封闭式基础设施证券投资基金在指定报刊上各项公告的原稿</w:t>
      </w:r>
    </w:p>
    <w:p w14:paraId="3A10085B">
      <w:pPr>
        <w:autoSpaceDE w:val="0"/>
        <w:autoSpaceDN w:val="0"/>
        <w:adjustRightInd w:val="0"/>
        <w:spacing w:line="360" w:lineRule="auto"/>
        <w:jc w:val="left"/>
        <w:rPr>
          <w:b/>
          <w:bCs/>
          <w:kern w:val="0"/>
          <w:sz w:val="24"/>
          <w:szCs w:val="24"/>
        </w:rPr>
      </w:pPr>
      <w:r>
        <w:rPr>
          <w:b/>
          <w:bCs/>
          <w:kern w:val="0"/>
          <w:sz w:val="24"/>
          <w:szCs w:val="24"/>
        </w:rPr>
        <w:t>11.2 存放地点</w:t>
      </w:r>
    </w:p>
    <w:p w14:paraId="141D4F3F">
      <w:pPr>
        <w:spacing w:line="360" w:lineRule="auto"/>
        <w:ind w:firstLine="420" w:firstLineChars="200"/>
      </w:pPr>
      <w:r>
        <w:t>基金管理人、基金托管人处</w:t>
      </w:r>
    </w:p>
    <w:p w14:paraId="4375E29A">
      <w:pPr>
        <w:autoSpaceDE w:val="0"/>
        <w:autoSpaceDN w:val="0"/>
        <w:adjustRightInd w:val="0"/>
        <w:spacing w:line="360" w:lineRule="auto"/>
        <w:jc w:val="left"/>
        <w:rPr>
          <w:b/>
          <w:bCs/>
          <w:kern w:val="0"/>
          <w:sz w:val="24"/>
          <w:szCs w:val="24"/>
        </w:rPr>
      </w:pPr>
      <w:r>
        <w:rPr>
          <w:b/>
          <w:bCs/>
          <w:kern w:val="0"/>
          <w:sz w:val="24"/>
          <w:szCs w:val="24"/>
        </w:rPr>
        <w:t>11.3 查阅方式</w:t>
      </w:r>
    </w:p>
    <w:p w14:paraId="012698B3">
      <w:pPr>
        <w:spacing w:line="360" w:lineRule="auto"/>
        <w:ind w:firstLine="420" w:firstLineChars="200"/>
      </w:pPr>
      <w:r>
        <w:t>投资者可在营业时间免费查询，也可按工本费购买复印件</w:t>
      </w:r>
    </w:p>
    <w:p w14:paraId="214BE80E">
      <w:pPr>
        <w:spacing w:line="360" w:lineRule="auto"/>
        <w:ind w:firstLine="420" w:firstLineChars="200"/>
      </w:pPr>
      <w:r>
        <w:t>投资者对本报告书如有疑问，可咨询本基金管理人博时基金管理有限公司</w:t>
      </w:r>
    </w:p>
    <w:p w14:paraId="1C830910">
      <w:pPr>
        <w:spacing w:line="360" w:lineRule="auto"/>
        <w:ind w:firstLine="420" w:firstLineChars="200"/>
      </w:pPr>
      <w:r>
        <w:t xml:space="preserve">博时一线通：95105568（免长途话费） </w:t>
      </w:r>
    </w:p>
    <w:p w14:paraId="69FF597E">
      <w:pPr>
        <w:spacing w:line="360" w:lineRule="auto"/>
        <w:ind w:left="840"/>
        <w:jc w:val="right"/>
        <w:rPr>
          <w:sz w:val="24"/>
          <w:szCs w:val="24"/>
        </w:rPr>
      </w:pPr>
    </w:p>
    <w:p w14:paraId="041916D6">
      <w:pPr>
        <w:spacing w:line="360" w:lineRule="auto"/>
        <w:jc w:val="right"/>
        <w:rPr>
          <w:b/>
          <w:bCs/>
        </w:rPr>
      </w:pPr>
      <w:r>
        <w:rPr>
          <w:b/>
          <w:bCs/>
        </w:rPr>
        <w:t>博时基金管理有限公司</w:t>
      </w:r>
    </w:p>
    <w:p w14:paraId="518DBDF9">
      <w:pPr>
        <w:spacing w:line="360" w:lineRule="auto"/>
        <w:jc w:val="right"/>
        <w:rPr>
          <w:b/>
          <w:bCs/>
        </w:rPr>
      </w:pPr>
      <w:r>
        <w:rPr>
          <w:b/>
          <w:bCs/>
        </w:rPr>
        <w:t>二〇二六年十月二十七日</w:t>
      </w:r>
    </w:p>
    <w:sectPr>
      <w:headerReference r:id="rId5" w:type="default"/>
      <w:footerReference r:id="rId6"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BF63D">
    <w:pPr>
      <w:pStyle w:val="14"/>
      <w:tabs>
        <w:tab w:val="left" w:pos="4215"/>
        <w:tab w:val="center" w:pos="4545"/>
      </w:tabs>
    </w:pPr>
    <w:r>
      <w:ptab w:relativeTo="margin" w:alignment="center" w:leader="none"/>
    </w:r>
    <w:r>
      <w:ptab w:relativeTo="margin" w:alignment="center" w:leader="none"/>
    </w:r>
    <w:r>
      <w:fldChar w:fldCharType="begin"/>
    </w:r>
    <w:r>
      <w:instrText xml:space="preserve"> PAGE   \* MERGEFORMAT </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DAA6B">
    <w:pPr>
      <w:pStyle w:val="14"/>
      <w:framePr w:wrap="around" w:vAnchor="text" w:hAnchor="margin" w:xAlign="center" w:y="1"/>
      <w:rPr>
        <w:rStyle w:val="27"/>
      </w:rPr>
    </w:pPr>
    <w:r>
      <w:rPr>
        <w:rStyle w:val="27"/>
      </w:rPr>
      <w:fldChar w:fldCharType="begin"/>
    </w:r>
    <w:r>
      <w:rPr>
        <w:rStyle w:val="27"/>
      </w:rPr>
      <w:instrText xml:space="preserve">PAGE  </w:instrText>
    </w:r>
    <w:r>
      <w:rPr>
        <w:rStyle w:val="27"/>
      </w:rPr>
      <w:fldChar w:fldCharType="separate"/>
    </w:r>
    <w:r>
      <w:rPr>
        <w:rStyle w:val="27"/>
      </w:rPr>
      <w:t>15</w:t>
    </w:r>
    <w:r>
      <w:rPr>
        <w:rStyle w:val="27"/>
      </w:rPr>
      <w:fldChar w:fldCharType="end"/>
    </w:r>
  </w:p>
  <w:p w14:paraId="6CAFAAB4">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DFDBE">
    <w:pPr>
      <w:pStyle w:val="15"/>
      <w:pBdr>
        <w:bottom w:val="single" w:color="auto" w:sz="6" w:space="0"/>
      </w:pBdr>
      <w:jc w:val="right"/>
      <w:rPr>
        <w:sz w:val="21"/>
        <w:szCs w:val="21"/>
      </w:rPr>
    </w:pPr>
    <w:r>
      <w:rPr>
        <w:sz w:val="21"/>
        <w:szCs w:val="21"/>
      </w:rPr>
      <w:drawing>
        <wp:anchor distT="0" distB="0" distL="114300" distR="114300" simplePos="0" relativeHeight="251659264" behindDoc="0" locked="0" layoutInCell="1" allowOverlap="1">
          <wp:simplePos x="0" y="0"/>
          <wp:positionH relativeFrom="column">
            <wp:posOffset>22860</wp:posOffset>
          </wp:positionH>
          <wp:positionV relativeFrom="paragraph">
            <wp:posOffset>-216535</wp:posOffset>
          </wp:positionV>
          <wp:extent cx="1257300" cy="314325"/>
          <wp:effectExtent l="0" t="0" r="0" b="0"/>
          <wp:wrapNone/>
          <wp:docPr id="1793395806" name="图片 1"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95806" name="图片 1" descr="Bosera_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6F3C6">
    <w:pPr>
      <w:pStyle w:val="15"/>
      <w:pBdr>
        <w:bottom w:val="single" w:color="auto" w:sz="6" w:space="0"/>
      </w:pBdr>
      <w:jc w:val="right"/>
      <w:rPr>
        <w:sz w:val="21"/>
        <w:szCs w:val="21"/>
      </w:rPr>
    </w:pPr>
    <w:r>
      <w:rPr>
        <w:rFonts w:hint="eastAsia"/>
        <w:sz w:val="21"/>
        <w:szCs w:val="21"/>
      </w:rPr>
      <w:t>博时津开科工产业园封闭式基础设施证券投资基金2026年第3季度报告</w:t>
    </w:r>
    <w:r>
      <w:rPr>
        <w:sz w:val="21"/>
        <w:szCs w:val="21"/>
      </w:rPr>
      <w:drawing>
        <wp:anchor distT="0" distB="0" distL="114300" distR="114300" simplePos="0" relativeHeight="251660288" behindDoc="0" locked="0" layoutInCell="1" allowOverlap="1">
          <wp:simplePos x="0" y="0"/>
          <wp:positionH relativeFrom="column">
            <wp:posOffset>22860</wp:posOffset>
          </wp:positionH>
          <wp:positionV relativeFrom="paragraph">
            <wp:posOffset>-216535</wp:posOffset>
          </wp:positionV>
          <wp:extent cx="1257300" cy="314325"/>
          <wp:effectExtent l="0" t="0" r="0" b="0"/>
          <wp:wrapNone/>
          <wp:docPr id="52885750" name="图片 1"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5750" name="图片 1" descr="Bosera_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3751"/>
    <w:rsid w:val="00010011"/>
    <w:rsid w:val="0001196D"/>
    <w:rsid w:val="00012D7F"/>
    <w:rsid w:val="00013295"/>
    <w:rsid w:val="00014099"/>
    <w:rsid w:val="000160C5"/>
    <w:rsid w:val="0001775D"/>
    <w:rsid w:val="000210E7"/>
    <w:rsid w:val="00021B02"/>
    <w:rsid w:val="00026571"/>
    <w:rsid w:val="00027082"/>
    <w:rsid w:val="0003067B"/>
    <w:rsid w:val="000312ED"/>
    <w:rsid w:val="00031EBB"/>
    <w:rsid w:val="00033B8D"/>
    <w:rsid w:val="000342FC"/>
    <w:rsid w:val="000422EC"/>
    <w:rsid w:val="00043852"/>
    <w:rsid w:val="00043F16"/>
    <w:rsid w:val="000450DD"/>
    <w:rsid w:val="00045D4F"/>
    <w:rsid w:val="000463DE"/>
    <w:rsid w:val="000558F8"/>
    <w:rsid w:val="00055D5B"/>
    <w:rsid w:val="00056ADE"/>
    <w:rsid w:val="000653D9"/>
    <w:rsid w:val="00066257"/>
    <w:rsid w:val="000665A4"/>
    <w:rsid w:val="00070D29"/>
    <w:rsid w:val="00073F72"/>
    <w:rsid w:val="00077320"/>
    <w:rsid w:val="00081405"/>
    <w:rsid w:val="00082FBC"/>
    <w:rsid w:val="0008313A"/>
    <w:rsid w:val="00084AF8"/>
    <w:rsid w:val="00085469"/>
    <w:rsid w:val="00085BB0"/>
    <w:rsid w:val="00087C09"/>
    <w:rsid w:val="000907D2"/>
    <w:rsid w:val="00090A26"/>
    <w:rsid w:val="00091D41"/>
    <w:rsid w:val="000A0FC3"/>
    <w:rsid w:val="000A2B53"/>
    <w:rsid w:val="000B2444"/>
    <w:rsid w:val="000B342B"/>
    <w:rsid w:val="000B44B0"/>
    <w:rsid w:val="000B5DE6"/>
    <w:rsid w:val="000B624F"/>
    <w:rsid w:val="000B73C6"/>
    <w:rsid w:val="000C190B"/>
    <w:rsid w:val="000C1E17"/>
    <w:rsid w:val="000C5216"/>
    <w:rsid w:val="000D0E6C"/>
    <w:rsid w:val="000D2147"/>
    <w:rsid w:val="000D3ED4"/>
    <w:rsid w:val="000D484E"/>
    <w:rsid w:val="000E17D9"/>
    <w:rsid w:val="000E21A2"/>
    <w:rsid w:val="000E29D9"/>
    <w:rsid w:val="000E4E38"/>
    <w:rsid w:val="000E6FD1"/>
    <w:rsid w:val="000E7791"/>
    <w:rsid w:val="000F6CC8"/>
    <w:rsid w:val="0010221B"/>
    <w:rsid w:val="001043C1"/>
    <w:rsid w:val="00107BF0"/>
    <w:rsid w:val="00110448"/>
    <w:rsid w:val="00111261"/>
    <w:rsid w:val="00114396"/>
    <w:rsid w:val="00116CDE"/>
    <w:rsid w:val="00120434"/>
    <w:rsid w:val="0012573E"/>
    <w:rsid w:val="001262AE"/>
    <w:rsid w:val="0012788C"/>
    <w:rsid w:val="0013155E"/>
    <w:rsid w:val="00132F9C"/>
    <w:rsid w:val="00137452"/>
    <w:rsid w:val="00140C4E"/>
    <w:rsid w:val="00141593"/>
    <w:rsid w:val="00142298"/>
    <w:rsid w:val="001442B6"/>
    <w:rsid w:val="00144F93"/>
    <w:rsid w:val="00147376"/>
    <w:rsid w:val="001503E9"/>
    <w:rsid w:val="00150DAD"/>
    <w:rsid w:val="00150E7E"/>
    <w:rsid w:val="00154BE1"/>
    <w:rsid w:val="00156CF8"/>
    <w:rsid w:val="00160EDC"/>
    <w:rsid w:val="001611C5"/>
    <w:rsid w:val="001618B1"/>
    <w:rsid w:val="00162FA9"/>
    <w:rsid w:val="00164757"/>
    <w:rsid w:val="0016638B"/>
    <w:rsid w:val="001675CD"/>
    <w:rsid w:val="0017020B"/>
    <w:rsid w:val="00171EF0"/>
    <w:rsid w:val="00172A27"/>
    <w:rsid w:val="00173336"/>
    <w:rsid w:val="00174349"/>
    <w:rsid w:val="001753D3"/>
    <w:rsid w:val="00175D4F"/>
    <w:rsid w:val="001761D2"/>
    <w:rsid w:val="00177F62"/>
    <w:rsid w:val="001830D7"/>
    <w:rsid w:val="00183166"/>
    <w:rsid w:val="00183A94"/>
    <w:rsid w:val="00185A34"/>
    <w:rsid w:val="00187430"/>
    <w:rsid w:val="00187BC4"/>
    <w:rsid w:val="00187D60"/>
    <w:rsid w:val="001916FF"/>
    <w:rsid w:val="001942BF"/>
    <w:rsid w:val="001966D5"/>
    <w:rsid w:val="00196C94"/>
    <w:rsid w:val="00196E6C"/>
    <w:rsid w:val="001A35A4"/>
    <w:rsid w:val="001A73E8"/>
    <w:rsid w:val="001B0A62"/>
    <w:rsid w:val="001B2F35"/>
    <w:rsid w:val="001B4AAB"/>
    <w:rsid w:val="001B6F12"/>
    <w:rsid w:val="001B703A"/>
    <w:rsid w:val="001C0080"/>
    <w:rsid w:val="001C0993"/>
    <w:rsid w:val="001C3378"/>
    <w:rsid w:val="001C6F44"/>
    <w:rsid w:val="001C79F2"/>
    <w:rsid w:val="001C7C19"/>
    <w:rsid w:val="001D1F63"/>
    <w:rsid w:val="001D2C92"/>
    <w:rsid w:val="001D6073"/>
    <w:rsid w:val="001D63BB"/>
    <w:rsid w:val="001D6A4B"/>
    <w:rsid w:val="001E4630"/>
    <w:rsid w:val="001E66FC"/>
    <w:rsid w:val="001F02F1"/>
    <w:rsid w:val="001F0964"/>
    <w:rsid w:val="001F30DA"/>
    <w:rsid w:val="001F5DC5"/>
    <w:rsid w:val="001F5DE5"/>
    <w:rsid w:val="001F7A1F"/>
    <w:rsid w:val="002001E7"/>
    <w:rsid w:val="00200C59"/>
    <w:rsid w:val="00200F4D"/>
    <w:rsid w:val="00200FAB"/>
    <w:rsid w:val="00201501"/>
    <w:rsid w:val="00205764"/>
    <w:rsid w:val="00206CA8"/>
    <w:rsid w:val="0020765E"/>
    <w:rsid w:val="00207929"/>
    <w:rsid w:val="00213398"/>
    <w:rsid w:val="00213821"/>
    <w:rsid w:val="0021702C"/>
    <w:rsid w:val="00217B92"/>
    <w:rsid w:val="0022154D"/>
    <w:rsid w:val="00226E8D"/>
    <w:rsid w:val="002279D3"/>
    <w:rsid w:val="00236896"/>
    <w:rsid w:val="00237F09"/>
    <w:rsid w:val="00240248"/>
    <w:rsid w:val="0024363B"/>
    <w:rsid w:val="00243A1D"/>
    <w:rsid w:val="0025295E"/>
    <w:rsid w:val="0025321B"/>
    <w:rsid w:val="00261111"/>
    <w:rsid w:val="00262D56"/>
    <w:rsid w:val="0026390B"/>
    <w:rsid w:val="00263D3C"/>
    <w:rsid w:val="002648A0"/>
    <w:rsid w:val="002648B1"/>
    <w:rsid w:val="00264E55"/>
    <w:rsid w:val="002651BD"/>
    <w:rsid w:val="00265C1B"/>
    <w:rsid w:val="0026724E"/>
    <w:rsid w:val="002715E4"/>
    <w:rsid w:val="00275745"/>
    <w:rsid w:val="0027688F"/>
    <w:rsid w:val="00276E44"/>
    <w:rsid w:val="0028228B"/>
    <w:rsid w:val="00282295"/>
    <w:rsid w:val="00282A46"/>
    <w:rsid w:val="002835C9"/>
    <w:rsid w:val="0028615D"/>
    <w:rsid w:val="00286BEF"/>
    <w:rsid w:val="00286FA2"/>
    <w:rsid w:val="002918E3"/>
    <w:rsid w:val="00294A70"/>
    <w:rsid w:val="00295110"/>
    <w:rsid w:val="0029559A"/>
    <w:rsid w:val="00296604"/>
    <w:rsid w:val="00296638"/>
    <w:rsid w:val="002973A9"/>
    <w:rsid w:val="002A2C3D"/>
    <w:rsid w:val="002A2F54"/>
    <w:rsid w:val="002A576B"/>
    <w:rsid w:val="002A6AB0"/>
    <w:rsid w:val="002A70FB"/>
    <w:rsid w:val="002B1D1A"/>
    <w:rsid w:val="002B3ACD"/>
    <w:rsid w:val="002B4182"/>
    <w:rsid w:val="002C468A"/>
    <w:rsid w:val="002C5E79"/>
    <w:rsid w:val="002D0EF8"/>
    <w:rsid w:val="002D2EC4"/>
    <w:rsid w:val="002D3B30"/>
    <w:rsid w:val="002D6344"/>
    <w:rsid w:val="002D6FB6"/>
    <w:rsid w:val="002D7D33"/>
    <w:rsid w:val="002E1B9F"/>
    <w:rsid w:val="002E20E8"/>
    <w:rsid w:val="002E3B09"/>
    <w:rsid w:val="002E52B3"/>
    <w:rsid w:val="002E5F0C"/>
    <w:rsid w:val="002F365C"/>
    <w:rsid w:val="002F562D"/>
    <w:rsid w:val="0030128A"/>
    <w:rsid w:val="00303638"/>
    <w:rsid w:val="00304A12"/>
    <w:rsid w:val="00305636"/>
    <w:rsid w:val="003074E7"/>
    <w:rsid w:val="00310D6B"/>
    <w:rsid w:val="00311662"/>
    <w:rsid w:val="00311A88"/>
    <w:rsid w:val="00312657"/>
    <w:rsid w:val="00312A9F"/>
    <w:rsid w:val="00313301"/>
    <w:rsid w:val="00313B1D"/>
    <w:rsid w:val="00313C64"/>
    <w:rsid w:val="00314A9D"/>
    <w:rsid w:val="00315474"/>
    <w:rsid w:val="003157EC"/>
    <w:rsid w:val="00315D5D"/>
    <w:rsid w:val="00316484"/>
    <w:rsid w:val="00316E01"/>
    <w:rsid w:val="00320300"/>
    <w:rsid w:val="00321BB0"/>
    <w:rsid w:val="00322225"/>
    <w:rsid w:val="00324508"/>
    <w:rsid w:val="003259C8"/>
    <w:rsid w:val="00325F47"/>
    <w:rsid w:val="003307FE"/>
    <w:rsid w:val="00335475"/>
    <w:rsid w:val="00340B66"/>
    <w:rsid w:val="003415DC"/>
    <w:rsid w:val="003417A2"/>
    <w:rsid w:val="00341C64"/>
    <w:rsid w:val="00341CC1"/>
    <w:rsid w:val="003464F5"/>
    <w:rsid w:val="003470E2"/>
    <w:rsid w:val="00352719"/>
    <w:rsid w:val="003533B0"/>
    <w:rsid w:val="0035422F"/>
    <w:rsid w:val="00354F97"/>
    <w:rsid w:val="00355364"/>
    <w:rsid w:val="00356C2A"/>
    <w:rsid w:val="003612DD"/>
    <w:rsid w:val="00364CCB"/>
    <w:rsid w:val="00365FA1"/>
    <w:rsid w:val="00366631"/>
    <w:rsid w:val="00367A24"/>
    <w:rsid w:val="00374488"/>
    <w:rsid w:val="003747F1"/>
    <w:rsid w:val="00376077"/>
    <w:rsid w:val="003802BD"/>
    <w:rsid w:val="003832A4"/>
    <w:rsid w:val="00386FB8"/>
    <w:rsid w:val="0039085F"/>
    <w:rsid w:val="003930E2"/>
    <w:rsid w:val="00393CF9"/>
    <w:rsid w:val="00394069"/>
    <w:rsid w:val="003943CB"/>
    <w:rsid w:val="003A1AE6"/>
    <w:rsid w:val="003A6061"/>
    <w:rsid w:val="003A66B2"/>
    <w:rsid w:val="003A679F"/>
    <w:rsid w:val="003B5B32"/>
    <w:rsid w:val="003B6FBC"/>
    <w:rsid w:val="003B7E23"/>
    <w:rsid w:val="003C0325"/>
    <w:rsid w:val="003C2932"/>
    <w:rsid w:val="003C3139"/>
    <w:rsid w:val="003C37C7"/>
    <w:rsid w:val="003C3C64"/>
    <w:rsid w:val="003D558D"/>
    <w:rsid w:val="003D62C8"/>
    <w:rsid w:val="003D6EFE"/>
    <w:rsid w:val="003E0075"/>
    <w:rsid w:val="003E2240"/>
    <w:rsid w:val="003E62FB"/>
    <w:rsid w:val="003E717C"/>
    <w:rsid w:val="003F163B"/>
    <w:rsid w:val="003F39DF"/>
    <w:rsid w:val="003F3A8B"/>
    <w:rsid w:val="003F63BE"/>
    <w:rsid w:val="00401264"/>
    <w:rsid w:val="00404A27"/>
    <w:rsid w:val="00405124"/>
    <w:rsid w:val="0040559A"/>
    <w:rsid w:val="004061AC"/>
    <w:rsid w:val="00410DB5"/>
    <w:rsid w:val="0041252C"/>
    <w:rsid w:val="004149AC"/>
    <w:rsid w:val="00414A1F"/>
    <w:rsid w:val="0042009D"/>
    <w:rsid w:val="00420C99"/>
    <w:rsid w:val="00421C8D"/>
    <w:rsid w:val="00421DC5"/>
    <w:rsid w:val="00425A74"/>
    <w:rsid w:val="00425C94"/>
    <w:rsid w:val="00425ED7"/>
    <w:rsid w:val="00427CF2"/>
    <w:rsid w:val="00427F58"/>
    <w:rsid w:val="00431280"/>
    <w:rsid w:val="00433805"/>
    <w:rsid w:val="00437AC1"/>
    <w:rsid w:val="00440116"/>
    <w:rsid w:val="0044330C"/>
    <w:rsid w:val="00446854"/>
    <w:rsid w:val="0045244D"/>
    <w:rsid w:val="00456211"/>
    <w:rsid w:val="00460D3F"/>
    <w:rsid w:val="00460DD1"/>
    <w:rsid w:val="00460F0A"/>
    <w:rsid w:val="00466F66"/>
    <w:rsid w:val="00467DBE"/>
    <w:rsid w:val="004709E7"/>
    <w:rsid w:val="00471408"/>
    <w:rsid w:val="00471BC0"/>
    <w:rsid w:val="00477E8E"/>
    <w:rsid w:val="00480788"/>
    <w:rsid w:val="004810CB"/>
    <w:rsid w:val="004825B3"/>
    <w:rsid w:val="004825F8"/>
    <w:rsid w:val="00482FCC"/>
    <w:rsid w:val="004845F1"/>
    <w:rsid w:val="004858E0"/>
    <w:rsid w:val="004860B1"/>
    <w:rsid w:val="004934E9"/>
    <w:rsid w:val="004943C2"/>
    <w:rsid w:val="004A009B"/>
    <w:rsid w:val="004A11A7"/>
    <w:rsid w:val="004A64E9"/>
    <w:rsid w:val="004B01F9"/>
    <w:rsid w:val="004B0661"/>
    <w:rsid w:val="004B5067"/>
    <w:rsid w:val="004C3C04"/>
    <w:rsid w:val="004C702F"/>
    <w:rsid w:val="004D495A"/>
    <w:rsid w:val="004D59A3"/>
    <w:rsid w:val="004E38A8"/>
    <w:rsid w:val="004E3932"/>
    <w:rsid w:val="004E5975"/>
    <w:rsid w:val="004E5A7C"/>
    <w:rsid w:val="004E5AFE"/>
    <w:rsid w:val="004E790A"/>
    <w:rsid w:val="004F4D28"/>
    <w:rsid w:val="004F50FD"/>
    <w:rsid w:val="00500A03"/>
    <w:rsid w:val="00502B96"/>
    <w:rsid w:val="00512038"/>
    <w:rsid w:val="00512200"/>
    <w:rsid w:val="00512F1D"/>
    <w:rsid w:val="005143CD"/>
    <w:rsid w:val="005144F2"/>
    <w:rsid w:val="0051651E"/>
    <w:rsid w:val="00516FB4"/>
    <w:rsid w:val="00522811"/>
    <w:rsid w:val="00522C3E"/>
    <w:rsid w:val="005242A5"/>
    <w:rsid w:val="005249DD"/>
    <w:rsid w:val="00531BA5"/>
    <w:rsid w:val="00531F10"/>
    <w:rsid w:val="00532E86"/>
    <w:rsid w:val="005341F9"/>
    <w:rsid w:val="00534AC3"/>
    <w:rsid w:val="00535AD7"/>
    <w:rsid w:val="00535D8A"/>
    <w:rsid w:val="0054236E"/>
    <w:rsid w:val="00542434"/>
    <w:rsid w:val="00542470"/>
    <w:rsid w:val="00542546"/>
    <w:rsid w:val="00544F98"/>
    <w:rsid w:val="005454FB"/>
    <w:rsid w:val="00551DD8"/>
    <w:rsid w:val="0055248E"/>
    <w:rsid w:val="00554958"/>
    <w:rsid w:val="0056019F"/>
    <w:rsid w:val="0056051B"/>
    <w:rsid w:val="00560C58"/>
    <w:rsid w:val="005659E4"/>
    <w:rsid w:val="0056737F"/>
    <w:rsid w:val="005761EE"/>
    <w:rsid w:val="005772A8"/>
    <w:rsid w:val="005809DC"/>
    <w:rsid w:val="00582029"/>
    <w:rsid w:val="00582D99"/>
    <w:rsid w:val="0058551C"/>
    <w:rsid w:val="00587769"/>
    <w:rsid w:val="0059076B"/>
    <w:rsid w:val="0059351D"/>
    <w:rsid w:val="005A0F1F"/>
    <w:rsid w:val="005A6675"/>
    <w:rsid w:val="005B15BD"/>
    <w:rsid w:val="005B2E9C"/>
    <w:rsid w:val="005B4F93"/>
    <w:rsid w:val="005B5FF3"/>
    <w:rsid w:val="005B73D2"/>
    <w:rsid w:val="005C3745"/>
    <w:rsid w:val="005C5834"/>
    <w:rsid w:val="005C5E5B"/>
    <w:rsid w:val="005C7B1A"/>
    <w:rsid w:val="005D2B36"/>
    <w:rsid w:val="005D2DDB"/>
    <w:rsid w:val="005D4A05"/>
    <w:rsid w:val="005E1093"/>
    <w:rsid w:val="005E1AB1"/>
    <w:rsid w:val="005E2C44"/>
    <w:rsid w:val="005E475E"/>
    <w:rsid w:val="005E53FB"/>
    <w:rsid w:val="005E6720"/>
    <w:rsid w:val="005E6F29"/>
    <w:rsid w:val="005E7DC8"/>
    <w:rsid w:val="005F3996"/>
    <w:rsid w:val="005F42D8"/>
    <w:rsid w:val="005F6AF6"/>
    <w:rsid w:val="00600D7F"/>
    <w:rsid w:val="00602B3E"/>
    <w:rsid w:val="0060402B"/>
    <w:rsid w:val="006066D2"/>
    <w:rsid w:val="00606702"/>
    <w:rsid w:val="0061286A"/>
    <w:rsid w:val="00613CA1"/>
    <w:rsid w:val="00614CC4"/>
    <w:rsid w:val="00615DDA"/>
    <w:rsid w:val="0062025E"/>
    <w:rsid w:val="006204A2"/>
    <w:rsid w:val="0062085B"/>
    <w:rsid w:val="00622856"/>
    <w:rsid w:val="00622E5B"/>
    <w:rsid w:val="00626998"/>
    <w:rsid w:val="006269FB"/>
    <w:rsid w:val="00626C5A"/>
    <w:rsid w:val="006272A7"/>
    <w:rsid w:val="00631ED8"/>
    <w:rsid w:val="0063447B"/>
    <w:rsid w:val="00636DB7"/>
    <w:rsid w:val="0063783A"/>
    <w:rsid w:val="006423B9"/>
    <w:rsid w:val="00643559"/>
    <w:rsid w:val="00645B72"/>
    <w:rsid w:val="00651A09"/>
    <w:rsid w:val="00651DD3"/>
    <w:rsid w:val="00651E03"/>
    <w:rsid w:val="00651F3B"/>
    <w:rsid w:val="00654270"/>
    <w:rsid w:val="00654B0D"/>
    <w:rsid w:val="00655CD8"/>
    <w:rsid w:val="006571DC"/>
    <w:rsid w:val="00660D4B"/>
    <w:rsid w:val="006622B8"/>
    <w:rsid w:val="00663CB9"/>
    <w:rsid w:val="006644ED"/>
    <w:rsid w:val="00664ECC"/>
    <w:rsid w:val="00666FF4"/>
    <w:rsid w:val="00670989"/>
    <w:rsid w:val="006717E4"/>
    <w:rsid w:val="0067184D"/>
    <w:rsid w:val="0067226C"/>
    <w:rsid w:val="006757DC"/>
    <w:rsid w:val="00676095"/>
    <w:rsid w:val="00676FB8"/>
    <w:rsid w:val="0068228D"/>
    <w:rsid w:val="00683FBA"/>
    <w:rsid w:val="0068455C"/>
    <w:rsid w:val="00685189"/>
    <w:rsid w:val="0068787D"/>
    <w:rsid w:val="00687F1A"/>
    <w:rsid w:val="00693843"/>
    <w:rsid w:val="0069426C"/>
    <w:rsid w:val="0069467D"/>
    <w:rsid w:val="00694DFB"/>
    <w:rsid w:val="0069775E"/>
    <w:rsid w:val="006A1C62"/>
    <w:rsid w:val="006A48FD"/>
    <w:rsid w:val="006A58B4"/>
    <w:rsid w:val="006A62CD"/>
    <w:rsid w:val="006A67F8"/>
    <w:rsid w:val="006A7AF1"/>
    <w:rsid w:val="006A7D32"/>
    <w:rsid w:val="006B11BB"/>
    <w:rsid w:val="006B1F7D"/>
    <w:rsid w:val="006B4187"/>
    <w:rsid w:val="006B4378"/>
    <w:rsid w:val="006B51B8"/>
    <w:rsid w:val="006B58DB"/>
    <w:rsid w:val="006B72F7"/>
    <w:rsid w:val="006C12B8"/>
    <w:rsid w:val="006C37FC"/>
    <w:rsid w:val="006C7EA3"/>
    <w:rsid w:val="006D158F"/>
    <w:rsid w:val="006D39E9"/>
    <w:rsid w:val="006D3BE3"/>
    <w:rsid w:val="006D417E"/>
    <w:rsid w:val="006D60F5"/>
    <w:rsid w:val="006D68F0"/>
    <w:rsid w:val="006D7004"/>
    <w:rsid w:val="006D789D"/>
    <w:rsid w:val="006D7FF8"/>
    <w:rsid w:val="006E042A"/>
    <w:rsid w:val="006E190B"/>
    <w:rsid w:val="006E2738"/>
    <w:rsid w:val="006E48F5"/>
    <w:rsid w:val="006F0AB4"/>
    <w:rsid w:val="006F106C"/>
    <w:rsid w:val="006F1531"/>
    <w:rsid w:val="006F5E68"/>
    <w:rsid w:val="00703401"/>
    <w:rsid w:val="007035E6"/>
    <w:rsid w:val="0070412A"/>
    <w:rsid w:val="007043EB"/>
    <w:rsid w:val="007045AE"/>
    <w:rsid w:val="00704A52"/>
    <w:rsid w:val="00706D60"/>
    <w:rsid w:val="007075E3"/>
    <w:rsid w:val="00707F66"/>
    <w:rsid w:val="007120CC"/>
    <w:rsid w:val="007142B8"/>
    <w:rsid w:val="00714FFC"/>
    <w:rsid w:val="00720D28"/>
    <w:rsid w:val="00721F4A"/>
    <w:rsid w:val="00722509"/>
    <w:rsid w:val="00723CD9"/>
    <w:rsid w:val="007266A5"/>
    <w:rsid w:val="00727962"/>
    <w:rsid w:val="00727FCD"/>
    <w:rsid w:val="00731ECE"/>
    <w:rsid w:val="00733DDD"/>
    <w:rsid w:val="007350F7"/>
    <w:rsid w:val="00740105"/>
    <w:rsid w:val="007402F2"/>
    <w:rsid w:val="00740CF8"/>
    <w:rsid w:val="00743065"/>
    <w:rsid w:val="00744844"/>
    <w:rsid w:val="00750CDF"/>
    <w:rsid w:val="00752BA5"/>
    <w:rsid w:val="00753A7D"/>
    <w:rsid w:val="00755299"/>
    <w:rsid w:val="00755D86"/>
    <w:rsid w:val="00764686"/>
    <w:rsid w:val="007650D9"/>
    <w:rsid w:val="007674F0"/>
    <w:rsid w:val="00767C98"/>
    <w:rsid w:val="00770971"/>
    <w:rsid w:val="00771F0F"/>
    <w:rsid w:val="00775104"/>
    <w:rsid w:val="00777937"/>
    <w:rsid w:val="00781F93"/>
    <w:rsid w:val="0078258E"/>
    <w:rsid w:val="00782C8B"/>
    <w:rsid w:val="00791180"/>
    <w:rsid w:val="0079131B"/>
    <w:rsid w:val="007937E8"/>
    <w:rsid w:val="00793D01"/>
    <w:rsid w:val="007957E6"/>
    <w:rsid w:val="00796A8B"/>
    <w:rsid w:val="00796CA8"/>
    <w:rsid w:val="00797305"/>
    <w:rsid w:val="007A117C"/>
    <w:rsid w:val="007B01D4"/>
    <w:rsid w:val="007B035B"/>
    <w:rsid w:val="007B2EDD"/>
    <w:rsid w:val="007B4C04"/>
    <w:rsid w:val="007B5AFB"/>
    <w:rsid w:val="007C1307"/>
    <w:rsid w:val="007C2662"/>
    <w:rsid w:val="007C2667"/>
    <w:rsid w:val="007C3ED2"/>
    <w:rsid w:val="007C4708"/>
    <w:rsid w:val="007C5862"/>
    <w:rsid w:val="007D02C7"/>
    <w:rsid w:val="007D084E"/>
    <w:rsid w:val="007D1658"/>
    <w:rsid w:val="007D271D"/>
    <w:rsid w:val="007D2B40"/>
    <w:rsid w:val="007F0F81"/>
    <w:rsid w:val="007F1021"/>
    <w:rsid w:val="007F5C97"/>
    <w:rsid w:val="00800B24"/>
    <w:rsid w:val="00800E77"/>
    <w:rsid w:val="008014F9"/>
    <w:rsid w:val="00802C33"/>
    <w:rsid w:val="0080358B"/>
    <w:rsid w:val="008059BD"/>
    <w:rsid w:val="0080629C"/>
    <w:rsid w:val="0081091B"/>
    <w:rsid w:val="0081221D"/>
    <w:rsid w:val="00812D46"/>
    <w:rsid w:val="00815A38"/>
    <w:rsid w:val="0082103F"/>
    <w:rsid w:val="008212CF"/>
    <w:rsid w:val="008279FE"/>
    <w:rsid w:val="00827A93"/>
    <w:rsid w:val="00827F71"/>
    <w:rsid w:val="00831259"/>
    <w:rsid w:val="0083208A"/>
    <w:rsid w:val="0083218A"/>
    <w:rsid w:val="00832A00"/>
    <w:rsid w:val="00833D2E"/>
    <w:rsid w:val="00834F37"/>
    <w:rsid w:val="00836873"/>
    <w:rsid w:val="00837845"/>
    <w:rsid w:val="00837D2D"/>
    <w:rsid w:val="0084116A"/>
    <w:rsid w:val="00843C52"/>
    <w:rsid w:val="008442C4"/>
    <w:rsid w:val="008449FE"/>
    <w:rsid w:val="00846739"/>
    <w:rsid w:val="008470F4"/>
    <w:rsid w:val="00853140"/>
    <w:rsid w:val="00854537"/>
    <w:rsid w:val="008606B6"/>
    <w:rsid w:val="00860E7D"/>
    <w:rsid w:val="00861D9E"/>
    <w:rsid w:val="00862B4E"/>
    <w:rsid w:val="00863B43"/>
    <w:rsid w:val="00866CF2"/>
    <w:rsid w:val="00866FF9"/>
    <w:rsid w:val="008700EC"/>
    <w:rsid w:val="008710A1"/>
    <w:rsid w:val="00876D65"/>
    <w:rsid w:val="00882665"/>
    <w:rsid w:val="00882ABB"/>
    <w:rsid w:val="00883856"/>
    <w:rsid w:val="00883FB6"/>
    <w:rsid w:val="0088423E"/>
    <w:rsid w:val="00886F6B"/>
    <w:rsid w:val="0089068C"/>
    <w:rsid w:val="00891261"/>
    <w:rsid w:val="008A10D1"/>
    <w:rsid w:val="008A21B2"/>
    <w:rsid w:val="008B1C6A"/>
    <w:rsid w:val="008B2FDD"/>
    <w:rsid w:val="008B7B82"/>
    <w:rsid w:val="008C1985"/>
    <w:rsid w:val="008C75E7"/>
    <w:rsid w:val="008C7CA8"/>
    <w:rsid w:val="008D02A8"/>
    <w:rsid w:val="008D09EC"/>
    <w:rsid w:val="008D1CC2"/>
    <w:rsid w:val="008D4C9A"/>
    <w:rsid w:val="008D6A7D"/>
    <w:rsid w:val="008E07EB"/>
    <w:rsid w:val="008E2DCB"/>
    <w:rsid w:val="008E326D"/>
    <w:rsid w:val="008E3DFE"/>
    <w:rsid w:val="008E6509"/>
    <w:rsid w:val="008E69E1"/>
    <w:rsid w:val="008E7072"/>
    <w:rsid w:val="008E7B4A"/>
    <w:rsid w:val="008F2FBA"/>
    <w:rsid w:val="008F3DC7"/>
    <w:rsid w:val="008F5F67"/>
    <w:rsid w:val="008F60F2"/>
    <w:rsid w:val="008F6219"/>
    <w:rsid w:val="008F79F1"/>
    <w:rsid w:val="0090217D"/>
    <w:rsid w:val="00903220"/>
    <w:rsid w:val="00904781"/>
    <w:rsid w:val="00905632"/>
    <w:rsid w:val="00905C5E"/>
    <w:rsid w:val="00906D4A"/>
    <w:rsid w:val="00906ECB"/>
    <w:rsid w:val="009078DC"/>
    <w:rsid w:val="009102D3"/>
    <w:rsid w:val="00911307"/>
    <w:rsid w:val="00921AC7"/>
    <w:rsid w:val="00921DE2"/>
    <w:rsid w:val="009228EA"/>
    <w:rsid w:val="00924582"/>
    <w:rsid w:val="009247EA"/>
    <w:rsid w:val="00924DDB"/>
    <w:rsid w:val="00927AAE"/>
    <w:rsid w:val="00931291"/>
    <w:rsid w:val="00931896"/>
    <w:rsid w:val="009334DD"/>
    <w:rsid w:val="0093367D"/>
    <w:rsid w:val="0093667D"/>
    <w:rsid w:val="00940D0F"/>
    <w:rsid w:val="009423ED"/>
    <w:rsid w:val="009431FA"/>
    <w:rsid w:val="00943D9A"/>
    <w:rsid w:val="00945387"/>
    <w:rsid w:val="00945AF6"/>
    <w:rsid w:val="00945F16"/>
    <w:rsid w:val="00946A3A"/>
    <w:rsid w:val="00946E6E"/>
    <w:rsid w:val="00952741"/>
    <w:rsid w:val="00953619"/>
    <w:rsid w:val="009550BE"/>
    <w:rsid w:val="00955531"/>
    <w:rsid w:val="00955BE8"/>
    <w:rsid w:val="00957594"/>
    <w:rsid w:val="00957E14"/>
    <w:rsid w:val="009628DC"/>
    <w:rsid w:val="00963F40"/>
    <w:rsid w:val="00965245"/>
    <w:rsid w:val="00972A75"/>
    <w:rsid w:val="00972FED"/>
    <w:rsid w:val="0098122D"/>
    <w:rsid w:val="00985D73"/>
    <w:rsid w:val="00986596"/>
    <w:rsid w:val="00990685"/>
    <w:rsid w:val="00990F5D"/>
    <w:rsid w:val="0099405D"/>
    <w:rsid w:val="0099479B"/>
    <w:rsid w:val="00995280"/>
    <w:rsid w:val="009972B0"/>
    <w:rsid w:val="00997682"/>
    <w:rsid w:val="009A0ABE"/>
    <w:rsid w:val="009A628A"/>
    <w:rsid w:val="009B2D4B"/>
    <w:rsid w:val="009B40F3"/>
    <w:rsid w:val="009C0430"/>
    <w:rsid w:val="009C3AC5"/>
    <w:rsid w:val="009C4E99"/>
    <w:rsid w:val="009C5186"/>
    <w:rsid w:val="009C60F7"/>
    <w:rsid w:val="009D06D8"/>
    <w:rsid w:val="009D0952"/>
    <w:rsid w:val="009D25E5"/>
    <w:rsid w:val="009D7ACB"/>
    <w:rsid w:val="009E13AA"/>
    <w:rsid w:val="009E1EED"/>
    <w:rsid w:val="009E31DA"/>
    <w:rsid w:val="009E402C"/>
    <w:rsid w:val="009E4E67"/>
    <w:rsid w:val="009E5356"/>
    <w:rsid w:val="009E7C6A"/>
    <w:rsid w:val="009F73D4"/>
    <w:rsid w:val="009F7AF9"/>
    <w:rsid w:val="009F7ED4"/>
    <w:rsid w:val="00A03AAC"/>
    <w:rsid w:val="00A03D8A"/>
    <w:rsid w:val="00A047D1"/>
    <w:rsid w:val="00A0779B"/>
    <w:rsid w:val="00A07C9E"/>
    <w:rsid w:val="00A10C2D"/>
    <w:rsid w:val="00A11EE2"/>
    <w:rsid w:val="00A12CD2"/>
    <w:rsid w:val="00A157E8"/>
    <w:rsid w:val="00A16049"/>
    <w:rsid w:val="00A161C8"/>
    <w:rsid w:val="00A22377"/>
    <w:rsid w:val="00A22AD0"/>
    <w:rsid w:val="00A22DA8"/>
    <w:rsid w:val="00A30C1B"/>
    <w:rsid w:val="00A31671"/>
    <w:rsid w:val="00A33989"/>
    <w:rsid w:val="00A37882"/>
    <w:rsid w:val="00A40C3B"/>
    <w:rsid w:val="00A45320"/>
    <w:rsid w:val="00A4761A"/>
    <w:rsid w:val="00A52F8F"/>
    <w:rsid w:val="00A54ACE"/>
    <w:rsid w:val="00A5612C"/>
    <w:rsid w:val="00A5689C"/>
    <w:rsid w:val="00A57AE4"/>
    <w:rsid w:val="00A63F19"/>
    <w:rsid w:val="00A666D3"/>
    <w:rsid w:val="00A66F42"/>
    <w:rsid w:val="00A71882"/>
    <w:rsid w:val="00A74140"/>
    <w:rsid w:val="00A752C9"/>
    <w:rsid w:val="00A7570F"/>
    <w:rsid w:val="00A75CD7"/>
    <w:rsid w:val="00A76625"/>
    <w:rsid w:val="00A766FE"/>
    <w:rsid w:val="00A83500"/>
    <w:rsid w:val="00A83842"/>
    <w:rsid w:val="00A84587"/>
    <w:rsid w:val="00A86D94"/>
    <w:rsid w:val="00A90049"/>
    <w:rsid w:val="00A906B5"/>
    <w:rsid w:val="00A911F0"/>
    <w:rsid w:val="00A917BF"/>
    <w:rsid w:val="00A91FF5"/>
    <w:rsid w:val="00A9305E"/>
    <w:rsid w:val="00A93400"/>
    <w:rsid w:val="00A96A94"/>
    <w:rsid w:val="00AA0693"/>
    <w:rsid w:val="00AA3A38"/>
    <w:rsid w:val="00AA40DC"/>
    <w:rsid w:val="00AA4F94"/>
    <w:rsid w:val="00AA7E7C"/>
    <w:rsid w:val="00AB047E"/>
    <w:rsid w:val="00AB054A"/>
    <w:rsid w:val="00AC24DE"/>
    <w:rsid w:val="00AC40D5"/>
    <w:rsid w:val="00AC5768"/>
    <w:rsid w:val="00AC592E"/>
    <w:rsid w:val="00AC6C10"/>
    <w:rsid w:val="00AC6DF4"/>
    <w:rsid w:val="00AC7BC6"/>
    <w:rsid w:val="00AC7D66"/>
    <w:rsid w:val="00AD1F2A"/>
    <w:rsid w:val="00AD24AA"/>
    <w:rsid w:val="00AD26D9"/>
    <w:rsid w:val="00AD548E"/>
    <w:rsid w:val="00AD5873"/>
    <w:rsid w:val="00AD62A0"/>
    <w:rsid w:val="00AE52BC"/>
    <w:rsid w:val="00AE76D2"/>
    <w:rsid w:val="00AE7962"/>
    <w:rsid w:val="00AF1576"/>
    <w:rsid w:val="00AF4644"/>
    <w:rsid w:val="00B0022C"/>
    <w:rsid w:val="00B01F00"/>
    <w:rsid w:val="00B022C6"/>
    <w:rsid w:val="00B033C2"/>
    <w:rsid w:val="00B063D5"/>
    <w:rsid w:val="00B06499"/>
    <w:rsid w:val="00B10BC9"/>
    <w:rsid w:val="00B123B8"/>
    <w:rsid w:val="00B12B7D"/>
    <w:rsid w:val="00B13C71"/>
    <w:rsid w:val="00B14E05"/>
    <w:rsid w:val="00B16985"/>
    <w:rsid w:val="00B1734F"/>
    <w:rsid w:val="00B221B8"/>
    <w:rsid w:val="00B22869"/>
    <w:rsid w:val="00B243DA"/>
    <w:rsid w:val="00B24F57"/>
    <w:rsid w:val="00B271D7"/>
    <w:rsid w:val="00B27206"/>
    <w:rsid w:val="00B32AA7"/>
    <w:rsid w:val="00B3465B"/>
    <w:rsid w:val="00B376B9"/>
    <w:rsid w:val="00B4012D"/>
    <w:rsid w:val="00B40A61"/>
    <w:rsid w:val="00B40F64"/>
    <w:rsid w:val="00B42306"/>
    <w:rsid w:val="00B42A76"/>
    <w:rsid w:val="00B42F67"/>
    <w:rsid w:val="00B43AE0"/>
    <w:rsid w:val="00B4742D"/>
    <w:rsid w:val="00B53B4A"/>
    <w:rsid w:val="00B636B1"/>
    <w:rsid w:val="00B7314F"/>
    <w:rsid w:val="00B7378D"/>
    <w:rsid w:val="00B73C03"/>
    <w:rsid w:val="00B75158"/>
    <w:rsid w:val="00B759FC"/>
    <w:rsid w:val="00B76B96"/>
    <w:rsid w:val="00B82413"/>
    <w:rsid w:val="00B82BC4"/>
    <w:rsid w:val="00B839ED"/>
    <w:rsid w:val="00B85352"/>
    <w:rsid w:val="00B85A17"/>
    <w:rsid w:val="00B8630C"/>
    <w:rsid w:val="00B86444"/>
    <w:rsid w:val="00B87214"/>
    <w:rsid w:val="00B92490"/>
    <w:rsid w:val="00B92494"/>
    <w:rsid w:val="00B92FF5"/>
    <w:rsid w:val="00B959E6"/>
    <w:rsid w:val="00BA604D"/>
    <w:rsid w:val="00BB0CCA"/>
    <w:rsid w:val="00BB1DA7"/>
    <w:rsid w:val="00BC25D8"/>
    <w:rsid w:val="00BC4585"/>
    <w:rsid w:val="00BC483D"/>
    <w:rsid w:val="00BC50F1"/>
    <w:rsid w:val="00BC73E5"/>
    <w:rsid w:val="00BD03A7"/>
    <w:rsid w:val="00BD6DA9"/>
    <w:rsid w:val="00BD7105"/>
    <w:rsid w:val="00BD7473"/>
    <w:rsid w:val="00BD7703"/>
    <w:rsid w:val="00BE420D"/>
    <w:rsid w:val="00BE5E4D"/>
    <w:rsid w:val="00BF0CCC"/>
    <w:rsid w:val="00BF2B40"/>
    <w:rsid w:val="00BF48B1"/>
    <w:rsid w:val="00BF58AF"/>
    <w:rsid w:val="00BF6314"/>
    <w:rsid w:val="00BF64FE"/>
    <w:rsid w:val="00C00271"/>
    <w:rsid w:val="00C041E1"/>
    <w:rsid w:val="00C055E2"/>
    <w:rsid w:val="00C05892"/>
    <w:rsid w:val="00C073E9"/>
    <w:rsid w:val="00C12ABA"/>
    <w:rsid w:val="00C178D9"/>
    <w:rsid w:val="00C21500"/>
    <w:rsid w:val="00C21520"/>
    <w:rsid w:val="00C21CA9"/>
    <w:rsid w:val="00C222B2"/>
    <w:rsid w:val="00C225FB"/>
    <w:rsid w:val="00C23346"/>
    <w:rsid w:val="00C24756"/>
    <w:rsid w:val="00C25DEC"/>
    <w:rsid w:val="00C30F72"/>
    <w:rsid w:val="00C322FD"/>
    <w:rsid w:val="00C34F95"/>
    <w:rsid w:val="00C37530"/>
    <w:rsid w:val="00C41FC4"/>
    <w:rsid w:val="00C43321"/>
    <w:rsid w:val="00C43465"/>
    <w:rsid w:val="00C43767"/>
    <w:rsid w:val="00C45C52"/>
    <w:rsid w:val="00C46B88"/>
    <w:rsid w:val="00C477DA"/>
    <w:rsid w:val="00C5218C"/>
    <w:rsid w:val="00C52191"/>
    <w:rsid w:val="00C52C66"/>
    <w:rsid w:val="00C554D4"/>
    <w:rsid w:val="00C5642F"/>
    <w:rsid w:val="00C62CD8"/>
    <w:rsid w:val="00C63554"/>
    <w:rsid w:val="00C640A3"/>
    <w:rsid w:val="00C64124"/>
    <w:rsid w:val="00C71497"/>
    <w:rsid w:val="00C724C1"/>
    <w:rsid w:val="00C72D0B"/>
    <w:rsid w:val="00C72F5B"/>
    <w:rsid w:val="00C73BCD"/>
    <w:rsid w:val="00C75775"/>
    <w:rsid w:val="00C77AEF"/>
    <w:rsid w:val="00C829A9"/>
    <w:rsid w:val="00C831C8"/>
    <w:rsid w:val="00C83C12"/>
    <w:rsid w:val="00C83DB6"/>
    <w:rsid w:val="00C849CF"/>
    <w:rsid w:val="00C86C44"/>
    <w:rsid w:val="00C87129"/>
    <w:rsid w:val="00C91E1B"/>
    <w:rsid w:val="00C953A5"/>
    <w:rsid w:val="00C97D46"/>
    <w:rsid w:val="00CA5FD5"/>
    <w:rsid w:val="00CA6D45"/>
    <w:rsid w:val="00CA7703"/>
    <w:rsid w:val="00CB0F92"/>
    <w:rsid w:val="00CB1606"/>
    <w:rsid w:val="00CB4B5E"/>
    <w:rsid w:val="00CB70B4"/>
    <w:rsid w:val="00CC090A"/>
    <w:rsid w:val="00CC4EDA"/>
    <w:rsid w:val="00CD1087"/>
    <w:rsid w:val="00CD2DB1"/>
    <w:rsid w:val="00CD4248"/>
    <w:rsid w:val="00CD4E6D"/>
    <w:rsid w:val="00CD5707"/>
    <w:rsid w:val="00CD7702"/>
    <w:rsid w:val="00CE29EA"/>
    <w:rsid w:val="00CE33D6"/>
    <w:rsid w:val="00CE3E25"/>
    <w:rsid w:val="00CE5653"/>
    <w:rsid w:val="00CE7466"/>
    <w:rsid w:val="00CF2FC5"/>
    <w:rsid w:val="00CF40E0"/>
    <w:rsid w:val="00CF6572"/>
    <w:rsid w:val="00D01F6A"/>
    <w:rsid w:val="00D020A7"/>
    <w:rsid w:val="00D02347"/>
    <w:rsid w:val="00D02456"/>
    <w:rsid w:val="00D04680"/>
    <w:rsid w:val="00D04755"/>
    <w:rsid w:val="00D13737"/>
    <w:rsid w:val="00D16039"/>
    <w:rsid w:val="00D1638E"/>
    <w:rsid w:val="00D1760B"/>
    <w:rsid w:val="00D21EE4"/>
    <w:rsid w:val="00D21FFF"/>
    <w:rsid w:val="00D22633"/>
    <w:rsid w:val="00D22F26"/>
    <w:rsid w:val="00D272A5"/>
    <w:rsid w:val="00D27571"/>
    <w:rsid w:val="00D305E9"/>
    <w:rsid w:val="00D32F74"/>
    <w:rsid w:val="00D3505A"/>
    <w:rsid w:val="00D35DB2"/>
    <w:rsid w:val="00D37B38"/>
    <w:rsid w:val="00D43AFB"/>
    <w:rsid w:val="00D44EF9"/>
    <w:rsid w:val="00D4610F"/>
    <w:rsid w:val="00D46402"/>
    <w:rsid w:val="00D5434B"/>
    <w:rsid w:val="00D56ECC"/>
    <w:rsid w:val="00D57B7C"/>
    <w:rsid w:val="00D60A2D"/>
    <w:rsid w:val="00D61C2B"/>
    <w:rsid w:val="00D61FE5"/>
    <w:rsid w:val="00D65B44"/>
    <w:rsid w:val="00D70C79"/>
    <w:rsid w:val="00D76145"/>
    <w:rsid w:val="00D803B9"/>
    <w:rsid w:val="00D8099B"/>
    <w:rsid w:val="00D85233"/>
    <w:rsid w:val="00D85954"/>
    <w:rsid w:val="00D85B19"/>
    <w:rsid w:val="00D866A8"/>
    <w:rsid w:val="00D8763E"/>
    <w:rsid w:val="00D87C88"/>
    <w:rsid w:val="00D92F47"/>
    <w:rsid w:val="00D94B8D"/>
    <w:rsid w:val="00D96C8D"/>
    <w:rsid w:val="00D96ECA"/>
    <w:rsid w:val="00DA2876"/>
    <w:rsid w:val="00DA4922"/>
    <w:rsid w:val="00DB24C4"/>
    <w:rsid w:val="00DB4219"/>
    <w:rsid w:val="00DB73DF"/>
    <w:rsid w:val="00DC0B51"/>
    <w:rsid w:val="00DC7B85"/>
    <w:rsid w:val="00DD094C"/>
    <w:rsid w:val="00DD196C"/>
    <w:rsid w:val="00DE0591"/>
    <w:rsid w:val="00DE27F7"/>
    <w:rsid w:val="00DE75A3"/>
    <w:rsid w:val="00DF124B"/>
    <w:rsid w:val="00DF241F"/>
    <w:rsid w:val="00DF69E2"/>
    <w:rsid w:val="00DF7C8F"/>
    <w:rsid w:val="00E01309"/>
    <w:rsid w:val="00E02ED2"/>
    <w:rsid w:val="00E05722"/>
    <w:rsid w:val="00E10C64"/>
    <w:rsid w:val="00E11655"/>
    <w:rsid w:val="00E124E4"/>
    <w:rsid w:val="00E15884"/>
    <w:rsid w:val="00E1626C"/>
    <w:rsid w:val="00E32715"/>
    <w:rsid w:val="00E32CC6"/>
    <w:rsid w:val="00E37F35"/>
    <w:rsid w:val="00E40C53"/>
    <w:rsid w:val="00E43B5B"/>
    <w:rsid w:val="00E44580"/>
    <w:rsid w:val="00E44E18"/>
    <w:rsid w:val="00E50C08"/>
    <w:rsid w:val="00E54301"/>
    <w:rsid w:val="00E55ABD"/>
    <w:rsid w:val="00E60817"/>
    <w:rsid w:val="00E6356A"/>
    <w:rsid w:val="00E638A1"/>
    <w:rsid w:val="00E63E10"/>
    <w:rsid w:val="00E645ED"/>
    <w:rsid w:val="00E6737F"/>
    <w:rsid w:val="00E677CE"/>
    <w:rsid w:val="00E67B57"/>
    <w:rsid w:val="00E74AEC"/>
    <w:rsid w:val="00E80984"/>
    <w:rsid w:val="00E82341"/>
    <w:rsid w:val="00E8496D"/>
    <w:rsid w:val="00E85334"/>
    <w:rsid w:val="00E86ACE"/>
    <w:rsid w:val="00E90957"/>
    <w:rsid w:val="00E90C35"/>
    <w:rsid w:val="00E919A7"/>
    <w:rsid w:val="00EA286F"/>
    <w:rsid w:val="00EA4646"/>
    <w:rsid w:val="00EA70F1"/>
    <w:rsid w:val="00EA7556"/>
    <w:rsid w:val="00EB1BE2"/>
    <w:rsid w:val="00EB2516"/>
    <w:rsid w:val="00EB28F0"/>
    <w:rsid w:val="00EB2C07"/>
    <w:rsid w:val="00EB374A"/>
    <w:rsid w:val="00EB6ABB"/>
    <w:rsid w:val="00EC0D1D"/>
    <w:rsid w:val="00EC282D"/>
    <w:rsid w:val="00EC367C"/>
    <w:rsid w:val="00EC37AF"/>
    <w:rsid w:val="00ED57B9"/>
    <w:rsid w:val="00ED62BE"/>
    <w:rsid w:val="00EE1719"/>
    <w:rsid w:val="00EE1D34"/>
    <w:rsid w:val="00EE3B2C"/>
    <w:rsid w:val="00EE6F61"/>
    <w:rsid w:val="00EE73F5"/>
    <w:rsid w:val="00EF0C2B"/>
    <w:rsid w:val="00EF17AB"/>
    <w:rsid w:val="00EF3658"/>
    <w:rsid w:val="00EF4FA8"/>
    <w:rsid w:val="00EF6FA5"/>
    <w:rsid w:val="00F03EED"/>
    <w:rsid w:val="00F04C00"/>
    <w:rsid w:val="00F04F5A"/>
    <w:rsid w:val="00F06C54"/>
    <w:rsid w:val="00F11104"/>
    <w:rsid w:val="00F12BFC"/>
    <w:rsid w:val="00F13122"/>
    <w:rsid w:val="00F1325C"/>
    <w:rsid w:val="00F132C2"/>
    <w:rsid w:val="00F14CC6"/>
    <w:rsid w:val="00F16E3F"/>
    <w:rsid w:val="00F21783"/>
    <w:rsid w:val="00F22499"/>
    <w:rsid w:val="00F22B0F"/>
    <w:rsid w:val="00F246CB"/>
    <w:rsid w:val="00F24B42"/>
    <w:rsid w:val="00F24F73"/>
    <w:rsid w:val="00F2616F"/>
    <w:rsid w:val="00F27299"/>
    <w:rsid w:val="00F27A6B"/>
    <w:rsid w:val="00F27AB2"/>
    <w:rsid w:val="00F30A8B"/>
    <w:rsid w:val="00F31F6E"/>
    <w:rsid w:val="00F3310C"/>
    <w:rsid w:val="00F33456"/>
    <w:rsid w:val="00F3389C"/>
    <w:rsid w:val="00F360C9"/>
    <w:rsid w:val="00F375F2"/>
    <w:rsid w:val="00F44C36"/>
    <w:rsid w:val="00F5477B"/>
    <w:rsid w:val="00F54EAE"/>
    <w:rsid w:val="00F551DB"/>
    <w:rsid w:val="00F606DF"/>
    <w:rsid w:val="00F61408"/>
    <w:rsid w:val="00F65334"/>
    <w:rsid w:val="00F66A51"/>
    <w:rsid w:val="00F70FB9"/>
    <w:rsid w:val="00F71057"/>
    <w:rsid w:val="00F71A4B"/>
    <w:rsid w:val="00F728CF"/>
    <w:rsid w:val="00F72BE2"/>
    <w:rsid w:val="00F743D4"/>
    <w:rsid w:val="00F75526"/>
    <w:rsid w:val="00F75FE7"/>
    <w:rsid w:val="00F83B17"/>
    <w:rsid w:val="00F85421"/>
    <w:rsid w:val="00F86EA7"/>
    <w:rsid w:val="00F87EDA"/>
    <w:rsid w:val="00F91F93"/>
    <w:rsid w:val="00F94113"/>
    <w:rsid w:val="00F94A05"/>
    <w:rsid w:val="00F970EE"/>
    <w:rsid w:val="00F97F0E"/>
    <w:rsid w:val="00FB0BC9"/>
    <w:rsid w:val="00FB41D3"/>
    <w:rsid w:val="00FB4F70"/>
    <w:rsid w:val="00FB5EFC"/>
    <w:rsid w:val="00FB77BB"/>
    <w:rsid w:val="00FC15AA"/>
    <w:rsid w:val="00FC6C07"/>
    <w:rsid w:val="00FD1375"/>
    <w:rsid w:val="00FD3433"/>
    <w:rsid w:val="00FD359E"/>
    <w:rsid w:val="00FD416F"/>
    <w:rsid w:val="00FD5F37"/>
    <w:rsid w:val="00FD6A17"/>
    <w:rsid w:val="00FD7BD3"/>
    <w:rsid w:val="00FE0A17"/>
    <w:rsid w:val="00FE179F"/>
    <w:rsid w:val="00FE4B16"/>
    <w:rsid w:val="00FE5D33"/>
    <w:rsid w:val="00FE5D8B"/>
    <w:rsid w:val="00FE640E"/>
    <w:rsid w:val="00FF104C"/>
    <w:rsid w:val="00FF20CC"/>
    <w:rsid w:val="00FF213A"/>
    <w:rsid w:val="00FF670D"/>
    <w:rsid w:val="00FF6DAE"/>
    <w:rsid w:val="00FF6E8F"/>
    <w:rsid w:val="00FF7CE5"/>
    <w:rsid w:val="03020E4A"/>
    <w:rsid w:val="0DDF5DCD"/>
    <w:rsid w:val="1EE913CA"/>
    <w:rsid w:val="270C7B0B"/>
    <w:rsid w:val="412A0C66"/>
    <w:rsid w:val="42BE70F8"/>
    <w:rsid w:val="4BF56965"/>
    <w:rsid w:val="4E605C1C"/>
    <w:rsid w:val="51CB24AC"/>
    <w:rsid w:val="534B7496"/>
    <w:rsid w:val="7B745F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qFormat="1" w:unhideWhenUsed="0" w:uiPriority="0"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2"/>
    <w:qFormat/>
    <w:uiPriority w:val="99"/>
    <w:pPr>
      <w:keepNext/>
      <w:keepLines/>
      <w:spacing w:before="340" w:after="330" w:line="578" w:lineRule="auto"/>
      <w:outlineLvl w:val="0"/>
    </w:pPr>
    <w:rPr>
      <w:b/>
      <w:bCs/>
      <w:kern w:val="44"/>
      <w:sz w:val="44"/>
      <w:szCs w:val="44"/>
    </w:rPr>
  </w:style>
  <w:style w:type="paragraph" w:styleId="3">
    <w:name w:val="heading 2"/>
    <w:basedOn w:val="1"/>
    <w:next w:val="4"/>
    <w:link w:val="33"/>
    <w:qFormat/>
    <w:uiPriority w:val="99"/>
    <w:pPr>
      <w:keepNext/>
      <w:keepLines/>
      <w:spacing w:before="260" w:after="260" w:line="360" w:lineRule="auto"/>
      <w:outlineLvl w:val="1"/>
    </w:pPr>
    <w:rPr>
      <w:rFonts w:ascii="Arial" w:hAnsi="Arial" w:cs="Arial"/>
      <w:b/>
      <w:bCs/>
      <w:sz w:val="24"/>
      <w:szCs w:val="24"/>
    </w:rPr>
  </w:style>
  <w:style w:type="paragraph" w:styleId="5">
    <w:name w:val="heading 3"/>
    <w:basedOn w:val="1"/>
    <w:next w:val="1"/>
    <w:link w:val="34"/>
    <w:qFormat/>
    <w:uiPriority w:val="99"/>
    <w:pPr>
      <w:keepNext/>
      <w:keepLines/>
      <w:spacing w:before="260" w:after="260" w:line="416" w:lineRule="auto"/>
      <w:outlineLvl w:val="2"/>
    </w:pPr>
    <w:rPr>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firstLineChars="200"/>
    </w:pPr>
  </w:style>
  <w:style w:type="paragraph" w:styleId="6">
    <w:name w:val="Document Map"/>
    <w:basedOn w:val="1"/>
    <w:link w:val="64"/>
    <w:semiHidden/>
    <w:qFormat/>
    <w:uiPriority w:val="99"/>
    <w:pPr>
      <w:shd w:val="clear" w:color="auto" w:fill="000080"/>
    </w:pPr>
  </w:style>
  <w:style w:type="paragraph" w:styleId="7">
    <w:name w:val="annotation text"/>
    <w:basedOn w:val="1"/>
    <w:link w:val="61"/>
    <w:semiHidden/>
    <w:qFormat/>
    <w:uiPriority w:val="99"/>
    <w:pPr>
      <w:jc w:val="left"/>
    </w:pPr>
  </w:style>
  <w:style w:type="paragraph" w:styleId="8">
    <w:name w:val="Body Text"/>
    <w:basedOn w:val="1"/>
    <w:link w:val="41"/>
    <w:qFormat/>
    <w:uiPriority w:val="99"/>
    <w:pPr>
      <w:spacing w:after="120"/>
    </w:pPr>
  </w:style>
  <w:style w:type="paragraph" w:styleId="9">
    <w:name w:val="Body Text Indent"/>
    <w:basedOn w:val="1"/>
    <w:link w:val="35"/>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0">
    <w:name w:val="Plain Text"/>
    <w:basedOn w:val="1"/>
    <w:link w:val="36"/>
    <w:qFormat/>
    <w:uiPriority w:val="99"/>
    <w:rPr>
      <w:rFonts w:ascii="宋体" w:hAnsi="Courier New" w:cs="宋体"/>
    </w:rPr>
  </w:style>
  <w:style w:type="paragraph" w:styleId="11">
    <w:name w:val="Date"/>
    <w:basedOn w:val="1"/>
    <w:next w:val="1"/>
    <w:link w:val="42"/>
    <w:qFormat/>
    <w:uiPriority w:val="99"/>
    <w:rPr>
      <w:sz w:val="24"/>
      <w:szCs w:val="24"/>
    </w:rPr>
  </w:style>
  <w:style w:type="paragraph" w:styleId="12">
    <w:name w:val="Body Text Indent 2"/>
    <w:basedOn w:val="1"/>
    <w:link w:val="37"/>
    <w:qFormat/>
    <w:uiPriority w:val="99"/>
    <w:pPr>
      <w:spacing w:line="560" w:lineRule="exact"/>
      <w:ind w:firstLine="480" w:firstLineChars="200"/>
    </w:pPr>
    <w:rPr>
      <w:rFonts w:ascii="宋体" w:hAnsi="宋体" w:cs="宋体"/>
      <w:color w:val="FF0000"/>
      <w:sz w:val="24"/>
      <w:szCs w:val="24"/>
    </w:rPr>
  </w:style>
  <w:style w:type="paragraph" w:styleId="13">
    <w:name w:val="Balloon Text"/>
    <w:basedOn w:val="1"/>
    <w:link w:val="60"/>
    <w:semiHidden/>
    <w:qFormat/>
    <w:uiPriority w:val="99"/>
    <w:rPr>
      <w:sz w:val="18"/>
      <w:szCs w:val="18"/>
    </w:rPr>
  </w:style>
  <w:style w:type="paragraph" w:styleId="14">
    <w:name w:val="footer"/>
    <w:basedOn w:val="1"/>
    <w:link w:val="38"/>
    <w:qFormat/>
    <w:uiPriority w:val="99"/>
    <w:pPr>
      <w:tabs>
        <w:tab w:val="center" w:pos="4153"/>
        <w:tab w:val="right" w:pos="8306"/>
      </w:tabs>
      <w:snapToGrid w:val="0"/>
      <w:jc w:val="left"/>
    </w:pPr>
    <w:rPr>
      <w:sz w:val="18"/>
      <w:szCs w:val="18"/>
    </w:rPr>
  </w:style>
  <w:style w:type="paragraph" w:styleId="15">
    <w:name w:val="header"/>
    <w:basedOn w:val="1"/>
    <w:link w:val="40"/>
    <w:qFormat/>
    <w:uiPriority w:val="99"/>
    <w:pPr>
      <w:pBdr>
        <w:bottom w:val="single" w:color="auto" w:sz="6" w:space="1"/>
      </w:pBdr>
      <w:tabs>
        <w:tab w:val="center" w:pos="4153"/>
        <w:tab w:val="right" w:pos="8306"/>
      </w:tabs>
      <w:snapToGrid w:val="0"/>
      <w:jc w:val="center"/>
    </w:pPr>
    <w:rPr>
      <w:sz w:val="18"/>
      <w:szCs w:val="18"/>
    </w:rPr>
  </w:style>
  <w:style w:type="paragraph" w:styleId="16">
    <w:name w:val="List"/>
    <w:basedOn w:val="8"/>
    <w:qFormat/>
    <w:uiPriority w:val="99"/>
    <w:pPr>
      <w:spacing w:after="220" w:line="220" w:lineRule="atLeast"/>
      <w:ind w:left="1440" w:hanging="360"/>
    </w:pPr>
  </w:style>
  <w:style w:type="paragraph" w:styleId="17">
    <w:name w:val="footnote text"/>
    <w:basedOn w:val="1"/>
    <w:link w:val="66"/>
    <w:qFormat/>
    <w:uiPriority w:val="0"/>
    <w:pPr>
      <w:snapToGrid w:val="0"/>
      <w:jc w:val="left"/>
    </w:pPr>
    <w:rPr>
      <w:sz w:val="18"/>
      <w:szCs w:val="18"/>
    </w:rPr>
  </w:style>
  <w:style w:type="paragraph" w:styleId="18">
    <w:name w:val="Body Text Indent 3"/>
    <w:basedOn w:val="1"/>
    <w:link w:val="39"/>
    <w:qFormat/>
    <w:uiPriority w:val="99"/>
    <w:pPr>
      <w:spacing w:line="560" w:lineRule="exact"/>
      <w:ind w:firstLine="420" w:firstLineChars="200"/>
    </w:pPr>
    <w:rPr>
      <w:rFonts w:ascii="Arial" w:hAnsi="Arial" w:cs="Arial"/>
      <w:color w:val="FF0000"/>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0">
    <w:name w:val="index 1"/>
    <w:basedOn w:val="1"/>
    <w:next w:val="1"/>
    <w:semiHidden/>
    <w:qFormat/>
    <w:uiPriority w:val="99"/>
    <w:pPr>
      <w:jc w:val="right"/>
    </w:pPr>
    <w:rPr>
      <w:color w:val="008000"/>
    </w:rPr>
  </w:style>
  <w:style w:type="paragraph" w:styleId="21">
    <w:name w:val="Title"/>
    <w:basedOn w:val="1"/>
    <w:next w:val="1"/>
    <w:link w:val="70"/>
    <w:qFormat/>
    <w:uiPriority w:val="99"/>
    <w:pPr>
      <w:spacing w:before="240" w:after="60"/>
      <w:jc w:val="center"/>
      <w:outlineLvl w:val="0"/>
    </w:pPr>
    <w:rPr>
      <w:rFonts w:ascii="Cambria" w:hAnsi="Cambria" w:cs="Cambria"/>
      <w:b/>
      <w:bCs/>
      <w:sz w:val="32"/>
      <w:szCs w:val="32"/>
    </w:rPr>
  </w:style>
  <w:style w:type="paragraph" w:styleId="22">
    <w:name w:val="annotation subject"/>
    <w:basedOn w:val="7"/>
    <w:next w:val="7"/>
    <w:link w:val="62"/>
    <w:semiHidden/>
    <w:qFormat/>
    <w:uiPriority w:val="99"/>
    <w:rPr>
      <w:b/>
      <w:bCs/>
    </w:rPr>
  </w:style>
  <w:style w:type="paragraph" w:styleId="23">
    <w:name w:val="Body Text First Indent 2"/>
    <w:basedOn w:val="9"/>
    <w:next w:val="1"/>
    <w:unhideWhenUsed/>
    <w:qFormat/>
    <w:uiPriority w:val="0"/>
    <w:pPr>
      <w:spacing w:before="156" w:beforeLines="50" w:after="156" w:afterLines="50"/>
      <w:ind w:left="0" w:leftChars="0"/>
      <w:jc w:val="center"/>
    </w:pPr>
    <w:rPr>
      <w:rFonts w:ascii="宋体" w:hAnsi="Times New Roman"/>
      <w:szCs w:val="24"/>
    </w:rPr>
  </w:style>
  <w:style w:type="table" w:styleId="25">
    <w:name w:val="Table Grid"/>
    <w:basedOn w:val="2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99"/>
  </w:style>
  <w:style w:type="character" w:styleId="28">
    <w:name w:val="FollowedHyperlink"/>
    <w:basedOn w:val="26"/>
    <w:qFormat/>
    <w:uiPriority w:val="99"/>
    <w:rPr>
      <w:color w:val="800080"/>
      <w:u w:val="single"/>
    </w:rPr>
  </w:style>
  <w:style w:type="character" w:styleId="29">
    <w:name w:val="Hyperlink"/>
    <w:basedOn w:val="26"/>
    <w:qFormat/>
    <w:uiPriority w:val="99"/>
    <w:rPr>
      <w:color w:val="0000FF"/>
      <w:u w:val="single"/>
    </w:rPr>
  </w:style>
  <w:style w:type="character" w:styleId="30">
    <w:name w:val="annotation reference"/>
    <w:basedOn w:val="26"/>
    <w:semiHidden/>
    <w:qFormat/>
    <w:uiPriority w:val="99"/>
    <w:rPr>
      <w:sz w:val="21"/>
      <w:szCs w:val="21"/>
    </w:rPr>
  </w:style>
  <w:style w:type="character" w:styleId="31">
    <w:name w:val="footnote reference"/>
    <w:basedOn w:val="26"/>
    <w:qFormat/>
    <w:uiPriority w:val="99"/>
    <w:rPr>
      <w:vertAlign w:val="superscript"/>
    </w:rPr>
  </w:style>
  <w:style w:type="character" w:customStyle="1" w:styleId="32">
    <w:name w:val="标题 1 字符"/>
    <w:basedOn w:val="26"/>
    <w:link w:val="2"/>
    <w:qFormat/>
    <w:uiPriority w:val="99"/>
    <w:rPr>
      <w:rFonts w:ascii="Times New Roman" w:hAnsi="Times New Roman" w:eastAsia="宋体" w:cs="Times New Roman"/>
      <w:b/>
      <w:bCs/>
      <w:kern w:val="44"/>
      <w:sz w:val="44"/>
      <w:szCs w:val="44"/>
    </w:rPr>
  </w:style>
  <w:style w:type="character" w:customStyle="1" w:styleId="33">
    <w:name w:val="标题 2 字符"/>
    <w:basedOn w:val="26"/>
    <w:link w:val="3"/>
    <w:qFormat/>
    <w:uiPriority w:val="99"/>
    <w:rPr>
      <w:rFonts w:ascii="Arial" w:hAnsi="Arial" w:eastAsia="宋体" w:cs="Arial"/>
      <w:b/>
      <w:bCs/>
      <w:sz w:val="24"/>
      <w:szCs w:val="24"/>
    </w:rPr>
  </w:style>
  <w:style w:type="character" w:customStyle="1" w:styleId="34">
    <w:name w:val="标题 3 字符"/>
    <w:basedOn w:val="26"/>
    <w:link w:val="5"/>
    <w:qFormat/>
    <w:uiPriority w:val="99"/>
    <w:rPr>
      <w:rFonts w:ascii="Times New Roman" w:hAnsi="Times New Roman" w:eastAsia="宋体" w:cs="Times New Roman"/>
      <w:b/>
      <w:bCs/>
      <w:sz w:val="32"/>
      <w:szCs w:val="32"/>
    </w:rPr>
  </w:style>
  <w:style w:type="character" w:customStyle="1" w:styleId="35">
    <w:name w:val="正文文本缩进 字符"/>
    <w:basedOn w:val="26"/>
    <w:link w:val="9"/>
    <w:qFormat/>
    <w:uiPriority w:val="99"/>
    <w:rPr>
      <w:rFonts w:ascii="Arial Unicode MS" w:hAnsi="Arial Unicode MS" w:eastAsia="Arial Unicode MS" w:cs="Arial Unicode MS"/>
      <w:kern w:val="0"/>
      <w:sz w:val="24"/>
      <w:szCs w:val="24"/>
    </w:rPr>
  </w:style>
  <w:style w:type="character" w:customStyle="1" w:styleId="36">
    <w:name w:val="纯文本 字符"/>
    <w:basedOn w:val="26"/>
    <w:link w:val="10"/>
    <w:qFormat/>
    <w:uiPriority w:val="99"/>
    <w:rPr>
      <w:rFonts w:ascii="宋体" w:hAnsi="Courier New" w:eastAsia="宋体" w:cs="宋体"/>
      <w:szCs w:val="21"/>
    </w:rPr>
  </w:style>
  <w:style w:type="character" w:customStyle="1" w:styleId="37">
    <w:name w:val="正文文本缩进 2 字符"/>
    <w:basedOn w:val="26"/>
    <w:link w:val="12"/>
    <w:qFormat/>
    <w:uiPriority w:val="99"/>
    <w:rPr>
      <w:rFonts w:ascii="宋体" w:hAnsi="宋体" w:eastAsia="宋体" w:cs="宋体"/>
      <w:color w:val="FF0000"/>
      <w:sz w:val="24"/>
      <w:szCs w:val="24"/>
    </w:rPr>
  </w:style>
  <w:style w:type="character" w:customStyle="1" w:styleId="38">
    <w:name w:val="页脚 字符"/>
    <w:basedOn w:val="26"/>
    <w:link w:val="14"/>
    <w:qFormat/>
    <w:uiPriority w:val="99"/>
    <w:rPr>
      <w:rFonts w:ascii="Times New Roman" w:hAnsi="Times New Roman" w:eastAsia="宋体" w:cs="Times New Roman"/>
      <w:sz w:val="18"/>
      <w:szCs w:val="18"/>
    </w:rPr>
  </w:style>
  <w:style w:type="character" w:customStyle="1" w:styleId="39">
    <w:name w:val="正文文本缩进 3 字符"/>
    <w:basedOn w:val="26"/>
    <w:link w:val="18"/>
    <w:qFormat/>
    <w:uiPriority w:val="99"/>
    <w:rPr>
      <w:rFonts w:ascii="Arial" w:hAnsi="Arial" w:eastAsia="宋体" w:cs="Arial"/>
      <w:color w:val="FF0000"/>
      <w:szCs w:val="21"/>
    </w:rPr>
  </w:style>
  <w:style w:type="character" w:customStyle="1" w:styleId="40">
    <w:name w:val="页眉 字符"/>
    <w:basedOn w:val="26"/>
    <w:link w:val="15"/>
    <w:qFormat/>
    <w:uiPriority w:val="99"/>
    <w:rPr>
      <w:rFonts w:ascii="Times New Roman" w:hAnsi="Times New Roman" w:eastAsia="宋体" w:cs="Times New Roman"/>
      <w:sz w:val="18"/>
      <w:szCs w:val="18"/>
    </w:rPr>
  </w:style>
  <w:style w:type="character" w:customStyle="1" w:styleId="41">
    <w:name w:val="正文文本 字符"/>
    <w:basedOn w:val="26"/>
    <w:link w:val="8"/>
    <w:qFormat/>
    <w:uiPriority w:val="0"/>
    <w:rPr>
      <w:rFonts w:ascii="Times New Roman" w:hAnsi="Times New Roman" w:eastAsia="宋体" w:cs="Times New Roman"/>
      <w:szCs w:val="21"/>
    </w:rPr>
  </w:style>
  <w:style w:type="character" w:customStyle="1" w:styleId="42">
    <w:name w:val="日期 字符"/>
    <w:basedOn w:val="26"/>
    <w:link w:val="11"/>
    <w:qFormat/>
    <w:uiPriority w:val="99"/>
    <w:rPr>
      <w:rFonts w:ascii="Times New Roman" w:hAnsi="Times New Roman" w:eastAsia="宋体" w:cs="Times New Roman"/>
      <w:sz w:val="24"/>
      <w:szCs w:val="24"/>
    </w:rPr>
  </w:style>
  <w:style w:type="character" w:customStyle="1" w:styleId="43">
    <w:name w:val="c1"/>
    <w:basedOn w:val="26"/>
    <w:qFormat/>
    <w:uiPriority w:val="99"/>
    <w:rPr>
      <w:color w:val="000000"/>
      <w:sz w:val="18"/>
      <w:szCs w:val="18"/>
    </w:rPr>
  </w:style>
  <w:style w:type="paragraph" w:customStyle="1" w:styleId="44">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45">
    <w:name w:val="xl24"/>
    <w:basedOn w:val="1"/>
    <w:qFormat/>
    <w:uiPriority w:val="99"/>
    <w:pPr>
      <w:widowControl/>
      <w:pBdr>
        <w:top w:val="double" w:color="000000" w:sz="6" w:space="0"/>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cs="Arial Unicode MS"/>
      <w:b/>
      <w:bCs/>
      <w:color w:val="0000FF"/>
      <w:kern w:val="0"/>
      <w:sz w:val="29"/>
      <w:szCs w:val="29"/>
    </w:rPr>
  </w:style>
  <w:style w:type="paragraph" w:customStyle="1" w:styleId="46">
    <w:name w:val="xl25"/>
    <w:basedOn w:val="1"/>
    <w:qFormat/>
    <w:uiPriority w:val="99"/>
    <w:pPr>
      <w:widowControl/>
      <w:pBdr>
        <w:top w:val="single" w:color="000000" w:sz="4" w:space="0"/>
        <w:left w:val="double" w:color="000000" w:sz="6"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kern w:val="0"/>
      <w:sz w:val="24"/>
      <w:szCs w:val="24"/>
    </w:rPr>
  </w:style>
  <w:style w:type="paragraph" w:customStyle="1" w:styleId="47">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48">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12"/>
      <w:szCs w:val="12"/>
    </w:rPr>
  </w:style>
  <w:style w:type="paragraph" w:customStyle="1" w:styleId="49">
    <w:name w:val="xl28"/>
    <w:basedOn w:val="1"/>
    <w:qFormat/>
    <w:uiPriority w:val="99"/>
    <w:pPr>
      <w:widowControl/>
      <w:pBdr>
        <w:top w:val="single" w:color="000000" w:sz="4" w:space="0"/>
        <w:left w:val="single" w:color="000000" w:sz="4" w:space="0"/>
        <w:bottom w:val="single" w:color="000000" w:sz="4" w:space="0"/>
        <w:right w:val="double" w:color="000000" w:sz="6"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50">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51">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52">
    <w:name w:val="xl31"/>
    <w:basedOn w:val="1"/>
    <w:qFormat/>
    <w:uiPriority w:val="99"/>
    <w:pPr>
      <w:widowControl/>
      <w:pBdr>
        <w:top w:val="single" w:color="000000" w:sz="4" w:space="0"/>
        <w:left w:val="double" w:color="000000" w:sz="6"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53">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54">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color w:val="000000"/>
      <w:kern w:val="0"/>
      <w:sz w:val="22"/>
      <w:szCs w:val="22"/>
    </w:rPr>
  </w:style>
  <w:style w:type="paragraph" w:customStyle="1" w:styleId="55">
    <w:name w:val="xl34"/>
    <w:basedOn w:val="1"/>
    <w:qFormat/>
    <w:uiPriority w:val="99"/>
    <w:pPr>
      <w:widowControl/>
      <w:pBdr>
        <w:top w:val="single" w:color="000000" w:sz="4" w:space="0"/>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56">
    <w:name w:val="xl35"/>
    <w:basedOn w:val="1"/>
    <w:qFormat/>
    <w:uiPriority w:val="99"/>
    <w:pPr>
      <w:widowControl/>
      <w:pBdr>
        <w:top w:val="single" w:color="000000" w:sz="4" w:space="0"/>
        <w:left w:val="double" w:color="000000" w:sz="6"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kern w:val="0"/>
      <w:sz w:val="23"/>
      <w:szCs w:val="23"/>
    </w:rPr>
  </w:style>
  <w:style w:type="paragraph" w:customStyle="1" w:styleId="57">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FF0000"/>
      <w:kern w:val="0"/>
      <w:sz w:val="23"/>
      <w:szCs w:val="23"/>
    </w:rPr>
  </w:style>
  <w:style w:type="paragraph" w:customStyle="1" w:styleId="58">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FF0000"/>
      <w:kern w:val="0"/>
      <w:sz w:val="23"/>
      <w:szCs w:val="23"/>
    </w:rPr>
  </w:style>
  <w:style w:type="paragraph" w:customStyle="1" w:styleId="59">
    <w:name w:val="xl38"/>
    <w:basedOn w:val="1"/>
    <w:qFormat/>
    <w:uiPriority w:val="99"/>
    <w:pPr>
      <w:widowControl/>
      <w:pBdr>
        <w:top w:val="single" w:color="000000" w:sz="4" w:space="0"/>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cs="Arial Unicode MS"/>
      <w:b/>
      <w:bCs/>
      <w:color w:val="FF0000"/>
      <w:kern w:val="0"/>
      <w:sz w:val="23"/>
      <w:szCs w:val="23"/>
    </w:rPr>
  </w:style>
  <w:style w:type="character" w:customStyle="1" w:styleId="60">
    <w:name w:val="批注框文本 字符"/>
    <w:basedOn w:val="26"/>
    <w:link w:val="13"/>
    <w:semiHidden/>
    <w:qFormat/>
    <w:uiPriority w:val="99"/>
    <w:rPr>
      <w:rFonts w:ascii="Times New Roman" w:hAnsi="Times New Roman" w:eastAsia="宋体" w:cs="Times New Roman"/>
      <w:sz w:val="18"/>
      <w:szCs w:val="18"/>
    </w:rPr>
  </w:style>
  <w:style w:type="character" w:customStyle="1" w:styleId="61">
    <w:name w:val="批注文字 字符"/>
    <w:basedOn w:val="26"/>
    <w:link w:val="7"/>
    <w:semiHidden/>
    <w:qFormat/>
    <w:uiPriority w:val="99"/>
    <w:rPr>
      <w:rFonts w:ascii="Times New Roman" w:hAnsi="Times New Roman" w:eastAsia="宋体" w:cs="Times New Roman"/>
      <w:szCs w:val="21"/>
    </w:rPr>
  </w:style>
  <w:style w:type="character" w:customStyle="1" w:styleId="62">
    <w:name w:val="批注主题 字符"/>
    <w:basedOn w:val="61"/>
    <w:link w:val="22"/>
    <w:semiHidden/>
    <w:qFormat/>
    <w:uiPriority w:val="99"/>
    <w:rPr>
      <w:rFonts w:ascii="Times New Roman" w:hAnsi="Times New Roman" w:eastAsia="宋体" w:cs="Times New Roman"/>
      <w:b/>
      <w:bCs/>
      <w:szCs w:val="21"/>
    </w:rPr>
  </w:style>
  <w:style w:type="paragraph" w:customStyle="1" w:styleId="63">
    <w:name w:val="Char"/>
    <w:basedOn w:val="1"/>
    <w:qFormat/>
    <w:uiPriority w:val="99"/>
  </w:style>
  <w:style w:type="character" w:customStyle="1" w:styleId="64">
    <w:name w:val="文档结构图 字符"/>
    <w:basedOn w:val="26"/>
    <w:link w:val="6"/>
    <w:semiHidden/>
    <w:qFormat/>
    <w:uiPriority w:val="99"/>
    <w:rPr>
      <w:rFonts w:ascii="Times New Roman" w:hAnsi="Times New Roman" w:eastAsia="宋体" w:cs="Times New Roman"/>
      <w:szCs w:val="21"/>
      <w:shd w:val="clear" w:color="auto" w:fill="000080"/>
    </w:rPr>
  </w:style>
  <w:style w:type="paragraph" w:customStyle="1" w:styleId="65">
    <w:name w:val="正文 + (符号) 宋体"/>
    <w:basedOn w:val="1"/>
    <w:qFormat/>
    <w:uiPriority w:val="99"/>
    <w:pPr>
      <w:autoSpaceDE w:val="0"/>
      <w:autoSpaceDN w:val="0"/>
      <w:adjustRightInd w:val="0"/>
      <w:ind w:right="1409" w:rightChars="671" w:firstLine="1229" w:firstLineChars="512"/>
      <w:jc w:val="distribute"/>
    </w:pPr>
    <w:rPr>
      <w:sz w:val="24"/>
      <w:szCs w:val="24"/>
    </w:rPr>
  </w:style>
  <w:style w:type="character" w:customStyle="1" w:styleId="66">
    <w:name w:val="脚注文本 字符"/>
    <w:basedOn w:val="26"/>
    <w:link w:val="17"/>
    <w:qFormat/>
    <w:uiPriority w:val="0"/>
    <w:rPr>
      <w:rFonts w:ascii="Times New Roman" w:hAnsi="Times New Roman" w:eastAsia="宋体" w:cs="Times New Roman"/>
      <w:sz w:val="18"/>
      <w:szCs w:val="18"/>
    </w:rPr>
  </w:style>
  <w:style w:type="paragraph" w:customStyle="1" w:styleId="67">
    <w:name w:val="Char1"/>
    <w:basedOn w:val="1"/>
    <w:qFormat/>
    <w:uiPriority w:val="99"/>
  </w:style>
  <w:style w:type="paragraph" w:customStyle="1" w:styleId="68">
    <w:name w:val="Char Char Char Char Char Char1 Char Char Char"/>
    <w:basedOn w:val="1"/>
    <w:qFormat/>
    <w:uiPriority w:val="99"/>
    <w:pPr>
      <w:autoSpaceDE w:val="0"/>
      <w:autoSpaceDN w:val="0"/>
      <w:adjustRightInd w:val="0"/>
      <w:jc w:val="left"/>
      <w:textAlignment w:val="baseline"/>
    </w:pPr>
    <w:rPr>
      <w:rFonts w:ascii="宋体" w:cs="宋体"/>
      <w:kern w:val="0"/>
      <w:sz w:val="34"/>
      <w:szCs w:val="34"/>
    </w:rPr>
  </w:style>
  <w:style w:type="paragraph" w:customStyle="1" w:styleId="69">
    <w:name w:val="Char Char Char Char Char Char1 Char Char Char2"/>
    <w:basedOn w:val="1"/>
    <w:qFormat/>
    <w:uiPriority w:val="99"/>
    <w:pPr>
      <w:autoSpaceDE w:val="0"/>
      <w:autoSpaceDN w:val="0"/>
      <w:adjustRightInd w:val="0"/>
      <w:jc w:val="left"/>
      <w:textAlignment w:val="baseline"/>
    </w:pPr>
    <w:rPr>
      <w:rFonts w:ascii="宋体" w:cs="宋体"/>
      <w:kern w:val="0"/>
      <w:sz w:val="34"/>
      <w:szCs w:val="34"/>
    </w:rPr>
  </w:style>
  <w:style w:type="character" w:customStyle="1" w:styleId="70">
    <w:name w:val="标题 字符"/>
    <w:basedOn w:val="26"/>
    <w:link w:val="21"/>
    <w:qFormat/>
    <w:uiPriority w:val="99"/>
    <w:rPr>
      <w:rFonts w:ascii="Cambria" w:hAnsi="Cambria" w:eastAsia="宋体" w:cs="Cambria"/>
      <w:b/>
      <w:bCs/>
      <w:sz w:val="32"/>
      <w:szCs w:val="32"/>
    </w:rPr>
  </w:style>
  <w:style w:type="paragraph" w:customStyle="1" w:styleId="71">
    <w:name w:val="Char Char Char Char Char Char1 Char Char Char1"/>
    <w:basedOn w:val="1"/>
    <w:qFormat/>
    <w:uiPriority w:val="99"/>
    <w:pPr>
      <w:autoSpaceDE w:val="0"/>
      <w:autoSpaceDN w:val="0"/>
      <w:adjustRightInd w:val="0"/>
      <w:jc w:val="left"/>
      <w:textAlignment w:val="baseline"/>
    </w:pPr>
    <w:rPr>
      <w:rFonts w:ascii="宋体" w:cs="宋体"/>
      <w:kern w:val="0"/>
      <w:sz w:val="34"/>
      <w:szCs w:val="34"/>
    </w:rPr>
  </w:style>
  <w:style w:type="paragraph" w:styleId="72">
    <w:name w:val="No Spacing"/>
    <w:link w:val="73"/>
    <w:qFormat/>
    <w:uiPriority w:val="1"/>
    <w:rPr>
      <w:rFonts w:ascii="Calibri" w:hAnsi="Calibri" w:eastAsia="宋体" w:cs="Calibri"/>
      <w:sz w:val="22"/>
      <w:szCs w:val="22"/>
      <w:lang w:val="en-US" w:eastAsia="zh-CN" w:bidi="ar-SA"/>
    </w:rPr>
  </w:style>
  <w:style w:type="character" w:customStyle="1" w:styleId="73">
    <w:name w:val="无间隔 字符"/>
    <w:basedOn w:val="26"/>
    <w:link w:val="72"/>
    <w:qFormat/>
    <w:locked/>
    <w:uiPriority w:val="1"/>
    <w:rPr>
      <w:rFonts w:ascii="Calibri" w:hAnsi="Calibri" w:eastAsia="宋体" w:cs="Calibri"/>
      <w:kern w:val="0"/>
      <w:sz w:val="22"/>
    </w:rPr>
  </w:style>
  <w:style w:type="character" w:customStyle="1" w:styleId="74">
    <w:name w:val="t1"/>
    <w:basedOn w:val="26"/>
    <w:qFormat/>
    <w:uiPriority w:val="99"/>
    <w:rPr>
      <w:color w:val="auto"/>
    </w:rPr>
  </w:style>
  <w:style w:type="paragraph" w:styleId="75">
    <w:name w:val="List Paragraph"/>
    <w:basedOn w:val="1"/>
    <w:qFormat/>
    <w:uiPriority w:val="34"/>
    <w:pPr>
      <w:ind w:firstLine="420" w:firstLineChars="200"/>
    </w:pPr>
  </w:style>
  <w:style w:type="paragraph" w:customStyle="1" w:styleId="76">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77">
    <w:name w:val="标题 21"/>
    <w:basedOn w:val="1"/>
    <w:next w:val="4"/>
    <w:link w:val="78"/>
    <w:unhideWhenUsed/>
    <w:qFormat/>
    <w:uiPriority w:val="0"/>
    <w:pPr>
      <w:keepNext/>
      <w:keepLines/>
      <w:spacing w:before="260" w:after="260" w:line="360" w:lineRule="auto"/>
      <w:outlineLvl w:val="1"/>
    </w:pPr>
    <w:rPr>
      <w:rFonts w:hint="eastAsia" w:ascii="Arial" w:hAnsi="Arial"/>
      <w:b/>
      <w:sz w:val="24"/>
    </w:rPr>
  </w:style>
  <w:style w:type="character" w:customStyle="1" w:styleId="78">
    <w:name w:val="标题 2 Char1"/>
    <w:basedOn w:val="26"/>
    <w:link w:val="77"/>
    <w:unhideWhenUsed/>
    <w:qFormat/>
    <w:uiPriority w:val="0"/>
    <w:rPr>
      <w:rFonts w:hint="eastAsia" w:ascii="Arial" w:hAnsi="Arial" w:eastAsia="宋体"/>
      <w:b/>
      <w:sz w:val="24"/>
    </w:rPr>
  </w:style>
  <w:style w:type="character" w:customStyle="1" w:styleId="79">
    <w:name w:val="页眉 字符1"/>
    <w:basedOn w:val="26"/>
    <w:qFormat/>
    <w:uiPriority w:val="99"/>
    <w:rPr>
      <w:rFonts w:ascii="Times New Roman" w:hAnsi="Times New Roman" w:eastAsia="宋体" w:cs="Times New Roman"/>
      <w:sz w:val="18"/>
      <w:szCs w:val="18"/>
    </w:rPr>
  </w:style>
  <w:style w:type="paragraph" w:customStyle="1" w:styleId="80">
    <w:name w:val="样式1"/>
    <w:basedOn w:val="1"/>
    <w:qFormat/>
    <w:uiPriority w:val="0"/>
    <w:pPr>
      <w:widowControl/>
      <w:spacing w:beforeAutospacing="0" w:afterAutospacing="0" w:line="560" w:lineRule="exact"/>
      <w:ind w:firstLine="560" w:firstLineChars="200"/>
      <w:jc w:val="left"/>
    </w:pPr>
    <w:rPr>
      <w:rFonts w:eastAsia="仿宋_GB2312" w:asciiTheme="minorAscii" w:hAnsiTheme="minorAscii"/>
      <w:sz w:val="32"/>
      <w:lang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1C71B-702B-440C-866B-F9A185F70531}">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9562</Words>
  <Characters>54506</Characters>
  <Lines>454</Lines>
  <Paragraphs>127</Paragraphs>
  <TotalTime>3</TotalTime>
  <ScaleCrop>false</ScaleCrop>
  <LinksUpToDate>false</LinksUpToDate>
  <CharactersWithSpaces>63941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2012-10-16T06:07:00Z</dcterms:created>
  <dc:creator>Administrator</dc:creator>
  <cp:lastModifiedBy>zhaof</cp:lastModifiedBy>
  <dcterms:modified xsi:type="dcterms:W3CDTF">2026-10-25T11:43:37Z</dcterms:modified>
  <cp:revision>830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0B5AD1735779454498C8923A1E203CCE_12</vt:lpwstr>
  </property>
</Properties>
</file>