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4EDB0">
      <w:pPr>
        <w:jc w:val="center"/>
        <w:rPr>
          <w:rFonts w:hint="default" w:ascii="Times New Roman" w:hAnsi="Times New Roman" w:cs="Times New Roman"/>
          <w:b/>
          <w:sz w:val="28"/>
          <w:szCs w:val="28"/>
        </w:rPr>
      </w:pPr>
      <w:r>
        <w:rPr>
          <w:rFonts w:hint="default" w:ascii="Times New Roman" w:hAnsi="Times New Roman" w:cs="Times New Roman"/>
          <w:b/>
          <w:sz w:val="28"/>
          <w:szCs w:val="28"/>
        </w:rPr>
        <w:t>关于</w:t>
      </w:r>
      <w:r>
        <w:rPr>
          <w:rFonts w:hint="default" w:ascii="Times New Roman" w:hAnsi="Times New Roman" w:cs="Times New Roman"/>
          <w:b/>
          <w:sz w:val="28"/>
          <w:szCs w:val="28"/>
          <w:lang w:eastAsia="zh-CN"/>
        </w:rPr>
        <w:t>博时中证1000增强策略交易型开放式指数证券投资基金</w:t>
      </w:r>
      <w:r>
        <w:rPr>
          <w:rFonts w:hint="default" w:ascii="Times New Roman" w:hAnsi="Times New Roman" w:cs="Times New Roman"/>
          <w:b/>
          <w:sz w:val="28"/>
          <w:szCs w:val="28"/>
        </w:rPr>
        <w:t>基金份额持有人大会会议情况的公告</w:t>
      </w:r>
    </w:p>
    <w:p w14:paraId="22884CA0">
      <w:pPr>
        <w:spacing w:line="360" w:lineRule="auto"/>
        <w:rPr>
          <w:rFonts w:hint="default" w:ascii="Times New Roman" w:hAnsi="Times New Roman" w:cs="Times New Roman"/>
        </w:rPr>
      </w:pPr>
    </w:p>
    <w:p w14:paraId="46A536AE">
      <w:pPr>
        <w:spacing w:line="360" w:lineRule="auto"/>
        <w:ind w:firstLine="420" w:firstLineChars="200"/>
        <w:rPr>
          <w:rFonts w:hint="default" w:ascii="Times New Roman" w:hAnsi="Times New Roman" w:cs="Times New Roman"/>
        </w:rPr>
      </w:pPr>
      <w:r>
        <w:rPr>
          <w:rFonts w:hint="default" w:ascii="Times New Roman" w:hAnsi="Times New Roman" w:cs="Times New Roman"/>
        </w:rPr>
        <w:t>根据《中华人民共和国证券投资基金法》、《公开募集证券投资基金运作管理办法》等法律法规的规定和《</w:t>
      </w:r>
      <w:r>
        <w:rPr>
          <w:rFonts w:hint="default" w:ascii="Times New Roman" w:hAnsi="Times New Roman" w:cs="Times New Roman"/>
          <w:lang w:eastAsia="zh-CN"/>
        </w:rPr>
        <w:t>博时中证1000增强策略交易型开放式指数证券投资基金</w:t>
      </w:r>
      <w:r>
        <w:rPr>
          <w:rFonts w:hint="default" w:ascii="Times New Roman" w:hAnsi="Times New Roman" w:cs="Times New Roman"/>
        </w:rPr>
        <w:t>基金合同》（以下简称“《基金合同》”）的相关约定，</w:t>
      </w:r>
      <w:bookmarkStart w:id="0" w:name="_GoBack"/>
      <w:bookmarkEnd w:id="0"/>
      <w:r>
        <w:rPr>
          <w:rFonts w:hint="default" w:ascii="Times New Roman" w:hAnsi="Times New Roman" w:cs="Times New Roman"/>
        </w:rPr>
        <w:t>现将博时基金管理有限公司（以下简称“</w:t>
      </w:r>
      <w:r>
        <w:rPr>
          <w:rFonts w:hint="default" w:ascii="Times New Roman" w:hAnsi="Times New Roman" w:cs="Times New Roman"/>
        </w:rPr>
        <w:t>基金管理人</w:t>
      </w:r>
      <w:r>
        <w:rPr>
          <w:rFonts w:hint="default" w:ascii="Times New Roman" w:hAnsi="Times New Roman" w:cs="Times New Roman"/>
        </w:rPr>
        <w:t>”）旗下</w:t>
      </w:r>
      <w:r>
        <w:rPr>
          <w:rFonts w:hint="default" w:ascii="Times New Roman" w:hAnsi="Times New Roman" w:cs="Times New Roman"/>
          <w:lang w:eastAsia="zh-CN"/>
        </w:rPr>
        <w:t>博时中证1000增强策略交易型开放式指数证券投资基金</w:t>
      </w:r>
      <w:r>
        <w:rPr>
          <w:rFonts w:hint="default" w:ascii="Times New Roman" w:hAnsi="Times New Roman" w:cs="Times New Roman"/>
        </w:rPr>
        <w:t>（以下简称“本基金”）基金份额持有人大会的相关事项公告如下：</w:t>
      </w:r>
    </w:p>
    <w:p w14:paraId="0C52B038">
      <w:pPr>
        <w:spacing w:line="360" w:lineRule="auto"/>
        <w:rPr>
          <w:rFonts w:hint="default" w:ascii="Times New Roman" w:hAnsi="Times New Roman" w:cs="Times New Roman"/>
        </w:rPr>
      </w:pPr>
    </w:p>
    <w:p w14:paraId="6806B928">
      <w:pPr>
        <w:spacing w:line="360" w:lineRule="auto"/>
        <w:ind w:firstLine="420"/>
        <w:rPr>
          <w:rFonts w:hint="default" w:ascii="Times New Roman" w:hAnsi="Times New Roman" w:cs="Times New Roman"/>
        </w:rPr>
      </w:pPr>
      <w:r>
        <w:rPr>
          <w:rFonts w:hint="default" w:ascii="Times New Roman" w:hAnsi="Times New Roman" w:cs="Times New Roman"/>
        </w:rPr>
        <w:t>一、本次基金份额持有人大会会议情况</w:t>
      </w:r>
    </w:p>
    <w:p w14:paraId="07D4763D">
      <w:pPr>
        <w:spacing w:line="360" w:lineRule="auto"/>
        <w:ind w:firstLine="420" w:firstLineChars="200"/>
        <w:rPr>
          <w:rFonts w:hint="default" w:ascii="Times New Roman" w:hAnsi="Times New Roman" w:cs="Times New Roman" w:eastAsiaTheme="majorEastAsia"/>
          <w:szCs w:val="21"/>
          <w:lang w:val="en-US" w:eastAsia="zh-CN"/>
        </w:rPr>
      </w:pPr>
      <w:r>
        <w:rPr>
          <w:rFonts w:hint="default" w:ascii="Times New Roman" w:hAnsi="Times New Roman" w:cs="Times New Roman"/>
        </w:rPr>
        <w:t>本基金以通讯方式召开了本次基金份额持有人大会，权益登记日为</w:t>
      </w:r>
      <w:r>
        <w:rPr>
          <w:rStyle w:val="10"/>
          <w:rFonts w:hint="default" w:ascii="Times New Roman" w:hAnsi="Times New Roman" w:eastAsia="宋体" w:cs="Times New Roman"/>
        </w:rPr>
        <w:t>202</w:t>
      </w:r>
      <w:r>
        <w:rPr>
          <w:rStyle w:val="10"/>
          <w:rFonts w:hint="default" w:ascii="Times New Roman" w:hAnsi="Times New Roman" w:eastAsia="宋体" w:cs="Times New Roman"/>
          <w:lang w:val="en-US" w:eastAsia="zh-CN"/>
        </w:rPr>
        <w:t>6</w:t>
      </w:r>
      <w:r>
        <w:rPr>
          <w:rStyle w:val="10"/>
          <w:rFonts w:hint="default" w:ascii="Times New Roman" w:hAnsi="Times New Roman" w:eastAsia="宋体" w:cs="Times New Roman"/>
        </w:rPr>
        <w:t>年</w:t>
      </w:r>
      <w:r>
        <w:rPr>
          <w:rStyle w:val="10"/>
          <w:rFonts w:hint="default" w:ascii="Times New Roman" w:hAnsi="Times New Roman" w:eastAsia="宋体" w:cs="Times New Roman"/>
          <w:lang w:val="en-US" w:eastAsia="zh-CN"/>
        </w:rPr>
        <w:t>2</w:t>
      </w:r>
      <w:r>
        <w:rPr>
          <w:rStyle w:val="10"/>
          <w:rFonts w:hint="default" w:ascii="Times New Roman" w:hAnsi="Times New Roman" w:eastAsia="宋体" w:cs="Times New Roman"/>
        </w:rPr>
        <w:t>月</w:t>
      </w:r>
      <w:r>
        <w:rPr>
          <w:rStyle w:val="10"/>
          <w:rFonts w:hint="default" w:ascii="Times New Roman" w:hAnsi="Times New Roman" w:eastAsia="宋体" w:cs="Times New Roman"/>
          <w:lang w:val="en-US" w:eastAsia="zh-CN"/>
        </w:rPr>
        <w:t>2</w:t>
      </w:r>
      <w:r>
        <w:rPr>
          <w:rStyle w:val="10"/>
          <w:rFonts w:hint="default" w:ascii="Times New Roman" w:hAnsi="Times New Roman" w:eastAsia="宋体" w:cs="Times New Roman"/>
        </w:rPr>
        <w:t>5日</w:t>
      </w:r>
      <w:r>
        <w:rPr>
          <w:rFonts w:hint="default" w:ascii="Times New Roman" w:hAnsi="Times New Roman" w:cs="Times New Roman"/>
        </w:rPr>
        <w:t>，大会表决投票时间</w:t>
      </w:r>
      <w:r>
        <w:rPr>
          <w:rStyle w:val="10"/>
          <w:rFonts w:hint="default" w:ascii="Times New Roman" w:hAnsi="Times New Roman" w:eastAsia="宋体" w:cs="Times New Roman"/>
        </w:rPr>
        <w:t>自202</w:t>
      </w:r>
      <w:r>
        <w:rPr>
          <w:rStyle w:val="10"/>
          <w:rFonts w:hint="default" w:ascii="Times New Roman" w:hAnsi="Times New Roman" w:eastAsia="宋体" w:cs="Times New Roman"/>
          <w:lang w:val="en-US" w:eastAsia="zh-CN"/>
        </w:rPr>
        <w:t>6</w:t>
      </w:r>
      <w:r>
        <w:rPr>
          <w:rStyle w:val="10"/>
          <w:rFonts w:hint="default" w:ascii="Times New Roman" w:hAnsi="Times New Roman" w:eastAsia="宋体" w:cs="Times New Roman"/>
        </w:rPr>
        <w:t>年2月</w:t>
      </w:r>
      <w:r>
        <w:rPr>
          <w:rStyle w:val="10"/>
          <w:rFonts w:hint="default" w:ascii="Times New Roman" w:hAnsi="Times New Roman" w:eastAsia="宋体" w:cs="Times New Roman"/>
          <w:lang w:val="en-US" w:eastAsia="zh-CN"/>
        </w:rPr>
        <w:t>2</w:t>
      </w:r>
      <w:r>
        <w:rPr>
          <w:rStyle w:val="10"/>
          <w:rFonts w:hint="default" w:ascii="Times New Roman" w:hAnsi="Times New Roman" w:eastAsia="宋体" w:cs="Times New Roman"/>
        </w:rPr>
        <w:t>5日起，至</w:t>
      </w:r>
      <w:r>
        <w:rPr>
          <w:rStyle w:val="10"/>
          <w:rFonts w:hint="default" w:ascii="Times New Roman" w:hAnsi="Times New Roman" w:eastAsia="宋体" w:cs="Times New Roman"/>
          <w:szCs w:val="24"/>
        </w:rPr>
        <w:t>202</w:t>
      </w:r>
      <w:r>
        <w:rPr>
          <w:rStyle w:val="10"/>
          <w:rFonts w:hint="default" w:ascii="Times New Roman" w:hAnsi="Times New Roman" w:eastAsia="宋体" w:cs="Times New Roman"/>
          <w:szCs w:val="24"/>
          <w:lang w:val="en-US" w:eastAsia="zh-CN"/>
        </w:rPr>
        <w:t>6</w:t>
      </w:r>
      <w:r>
        <w:rPr>
          <w:rStyle w:val="10"/>
          <w:rFonts w:hint="default" w:ascii="Times New Roman" w:hAnsi="Times New Roman" w:eastAsia="宋体" w:cs="Times New Roman"/>
          <w:szCs w:val="24"/>
        </w:rPr>
        <w:t>年</w:t>
      </w:r>
      <w:r>
        <w:rPr>
          <w:rStyle w:val="10"/>
          <w:rFonts w:hint="default" w:ascii="Times New Roman" w:hAnsi="Times New Roman" w:eastAsia="宋体" w:cs="Times New Roman"/>
          <w:szCs w:val="24"/>
          <w:lang w:val="en-US" w:eastAsia="zh-CN"/>
        </w:rPr>
        <w:t>5</w:t>
      </w:r>
      <w:r>
        <w:rPr>
          <w:rStyle w:val="10"/>
          <w:rFonts w:hint="default" w:ascii="Times New Roman" w:hAnsi="Times New Roman" w:eastAsia="宋体" w:cs="Times New Roman"/>
          <w:szCs w:val="24"/>
        </w:rPr>
        <w:t>月</w:t>
      </w:r>
      <w:r>
        <w:rPr>
          <w:rStyle w:val="10"/>
          <w:rFonts w:hint="default" w:ascii="Times New Roman" w:hAnsi="Times New Roman" w:eastAsia="宋体" w:cs="Times New Roman"/>
          <w:szCs w:val="24"/>
          <w:lang w:val="en-US" w:eastAsia="zh-CN"/>
        </w:rPr>
        <w:t>2</w:t>
      </w:r>
      <w:r>
        <w:rPr>
          <w:rStyle w:val="10"/>
          <w:rFonts w:hint="default" w:ascii="Times New Roman" w:hAnsi="Times New Roman" w:eastAsia="宋体" w:cs="Times New Roman"/>
          <w:szCs w:val="24"/>
        </w:rPr>
        <w:t>5日</w:t>
      </w:r>
      <w:r>
        <w:rPr>
          <w:rStyle w:val="10"/>
          <w:rFonts w:hint="default" w:ascii="Times New Roman" w:hAnsi="Times New Roman" w:eastAsia="宋体" w:cs="Times New Roman"/>
          <w:szCs w:val="18"/>
        </w:rPr>
        <w:t>17：00</w:t>
      </w:r>
      <w:r>
        <w:rPr>
          <w:rStyle w:val="10"/>
          <w:rFonts w:hint="default" w:ascii="Times New Roman" w:hAnsi="Times New Roman" w:eastAsia="宋体" w:cs="Times New Roman"/>
        </w:rPr>
        <w:t>止</w:t>
      </w:r>
      <w:r>
        <w:rPr>
          <w:rStyle w:val="10"/>
          <w:rFonts w:hint="default" w:ascii="Times New Roman" w:hAnsi="Times New Roman" w:eastAsia="宋体" w:cs="Times New Roman"/>
        </w:rPr>
        <w:t>（送达时间以基金管理人收到表决票时间为准）</w:t>
      </w:r>
      <w:r>
        <w:rPr>
          <w:rFonts w:hint="default" w:ascii="Times New Roman" w:hAnsi="Times New Roman" w:cs="Times New Roman"/>
        </w:rPr>
        <w:t>。</w:t>
      </w:r>
      <w:r>
        <w:rPr>
          <w:rFonts w:hint="default" w:ascii="Times New Roman" w:hAnsi="Times New Roman" w:cs="Times New Roman" w:eastAsiaTheme="majorEastAsia"/>
          <w:szCs w:val="21"/>
        </w:rPr>
        <w:t>此次基金份额持有人大会的计票于</w:t>
      </w:r>
      <w:r>
        <w:rPr>
          <w:rFonts w:hint="default" w:ascii="Times New Roman" w:hAnsi="Times New Roman" w:cs="Times New Roman" w:eastAsiaTheme="majorEastAsia"/>
          <w:szCs w:val="21"/>
        </w:rPr>
        <w:t>202</w:t>
      </w:r>
      <w:r>
        <w:rPr>
          <w:rFonts w:hint="default" w:ascii="Times New Roman" w:hAnsi="Times New Roman" w:cs="Times New Roman" w:eastAsiaTheme="majorEastAsia"/>
          <w:szCs w:val="21"/>
          <w:lang w:val="en-US" w:eastAsia="zh-CN"/>
        </w:rPr>
        <w:t>6</w:t>
      </w:r>
      <w:r>
        <w:rPr>
          <w:rFonts w:hint="default" w:ascii="Times New Roman" w:hAnsi="Times New Roman" w:cs="Times New Roman" w:eastAsiaTheme="majorEastAsia"/>
          <w:szCs w:val="21"/>
        </w:rPr>
        <w:t>年</w:t>
      </w:r>
      <w:r>
        <w:rPr>
          <w:rFonts w:hint="default" w:ascii="Times New Roman" w:hAnsi="Times New Roman" w:cs="Times New Roman" w:eastAsiaTheme="majorEastAsia"/>
          <w:szCs w:val="21"/>
          <w:lang w:val="en-US" w:eastAsia="zh-CN"/>
        </w:rPr>
        <w:t>5</w:t>
      </w:r>
      <w:r>
        <w:rPr>
          <w:rFonts w:hint="default" w:ascii="Times New Roman" w:hAnsi="Times New Roman" w:cs="Times New Roman" w:eastAsiaTheme="majorEastAsia"/>
          <w:szCs w:val="21"/>
        </w:rPr>
        <w:t>月</w:t>
      </w:r>
      <w:r>
        <w:rPr>
          <w:rFonts w:hint="default" w:ascii="Times New Roman" w:hAnsi="Times New Roman" w:cs="Times New Roman" w:eastAsiaTheme="majorEastAsia"/>
          <w:szCs w:val="21"/>
          <w:lang w:val="en-US" w:eastAsia="zh-CN"/>
        </w:rPr>
        <w:t>2</w:t>
      </w:r>
      <w:r>
        <w:rPr>
          <w:rFonts w:hint="default" w:ascii="Times New Roman" w:hAnsi="Times New Roman" w:cs="Times New Roman" w:eastAsiaTheme="majorEastAsia"/>
          <w:szCs w:val="21"/>
        </w:rPr>
        <w:t>7日</w:t>
      </w:r>
      <w:r>
        <w:rPr>
          <w:rFonts w:hint="default" w:ascii="Times New Roman" w:hAnsi="Times New Roman" w:cs="Times New Roman" w:eastAsiaTheme="majorEastAsia"/>
          <w:szCs w:val="21"/>
        </w:rPr>
        <w:t>在本基金的托管人</w:t>
      </w:r>
      <w:r>
        <w:rPr>
          <w:rFonts w:hint="default" w:ascii="Times New Roman" w:hAnsi="Times New Roman" w:cs="Times New Roman" w:eastAsiaTheme="majorEastAsia"/>
          <w:szCs w:val="21"/>
          <w:lang w:eastAsia="zh-CN"/>
        </w:rPr>
        <w:t>中信证券股份有限公司</w:t>
      </w:r>
      <w:r>
        <w:rPr>
          <w:rFonts w:hint="default" w:ascii="Times New Roman" w:hAnsi="Times New Roman" w:cs="Times New Roman" w:eastAsiaTheme="majorEastAsia"/>
          <w:szCs w:val="21"/>
        </w:rPr>
        <w:t>授权代表的监督下进行，并由北京市长安公证处对计票过程及结果进行了公证。本次基金份额持有人大会中，截至本次基金份额持有人大会权益登记日202</w:t>
      </w:r>
      <w:r>
        <w:rPr>
          <w:rFonts w:hint="default" w:ascii="Times New Roman" w:hAnsi="Times New Roman" w:cs="Times New Roman" w:eastAsiaTheme="majorEastAsia"/>
          <w:szCs w:val="21"/>
          <w:lang w:val="en-US" w:eastAsia="zh-CN"/>
        </w:rPr>
        <w:t>6</w:t>
      </w:r>
      <w:r>
        <w:rPr>
          <w:rFonts w:hint="default" w:ascii="Times New Roman" w:hAnsi="Times New Roman" w:cs="Times New Roman" w:eastAsiaTheme="majorEastAsia"/>
          <w:szCs w:val="21"/>
        </w:rPr>
        <w:t>年</w:t>
      </w:r>
      <w:r>
        <w:rPr>
          <w:rFonts w:hint="default" w:ascii="Times New Roman" w:hAnsi="Times New Roman" w:cs="Times New Roman" w:eastAsiaTheme="majorEastAsia"/>
          <w:szCs w:val="21"/>
          <w:lang w:val="en-US" w:eastAsia="zh-CN"/>
        </w:rPr>
        <w:t>2</w:t>
      </w:r>
      <w:r>
        <w:rPr>
          <w:rFonts w:hint="default" w:ascii="Times New Roman" w:hAnsi="Times New Roman" w:cs="Times New Roman" w:eastAsiaTheme="majorEastAsia"/>
          <w:szCs w:val="21"/>
        </w:rPr>
        <w:t>月</w:t>
      </w:r>
      <w:r>
        <w:rPr>
          <w:rFonts w:hint="default" w:ascii="Times New Roman" w:hAnsi="Times New Roman" w:cs="Times New Roman" w:eastAsiaTheme="majorEastAsia"/>
          <w:szCs w:val="21"/>
          <w:lang w:val="en-US" w:eastAsia="zh-CN"/>
        </w:rPr>
        <w:t>25</w:t>
      </w:r>
      <w:r>
        <w:rPr>
          <w:rFonts w:hint="default" w:ascii="Times New Roman" w:hAnsi="Times New Roman" w:cs="Times New Roman" w:eastAsiaTheme="majorEastAsia"/>
          <w:szCs w:val="21"/>
        </w:rPr>
        <w:t>日，本基金总份额为15,355,790.00份。参与表决的基金份额持有人及代理人所代表的基金份额为0.00份，占权益登记日基金总份额的0.00%</w:t>
      </w:r>
      <w:r>
        <w:rPr>
          <w:rFonts w:hint="default" w:ascii="Times New Roman" w:hAnsi="Times New Roman" w:cs="Times New Roman" w:eastAsiaTheme="majorEastAsia"/>
          <w:szCs w:val="21"/>
          <w:lang w:eastAsia="zh-CN"/>
        </w:rPr>
        <w:t>。</w:t>
      </w:r>
    </w:p>
    <w:p w14:paraId="2B0140D4">
      <w:pPr>
        <w:spacing w:line="360" w:lineRule="auto"/>
        <w:ind w:firstLine="420" w:firstLineChars="200"/>
        <w:rPr>
          <w:rFonts w:hint="default" w:ascii="Times New Roman" w:hAnsi="Times New Roman" w:cs="Times New Roman" w:eastAsiaTheme="majorEastAsia"/>
          <w:szCs w:val="21"/>
        </w:rPr>
      </w:pPr>
      <w:r>
        <w:rPr>
          <w:rFonts w:hint="default" w:ascii="Times New Roman" w:hAnsi="Times New Roman" w:cs="Times New Roman"/>
        </w:rPr>
        <w:t>根据计票结果，参加本次基金份额持有人大会表决的基金份额未达到权益登记日本基金总份额的</w:t>
      </w:r>
      <w:r>
        <w:rPr>
          <w:rFonts w:hint="default" w:ascii="Times New Roman" w:hAnsi="Times New Roman" w:cs="Times New Roman"/>
        </w:rPr>
        <w:t>二分之一</w:t>
      </w:r>
      <w:r>
        <w:rPr>
          <w:rFonts w:hint="default" w:ascii="Times New Roman" w:hAnsi="Times New Roman" w:cs="Times New Roman"/>
        </w:rPr>
        <w:t>以上</w:t>
      </w:r>
      <w:r>
        <w:rPr>
          <w:rFonts w:hint="default" w:ascii="Times New Roman" w:hAnsi="Times New Roman" w:cs="Times New Roman"/>
        </w:rPr>
        <w:t>（含二分之一）</w:t>
      </w:r>
      <w:r>
        <w:rPr>
          <w:rFonts w:hint="default" w:ascii="Times New Roman" w:hAnsi="Times New Roman" w:cs="Times New Roman"/>
        </w:rPr>
        <w:t>，因此未达到法定的会议召开条件。</w:t>
      </w:r>
      <w:r>
        <w:rPr>
          <w:rFonts w:hint="default" w:ascii="Times New Roman" w:hAnsi="Times New Roman" w:cs="Times New Roman" w:eastAsiaTheme="majorEastAsia"/>
          <w:szCs w:val="21"/>
        </w:rPr>
        <w:t>本次基金份额持有人大会的费用由基金管理人承担。</w:t>
      </w:r>
    </w:p>
    <w:p w14:paraId="360008B9">
      <w:pPr>
        <w:spacing w:line="360" w:lineRule="auto"/>
        <w:ind w:firstLine="420" w:firstLineChars="200"/>
        <w:rPr>
          <w:rFonts w:hint="default" w:ascii="Times New Roman" w:hAnsi="Times New Roman" w:cs="Times New Roman"/>
        </w:rPr>
      </w:pPr>
      <w:r>
        <w:rPr>
          <w:rFonts w:hint="default" w:ascii="Times New Roman" w:hAnsi="Times New Roman" w:cs="Times New Roman"/>
        </w:rPr>
        <w:t>本次</w:t>
      </w:r>
      <w:r>
        <w:rPr>
          <w:rFonts w:hint="default" w:ascii="Times New Roman" w:hAnsi="Times New Roman" w:cs="Times New Roman"/>
        </w:rPr>
        <w:t>基金份额持有人</w:t>
      </w:r>
      <w:r>
        <w:rPr>
          <w:rFonts w:hint="default" w:ascii="Times New Roman" w:hAnsi="Times New Roman" w:cs="Times New Roman"/>
        </w:rPr>
        <w:t>大会召集人博时基金管理有限公司将就本次会议情况报中国证券监督管理委员会备案。</w:t>
      </w:r>
    </w:p>
    <w:p w14:paraId="3621F16D">
      <w:pPr>
        <w:spacing w:line="360" w:lineRule="auto"/>
        <w:ind w:firstLine="420" w:firstLineChars="200"/>
        <w:rPr>
          <w:rFonts w:hint="default" w:ascii="Times New Roman" w:hAnsi="Times New Roman" w:cs="Times New Roman"/>
        </w:rPr>
      </w:pPr>
    </w:p>
    <w:p w14:paraId="53DA4532">
      <w:pPr>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二、二次召集基金份额持有人大会及二次授权 </w:t>
      </w:r>
    </w:p>
    <w:p w14:paraId="1858BD91">
      <w:pPr>
        <w:spacing w:line="360" w:lineRule="auto"/>
        <w:ind w:firstLine="420"/>
        <w:rPr>
          <w:rFonts w:hint="default" w:ascii="Times New Roman" w:hAnsi="Times New Roman" w:cs="Times New Roman"/>
        </w:rPr>
      </w:pPr>
      <w:r>
        <w:rPr>
          <w:rFonts w:hint="default" w:ascii="Times New Roman" w:hAnsi="Times New Roman" w:cs="Times New Roman"/>
        </w:rPr>
        <w:t>根据《中华人民共和国证券投资基金法》及《基金合同》的规定，基金管理人可在本次基金份额持有人大会召开时间的3个月以后、6个月以内，就原定审议事项二次召集基金份额持有人大会，但权益登记日仍为</w:t>
      </w:r>
      <w:r>
        <w:rPr>
          <w:rStyle w:val="10"/>
          <w:rFonts w:hint="default" w:ascii="Times New Roman" w:hAnsi="Times New Roman" w:eastAsia="宋体" w:cs="Times New Roman"/>
        </w:rPr>
        <w:t>202</w:t>
      </w:r>
      <w:r>
        <w:rPr>
          <w:rStyle w:val="10"/>
          <w:rFonts w:hint="default" w:ascii="Times New Roman" w:hAnsi="Times New Roman" w:eastAsia="宋体" w:cs="Times New Roman"/>
          <w:lang w:val="en-US" w:eastAsia="zh-CN"/>
        </w:rPr>
        <w:t>6</w:t>
      </w:r>
      <w:r>
        <w:rPr>
          <w:rStyle w:val="10"/>
          <w:rFonts w:hint="default" w:ascii="Times New Roman" w:hAnsi="Times New Roman" w:eastAsia="宋体" w:cs="Times New Roman"/>
        </w:rPr>
        <w:t>年2月</w:t>
      </w:r>
      <w:r>
        <w:rPr>
          <w:rStyle w:val="10"/>
          <w:rFonts w:hint="default" w:ascii="Times New Roman" w:hAnsi="Times New Roman" w:eastAsia="宋体" w:cs="Times New Roman"/>
          <w:lang w:val="en-US" w:eastAsia="zh-CN"/>
        </w:rPr>
        <w:t>2</w:t>
      </w:r>
      <w:r>
        <w:rPr>
          <w:rStyle w:val="10"/>
          <w:rFonts w:hint="default" w:ascii="Times New Roman" w:hAnsi="Times New Roman" w:eastAsia="宋体" w:cs="Times New Roman"/>
        </w:rPr>
        <w:t>5日</w:t>
      </w:r>
      <w:r>
        <w:rPr>
          <w:rFonts w:hint="default" w:ascii="Times New Roman" w:hAnsi="Times New Roman" w:cs="Times New Roman"/>
        </w:rPr>
        <w:t>。二次召集的基金份额持有人大会应当有代表三分之一以上（含三分之一）基金份额的持有人直接出具表决意见或授权他人代表出具表决意见。</w:t>
      </w:r>
    </w:p>
    <w:p w14:paraId="0CE234DD">
      <w:pPr>
        <w:spacing w:line="360" w:lineRule="auto"/>
        <w:ind w:firstLine="420" w:firstLineChars="200"/>
        <w:rPr>
          <w:rFonts w:hint="default" w:ascii="Times New Roman" w:hAnsi="Times New Roman" w:cs="Times New Roman"/>
        </w:rPr>
      </w:pPr>
      <w:r>
        <w:rPr>
          <w:rFonts w:hint="default" w:ascii="Times New Roman" w:hAnsi="Times New Roman" w:cs="Times New Roman"/>
        </w:rPr>
        <w:t>根据《博时基金管理有限公司关于以通讯方式召开</w:t>
      </w:r>
      <w:r>
        <w:rPr>
          <w:rFonts w:hint="default" w:ascii="Times New Roman" w:hAnsi="Times New Roman" w:cs="Times New Roman"/>
          <w:lang w:eastAsia="zh-CN"/>
        </w:rPr>
        <w:t>博时中证1000增强策略交易型开放式指数证券投资基金</w:t>
      </w:r>
      <w:r>
        <w:rPr>
          <w:rFonts w:hint="default" w:ascii="Times New Roman" w:hAnsi="Times New Roman" w:cs="Times New Roman"/>
        </w:rPr>
        <w:t>基金份额持有人大会的公告》</w:t>
      </w:r>
      <w:r>
        <w:rPr>
          <w:rFonts w:hint="default" w:ascii="Times New Roman" w:hAnsi="Times New Roman" w:eastAsia="宋体" w:cs="Times New Roman"/>
        </w:rPr>
        <w:t>（以下简称“《持有人大会公告》”）</w:t>
      </w:r>
      <w:r>
        <w:rPr>
          <w:rFonts w:hint="default" w:ascii="Times New Roman" w:hAnsi="Times New Roman" w:cs="Times New Roman"/>
        </w:rPr>
        <w:t>的有关约定，</w:t>
      </w:r>
      <w:r>
        <w:rPr>
          <w:rStyle w:val="10"/>
          <w:rFonts w:hint="default" w:ascii="Times New Roman" w:hAnsi="Times New Roman" w:eastAsia="宋体" w:cs="Times New Roman"/>
        </w:rPr>
        <w:t>二次召集基金份额持有人大会时，对于投票而言，基金份额持有人在本次基金份额持有人大会所投的有效表决票依然有效，</w:t>
      </w:r>
      <w:r>
        <w:rPr>
          <w:rStyle w:val="10"/>
          <w:rFonts w:hint="default" w:ascii="Times New Roman" w:hAnsi="Times New Roman" w:eastAsia="宋体" w:cs="Times New Roman"/>
          <w:lang w:val="en-US" w:eastAsia="zh-CN"/>
        </w:rPr>
        <w:t>但</w:t>
      </w:r>
      <w:r>
        <w:rPr>
          <w:rStyle w:val="10"/>
          <w:rFonts w:hint="default" w:ascii="Times New Roman" w:hAnsi="Times New Roman" w:eastAsia="宋体" w:cs="Times New Roman"/>
        </w:rPr>
        <w:t>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持有人大会公告》规定的授权效力确定规则确定的最新有效授权为准。详细说明见届时发布的二次召集基金份额持有人大会的通知。</w:t>
      </w:r>
    </w:p>
    <w:p w14:paraId="499B8227">
      <w:pPr>
        <w:spacing w:line="360" w:lineRule="auto"/>
        <w:ind w:firstLine="420"/>
        <w:rPr>
          <w:rFonts w:hint="default" w:ascii="Times New Roman" w:hAnsi="Times New Roman" w:cs="Times New Roman"/>
        </w:rPr>
      </w:pPr>
    </w:p>
    <w:p w14:paraId="6E381A69">
      <w:pPr>
        <w:spacing w:line="360" w:lineRule="auto"/>
        <w:ind w:firstLine="420"/>
        <w:rPr>
          <w:rFonts w:hint="default" w:ascii="Times New Roman" w:hAnsi="Times New Roman" w:cs="Times New Roman"/>
        </w:rPr>
      </w:pPr>
      <w:r>
        <w:rPr>
          <w:rFonts w:hint="default" w:ascii="Times New Roman" w:hAnsi="Times New Roman" w:cs="Times New Roman"/>
        </w:rPr>
        <w:t>三、备查文件</w:t>
      </w:r>
    </w:p>
    <w:p w14:paraId="602A8F8C">
      <w:pPr>
        <w:spacing w:line="360" w:lineRule="auto"/>
        <w:ind w:firstLine="420"/>
        <w:rPr>
          <w:rFonts w:hint="default" w:ascii="Times New Roman" w:hAnsi="Times New Roman" w:cs="Times New Roman"/>
        </w:rPr>
      </w:pPr>
      <w:r>
        <w:rPr>
          <w:rFonts w:hint="default" w:ascii="Times New Roman" w:hAnsi="Times New Roman" w:cs="Times New Roman"/>
        </w:rPr>
        <w:t>1、</w:t>
      </w:r>
      <w:r>
        <w:rPr>
          <w:rStyle w:val="10"/>
          <w:rFonts w:hint="default" w:ascii="Times New Roman" w:hAnsi="Times New Roman" w:eastAsia="宋体" w:cs="Times New Roman"/>
        </w:rPr>
        <w:t>博时基金管理有限公司关于以通讯方式召开</w:t>
      </w:r>
      <w:r>
        <w:rPr>
          <w:rStyle w:val="10"/>
          <w:rFonts w:hint="default" w:ascii="Times New Roman" w:hAnsi="Times New Roman" w:eastAsia="宋体" w:cs="Times New Roman"/>
          <w:lang w:eastAsia="zh-CN"/>
        </w:rPr>
        <w:t>博时中证1000增强策略交易型开放式指数证券投资基金</w:t>
      </w:r>
      <w:r>
        <w:rPr>
          <w:rStyle w:val="10"/>
          <w:rFonts w:hint="default" w:ascii="Times New Roman" w:hAnsi="Times New Roman" w:eastAsia="宋体" w:cs="Times New Roman"/>
        </w:rPr>
        <w:t>基金份额持有人大会的公告</w:t>
      </w:r>
    </w:p>
    <w:p w14:paraId="2A610280">
      <w:pPr>
        <w:spacing w:line="360" w:lineRule="auto"/>
        <w:ind w:firstLine="420"/>
        <w:rPr>
          <w:rFonts w:hint="default" w:ascii="Times New Roman" w:hAnsi="Times New Roman" w:cs="Times New Roman"/>
        </w:rPr>
      </w:pPr>
      <w:r>
        <w:rPr>
          <w:rFonts w:hint="default" w:ascii="Times New Roman" w:hAnsi="Times New Roman" w:cs="Times New Roman"/>
        </w:rPr>
        <w:t>2、</w:t>
      </w:r>
      <w:r>
        <w:rPr>
          <w:rStyle w:val="10"/>
          <w:rFonts w:hint="default" w:ascii="Times New Roman" w:hAnsi="Times New Roman" w:eastAsia="宋体" w:cs="Times New Roman"/>
        </w:rPr>
        <w:t>博时基金管理有限公司关于以通讯方式召开</w:t>
      </w:r>
      <w:r>
        <w:rPr>
          <w:rStyle w:val="10"/>
          <w:rFonts w:hint="default" w:ascii="Times New Roman" w:hAnsi="Times New Roman" w:eastAsia="宋体" w:cs="Times New Roman"/>
          <w:lang w:eastAsia="zh-CN"/>
        </w:rPr>
        <w:t>博时中证1000增强策略交易型开放式指数证券投资基金</w:t>
      </w:r>
      <w:r>
        <w:rPr>
          <w:rStyle w:val="10"/>
          <w:rFonts w:hint="default" w:ascii="Times New Roman" w:hAnsi="Times New Roman" w:eastAsia="宋体" w:cs="Times New Roman"/>
        </w:rPr>
        <w:t>基金份额持有人大会的第一次提示性公告</w:t>
      </w:r>
    </w:p>
    <w:p w14:paraId="7C2B9D35">
      <w:pPr>
        <w:spacing w:line="360" w:lineRule="auto"/>
        <w:ind w:firstLine="420"/>
        <w:rPr>
          <w:rStyle w:val="10"/>
          <w:rFonts w:hint="default" w:ascii="Times New Roman" w:hAnsi="Times New Roman" w:eastAsia="宋体" w:cs="Times New Roman"/>
        </w:rPr>
      </w:pPr>
      <w:r>
        <w:rPr>
          <w:rFonts w:hint="default" w:ascii="Times New Roman" w:hAnsi="Times New Roman" w:cs="Times New Roman"/>
        </w:rPr>
        <w:t>3、</w:t>
      </w:r>
      <w:r>
        <w:rPr>
          <w:rStyle w:val="10"/>
          <w:rFonts w:hint="default" w:ascii="Times New Roman" w:hAnsi="Times New Roman" w:eastAsia="宋体" w:cs="Times New Roman"/>
        </w:rPr>
        <w:t>博时基金管理有限公司关于以通讯方式召开</w:t>
      </w:r>
      <w:r>
        <w:rPr>
          <w:rStyle w:val="10"/>
          <w:rFonts w:hint="default" w:ascii="Times New Roman" w:hAnsi="Times New Roman" w:eastAsia="宋体" w:cs="Times New Roman"/>
          <w:lang w:eastAsia="zh-CN"/>
        </w:rPr>
        <w:t>博时中证1000增强策略交易型开放式指数证券投资基金</w:t>
      </w:r>
      <w:r>
        <w:rPr>
          <w:rStyle w:val="10"/>
          <w:rFonts w:hint="default" w:ascii="Times New Roman" w:hAnsi="Times New Roman" w:eastAsia="宋体" w:cs="Times New Roman"/>
        </w:rPr>
        <w:t>基金份额持有人大会的第二次提示性公告</w:t>
      </w:r>
    </w:p>
    <w:p w14:paraId="7B1B6212">
      <w:pPr>
        <w:spacing w:line="360" w:lineRule="auto"/>
        <w:ind w:firstLine="420"/>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rPr>
        <w:t>北京市长安公证处出具的</w:t>
      </w:r>
      <w:r>
        <w:rPr>
          <w:rFonts w:hint="default" w:ascii="Times New Roman" w:hAnsi="Times New Roman" w:cs="Times New Roman"/>
        </w:rPr>
        <w:t>公证书</w:t>
      </w:r>
    </w:p>
    <w:p w14:paraId="4F39931E">
      <w:pPr>
        <w:spacing w:line="360" w:lineRule="auto"/>
        <w:ind w:firstLine="420"/>
        <w:rPr>
          <w:rFonts w:hint="default" w:ascii="Times New Roman" w:hAnsi="Times New Roman" w:cs="Times New Roman"/>
        </w:rPr>
      </w:pPr>
      <w:r>
        <w:rPr>
          <w:rFonts w:hint="default" w:ascii="Times New Roman" w:hAnsi="Times New Roman" w:cs="Times New Roman"/>
        </w:rPr>
        <w:t>5、上海</w:t>
      </w:r>
      <w:r>
        <w:rPr>
          <w:rFonts w:hint="default" w:ascii="Times New Roman" w:hAnsi="Times New Roman" w:cs="Times New Roman"/>
        </w:rPr>
        <w:t>源泰</w:t>
      </w:r>
      <w:r>
        <w:rPr>
          <w:rFonts w:hint="default" w:ascii="Times New Roman" w:hAnsi="Times New Roman" w:cs="Times New Roman"/>
        </w:rPr>
        <w:t>律师事务所</w:t>
      </w:r>
      <w:r>
        <w:rPr>
          <w:rFonts w:hint="default" w:ascii="Times New Roman" w:hAnsi="Times New Roman" w:cs="Times New Roman"/>
        </w:rPr>
        <w:t>出具的</w:t>
      </w:r>
      <w:r>
        <w:rPr>
          <w:rFonts w:hint="default" w:ascii="Times New Roman" w:hAnsi="Times New Roman" w:cs="Times New Roman"/>
        </w:rPr>
        <w:t>法律意见</w:t>
      </w:r>
    </w:p>
    <w:p w14:paraId="5CFE0F98">
      <w:pPr>
        <w:spacing w:line="360" w:lineRule="auto"/>
        <w:rPr>
          <w:rFonts w:hint="default" w:ascii="Times New Roman" w:hAnsi="Times New Roman" w:cs="Times New Roman"/>
        </w:rPr>
      </w:pPr>
    </w:p>
    <w:p w14:paraId="19259D61">
      <w:pPr>
        <w:spacing w:line="360" w:lineRule="auto"/>
        <w:ind w:firstLine="420" w:firstLineChars="200"/>
        <w:rPr>
          <w:rFonts w:hint="default" w:ascii="Times New Roman" w:hAnsi="Times New Roman" w:cs="Times New Roman"/>
        </w:rPr>
      </w:pPr>
      <w:r>
        <w:rPr>
          <w:rFonts w:hint="default" w:ascii="Times New Roman" w:hAnsi="Times New Roman" w:cs="Times New Roman"/>
        </w:rPr>
        <w:t>特此公告。</w:t>
      </w:r>
    </w:p>
    <w:p w14:paraId="70951173">
      <w:pPr>
        <w:spacing w:line="360" w:lineRule="auto"/>
        <w:rPr>
          <w:rFonts w:hint="default" w:ascii="Times New Roman" w:hAnsi="Times New Roman" w:cs="Times New Roman"/>
        </w:rPr>
      </w:pPr>
    </w:p>
    <w:p w14:paraId="2EA544FC">
      <w:pPr>
        <w:spacing w:line="360" w:lineRule="auto"/>
        <w:jc w:val="right"/>
        <w:rPr>
          <w:rFonts w:hint="default" w:ascii="Times New Roman" w:hAnsi="Times New Roman" w:eastAsia="宋体" w:cs="Times New Roman"/>
        </w:rPr>
      </w:pPr>
      <w:r>
        <w:rPr>
          <w:rFonts w:hint="default" w:ascii="Times New Roman" w:hAnsi="Times New Roman" w:eastAsia="宋体" w:cs="Times New Roman"/>
        </w:rPr>
        <w:t>博时基金管理有限公司</w:t>
      </w:r>
    </w:p>
    <w:p w14:paraId="2D8053CC">
      <w:pPr>
        <w:ind w:firstLine="6405" w:firstLineChars="3050"/>
        <w:jc w:val="right"/>
        <w:rPr>
          <w:rFonts w:hint="default" w:ascii="Times New Roman" w:hAnsi="Times New Roman" w:eastAsia="宋体" w:cs="Times New Roma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rPr>
        <w:t>202</w:t>
      </w:r>
      <w:r>
        <w:rPr>
          <w:rFonts w:hint="default" w:ascii="Times New Roman" w:hAnsi="Times New Roman" w:eastAsia="宋体" w:cs="Times New Roman"/>
          <w:lang w:val="en-US" w:eastAsia="zh-CN"/>
        </w:rPr>
        <w:t>6</w:t>
      </w:r>
      <w:r>
        <w:rPr>
          <w:rFonts w:hint="default" w:ascii="Times New Roman" w:hAnsi="Times New Roman" w:eastAsia="宋体" w:cs="Times New Roman"/>
        </w:rPr>
        <w:t>年</w:t>
      </w:r>
      <w:r>
        <w:rPr>
          <w:rFonts w:hint="default" w:ascii="Times New Roman" w:hAnsi="Times New Roman" w:eastAsia="宋体" w:cs="Times New Roman"/>
          <w:lang w:val="en-US" w:eastAsia="zh-CN"/>
        </w:rPr>
        <w:t>5</w:t>
      </w:r>
      <w:r>
        <w:rPr>
          <w:rFonts w:hint="default" w:ascii="Times New Roman" w:hAnsi="Times New Roman" w:eastAsia="宋体" w:cs="Times New Roman"/>
        </w:rPr>
        <w:t>月</w:t>
      </w:r>
      <w:r>
        <w:rPr>
          <w:rFonts w:hint="default" w:ascii="Times New Roman" w:hAnsi="Times New Roman" w:eastAsia="宋体" w:cs="Times New Roman"/>
          <w:lang w:val="en-US" w:eastAsia="zh-CN"/>
        </w:rPr>
        <w:t>2</w:t>
      </w:r>
      <w:r>
        <w:rPr>
          <w:rFonts w:hint="default" w:ascii="Times New Roman" w:hAnsi="Times New Roman" w:eastAsia="宋体" w:cs="Times New Roman"/>
        </w:rPr>
        <w:t>8日</w:t>
      </w:r>
    </w:p>
    <w:p w14:paraId="494BAEC5">
      <w:pPr>
        <w:jc w:val="both"/>
        <w:rPr>
          <w:rFonts w:hint="default" w:ascii="Times New Roman" w:hAnsi="Times New Roman" w:eastAsia="宋体" w:cs="Times New Roman"/>
        </w:rPr>
      </w:pPr>
      <w:r>
        <w:rPr>
          <w:rFonts w:hint="default" w:ascii="Times New Roman" w:hAnsi="Times New Roman" w:cs="Times New Roman"/>
        </w:rPr>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59675" cy="10692130"/>
            <wp:effectExtent l="0" t="0" r="0" b="0"/>
            <wp:wrapNone/>
            <wp:docPr id="1" name="图片 3"/>
            <wp:cNvGraphicFramePr/>
            <a:graphic xmlns:a="http://schemas.openxmlformats.org/drawingml/2006/main">
              <a:graphicData uri="http://schemas.openxmlformats.org/drawingml/2006/picture">
                <pic:pic xmlns:pic="http://schemas.openxmlformats.org/drawingml/2006/picture">
                  <pic:nvPicPr>
                    <pic:cNvPr id="1" name="图片 3"/>
                    <pic:cNvPicPr/>
                  </pic:nvPicPr>
                  <pic:blipFill>
                    <a:blip r:embed="rId4"/>
                    <a:stretch>
                      <a:fillRect/>
                    </a:stretch>
                  </pic:blipFill>
                  <pic:spPr>
                    <a:xfrm>
                      <a:off x="0" y="0"/>
                      <a:ext cx="7559675" cy="10692130"/>
                    </a:xfrm>
                    <a:prstGeom prst="rect">
                      <a:avLst/>
                    </a:prstGeom>
                    <a:noFill/>
                    <a:ln>
                      <a:noFill/>
                    </a:ln>
                  </pic:spPr>
                </pic:pic>
              </a:graphicData>
            </a:graphic>
          </wp:anchor>
        </w:drawing>
      </w:r>
    </w:p>
    <w:p w14:paraId="1BE0D3EF">
      <w:pPr>
        <w:jc w:val="both"/>
        <w:rPr>
          <w:rFonts w:hint="default" w:ascii="Times New Roman" w:hAnsi="Times New Roman" w:eastAsia="宋体" w:cs="Times New Roman"/>
        </w:rPr>
      </w:pPr>
    </w:p>
    <w:p w14:paraId="415EA45C">
      <w:pPr>
        <w:jc w:val="both"/>
        <w:rPr>
          <w:rFonts w:hint="default" w:ascii="Times New Roman" w:hAnsi="Times New Roman" w:eastAsia="宋体" w:cs="Times New Roman"/>
        </w:rPr>
      </w:pPr>
    </w:p>
    <w:p w14:paraId="4416F130">
      <w:pPr>
        <w:jc w:val="both"/>
        <w:rPr>
          <w:rFonts w:hint="default" w:ascii="Times New Roman" w:hAnsi="Times New Roman" w:eastAsia="宋体" w:cs="Times New Roman"/>
        </w:rPr>
      </w:pPr>
    </w:p>
    <w:p w14:paraId="74F14288">
      <w:pPr>
        <w:jc w:val="both"/>
        <w:rPr>
          <w:rFonts w:hint="default" w:ascii="Times New Roman" w:hAnsi="Times New Roman" w:eastAsia="宋体" w:cs="Times New Roman"/>
        </w:rPr>
      </w:pPr>
    </w:p>
    <w:p w14:paraId="1E7A568F">
      <w:pPr>
        <w:jc w:val="both"/>
        <w:rPr>
          <w:rFonts w:hint="default" w:ascii="Times New Roman" w:hAnsi="Times New Roman" w:eastAsia="宋体" w:cs="Times New Roman"/>
        </w:rPr>
      </w:pPr>
    </w:p>
    <w:p w14:paraId="05014D38">
      <w:pPr>
        <w:jc w:val="both"/>
        <w:rPr>
          <w:rFonts w:hint="default" w:ascii="Times New Roman" w:hAnsi="Times New Roman" w:eastAsia="宋体" w:cs="Times New Roman"/>
        </w:rPr>
      </w:pPr>
    </w:p>
    <w:p w14:paraId="44678723">
      <w:pPr>
        <w:jc w:val="both"/>
        <w:rPr>
          <w:rFonts w:hint="default" w:ascii="Times New Roman" w:hAnsi="Times New Roman" w:eastAsia="宋体" w:cs="Times New Roman"/>
        </w:rPr>
      </w:pPr>
    </w:p>
    <w:p w14:paraId="155D3B47">
      <w:pPr>
        <w:jc w:val="both"/>
        <w:rPr>
          <w:rFonts w:hint="default" w:ascii="Times New Roman" w:hAnsi="Times New Roman" w:eastAsia="宋体" w:cs="Times New Roman"/>
        </w:rPr>
      </w:pPr>
    </w:p>
    <w:p w14:paraId="0833D660">
      <w:pPr>
        <w:jc w:val="both"/>
        <w:rPr>
          <w:rFonts w:hint="default" w:ascii="Times New Roman" w:hAnsi="Times New Roman" w:eastAsia="宋体" w:cs="Times New Roman"/>
        </w:rPr>
      </w:pPr>
    </w:p>
    <w:p w14:paraId="4953F87E">
      <w:pPr>
        <w:jc w:val="both"/>
        <w:rPr>
          <w:rFonts w:hint="default" w:ascii="Times New Roman" w:hAnsi="Times New Roman" w:eastAsia="宋体" w:cs="Times New Roman"/>
        </w:rPr>
      </w:pPr>
    </w:p>
    <w:p w14:paraId="5C16EB25">
      <w:pPr>
        <w:jc w:val="both"/>
        <w:rPr>
          <w:rFonts w:hint="default" w:ascii="Times New Roman" w:hAnsi="Times New Roman" w:eastAsia="宋体" w:cs="Times New Roman"/>
        </w:rPr>
      </w:pPr>
    </w:p>
    <w:p w14:paraId="165047E7">
      <w:pPr>
        <w:jc w:val="both"/>
        <w:rPr>
          <w:rFonts w:hint="default" w:ascii="Times New Roman" w:hAnsi="Times New Roman" w:eastAsia="宋体" w:cs="Times New Roman"/>
        </w:rPr>
      </w:pPr>
    </w:p>
    <w:p w14:paraId="2B77B496">
      <w:pPr>
        <w:jc w:val="both"/>
        <w:rPr>
          <w:rFonts w:hint="default" w:ascii="Times New Roman" w:hAnsi="Times New Roman" w:eastAsia="宋体" w:cs="Times New Roman"/>
        </w:rPr>
      </w:pPr>
    </w:p>
    <w:p w14:paraId="2CF7E830">
      <w:pPr>
        <w:jc w:val="both"/>
        <w:rPr>
          <w:rFonts w:hint="default" w:ascii="Times New Roman" w:hAnsi="Times New Roman" w:eastAsia="宋体" w:cs="Times New Roman"/>
        </w:rPr>
      </w:pPr>
    </w:p>
    <w:p w14:paraId="35A8E4F5">
      <w:pPr>
        <w:jc w:val="both"/>
        <w:rPr>
          <w:rFonts w:hint="default" w:ascii="Times New Roman" w:hAnsi="Times New Roman" w:eastAsia="宋体" w:cs="Times New Roman"/>
        </w:rPr>
      </w:pPr>
    </w:p>
    <w:p w14:paraId="5A40F771">
      <w:pPr>
        <w:jc w:val="both"/>
        <w:rPr>
          <w:rFonts w:hint="default" w:ascii="Times New Roman" w:hAnsi="Times New Roman" w:eastAsia="宋体" w:cs="Times New Roman"/>
        </w:rPr>
      </w:pPr>
    </w:p>
    <w:p w14:paraId="4773E457">
      <w:pPr>
        <w:jc w:val="both"/>
        <w:rPr>
          <w:rFonts w:hint="default" w:ascii="Times New Roman" w:hAnsi="Times New Roman" w:eastAsia="宋体" w:cs="Times New Roman"/>
        </w:rPr>
      </w:pPr>
    </w:p>
    <w:p w14:paraId="2C3ACD13">
      <w:pPr>
        <w:jc w:val="both"/>
        <w:rPr>
          <w:rFonts w:hint="default" w:ascii="Times New Roman" w:hAnsi="Times New Roman" w:eastAsia="宋体" w:cs="Times New Roman"/>
        </w:rPr>
      </w:pPr>
    </w:p>
    <w:p w14:paraId="41485D4B">
      <w:pPr>
        <w:jc w:val="both"/>
        <w:rPr>
          <w:rFonts w:hint="default" w:ascii="Times New Roman" w:hAnsi="Times New Roman" w:eastAsia="宋体" w:cs="Times New Roman"/>
        </w:rPr>
      </w:pPr>
    </w:p>
    <w:p w14:paraId="4AFDD4B0">
      <w:pPr>
        <w:jc w:val="both"/>
        <w:rPr>
          <w:rFonts w:hint="default" w:ascii="Times New Roman" w:hAnsi="Times New Roman" w:eastAsia="宋体" w:cs="Times New Roman"/>
        </w:rPr>
      </w:pPr>
    </w:p>
    <w:p w14:paraId="50CA7FD3">
      <w:pPr>
        <w:jc w:val="both"/>
        <w:rPr>
          <w:rFonts w:hint="default" w:ascii="Times New Roman" w:hAnsi="Times New Roman" w:eastAsia="宋体" w:cs="Times New Roman"/>
        </w:rPr>
      </w:pPr>
    </w:p>
    <w:p w14:paraId="3BE91053">
      <w:pPr>
        <w:jc w:val="both"/>
        <w:rPr>
          <w:rFonts w:hint="default" w:ascii="Times New Roman" w:hAnsi="Times New Roman" w:eastAsia="宋体" w:cs="Times New Roman"/>
        </w:rPr>
      </w:pPr>
    </w:p>
    <w:p w14:paraId="74C1EE79">
      <w:pPr>
        <w:jc w:val="both"/>
        <w:rPr>
          <w:rFonts w:hint="default" w:ascii="Times New Roman" w:hAnsi="Times New Roman" w:eastAsia="宋体" w:cs="Times New Roman"/>
        </w:rPr>
      </w:pPr>
    </w:p>
    <w:p w14:paraId="392B1917">
      <w:pPr>
        <w:jc w:val="both"/>
        <w:rPr>
          <w:rFonts w:hint="default" w:ascii="Times New Roman" w:hAnsi="Times New Roman" w:eastAsia="宋体" w:cs="Times New Roman"/>
        </w:rPr>
      </w:pPr>
    </w:p>
    <w:p w14:paraId="6EBD6C9D">
      <w:pPr>
        <w:jc w:val="both"/>
        <w:rPr>
          <w:rFonts w:hint="default" w:ascii="Times New Roman" w:hAnsi="Times New Roman" w:eastAsia="宋体" w:cs="Times New Roman"/>
        </w:rPr>
      </w:pPr>
    </w:p>
    <w:p w14:paraId="60D458BF">
      <w:pPr>
        <w:jc w:val="both"/>
        <w:rPr>
          <w:rFonts w:hint="default" w:ascii="Times New Roman" w:hAnsi="Times New Roman" w:eastAsia="宋体" w:cs="Times New Roman"/>
        </w:rPr>
      </w:pPr>
    </w:p>
    <w:p w14:paraId="25A83F75">
      <w:pPr>
        <w:jc w:val="both"/>
        <w:rPr>
          <w:rFonts w:hint="default" w:ascii="Times New Roman" w:hAnsi="Times New Roman" w:eastAsia="宋体" w:cs="Times New Roman"/>
        </w:rPr>
      </w:pPr>
    </w:p>
    <w:p w14:paraId="1413716C">
      <w:pPr>
        <w:jc w:val="both"/>
        <w:rPr>
          <w:rFonts w:hint="default" w:ascii="Times New Roman" w:hAnsi="Times New Roman" w:eastAsia="宋体" w:cs="Times New Roman"/>
        </w:rPr>
      </w:pPr>
    </w:p>
    <w:p w14:paraId="2939277E">
      <w:pPr>
        <w:jc w:val="both"/>
        <w:rPr>
          <w:rFonts w:hint="default" w:ascii="Times New Roman" w:hAnsi="Times New Roman" w:eastAsia="宋体" w:cs="Times New Roman"/>
        </w:rPr>
      </w:pPr>
    </w:p>
    <w:p w14:paraId="1BC13928">
      <w:pPr>
        <w:jc w:val="both"/>
        <w:rPr>
          <w:rFonts w:hint="default" w:ascii="Times New Roman" w:hAnsi="Times New Roman" w:eastAsia="宋体" w:cs="Times New Roman"/>
        </w:rPr>
      </w:pPr>
    </w:p>
    <w:p w14:paraId="455A3789">
      <w:pPr>
        <w:jc w:val="both"/>
        <w:rPr>
          <w:rFonts w:hint="default" w:ascii="Times New Roman" w:hAnsi="Times New Roman" w:eastAsia="宋体" w:cs="Times New Roman"/>
        </w:rPr>
      </w:pPr>
    </w:p>
    <w:p w14:paraId="16DDC23E">
      <w:pPr>
        <w:jc w:val="both"/>
        <w:rPr>
          <w:rFonts w:hint="default" w:ascii="Times New Roman" w:hAnsi="Times New Roman" w:eastAsia="宋体" w:cs="Times New Roman"/>
        </w:rPr>
      </w:pPr>
    </w:p>
    <w:p w14:paraId="034AB268">
      <w:pPr>
        <w:jc w:val="both"/>
        <w:rPr>
          <w:rFonts w:hint="default" w:ascii="Times New Roman" w:hAnsi="Times New Roman" w:eastAsia="宋体" w:cs="Times New Roman"/>
        </w:rPr>
      </w:pPr>
    </w:p>
    <w:p w14:paraId="085E6562">
      <w:pPr>
        <w:jc w:val="both"/>
        <w:rPr>
          <w:rFonts w:hint="default" w:ascii="Times New Roman" w:hAnsi="Times New Roman" w:eastAsia="宋体" w:cs="Times New Roman"/>
        </w:rPr>
      </w:pPr>
    </w:p>
    <w:p w14:paraId="5F1B2265">
      <w:pPr>
        <w:jc w:val="both"/>
        <w:rPr>
          <w:rFonts w:hint="default" w:ascii="Times New Roman" w:hAnsi="Times New Roman" w:eastAsia="宋体" w:cs="Times New Roman"/>
        </w:rPr>
      </w:pPr>
    </w:p>
    <w:p w14:paraId="687DC589">
      <w:pPr>
        <w:jc w:val="both"/>
        <w:rPr>
          <w:rFonts w:hint="default" w:ascii="Times New Roman" w:hAnsi="Times New Roman" w:eastAsia="宋体" w:cs="Times New Roman"/>
        </w:rPr>
      </w:pPr>
    </w:p>
    <w:p w14:paraId="73EA164E">
      <w:pPr>
        <w:jc w:val="both"/>
        <w:rPr>
          <w:rFonts w:hint="default" w:ascii="Times New Roman" w:hAnsi="Times New Roman" w:eastAsia="宋体" w:cs="Times New Roman"/>
        </w:rPr>
      </w:pPr>
    </w:p>
    <w:p w14:paraId="43CB92A1">
      <w:pPr>
        <w:jc w:val="both"/>
        <w:rPr>
          <w:rFonts w:hint="default" w:ascii="Times New Roman" w:hAnsi="Times New Roman" w:eastAsia="宋体" w:cs="Times New Roman"/>
        </w:rPr>
      </w:pPr>
    </w:p>
    <w:p w14:paraId="5D4CD906">
      <w:pPr>
        <w:jc w:val="both"/>
        <w:rPr>
          <w:rFonts w:hint="default" w:ascii="Times New Roman" w:hAnsi="Times New Roman" w:eastAsia="宋体" w:cs="Times New Roman"/>
        </w:rPr>
      </w:pPr>
    </w:p>
    <w:p w14:paraId="28509BAA">
      <w:pPr>
        <w:jc w:val="both"/>
        <w:rPr>
          <w:rFonts w:hint="default" w:ascii="Times New Roman" w:hAnsi="Times New Roman" w:eastAsia="宋体" w:cs="Times New Roman"/>
        </w:rPr>
      </w:pPr>
    </w:p>
    <w:p w14:paraId="0F91C83E">
      <w:pPr>
        <w:jc w:val="both"/>
        <w:rPr>
          <w:rFonts w:hint="default" w:ascii="Times New Roman" w:hAnsi="Times New Roman" w:eastAsia="宋体" w:cs="Times New Roman"/>
        </w:rPr>
      </w:pPr>
    </w:p>
    <w:p w14:paraId="674DFC79">
      <w:pPr>
        <w:jc w:val="both"/>
        <w:rPr>
          <w:rFonts w:hint="default" w:ascii="Times New Roman" w:hAnsi="Times New Roman" w:eastAsia="宋体" w:cs="Times New Roman"/>
        </w:rPr>
      </w:pPr>
    </w:p>
    <w:p w14:paraId="2E48747C">
      <w:pPr>
        <w:jc w:val="both"/>
        <w:rPr>
          <w:rFonts w:hint="default" w:ascii="Times New Roman" w:hAnsi="Times New Roman" w:eastAsia="宋体" w:cs="Times New Roman"/>
        </w:rPr>
      </w:pPr>
    </w:p>
    <w:p w14:paraId="6CF47A46">
      <w:pPr>
        <w:jc w:val="both"/>
        <w:rPr>
          <w:rFonts w:hint="default" w:ascii="Times New Roman" w:hAnsi="Times New Roman" w:eastAsia="宋体" w:cs="Times New Roman"/>
        </w:rPr>
      </w:pPr>
      <w:r>
        <w:rPr>
          <w:rFonts w:hint="default" w:ascii="Times New Roman" w:hAnsi="Times New Roman" w:cs="Times New Roman"/>
        </w:rPr>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7559675" cy="1069213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5"/>
                    <a:stretch>
                      <a:fillRect/>
                    </a:stretch>
                  </pic:blipFill>
                  <pic:spPr>
                    <a:xfrm>
                      <a:off x="0" y="0"/>
                      <a:ext cx="7559675" cy="10692130"/>
                    </a:xfrm>
                    <a:prstGeom prst="rect">
                      <a:avLst/>
                    </a:prstGeom>
                    <a:noFill/>
                    <a:ln>
                      <a:noFill/>
                    </a:ln>
                  </pic:spPr>
                </pic:pic>
              </a:graphicData>
            </a:graphic>
          </wp:anchor>
        </w:drawing>
      </w:r>
    </w:p>
    <w:p w14:paraId="36C69050">
      <w:pPr>
        <w:jc w:val="both"/>
        <w:rPr>
          <w:rFonts w:hint="default" w:ascii="Times New Roman" w:hAnsi="Times New Roman" w:eastAsia="宋体" w:cs="Times New Roman"/>
        </w:rPr>
      </w:pPr>
    </w:p>
    <w:p w14:paraId="283E39A6">
      <w:pPr>
        <w:jc w:val="both"/>
        <w:rPr>
          <w:rFonts w:hint="default" w:ascii="Times New Roman" w:hAnsi="Times New Roman" w:eastAsia="宋体" w:cs="Times New Roman"/>
        </w:rPr>
      </w:pPr>
    </w:p>
    <w:p w14:paraId="507E548C">
      <w:pPr>
        <w:jc w:val="both"/>
        <w:rPr>
          <w:rFonts w:hint="default" w:ascii="Times New Roman" w:hAnsi="Times New Roman" w:eastAsia="宋体" w:cs="Times New Roman"/>
        </w:rPr>
      </w:pPr>
    </w:p>
    <w:p w14:paraId="24DF2E44">
      <w:pPr>
        <w:jc w:val="both"/>
        <w:rPr>
          <w:rFonts w:hint="default" w:ascii="Times New Roman" w:hAnsi="Times New Roman" w:eastAsia="宋体" w:cs="Times New Roman"/>
        </w:rPr>
      </w:pPr>
    </w:p>
    <w:p w14:paraId="618B2A87">
      <w:pPr>
        <w:jc w:val="both"/>
        <w:rPr>
          <w:rFonts w:hint="default" w:ascii="Times New Roman" w:hAnsi="Times New Roman" w:eastAsia="宋体" w:cs="Times New Roman"/>
        </w:rPr>
      </w:pPr>
    </w:p>
    <w:p w14:paraId="3EB5C4CE">
      <w:pPr>
        <w:jc w:val="both"/>
        <w:rPr>
          <w:rFonts w:hint="default" w:ascii="Times New Roman" w:hAnsi="Times New Roman" w:eastAsia="宋体" w:cs="Times New Roman"/>
        </w:rPr>
      </w:pPr>
    </w:p>
    <w:p w14:paraId="2FAFFF3C">
      <w:pPr>
        <w:jc w:val="both"/>
        <w:rPr>
          <w:rFonts w:hint="default" w:ascii="Times New Roman" w:hAnsi="Times New Roman" w:eastAsia="宋体" w:cs="Times New Roman"/>
        </w:rPr>
      </w:pPr>
    </w:p>
    <w:p w14:paraId="3B183EB3">
      <w:pPr>
        <w:jc w:val="both"/>
        <w:rPr>
          <w:rFonts w:hint="default" w:ascii="Times New Roman" w:hAnsi="Times New Roman" w:eastAsia="宋体" w:cs="Times New Roman"/>
        </w:rPr>
      </w:pPr>
    </w:p>
    <w:p w14:paraId="0EE41B81">
      <w:pPr>
        <w:jc w:val="both"/>
        <w:rPr>
          <w:rFonts w:hint="default" w:ascii="Times New Roman" w:hAnsi="Times New Roman" w:eastAsia="宋体" w:cs="Times New Roman"/>
        </w:rPr>
      </w:pPr>
    </w:p>
    <w:p w14:paraId="653E60A8">
      <w:pPr>
        <w:jc w:val="both"/>
        <w:rPr>
          <w:rFonts w:hint="default" w:ascii="Times New Roman" w:hAnsi="Times New Roman" w:eastAsia="宋体" w:cs="Times New Roman"/>
        </w:rPr>
      </w:pPr>
    </w:p>
    <w:p w14:paraId="401EFDEE">
      <w:pPr>
        <w:jc w:val="both"/>
        <w:rPr>
          <w:rFonts w:hint="default" w:ascii="Times New Roman" w:hAnsi="Times New Roman" w:eastAsia="宋体" w:cs="Times New Roman"/>
        </w:rPr>
      </w:pPr>
    </w:p>
    <w:p w14:paraId="5755ED32">
      <w:pPr>
        <w:jc w:val="both"/>
        <w:rPr>
          <w:rFonts w:hint="default" w:ascii="Times New Roman" w:hAnsi="Times New Roman" w:eastAsia="宋体" w:cs="Times New Roman"/>
        </w:rPr>
      </w:pPr>
    </w:p>
    <w:p w14:paraId="1EB50687">
      <w:pPr>
        <w:jc w:val="both"/>
        <w:rPr>
          <w:rFonts w:hint="default" w:ascii="Times New Roman" w:hAnsi="Times New Roman" w:eastAsia="宋体" w:cs="Times New Roman"/>
        </w:rPr>
      </w:pPr>
    </w:p>
    <w:p w14:paraId="61EFBD83">
      <w:pPr>
        <w:jc w:val="both"/>
        <w:rPr>
          <w:rFonts w:hint="default" w:ascii="Times New Roman" w:hAnsi="Times New Roman" w:eastAsia="宋体" w:cs="Times New Roman"/>
        </w:rPr>
      </w:pPr>
    </w:p>
    <w:p w14:paraId="1C541402">
      <w:pPr>
        <w:jc w:val="both"/>
        <w:rPr>
          <w:rFonts w:hint="default" w:ascii="Times New Roman" w:hAnsi="Times New Roman" w:eastAsia="宋体" w:cs="Times New Roman"/>
        </w:rPr>
      </w:pPr>
    </w:p>
    <w:p w14:paraId="7F6BA5A1">
      <w:pPr>
        <w:jc w:val="both"/>
        <w:rPr>
          <w:rFonts w:hint="default" w:ascii="Times New Roman" w:hAnsi="Times New Roman" w:eastAsia="宋体" w:cs="Times New Roman"/>
        </w:rPr>
      </w:pPr>
    </w:p>
    <w:p w14:paraId="65A3B36A">
      <w:pPr>
        <w:jc w:val="both"/>
        <w:rPr>
          <w:rFonts w:hint="default" w:ascii="Times New Roman" w:hAnsi="Times New Roman" w:eastAsia="宋体" w:cs="Times New Roman"/>
        </w:rPr>
      </w:pPr>
    </w:p>
    <w:p w14:paraId="6E395929">
      <w:pPr>
        <w:jc w:val="both"/>
        <w:rPr>
          <w:rFonts w:hint="default" w:ascii="Times New Roman" w:hAnsi="Times New Roman" w:eastAsia="宋体" w:cs="Times New Roman"/>
        </w:rPr>
      </w:pPr>
    </w:p>
    <w:p w14:paraId="37E1D6D4">
      <w:pPr>
        <w:jc w:val="both"/>
        <w:rPr>
          <w:rFonts w:hint="default" w:ascii="Times New Roman" w:hAnsi="Times New Roman" w:eastAsia="宋体" w:cs="Times New Roman"/>
        </w:rPr>
      </w:pPr>
    </w:p>
    <w:p w14:paraId="494A290E">
      <w:pPr>
        <w:jc w:val="both"/>
        <w:rPr>
          <w:rFonts w:hint="default" w:ascii="Times New Roman" w:hAnsi="Times New Roman" w:eastAsia="宋体" w:cs="Times New Roman"/>
        </w:rPr>
      </w:pPr>
    </w:p>
    <w:p w14:paraId="329238E2">
      <w:pPr>
        <w:jc w:val="both"/>
        <w:rPr>
          <w:rFonts w:hint="default" w:ascii="Times New Roman" w:hAnsi="Times New Roman" w:eastAsia="宋体" w:cs="Times New Roman"/>
        </w:rPr>
      </w:pPr>
    </w:p>
    <w:p w14:paraId="131A2A60">
      <w:pPr>
        <w:jc w:val="both"/>
        <w:rPr>
          <w:rFonts w:hint="default" w:ascii="Times New Roman" w:hAnsi="Times New Roman" w:eastAsia="宋体" w:cs="Times New Roman"/>
        </w:rPr>
      </w:pPr>
    </w:p>
    <w:p w14:paraId="78373151">
      <w:pPr>
        <w:jc w:val="both"/>
        <w:rPr>
          <w:rFonts w:hint="default" w:ascii="Times New Roman" w:hAnsi="Times New Roman" w:eastAsia="宋体" w:cs="Times New Roman"/>
        </w:rPr>
      </w:pPr>
    </w:p>
    <w:p w14:paraId="73A77989">
      <w:pPr>
        <w:jc w:val="both"/>
        <w:rPr>
          <w:rFonts w:hint="default" w:ascii="Times New Roman" w:hAnsi="Times New Roman" w:eastAsia="宋体" w:cs="Times New Roman"/>
        </w:rPr>
      </w:pPr>
    </w:p>
    <w:p w14:paraId="5BDAABC3">
      <w:pPr>
        <w:jc w:val="both"/>
        <w:rPr>
          <w:rFonts w:hint="default" w:ascii="Times New Roman" w:hAnsi="Times New Roman" w:eastAsia="宋体" w:cs="Times New Roman"/>
        </w:rPr>
      </w:pPr>
    </w:p>
    <w:p w14:paraId="5F0CE5E6">
      <w:pPr>
        <w:jc w:val="both"/>
        <w:rPr>
          <w:rFonts w:hint="default" w:ascii="Times New Roman" w:hAnsi="Times New Roman" w:eastAsia="宋体" w:cs="Times New Roman"/>
        </w:rPr>
      </w:pPr>
    </w:p>
    <w:p w14:paraId="04BFCE12">
      <w:pPr>
        <w:jc w:val="both"/>
        <w:rPr>
          <w:rFonts w:hint="default" w:ascii="Times New Roman" w:hAnsi="Times New Roman" w:eastAsia="宋体" w:cs="Times New Roman"/>
        </w:rPr>
      </w:pPr>
    </w:p>
    <w:p w14:paraId="00A76BE8">
      <w:pPr>
        <w:jc w:val="both"/>
        <w:rPr>
          <w:rFonts w:hint="default" w:ascii="Times New Roman" w:hAnsi="Times New Roman" w:eastAsia="宋体" w:cs="Times New Roman"/>
        </w:rPr>
      </w:pPr>
    </w:p>
    <w:p w14:paraId="5508A643">
      <w:pPr>
        <w:jc w:val="both"/>
        <w:rPr>
          <w:rFonts w:hint="default" w:ascii="Times New Roman" w:hAnsi="Times New Roman" w:eastAsia="宋体" w:cs="Times New Roman"/>
        </w:rPr>
      </w:pPr>
    </w:p>
    <w:p w14:paraId="675786BA">
      <w:pPr>
        <w:jc w:val="both"/>
        <w:rPr>
          <w:rFonts w:hint="default" w:ascii="Times New Roman" w:hAnsi="Times New Roman" w:eastAsia="宋体" w:cs="Times New Roman"/>
        </w:rPr>
      </w:pPr>
    </w:p>
    <w:p w14:paraId="35D1E6BC">
      <w:pPr>
        <w:jc w:val="both"/>
        <w:rPr>
          <w:rFonts w:hint="default" w:ascii="Times New Roman" w:hAnsi="Times New Roman" w:eastAsia="宋体" w:cs="Times New Roman"/>
        </w:rPr>
      </w:pPr>
    </w:p>
    <w:p w14:paraId="32961C9A">
      <w:pPr>
        <w:jc w:val="both"/>
        <w:rPr>
          <w:rFonts w:hint="default" w:ascii="Times New Roman" w:hAnsi="Times New Roman" w:eastAsia="宋体" w:cs="Times New Roman"/>
        </w:rPr>
      </w:pPr>
    </w:p>
    <w:p w14:paraId="06B32868">
      <w:pPr>
        <w:jc w:val="both"/>
        <w:rPr>
          <w:rFonts w:hint="default" w:ascii="Times New Roman" w:hAnsi="Times New Roman" w:eastAsia="宋体" w:cs="Times New Roman"/>
        </w:rPr>
      </w:pPr>
    </w:p>
    <w:p w14:paraId="48E3EED9">
      <w:pPr>
        <w:jc w:val="both"/>
        <w:rPr>
          <w:rFonts w:hint="default" w:ascii="Times New Roman" w:hAnsi="Times New Roman" w:eastAsia="宋体" w:cs="Times New Roman"/>
        </w:rPr>
      </w:pPr>
    </w:p>
    <w:p w14:paraId="08CB36D5">
      <w:pPr>
        <w:jc w:val="both"/>
        <w:rPr>
          <w:rFonts w:hint="default" w:ascii="Times New Roman" w:hAnsi="Times New Roman" w:eastAsia="宋体" w:cs="Times New Roman"/>
        </w:rPr>
      </w:pPr>
    </w:p>
    <w:p w14:paraId="0DD2382A">
      <w:pPr>
        <w:jc w:val="both"/>
        <w:rPr>
          <w:rFonts w:hint="default" w:ascii="Times New Roman" w:hAnsi="Times New Roman" w:eastAsia="宋体" w:cs="Times New Roman"/>
        </w:rPr>
      </w:pPr>
    </w:p>
    <w:p w14:paraId="107909E1">
      <w:pPr>
        <w:jc w:val="both"/>
        <w:rPr>
          <w:rFonts w:hint="default" w:ascii="Times New Roman" w:hAnsi="Times New Roman" w:eastAsia="宋体" w:cs="Times New Roman"/>
        </w:rPr>
      </w:pPr>
    </w:p>
    <w:p w14:paraId="665C6D8B">
      <w:pPr>
        <w:jc w:val="both"/>
        <w:rPr>
          <w:rFonts w:hint="default" w:ascii="Times New Roman" w:hAnsi="Times New Roman" w:eastAsia="宋体" w:cs="Times New Roman"/>
        </w:rPr>
      </w:pPr>
    </w:p>
    <w:p w14:paraId="48BA351A">
      <w:pPr>
        <w:jc w:val="both"/>
        <w:rPr>
          <w:rFonts w:hint="default" w:ascii="Times New Roman" w:hAnsi="Times New Roman" w:eastAsia="宋体" w:cs="Times New Roman"/>
        </w:rPr>
      </w:pPr>
    </w:p>
    <w:p w14:paraId="45E917BA">
      <w:pPr>
        <w:jc w:val="both"/>
        <w:rPr>
          <w:rFonts w:hint="default" w:ascii="Times New Roman" w:hAnsi="Times New Roman" w:eastAsia="宋体" w:cs="Times New Roman"/>
        </w:rPr>
      </w:pPr>
    </w:p>
    <w:p w14:paraId="2713E9D5">
      <w:pPr>
        <w:jc w:val="both"/>
        <w:rPr>
          <w:rFonts w:hint="default" w:ascii="Times New Roman" w:hAnsi="Times New Roman" w:eastAsia="宋体" w:cs="Times New Roman"/>
        </w:rPr>
      </w:pPr>
    </w:p>
    <w:p w14:paraId="270CDAA1">
      <w:pPr>
        <w:jc w:val="both"/>
        <w:rPr>
          <w:rFonts w:hint="default" w:ascii="Times New Roman" w:hAnsi="Times New Roman" w:eastAsia="宋体" w:cs="Times New Roman"/>
        </w:rPr>
      </w:pPr>
    </w:p>
    <w:p w14:paraId="715CD0EB">
      <w:pPr>
        <w:jc w:val="both"/>
        <w:rPr>
          <w:rFonts w:hint="default" w:ascii="Times New Roman" w:hAnsi="Times New Roman" w:eastAsia="宋体" w:cs="Times New Roman"/>
        </w:rPr>
      </w:pPr>
    </w:p>
    <w:p w14:paraId="7BBBCE45">
      <w:pPr>
        <w:jc w:val="both"/>
        <w:rPr>
          <w:rFonts w:hint="default" w:ascii="Times New Roman" w:hAnsi="Times New Roman" w:eastAsia="宋体" w:cs="Times New Roman"/>
        </w:rPr>
      </w:pPr>
      <w:r>
        <w:rPr>
          <w:rFonts w:hint="default" w:ascii="Times New Roman" w:hAnsi="Times New Roman" w:cs="Times New Roman"/>
        </w:rPr>
        <w:drawing>
          <wp:anchor distT="0" distB="0" distL="114300" distR="114300" simplePos="0" relativeHeight="251661312" behindDoc="0" locked="0" layoutInCell="1" allowOverlap="1">
            <wp:simplePos x="0" y="0"/>
            <wp:positionH relativeFrom="page">
              <wp:posOffset>0</wp:posOffset>
            </wp:positionH>
            <wp:positionV relativeFrom="page">
              <wp:posOffset>0</wp:posOffset>
            </wp:positionV>
            <wp:extent cx="7560310" cy="10683240"/>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r:embed="rId6"/>
                    <a:stretch>
                      <a:fillRect/>
                    </a:stretch>
                  </pic:blipFill>
                  <pic:spPr>
                    <a:xfrm>
                      <a:off x="0" y="0"/>
                      <a:ext cx="7560310" cy="10683240"/>
                    </a:xfrm>
                    <a:prstGeom prst="rect">
                      <a:avLst/>
                    </a:prstGeom>
                    <a:noFill/>
                    <a:ln>
                      <a:noFill/>
                    </a:ln>
                  </pic:spPr>
                </pic:pic>
              </a:graphicData>
            </a:graphic>
          </wp:anchor>
        </w:drawing>
      </w:r>
    </w:p>
    <w:p w14:paraId="5444D866">
      <w:pPr>
        <w:jc w:val="both"/>
        <w:rPr>
          <w:rFonts w:hint="default" w:ascii="Times New Roman" w:hAnsi="Times New Roman" w:eastAsia="宋体" w:cs="Times New Roman"/>
        </w:rPr>
      </w:pPr>
    </w:p>
    <w:p w14:paraId="0FF41F54">
      <w:pPr>
        <w:jc w:val="both"/>
        <w:rPr>
          <w:rFonts w:hint="default" w:ascii="Times New Roman" w:hAnsi="Times New Roman" w:eastAsia="宋体" w:cs="Times New Roman"/>
        </w:rPr>
      </w:pPr>
    </w:p>
    <w:p w14:paraId="11DE9D16">
      <w:pPr>
        <w:jc w:val="both"/>
        <w:rPr>
          <w:rFonts w:hint="default" w:ascii="Times New Roman" w:hAnsi="Times New Roman" w:eastAsia="宋体" w:cs="Times New Roman"/>
        </w:rPr>
      </w:pPr>
    </w:p>
    <w:p w14:paraId="681570AE">
      <w:pPr>
        <w:jc w:val="both"/>
        <w:rPr>
          <w:rFonts w:hint="default" w:ascii="Times New Roman" w:hAnsi="Times New Roman" w:eastAsia="宋体" w:cs="Times New Roman"/>
        </w:rPr>
      </w:pPr>
    </w:p>
    <w:p w14:paraId="1AE180B6">
      <w:pPr>
        <w:jc w:val="both"/>
        <w:rPr>
          <w:rFonts w:hint="default" w:ascii="Times New Roman" w:hAnsi="Times New Roman" w:eastAsia="宋体" w:cs="Times New Roman"/>
        </w:rPr>
      </w:pPr>
    </w:p>
    <w:p w14:paraId="51E44975">
      <w:pPr>
        <w:jc w:val="both"/>
        <w:rPr>
          <w:rFonts w:hint="default" w:ascii="Times New Roman" w:hAnsi="Times New Roman" w:eastAsia="宋体" w:cs="Times New Roman"/>
        </w:rPr>
      </w:pPr>
    </w:p>
    <w:p w14:paraId="01270A02">
      <w:pPr>
        <w:jc w:val="both"/>
        <w:rPr>
          <w:rFonts w:hint="default" w:ascii="Times New Roman" w:hAnsi="Times New Roman" w:eastAsia="宋体" w:cs="Times New Roman"/>
        </w:rPr>
      </w:pPr>
    </w:p>
    <w:p w14:paraId="528D4770">
      <w:pPr>
        <w:jc w:val="both"/>
        <w:rPr>
          <w:rFonts w:hint="default" w:ascii="Times New Roman" w:hAnsi="Times New Roman" w:eastAsia="宋体" w:cs="Times New Roman"/>
        </w:rPr>
      </w:pPr>
    </w:p>
    <w:p w14:paraId="6120D472">
      <w:pPr>
        <w:jc w:val="both"/>
        <w:rPr>
          <w:rFonts w:hint="default" w:ascii="Times New Roman" w:hAnsi="Times New Roman" w:eastAsia="宋体" w:cs="Times New Roman"/>
        </w:rPr>
      </w:pPr>
    </w:p>
    <w:p w14:paraId="4DE916AF">
      <w:pPr>
        <w:jc w:val="both"/>
        <w:rPr>
          <w:rFonts w:hint="default" w:ascii="Times New Roman" w:hAnsi="Times New Roman" w:eastAsia="宋体" w:cs="Times New Roman"/>
        </w:rPr>
      </w:pPr>
    </w:p>
    <w:p w14:paraId="717078EF">
      <w:pPr>
        <w:jc w:val="both"/>
        <w:rPr>
          <w:rFonts w:hint="default" w:ascii="Times New Roman" w:hAnsi="Times New Roman" w:eastAsia="宋体" w:cs="Times New Roman"/>
        </w:rPr>
      </w:pPr>
    </w:p>
    <w:p w14:paraId="0928ACDC">
      <w:pPr>
        <w:tabs>
          <w:tab w:val="left" w:pos="955"/>
        </w:tabs>
        <w:jc w:val="left"/>
        <w:rPr>
          <w:rFonts w:hint="default" w:ascii="Times New Roman" w:hAnsi="Times New Roman" w:eastAsia="宋体" w:cs="Times New Roman"/>
        </w:rPr>
      </w:pPr>
    </w:p>
    <w:p w14:paraId="40F38F07">
      <w:pPr>
        <w:tabs>
          <w:tab w:val="left" w:pos="955"/>
        </w:tabs>
        <w:jc w:val="left"/>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7A"/>
    <w:rsid w:val="000071FF"/>
    <w:rsid w:val="002F636C"/>
    <w:rsid w:val="008E6443"/>
    <w:rsid w:val="00BF233D"/>
    <w:rsid w:val="00C05F7A"/>
    <w:rsid w:val="00EA21F3"/>
    <w:rsid w:val="03C43CD2"/>
    <w:rsid w:val="09D95777"/>
    <w:rsid w:val="0BA7412C"/>
    <w:rsid w:val="10090E5D"/>
    <w:rsid w:val="13D95284"/>
    <w:rsid w:val="148D0072"/>
    <w:rsid w:val="2198622B"/>
    <w:rsid w:val="29C20314"/>
    <w:rsid w:val="2CF73EAC"/>
    <w:rsid w:val="2DFF4F6C"/>
    <w:rsid w:val="30D71E01"/>
    <w:rsid w:val="36413732"/>
    <w:rsid w:val="36C7503B"/>
    <w:rsid w:val="3EFB57A0"/>
    <w:rsid w:val="3F721126"/>
    <w:rsid w:val="49E076C1"/>
    <w:rsid w:val="4A496B89"/>
    <w:rsid w:val="4BA507A4"/>
    <w:rsid w:val="4DCB434F"/>
    <w:rsid w:val="501B678E"/>
    <w:rsid w:val="525B1649"/>
    <w:rsid w:val="527A73C0"/>
    <w:rsid w:val="58E953D3"/>
    <w:rsid w:val="5E697E32"/>
    <w:rsid w:val="60320560"/>
    <w:rsid w:val="61B9168A"/>
    <w:rsid w:val="6F9A4A6F"/>
    <w:rsid w:val="719E0CE4"/>
    <w:rsid w:val="734844B1"/>
    <w:rsid w:val="7BB42002"/>
    <w:rsid w:val="7EC207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qFormat/>
    <w:uiPriority w:val="0"/>
    <w:pPr>
      <w:jc w:val="left"/>
    </w:pPr>
  </w:style>
  <w:style w:type="paragraph" w:styleId="3">
    <w:name w:val="Balloon Text"/>
    <w:basedOn w:val="1"/>
    <w:link w:val="13"/>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szCs w:val="18"/>
    </w:rPr>
  </w:style>
  <w:style w:type="paragraph" w:styleId="5">
    <w:name w:val="header"/>
    <w:basedOn w:val="1"/>
    <w:link w:val="15"/>
    <w:qFormat/>
    <w:uiPriority w:val="0"/>
    <w:pPr>
      <w:tabs>
        <w:tab w:val="center" w:pos="4153"/>
        <w:tab w:val="right" w:pos="8306"/>
      </w:tabs>
      <w:snapToGrid w:val="0"/>
      <w:jc w:val="center"/>
    </w:pPr>
    <w:rPr>
      <w:sz w:val="18"/>
      <w:szCs w:val="18"/>
    </w:rPr>
  </w:style>
  <w:style w:type="paragraph" w:styleId="6">
    <w:name w:val="annotation subject"/>
    <w:basedOn w:val="2"/>
    <w:next w:val="2"/>
    <w:link w:val="12"/>
    <w:qFormat/>
    <w:uiPriority w:val="0"/>
    <w:rPr>
      <w:b/>
      <w:bCs/>
    </w:rPr>
  </w:style>
  <w:style w:type="character" w:styleId="9">
    <w:name w:val="annotation reference"/>
    <w:basedOn w:val="8"/>
    <w:qFormat/>
    <w:uiPriority w:val="0"/>
    <w:rPr>
      <w:sz w:val="21"/>
      <w:szCs w:val="21"/>
    </w:rPr>
  </w:style>
  <w:style w:type="character" w:customStyle="1" w:styleId="10">
    <w:name w:val="da"/>
    <w:basedOn w:val="8"/>
    <w:qFormat/>
    <w:uiPriority w:val="0"/>
  </w:style>
  <w:style w:type="character" w:customStyle="1" w:styleId="11">
    <w:name w:val="批注文字 字符"/>
    <w:basedOn w:val="8"/>
    <w:link w:val="2"/>
    <w:qFormat/>
    <w:uiPriority w:val="0"/>
    <w:rPr>
      <w:kern w:val="2"/>
      <w:sz w:val="21"/>
      <w:szCs w:val="22"/>
    </w:rPr>
  </w:style>
  <w:style w:type="character" w:customStyle="1" w:styleId="12">
    <w:name w:val="批注主题 字符"/>
    <w:basedOn w:val="11"/>
    <w:link w:val="6"/>
    <w:qFormat/>
    <w:uiPriority w:val="0"/>
    <w:rPr>
      <w:b/>
      <w:bCs/>
      <w:kern w:val="2"/>
      <w:sz w:val="21"/>
      <w:szCs w:val="22"/>
    </w:rPr>
  </w:style>
  <w:style w:type="character" w:customStyle="1" w:styleId="13">
    <w:name w:val="批注框文本 字符"/>
    <w:basedOn w:val="8"/>
    <w:link w:val="3"/>
    <w:qFormat/>
    <w:uiPriority w:val="0"/>
    <w:rPr>
      <w:kern w:val="2"/>
      <w:sz w:val="18"/>
      <w:szCs w:val="18"/>
    </w:rPr>
  </w:style>
  <w:style w:type="paragraph" w:customStyle="1" w:styleId="14">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5">
    <w:name w:val="页眉 字符"/>
    <w:basedOn w:val="8"/>
    <w:link w:val="5"/>
    <w:qFormat/>
    <w:uiPriority w:val="0"/>
    <w:rPr>
      <w:kern w:val="2"/>
      <w:sz w:val="18"/>
      <w:szCs w:val="18"/>
    </w:rPr>
  </w:style>
  <w:style w:type="character" w:customStyle="1" w:styleId="16">
    <w:name w:val="页脚 字符"/>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1345</Words>
  <Characters>1415</Characters>
  <Lines>9</Lines>
  <Paragraphs>2</Paragraphs>
  <TotalTime>1</TotalTime>
  <ScaleCrop>false</ScaleCrop>
  <LinksUpToDate>false</LinksUpToDate>
  <CharactersWithSpaces>1416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2023-11-24T08:24:00Z</dcterms:created>
  <dc:creator>fuxj</dc:creator>
  <cp:lastModifiedBy>zhouhy</cp:lastModifiedBy>
  <dcterms:modified xsi:type="dcterms:W3CDTF">2026-05-27T06:07:53Z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22587875276B4FB09100FCEE8B272854</vt:lpwstr>
  </property>
  <property fmtid="{D5CDD505-2E9C-101B-9397-08002B2CF9AE}" pid="4" name="KSOTemplateDocerSaveRecord">
    <vt:lpwstr>eyJoZGlkIjoiZmVhYTE0MTJhMGJkOGU3YzBiOGFiYTlhMGFmMDNhZmYiLCJ1c2VySWQiOiI4OTUyODYyNjEifQ==</vt:lpwstr>
  </property>
</Properties>
</file>