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0368D0"/>
    <w:p w14:paraId="75A78261">
      <w:pPr>
        <w:jc w:val="center"/>
        <w:rPr>
          <w:rFonts w:hint="eastAsia" w:ascii="宋体" w:hAnsi="宋体" w:eastAsia="宋体"/>
          <w:b/>
          <w:sz w:val="30"/>
        </w:rPr>
      </w:pPr>
      <w:r>
        <w:rPr>
          <w:rFonts w:hint="eastAsia" w:ascii="宋体" w:hAnsi="宋体" w:eastAsia="宋体"/>
          <w:b/>
          <w:sz w:val="30"/>
        </w:rPr>
        <w:t>博时亚洲票息收益债券型证券投资基金</w:t>
      </w:r>
      <w:r>
        <w:rPr>
          <w:rFonts w:hint="eastAsia" w:ascii="宋体" w:hAnsi="宋体" w:eastAsia="宋体"/>
          <w:b/>
          <w:sz w:val="30"/>
          <w:lang w:val="en-US" w:eastAsia="zh-CN"/>
        </w:rPr>
        <w:t>调整</w:t>
      </w:r>
      <w:r>
        <w:rPr>
          <w:rFonts w:hint="eastAsia" w:ascii="宋体" w:hAnsi="宋体" w:eastAsia="宋体"/>
          <w:b/>
          <w:sz w:val="30"/>
        </w:rPr>
        <w:t>大额申购、转换转入、定期定额投资业务公告</w:t>
      </w:r>
    </w:p>
    <w:p w14:paraId="2819F34E">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2026年6月2日</w:t>
      </w:r>
    </w:p>
    <w:p w14:paraId="6DD29FB4">
      <w:pPr>
        <w:jc w:val="center"/>
        <w:rPr>
          <w:rFonts w:ascii="宋体" w:hAnsi="宋体" w:eastAsia="宋体"/>
          <w:b/>
          <w:sz w:val="24"/>
        </w:rPr>
      </w:pPr>
    </w:p>
    <w:p w14:paraId="32EB9FB6">
      <w:pPr>
        <w:pStyle w:val="2"/>
        <w:rPr>
          <w:rFonts w:ascii="宋体" w:hAnsi="宋体" w:eastAsia="宋体"/>
          <w:sz w:val="24"/>
        </w:rPr>
      </w:pPr>
      <w:r>
        <w:rPr>
          <w:rFonts w:ascii="宋体" w:hAnsi="宋体" w:eastAsia="宋体"/>
          <w:sz w:val="24"/>
        </w:rPr>
        <w:t>1、公告基本信息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14:paraId="4A26A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37BB9971">
            <w:pPr>
              <w:rPr>
                <w:rFonts w:ascii="宋体" w:hAnsi="宋体" w:eastAsia="宋体"/>
                <w:sz w:val="24"/>
              </w:rPr>
            </w:pPr>
            <w:r>
              <w:rPr>
                <w:rFonts w:hint="eastAsia" w:ascii="宋体" w:hAnsi="宋体" w:eastAsia="宋体"/>
                <w:sz w:val="24"/>
              </w:rPr>
              <w:t>基金名称</w:t>
            </w:r>
          </w:p>
        </w:tc>
        <w:tc>
          <w:tcPr>
            <w:tcW w:w="6088" w:type="dxa"/>
            <w:gridSpan w:val="5"/>
            <w:vAlign w:val="center"/>
          </w:tcPr>
          <w:p w14:paraId="25E0992A">
            <w:pPr>
              <w:rPr>
                <w:rFonts w:ascii="宋体" w:hAnsi="宋体" w:eastAsia="宋体"/>
                <w:sz w:val="24"/>
              </w:rPr>
            </w:pPr>
            <w:r>
              <w:rPr>
                <w:rFonts w:hint="eastAsia" w:ascii="宋体" w:hAnsi="宋体" w:eastAsia="宋体"/>
                <w:sz w:val="24"/>
              </w:rPr>
              <w:t>博时亚洲票息收益债券型证券投资基金</w:t>
            </w:r>
          </w:p>
        </w:tc>
      </w:tr>
      <w:tr w14:paraId="3206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760EEA7A">
            <w:pPr>
              <w:rPr>
                <w:rFonts w:ascii="宋体" w:hAnsi="宋体" w:eastAsia="宋体"/>
                <w:sz w:val="24"/>
              </w:rPr>
            </w:pPr>
            <w:r>
              <w:rPr>
                <w:rFonts w:hint="eastAsia" w:ascii="宋体" w:hAnsi="宋体" w:eastAsia="宋体"/>
                <w:sz w:val="24"/>
              </w:rPr>
              <w:t>基金简称</w:t>
            </w:r>
          </w:p>
        </w:tc>
        <w:tc>
          <w:tcPr>
            <w:tcW w:w="6088" w:type="dxa"/>
            <w:gridSpan w:val="5"/>
            <w:vAlign w:val="center"/>
          </w:tcPr>
          <w:p w14:paraId="452D8108">
            <w:pPr>
              <w:rPr>
                <w:rFonts w:ascii="宋体" w:hAnsi="宋体" w:eastAsia="宋体"/>
                <w:sz w:val="24"/>
              </w:rPr>
            </w:pPr>
            <w:r>
              <w:rPr>
                <w:rFonts w:hint="eastAsia" w:ascii="宋体" w:hAnsi="宋体" w:eastAsia="宋体"/>
                <w:sz w:val="24"/>
              </w:rPr>
              <w:t>博时亚洲票息收益债券</w:t>
            </w:r>
          </w:p>
        </w:tc>
      </w:tr>
      <w:tr w14:paraId="5A56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26D46B73">
            <w:pPr>
              <w:rPr>
                <w:rFonts w:ascii="宋体" w:hAnsi="宋体" w:eastAsia="宋体"/>
                <w:sz w:val="24"/>
              </w:rPr>
            </w:pPr>
            <w:r>
              <w:rPr>
                <w:rFonts w:hint="eastAsia" w:ascii="宋体" w:hAnsi="宋体" w:eastAsia="宋体"/>
                <w:sz w:val="24"/>
              </w:rPr>
              <w:t>基金主代码</w:t>
            </w:r>
          </w:p>
        </w:tc>
        <w:tc>
          <w:tcPr>
            <w:tcW w:w="6088" w:type="dxa"/>
            <w:gridSpan w:val="5"/>
            <w:vAlign w:val="center"/>
          </w:tcPr>
          <w:p w14:paraId="1D64A0CD">
            <w:pPr>
              <w:rPr>
                <w:rFonts w:ascii="宋体" w:hAnsi="宋体" w:eastAsia="宋体"/>
                <w:sz w:val="24"/>
              </w:rPr>
            </w:pPr>
            <w:r>
              <w:rPr>
                <w:rFonts w:ascii="宋体" w:hAnsi="宋体" w:eastAsia="宋体"/>
                <w:sz w:val="24"/>
              </w:rPr>
              <w:t>050030</w:t>
            </w:r>
          </w:p>
        </w:tc>
      </w:tr>
      <w:tr w14:paraId="5268A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393F7553">
            <w:pPr>
              <w:rPr>
                <w:rFonts w:ascii="宋体" w:hAnsi="宋体" w:eastAsia="宋体"/>
                <w:sz w:val="24"/>
              </w:rPr>
            </w:pPr>
            <w:r>
              <w:rPr>
                <w:rFonts w:hint="eastAsia" w:ascii="宋体" w:hAnsi="宋体" w:eastAsia="宋体"/>
                <w:sz w:val="24"/>
              </w:rPr>
              <w:t>基金管理人名称</w:t>
            </w:r>
          </w:p>
        </w:tc>
        <w:tc>
          <w:tcPr>
            <w:tcW w:w="6088" w:type="dxa"/>
            <w:gridSpan w:val="5"/>
            <w:vAlign w:val="center"/>
          </w:tcPr>
          <w:p w14:paraId="26ABA22E">
            <w:pPr>
              <w:rPr>
                <w:rFonts w:ascii="宋体" w:hAnsi="宋体" w:eastAsia="宋体"/>
                <w:sz w:val="24"/>
              </w:rPr>
            </w:pPr>
            <w:r>
              <w:rPr>
                <w:rFonts w:hint="eastAsia" w:ascii="宋体" w:hAnsi="宋体" w:eastAsia="宋体"/>
                <w:sz w:val="24"/>
              </w:rPr>
              <w:t>博时基金管理有限公司</w:t>
            </w:r>
          </w:p>
        </w:tc>
      </w:tr>
      <w:tr w14:paraId="39A26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0C562015">
            <w:pPr>
              <w:rPr>
                <w:rFonts w:ascii="宋体" w:hAnsi="宋体" w:eastAsia="宋体"/>
                <w:sz w:val="24"/>
              </w:rPr>
            </w:pPr>
            <w:r>
              <w:rPr>
                <w:rFonts w:hint="eastAsia" w:ascii="宋体" w:hAnsi="宋体" w:eastAsia="宋体"/>
                <w:sz w:val="24"/>
              </w:rPr>
              <w:t>公告依据</w:t>
            </w:r>
          </w:p>
        </w:tc>
        <w:tc>
          <w:tcPr>
            <w:tcW w:w="6088" w:type="dxa"/>
            <w:gridSpan w:val="5"/>
            <w:vAlign w:val="center"/>
          </w:tcPr>
          <w:p w14:paraId="2FF5A834">
            <w:pPr>
              <w:rPr>
                <w:rFonts w:ascii="宋体" w:hAnsi="宋体" w:eastAsia="宋体"/>
                <w:sz w:val="24"/>
              </w:rPr>
            </w:pPr>
            <w:r>
              <w:rPr>
                <w:rFonts w:hint="eastAsia" w:ascii="宋体" w:hAnsi="宋体" w:eastAsia="宋体"/>
                <w:sz w:val="24"/>
              </w:rPr>
              <w:t>根据有关法律法规及《博时亚洲票息收益债券型证券投资基金基金合同》、《博时亚洲票息收益债券型证券投资基金招募说明书》等的规定</w:t>
            </w:r>
          </w:p>
        </w:tc>
      </w:tr>
      <w:tr w14:paraId="07C0E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restart"/>
            <w:vAlign w:val="center"/>
          </w:tcPr>
          <w:p w14:paraId="42C21AAD">
            <w:pPr>
              <w:rPr>
                <w:rFonts w:ascii="宋体" w:hAnsi="宋体" w:eastAsia="宋体"/>
                <w:sz w:val="24"/>
              </w:rPr>
            </w:pPr>
            <w:r>
              <w:rPr>
                <w:rFonts w:hint="eastAsia" w:ascii="宋体" w:hAnsi="宋体" w:eastAsia="宋体"/>
                <w:sz w:val="24"/>
              </w:rPr>
              <w:t>暂停相关业务的起始日、金额及原因说明</w:t>
            </w:r>
          </w:p>
        </w:tc>
        <w:tc>
          <w:tcPr>
            <w:tcW w:w="1217" w:type="dxa"/>
            <w:vAlign w:val="center"/>
          </w:tcPr>
          <w:p w14:paraId="254D5583">
            <w:pPr>
              <w:rPr>
                <w:rFonts w:ascii="宋体" w:hAnsi="宋体" w:eastAsia="宋体"/>
                <w:sz w:val="24"/>
              </w:rPr>
            </w:pPr>
            <w:r>
              <w:rPr>
                <w:rFonts w:hint="eastAsia" w:ascii="宋体" w:hAnsi="宋体" w:eastAsia="宋体"/>
                <w:sz w:val="24"/>
              </w:rPr>
              <w:t>暂停大额申购起始日</w:t>
            </w:r>
          </w:p>
        </w:tc>
        <w:tc>
          <w:tcPr>
            <w:tcW w:w="6088" w:type="dxa"/>
            <w:gridSpan w:val="5"/>
            <w:vAlign w:val="center"/>
          </w:tcPr>
          <w:p w14:paraId="5D394198">
            <w:pPr>
              <w:rPr>
                <w:rFonts w:ascii="宋体" w:hAnsi="宋体" w:eastAsia="宋体"/>
                <w:sz w:val="24"/>
              </w:rPr>
            </w:pPr>
            <w:r>
              <w:rPr>
                <w:rFonts w:ascii="宋体" w:hAnsi="宋体" w:eastAsia="宋体"/>
                <w:sz w:val="24"/>
              </w:rPr>
              <w:t>2026年6月2日</w:t>
            </w:r>
          </w:p>
        </w:tc>
      </w:tr>
      <w:tr w14:paraId="11DE6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continue"/>
            <w:vAlign w:val="center"/>
          </w:tcPr>
          <w:p w14:paraId="799DC3FD"/>
        </w:tc>
        <w:tc>
          <w:tcPr>
            <w:tcW w:w="1217" w:type="dxa"/>
            <w:vAlign w:val="center"/>
          </w:tcPr>
          <w:p w14:paraId="1EFD5F9E">
            <w:pPr>
              <w:rPr>
                <w:rFonts w:ascii="宋体" w:hAnsi="宋体" w:eastAsia="宋体"/>
                <w:sz w:val="24"/>
              </w:rPr>
            </w:pPr>
            <w:r>
              <w:rPr>
                <w:rFonts w:hint="eastAsia" w:ascii="宋体" w:hAnsi="宋体" w:eastAsia="宋体"/>
                <w:sz w:val="24"/>
              </w:rPr>
              <w:t>暂停大额转换转入起始日</w:t>
            </w:r>
          </w:p>
        </w:tc>
        <w:tc>
          <w:tcPr>
            <w:tcW w:w="6088" w:type="dxa"/>
            <w:gridSpan w:val="5"/>
            <w:vAlign w:val="center"/>
          </w:tcPr>
          <w:p w14:paraId="317D3B32">
            <w:pPr>
              <w:rPr>
                <w:rFonts w:ascii="宋体" w:hAnsi="宋体" w:eastAsia="宋体"/>
                <w:sz w:val="24"/>
              </w:rPr>
            </w:pPr>
            <w:r>
              <w:rPr>
                <w:rFonts w:ascii="宋体" w:hAnsi="宋体" w:eastAsia="宋体"/>
                <w:sz w:val="24"/>
              </w:rPr>
              <w:t>2026年6月2日</w:t>
            </w:r>
          </w:p>
        </w:tc>
      </w:tr>
      <w:tr w14:paraId="1164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continue"/>
            <w:vAlign w:val="center"/>
          </w:tcPr>
          <w:p w14:paraId="4BD4CCFD"/>
        </w:tc>
        <w:tc>
          <w:tcPr>
            <w:tcW w:w="1217" w:type="dxa"/>
            <w:vAlign w:val="center"/>
          </w:tcPr>
          <w:p w14:paraId="3BB3B614">
            <w:pPr>
              <w:rPr>
                <w:rFonts w:ascii="宋体" w:hAnsi="宋体" w:eastAsia="宋体"/>
                <w:sz w:val="24"/>
              </w:rPr>
            </w:pPr>
            <w:r>
              <w:rPr>
                <w:rFonts w:hint="eastAsia" w:ascii="宋体" w:hAnsi="宋体" w:eastAsia="宋体"/>
                <w:sz w:val="24"/>
              </w:rPr>
              <w:t>暂停大额定期定额投资起始日</w:t>
            </w:r>
          </w:p>
        </w:tc>
        <w:tc>
          <w:tcPr>
            <w:tcW w:w="6088" w:type="dxa"/>
            <w:gridSpan w:val="5"/>
            <w:vAlign w:val="center"/>
          </w:tcPr>
          <w:p w14:paraId="2D2C2425">
            <w:pPr>
              <w:rPr>
                <w:rFonts w:ascii="宋体" w:hAnsi="宋体" w:eastAsia="宋体"/>
                <w:sz w:val="24"/>
              </w:rPr>
            </w:pPr>
            <w:r>
              <w:rPr>
                <w:rFonts w:ascii="宋体" w:hAnsi="宋体" w:eastAsia="宋体"/>
                <w:sz w:val="24"/>
              </w:rPr>
              <w:t>2026年6月2日</w:t>
            </w:r>
          </w:p>
        </w:tc>
      </w:tr>
      <w:tr w14:paraId="561E7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continue"/>
            <w:vAlign w:val="center"/>
          </w:tcPr>
          <w:p w14:paraId="0E791746"/>
        </w:tc>
        <w:tc>
          <w:tcPr>
            <w:tcW w:w="1217" w:type="dxa"/>
            <w:vAlign w:val="center"/>
          </w:tcPr>
          <w:p w14:paraId="43250365">
            <w:pPr>
              <w:rPr>
                <w:rFonts w:ascii="宋体" w:hAnsi="宋体" w:eastAsia="宋体"/>
                <w:sz w:val="24"/>
              </w:rPr>
            </w:pPr>
            <w:r>
              <w:rPr>
                <w:rFonts w:hint="eastAsia" w:ascii="宋体" w:hAnsi="宋体" w:eastAsia="宋体"/>
                <w:sz w:val="24"/>
              </w:rPr>
              <w:t>暂停大额申购、转换转入、定期定额投资的原因说明</w:t>
            </w:r>
          </w:p>
        </w:tc>
        <w:tc>
          <w:tcPr>
            <w:tcW w:w="6088" w:type="dxa"/>
            <w:gridSpan w:val="5"/>
            <w:vAlign w:val="center"/>
          </w:tcPr>
          <w:p w14:paraId="641E04ED">
            <w:pPr>
              <w:rPr>
                <w:rFonts w:ascii="宋体" w:hAnsi="宋体" w:eastAsia="宋体"/>
                <w:sz w:val="24"/>
              </w:rPr>
            </w:pPr>
            <w:r>
              <w:rPr>
                <w:rFonts w:hint="eastAsia" w:ascii="宋体" w:hAnsi="宋体" w:eastAsia="宋体"/>
                <w:sz w:val="24"/>
              </w:rPr>
              <w:t>为保护基金份额持有人利益</w:t>
            </w:r>
          </w:p>
        </w:tc>
      </w:tr>
      <w:tr w14:paraId="16532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3E1C7DB5">
            <w:pPr>
              <w:rPr>
                <w:rFonts w:ascii="宋体" w:hAnsi="宋体" w:eastAsia="宋体"/>
                <w:sz w:val="24"/>
              </w:rPr>
            </w:pPr>
            <w:r>
              <w:rPr>
                <w:rFonts w:hint="eastAsia" w:ascii="宋体" w:hAnsi="宋体" w:eastAsia="宋体"/>
                <w:sz w:val="24"/>
              </w:rPr>
              <w:t>下属分级基金的基金简称</w:t>
            </w:r>
          </w:p>
        </w:tc>
        <w:tc>
          <w:tcPr>
            <w:tcW w:w="1217" w:type="dxa"/>
            <w:vAlign w:val="center"/>
          </w:tcPr>
          <w:p w14:paraId="38A1A7F7">
            <w:pPr>
              <w:rPr>
                <w:rFonts w:ascii="宋体" w:hAnsi="宋体" w:eastAsia="宋体"/>
                <w:sz w:val="24"/>
              </w:rPr>
            </w:pPr>
            <w:r>
              <w:rPr>
                <w:rFonts w:hint="eastAsia" w:ascii="宋体" w:hAnsi="宋体" w:eastAsia="宋体"/>
                <w:sz w:val="24"/>
              </w:rPr>
              <w:t>博时亚洲票息收益债券</w:t>
            </w:r>
            <w:r>
              <w:rPr>
                <w:rFonts w:ascii="宋体" w:hAnsi="宋体" w:eastAsia="宋体"/>
                <w:sz w:val="24"/>
              </w:rPr>
              <w:t>A人民币</w:t>
            </w:r>
          </w:p>
        </w:tc>
        <w:tc>
          <w:tcPr>
            <w:tcW w:w="1217" w:type="dxa"/>
            <w:vAlign w:val="center"/>
          </w:tcPr>
          <w:p w14:paraId="322B5F20">
            <w:pPr>
              <w:rPr>
                <w:rFonts w:ascii="宋体" w:hAnsi="宋体" w:eastAsia="宋体"/>
                <w:sz w:val="24"/>
              </w:rPr>
            </w:pPr>
            <w:r>
              <w:rPr>
                <w:rFonts w:hint="eastAsia" w:ascii="宋体" w:hAnsi="宋体" w:eastAsia="宋体"/>
                <w:sz w:val="24"/>
              </w:rPr>
              <w:t>博时亚洲票息收益债券</w:t>
            </w:r>
            <w:r>
              <w:rPr>
                <w:rFonts w:ascii="宋体" w:hAnsi="宋体" w:eastAsia="宋体"/>
                <w:sz w:val="24"/>
              </w:rPr>
              <w:t>A美元现汇</w:t>
            </w:r>
          </w:p>
        </w:tc>
        <w:tc>
          <w:tcPr>
            <w:tcW w:w="1218" w:type="dxa"/>
            <w:vAlign w:val="center"/>
          </w:tcPr>
          <w:p w14:paraId="19526CA1">
            <w:pPr>
              <w:rPr>
                <w:rFonts w:ascii="宋体" w:hAnsi="宋体" w:eastAsia="宋体"/>
                <w:sz w:val="24"/>
              </w:rPr>
            </w:pPr>
            <w:r>
              <w:rPr>
                <w:rFonts w:hint="eastAsia" w:ascii="宋体" w:hAnsi="宋体" w:eastAsia="宋体"/>
                <w:sz w:val="24"/>
              </w:rPr>
              <w:t>博时亚洲票息收益债券</w:t>
            </w:r>
            <w:r>
              <w:rPr>
                <w:rFonts w:ascii="宋体" w:hAnsi="宋体" w:eastAsia="宋体"/>
                <w:sz w:val="24"/>
              </w:rPr>
              <w:t>A美元钞</w:t>
            </w:r>
          </w:p>
        </w:tc>
        <w:tc>
          <w:tcPr>
            <w:tcW w:w="1218" w:type="dxa"/>
            <w:vAlign w:val="center"/>
          </w:tcPr>
          <w:p w14:paraId="3448EB95">
            <w:pPr>
              <w:rPr>
                <w:rFonts w:ascii="宋体" w:hAnsi="宋体" w:eastAsia="宋体"/>
                <w:sz w:val="24"/>
              </w:rPr>
            </w:pPr>
            <w:r>
              <w:rPr>
                <w:rFonts w:hint="eastAsia" w:ascii="宋体" w:hAnsi="宋体" w:eastAsia="宋体"/>
                <w:sz w:val="24"/>
              </w:rPr>
              <w:t>博时亚洲票息收益债券</w:t>
            </w:r>
            <w:r>
              <w:rPr>
                <w:rFonts w:ascii="宋体" w:hAnsi="宋体" w:eastAsia="宋体"/>
                <w:sz w:val="24"/>
              </w:rPr>
              <w:t>C美元现汇</w:t>
            </w:r>
          </w:p>
        </w:tc>
        <w:tc>
          <w:tcPr>
            <w:tcW w:w="1218" w:type="dxa"/>
            <w:vAlign w:val="center"/>
          </w:tcPr>
          <w:p w14:paraId="659F6BC4">
            <w:pPr>
              <w:rPr>
                <w:rFonts w:ascii="宋体" w:hAnsi="宋体" w:eastAsia="宋体"/>
                <w:sz w:val="24"/>
              </w:rPr>
            </w:pPr>
            <w:r>
              <w:rPr>
                <w:rFonts w:hint="eastAsia" w:ascii="宋体" w:hAnsi="宋体" w:eastAsia="宋体"/>
                <w:sz w:val="24"/>
              </w:rPr>
              <w:t>博时亚洲票息收益债券</w:t>
            </w:r>
            <w:r>
              <w:rPr>
                <w:rFonts w:ascii="宋体" w:hAnsi="宋体" w:eastAsia="宋体"/>
                <w:sz w:val="24"/>
              </w:rPr>
              <w:t>C人民币</w:t>
            </w:r>
          </w:p>
        </w:tc>
      </w:tr>
      <w:tr w14:paraId="13005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3F6F4894">
            <w:pPr>
              <w:rPr>
                <w:rFonts w:ascii="宋体" w:hAnsi="宋体" w:eastAsia="宋体"/>
                <w:sz w:val="24"/>
              </w:rPr>
            </w:pPr>
            <w:r>
              <w:rPr>
                <w:rFonts w:hint="eastAsia" w:ascii="宋体" w:hAnsi="宋体" w:eastAsia="宋体"/>
                <w:sz w:val="24"/>
              </w:rPr>
              <w:t>下属分级基金的交易代码</w:t>
            </w:r>
          </w:p>
        </w:tc>
        <w:tc>
          <w:tcPr>
            <w:tcW w:w="1217" w:type="dxa"/>
            <w:vAlign w:val="center"/>
          </w:tcPr>
          <w:p w14:paraId="46BB2C27">
            <w:pPr>
              <w:rPr>
                <w:rFonts w:ascii="宋体" w:hAnsi="宋体" w:eastAsia="宋体"/>
                <w:sz w:val="24"/>
              </w:rPr>
            </w:pPr>
            <w:r>
              <w:rPr>
                <w:rFonts w:ascii="宋体" w:hAnsi="宋体" w:eastAsia="宋体"/>
                <w:sz w:val="24"/>
              </w:rPr>
              <w:t>050030</w:t>
            </w:r>
          </w:p>
        </w:tc>
        <w:tc>
          <w:tcPr>
            <w:tcW w:w="1217" w:type="dxa"/>
            <w:vAlign w:val="center"/>
          </w:tcPr>
          <w:p w14:paraId="237FF86B">
            <w:pPr>
              <w:rPr>
                <w:rFonts w:ascii="宋体" w:hAnsi="宋体" w:eastAsia="宋体"/>
                <w:sz w:val="24"/>
              </w:rPr>
            </w:pPr>
            <w:r>
              <w:rPr>
                <w:rFonts w:ascii="宋体" w:hAnsi="宋体" w:eastAsia="宋体"/>
                <w:sz w:val="24"/>
              </w:rPr>
              <w:t>050202</w:t>
            </w:r>
          </w:p>
        </w:tc>
        <w:tc>
          <w:tcPr>
            <w:tcW w:w="1218" w:type="dxa"/>
            <w:vAlign w:val="center"/>
          </w:tcPr>
          <w:p w14:paraId="7366333A">
            <w:pPr>
              <w:rPr>
                <w:rFonts w:ascii="宋体" w:hAnsi="宋体" w:eastAsia="宋体"/>
                <w:sz w:val="24"/>
              </w:rPr>
            </w:pPr>
            <w:r>
              <w:rPr>
                <w:rFonts w:ascii="宋体" w:hAnsi="宋体" w:eastAsia="宋体"/>
                <w:sz w:val="24"/>
              </w:rPr>
              <w:t>050203</w:t>
            </w:r>
          </w:p>
        </w:tc>
        <w:tc>
          <w:tcPr>
            <w:tcW w:w="1218" w:type="dxa"/>
            <w:vAlign w:val="center"/>
          </w:tcPr>
          <w:p w14:paraId="4464F466">
            <w:pPr>
              <w:rPr>
                <w:rFonts w:ascii="宋体" w:hAnsi="宋体" w:eastAsia="宋体"/>
                <w:sz w:val="24"/>
              </w:rPr>
            </w:pPr>
            <w:r>
              <w:rPr>
                <w:rFonts w:ascii="宋体" w:hAnsi="宋体" w:eastAsia="宋体"/>
                <w:sz w:val="24"/>
              </w:rPr>
              <w:t>019481</w:t>
            </w:r>
          </w:p>
        </w:tc>
        <w:tc>
          <w:tcPr>
            <w:tcW w:w="1218" w:type="dxa"/>
            <w:vAlign w:val="center"/>
          </w:tcPr>
          <w:p w14:paraId="5965D318">
            <w:pPr>
              <w:rPr>
                <w:rFonts w:ascii="宋体" w:hAnsi="宋体" w:eastAsia="宋体"/>
                <w:sz w:val="24"/>
              </w:rPr>
            </w:pPr>
            <w:r>
              <w:rPr>
                <w:rFonts w:ascii="宋体" w:hAnsi="宋体" w:eastAsia="宋体"/>
                <w:sz w:val="24"/>
              </w:rPr>
              <w:t>019480</w:t>
            </w:r>
          </w:p>
        </w:tc>
      </w:tr>
      <w:tr w14:paraId="79C1D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33478966">
            <w:pPr>
              <w:rPr>
                <w:rFonts w:ascii="宋体" w:hAnsi="宋体" w:eastAsia="宋体"/>
                <w:sz w:val="24"/>
              </w:rPr>
            </w:pPr>
            <w:r>
              <w:rPr>
                <w:rFonts w:hint="eastAsia" w:ascii="宋体" w:hAnsi="宋体" w:eastAsia="宋体"/>
                <w:sz w:val="24"/>
              </w:rPr>
              <w:t>该分级基金是否暂停大额申购、转换转入、定期定额投资</w:t>
            </w:r>
          </w:p>
        </w:tc>
        <w:tc>
          <w:tcPr>
            <w:tcW w:w="1217" w:type="dxa"/>
            <w:vAlign w:val="center"/>
          </w:tcPr>
          <w:p w14:paraId="2661D7C3">
            <w:pPr>
              <w:rPr>
                <w:rFonts w:ascii="宋体" w:hAnsi="宋体" w:eastAsia="宋体"/>
                <w:sz w:val="24"/>
              </w:rPr>
            </w:pPr>
            <w:r>
              <w:rPr>
                <w:rFonts w:hint="eastAsia" w:ascii="宋体" w:hAnsi="宋体" w:eastAsia="宋体"/>
                <w:sz w:val="24"/>
              </w:rPr>
              <w:t>是</w:t>
            </w:r>
          </w:p>
        </w:tc>
        <w:tc>
          <w:tcPr>
            <w:tcW w:w="1217" w:type="dxa"/>
            <w:vAlign w:val="center"/>
          </w:tcPr>
          <w:p w14:paraId="69675F4D">
            <w:pPr>
              <w:rPr>
                <w:rFonts w:ascii="宋体" w:hAnsi="宋体" w:eastAsia="宋体"/>
                <w:sz w:val="24"/>
              </w:rPr>
            </w:pPr>
            <w:r>
              <w:rPr>
                <w:rFonts w:hint="eastAsia" w:ascii="宋体" w:hAnsi="宋体" w:eastAsia="宋体"/>
                <w:sz w:val="24"/>
              </w:rPr>
              <w:t>是</w:t>
            </w:r>
          </w:p>
        </w:tc>
        <w:tc>
          <w:tcPr>
            <w:tcW w:w="1218" w:type="dxa"/>
            <w:vAlign w:val="center"/>
          </w:tcPr>
          <w:p w14:paraId="0B75ED1C">
            <w:pPr>
              <w:rPr>
                <w:rFonts w:ascii="宋体" w:hAnsi="宋体" w:eastAsia="宋体"/>
                <w:sz w:val="24"/>
              </w:rPr>
            </w:pPr>
            <w:r>
              <w:rPr>
                <w:rFonts w:hint="eastAsia" w:ascii="宋体" w:hAnsi="宋体" w:eastAsia="宋体"/>
                <w:sz w:val="24"/>
              </w:rPr>
              <w:t>是</w:t>
            </w:r>
          </w:p>
        </w:tc>
        <w:tc>
          <w:tcPr>
            <w:tcW w:w="1218" w:type="dxa"/>
            <w:vAlign w:val="center"/>
          </w:tcPr>
          <w:p w14:paraId="5C323D22">
            <w:pPr>
              <w:rPr>
                <w:rFonts w:ascii="宋体" w:hAnsi="宋体" w:eastAsia="宋体"/>
                <w:sz w:val="24"/>
              </w:rPr>
            </w:pPr>
            <w:r>
              <w:rPr>
                <w:rFonts w:hint="eastAsia" w:ascii="宋体" w:hAnsi="宋体" w:eastAsia="宋体"/>
                <w:sz w:val="24"/>
              </w:rPr>
              <w:t>是</w:t>
            </w:r>
          </w:p>
        </w:tc>
        <w:tc>
          <w:tcPr>
            <w:tcW w:w="1218" w:type="dxa"/>
            <w:vAlign w:val="center"/>
          </w:tcPr>
          <w:p w14:paraId="4F211917">
            <w:pPr>
              <w:rPr>
                <w:rFonts w:ascii="宋体" w:hAnsi="宋体" w:eastAsia="宋体"/>
                <w:sz w:val="24"/>
              </w:rPr>
            </w:pPr>
            <w:r>
              <w:rPr>
                <w:rFonts w:hint="eastAsia" w:ascii="宋体" w:hAnsi="宋体" w:eastAsia="宋体"/>
                <w:sz w:val="24"/>
              </w:rPr>
              <w:t>是</w:t>
            </w:r>
          </w:p>
        </w:tc>
      </w:tr>
      <w:tr w14:paraId="5E357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3C46247D">
            <w:pPr>
              <w:rPr>
                <w:rFonts w:ascii="宋体" w:hAnsi="宋体" w:eastAsia="宋体"/>
                <w:sz w:val="24"/>
              </w:rPr>
            </w:pPr>
            <w:r>
              <w:rPr>
                <w:rFonts w:hint="eastAsia" w:ascii="宋体" w:hAnsi="宋体" w:eastAsia="宋体"/>
                <w:sz w:val="24"/>
              </w:rPr>
              <w:t>下属分级基金的限制大额申购、转换转入、</w:t>
            </w:r>
            <w:bookmarkStart w:id="0" w:name="_GoBack"/>
            <w:bookmarkEnd w:id="0"/>
            <w:r>
              <w:rPr>
                <w:rFonts w:hint="eastAsia" w:ascii="宋体" w:hAnsi="宋体" w:eastAsia="宋体"/>
                <w:sz w:val="24"/>
              </w:rPr>
              <w:t>定期定额</w:t>
            </w:r>
            <w:r>
              <w:rPr>
                <w:rFonts w:hint="eastAsia" w:ascii="宋体" w:hAnsi="宋体" w:eastAsia="宋体"/>
                <w:sz w:val="24"/>
                <w:lang w:val="en-US" w:eastAsia="zh-CN"/>
              </w:rPr>
              <w:t>投资</w:t>
            </w:r>
            <w:r>
              <w:rPr>
                <w:rFonts w:hint="eastAsia" w:ascii="宋体" w:hAnsi="宋体" w:eastAsia="宋体"/>
                <w:sz w:val="24"/>
              </w:rPr>
              <w:t>金额（元）</w:t>
            </w:r>
          </w:p>
        </w:tc>
        <w:tc>
          <w:tcPr>
            <w:tcW w:w="1217" w:type="dxa"/>
            <w:vAlign w:val="center"/>
          </w:tcPr>
          <w:p w14:paraId="22A42A83">
            <w:pPr>
              <w:rPr>
                <w:rFonts w:hint="default" w:ascii="宋体" w:hAnsi="宋体" w:eastAsia="宋体"/>
                <w:sz w:val="24"/>
                <w:lang w:val="en-US" w:eastAsia="zh-CN"/>
              </w:rPr>
            </w:pPr>
            <w:r>
              <w:rPr>
                <w:rFonts w:hint="eastAsia" w:ascii="宋体" w:hAnsi="宋体" w:eastAsia="宋体"/>
                <w:sz w:val="24"/>
                <w:lang w:val="en-US" w:eastAsia="zh-CN"/>
              </w:rPr>
              <w:t>2000</w:t>
            </w:r>
          </w:p>
        </w:tc>
        <w:tc>
          <w:tcPr>
            <w:tcW w:w="1217" w:type="dxa"/>
            <w:vAlign w:val="center"/>
          </w:tcPr>
          <w:p w14:paraId="44F9AFE1">
            <w:pPr>
              <w:rPr>
                <w:rFonts w:hint="default" w:ascii="宋体" w:hAnsi="宋体" w:eastAsia="宋体"/>
                <w:sz w:val="24"/>
                <w:lang w:val="en-US" w:eastAsia="zh-CN"/>
              </w:rPr>
            </w:pPr>
          </w:p>
        </w:tc>
        <w:tc>
          <w:tcPr>
            <w:tcW w:w="1218" w:type="dxa"/>
            <w:vAlign w:val="center"/>
          </w:tcPr>
          <w:p w14:paraId="1FC9BC97">
            <w:pPr>
              <w:rPr>
                <w:rFonts w:ascii="宋体" w:hAnsi="宋体" w:eastAsia="宋体"/>
                <w:sz w:val="24"/>
              </w:rPr>
            </w:pPr>
          </w:p>
        </w:tc>
        <w:tc>
          <w:tcPr>
            <w:tcW w:w="1218" w:type="dxa"/>
            <w:vAlign w:val="center"/>
          </w:tcPr>
          <w:p w14:paraId="0998810A">
            <w:pPr>
              <w:rPr>
                <w:rFonts w:ascii="宋体" w:hAnsi="宋体" w:eastAsia="宋体"/>
                <w:sz w:val="24"/>
              </w:rPr>
            </w:pPr>
          </w:p>
        </w:tc>
        <w:tc>
          <w:tcPr>
            <w:tcW w:w="1218" w:type="dxa"/>
            <w:vAlign w:val="center"/>
          </w:tcPr>
          <w:p w14:paraId="0ACEF3EB">
            <w:pPr>
              <w:rPr>
                <w:rFonts w:ascii="宋体" w:hAnsi="宋体" w:eastAsia="宋体"/>
                <w:sz w:val="24"/>
              </w:rPr>
            </w:pPr>
            <w:r>
              <w:rPr>
                <w:rFonts w:hint="eastAsia" w:ascii="宋体" w:hAnsi="宋体" w:eastAsia="宋体"/>
                <w:sz w:val="24"/>
                <w:lang w:val="en-US" w:eastAsia="zh-CN"/>
              </w:rPr>
              <w:t>2000</w:t>
            </w:r>
          </w:p>
        </w:tc>
      </w:tr>
      <w:tr w14:paraId="6FE65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vAlign w:val="center"/>
          </w:tcPr>
          <w:p w14:paraId="059F0577">
            <w:pPr>
              <w:rPr>
                <w:rFonts w:hint="eastAsia" w:ascii="宋体" w:hAnsi="宋体" w:eastAsia="宋体"/>
                <w:sz w:val="24"/>
              </w:rPr>
            </w:pPr>
            <w:r>
              <w:rPr>
                <w:rFonts w:hint="eastAsia" w:ascii="宋体" w:hAnsi="宋体" w:eastAsia="宋体"/>
                <w:sz w:val="24"/>
              </w:rPr>
              <w:t>下属分级基金的限制大额申购、转换转入、定期定额</w:t>
            </w:r>
            <w:r>
              <w:rPr>
                <w:rFonts w:hint="eastAsia" w:ascii="宋体" w:hAnsi="宋体" w:eastAsia="宋体"/>
                <w:sz w:val="24"/>
                <w:lang w:val="en-US" w:eastAsia="zh-CN"/>
              </w:rPr>
              <w:t>投资</w:t>
            </w:r>
            <w:r>
              <w:rPr>
                <w:rFonts w:hint="eastAsia" w:ascii="宋体" w:hAnsi="宋体" w:eastAsia="宋体"/>
                <w:sz w:val="24"/>
              </w:rPr>
              <w:t>金额（</w:t>
            </w:r>
            <w:r>
              <w:rPr>
                <w:rFonts w:hint="eastAsia" w:ascii="宋体" w:hAnsi="宋体" w:eastAsia="宋体"/>
                <w:sz w:val="24"/>
                <w:lang w:val="en-US" w:eastAsia="zh-CN"/>
              </w:rPr>
              <w:t>美</w:t>
            </w:r>
            <w:r>
              <w:rPr>
                <w:rFonts w:hint="eastAsia" w:ascii="宋体" w:hAnsi="宋体" w:eastAsia="宋体"/>
                <w:sz w:val="24"/>
              </w:rPr>
              <w:t>元）</w:t>
            </w:r>
          </w:p>
        </w:tc>
        <w:tc>
          <w:tcPr>
            <w:tcW w:w="1217" w:type="dxa"/>
            <w:vAlign w:val="center"/>
          </w:tcPr>
          <w:p w14:paraId="0983FDC6">
            <w:pPr>
              <w:rPr>
                <w:rFonts w:hint="eastAsia" w:ascii="宋体" w:hAnsi="宋体" w:eastAsia="宋体"/>
                <w:sz w:val="24"/>
                <w:lang w:val="en-US" w:eastAsia="zh-CN"/>
              </w:rPr>
            </w:pPr>
          </w:p>
        </w:tc>
        <w:tc>
          <w:tcPr>
            <w:tcW w:w="1217" w:type="dxa"/>
            <w:shd w:val="clear" w:color="auto" w:fill="auto"/>
            <w:vAlign w:val="center"/>
          </w:tcPr>
          <w:p w14:paraId="406DA5E9">
            <w:pPr>
              <w:rPr>
                <w:rFonts w:hint="eastAsia" w:ascii="宋体" w:hAnsi="宋体" w:eastAsia="宋体" w:cstheme="minorBidi"/>
                <w:kern w:val="2"/>
                <w:sz w:val="24"/>
                <w:szCs w:val="22"/>
                <w:lang w:val="en-US" w:eastAsia="zh-CN" w:bidi="ar-SA"/>
              </w:rPr>
            </w:pPr>
            <w:r>
              <w:rPr>
                <w:rFonts w:hint="eastAsia" w:ascii="宋体" w:hAnsi="宋体" w:eastAsia="宋体"/>
                <w:sz w:val="24"/>
                <w:lang w:val="en-US" w:eastAsia="zh-CN"/>
              </w:rPr>
              <w:t>300</w:t>
            </w:r>
          </w:p>
        </w:tc>
        <w:tc>
          <w:tcPr>
            <w:tcW w:w="1218" w:type="dxa"/>
            <w:shd w:val="clear" w:color="auto" w:fill="auto"/>
            <w:vAlign w:val="center"/>
          </w:tcPr>
          <w:p w14:paraId="2E6C7378">
            <w:pPr>
              <w:rPr>
                <w:rFonts w:hint="eastAsia" w:ascii="宋体" w:hAnsi="宋体" w:eastAsia="宋体" w:cstheme="minorBidi"/>
                <w:kern w:val="2"/>
                <w:sz w:val="24"/>
                <w:szCs w:val="22"/>
                <w:lang w:val="en-US" w:eastAsia="zh-CN" w:bidi="ar-SA"/>
              </w:rPr>
            </w:pPr>
            <w:r>
              <w:rPr>
                <w:rFonts w:hint="eastAsia" w:ascii="宋体" w:hAnsi="宋体" w:eastAsia="宋体"/>
                <w:sz w:val="24"/>
                <w:lang w:val="en-US" w:eastAsia="zh-CN"/>
              </w:rPr>
              <w:t>300</w:t>
            </w:r>
          </w:p>
        </w:tc>
        <w:tc>
          <w:tcPr>
            <w:tcW w:w="1218" w:type="dxa"/>
            <w:shd w:val="clear" w:color="auto" w:fill="auto"/>
            <w:vAlign w:val="center"/>
          </w:tcPr>
          <w:p w14:paraId="0666C130">
            <w:pPr>
              <w:rPr>
                <w:rFonts w:hint="eastAsia" w:ascii="宋体" w:hAnsi="宋体" w:eastAsia="宋体" w:cstheme="minorBidi"/>
                <w:kern w:val="2"/>
                <w:sz w:val="24"/>
                <w:szCs w:val="22"/>
                <w:lang w:val="en-US" w:eastAsia="zh-CN" w:bidi="ar-SA"/>
              </w:rPr>
            </w:pPr>
            <w:r>
              <w:rPr>
                <w:rFonts w:hint="eastAsia" w:ascii="宋体" w:hAnsi="宋体" w:eastAsia="宋体"/>
                <w:sz w:val="24"/>
                <w:lang w:val="en-US" w:eastAsia="zh-CN"/>
              </w:rPr>
              <w:t>300</w:t>
            </w:r>
          </w:p>
        </w:tc>
        <w:tc>
          <w:tcPr>
            <w:tcW w:w="1218" w:type="dxa"/>
            <w:vAlign w:val="center"/>
          </w:tcPr>
          <w:p w14:paraId="6A152CC1">
            <w:pPr>
              <w:rPr>
                <w:rFonts w:hint="eastAsia" w:ascii="宋体" w:hAnsi="宋体" w:eastAsia="宋体"/>
                <w:sz w:val="24"/>
                <w:lang w:val="en-US" w:eastAsia="zh-CN"/>
              </w:rPr>
            </w:pPr>
          </w:p>
        </w:tc>
      </w:tr>
    </w:tbl>
    <w:p w14:paraId="0BA3C141"/>
    <w:p w14:paraId="4E73A3FD">
      <w:pPr>
        <w:pStyle w:val="2"/>
        <w:rPr>
          <w:rFonts w:hint="eastAsia" w:ascii="宋体" w:hAnsi="宋体" w:eastAsia="宋体"/>
          <w:sz w:val="24"/>
        </w:rPr>
      </w:pPr>
      <w:r>
        <w:rPr>
          <w:rFonts w:hint="eastAsia" w:ascii="宋体" w:hAnsi="宋体" w:eastAsia="宋体"/>
          <w:sz w:val="24"/>
        </w:rPr>
        <w:t>2、其他需要提示的事项</w:t>
      </w:r>
    </w:p>
    <w:p w14:paraId="27576C99">
      <w:pPr>
        <w:pStyle w:val="3"/>
        <w:spacing w:before="0" w:beforeAutospacing="0" w:after="0" w:afterAutospacing="0" w:line="360" w:lineRule="auto"/>
        <w:ind w:firstLine="420"/>
      </w:pPr>
      <w:r>
        <w:rPr>
          <w:rFonts w:hint="eastAsia"/>
        </w:rPr>
        <w:t xml:space="preserve">（1）2026年6月2日起，投资人通过各代销机构（博时财富基金销售有限公司除外）申购本基金人民币份额单日每个基金账户的申购、转换转入及定期定额投资累计金额应不超过2000元（人民币A、C份额合并计算）；本基金美元现汇份额和美元钞单日每个基金账户的申购、转换转入及定期定额投资累计金额应不超过300美元（美元现汇A、美元现汇C、美元钞A份额合并计算）。如单日每个基金账户的申购、转换转入及定期定额投资累计金额超过以上情况，本基金管理人有权拒绝。  </w:t>
      </w:r>
    </w:p>
    <w:p w14:paraId="6F70E2FF">
      <w:pPr>
        <w:pStyle w:val="3"/>
        <w:spacing w:before="0" w:beforeAutospacing="0" w:after="0" w:afterAutospacing="0" w:line="360" w:lineRule="auto"/>
        <w:ind w:firstLine="420"/>
        <w:rPr>
          <w:rFonts w:hint="eastAsia"/>
          <w:highlight w:val="none"/>
        </w:rPr>
      </w:pPr>
      <w:r>
        <w:rPr>
          <w:rFonts w:hint="eastAsia"/>
        </w:rPr>
        <w:t>（2）2026年6月2日起，投资人通过博时财富基金销售有限公司申购本基金人民币份额单日每个基金账户的申购、转换转入及定期定额投资累计金额应不超过100万元（人民币A、C份额合并计算）。如单日每个基金账户的申购、转换转</w:t>
      </w:r>
      <w:r>
        <w:rPr>
          <w:rFonts w:hint="eastAsia"/>
          <w:highlight w:val="none"/>
        </w:rPr>
        <w:t xml:space="preserve">入及定期定额投资累计金额超过以上情况，本基金管理人有权拒绝。  </w:t>
      </w:r>
    </w:p>
    <w:p w14:paraId="6C19125F">
      <w:pPr>
        <w:pStyle w:val="3"/>
        <w:spacing w:before="0" w:beforeAutospacing="0" w:after="0" w:afterAutospacing="0" w:line="360" w:lineRule="auto"/>
        <w:ind w:firstLine="420"/>
        <w:rPr>
          <w:rFonts w:hint="eastAsia"/>
          <w:highlight w:val="none"/>
        </w:rPr>
      </w:pPr>
      <w:r>
        <w:rPr>
          <w:rFonts w:hint="eastAsia"/>
          <w:highlight w:val="none"/>
        </w:rPr>
        <w:t xml:space="preserve">（3）2026年6月2日起，投资人通过本公司直销渠道申购本基金A类人民币基金份额（代码：050030）和C类人民币基金份额（代码：019480）单日每个基金账户的申购、转换转入及定期定额投资累计金额应不超过100万元人民币(人民币A、C份额合并计算）；本基金A类美元现汇基金份额（代码：050202）和C类美元现汇基金份额（代码：019481）单日每个基金账户的申购、转换转入及定期定额投资累计金额应不超过15万美元（美元现汇A、C份额合并计算）。如单日每个基金账户的申购、转换转入及定期定额投资累计金额超过以上情况，本基金管理人有权拒绝。  </w:t>
      </w:r>
    </w:p>
    <w:p w14:paraId="2BD36F69">
      <w:pPr>
        <w:pStyle w:val="3"/>
        <w:spacing w:before="0" w:beforeAutospacing="0" w:after="0" w:afterAutospacing="0" w:line="360" w:lineRule="auto"/>
        <w:ind w:firstLine="420"/>
        <w:rPr>
          <w:rFonts w:hint="eastAsia"/>
        </w:rPr>
      </w:pPr>
      <w:r>
        <w:rPr>
          <w:rFonts w:hint="eastAsia"/>
          <w:b/>
          <w:bCs/>
        </w:rPr>
        <w:t>（4）如投资者于2026年6月1日15点之后申购、转换转入或定期定额投资上述基金，将适用上述限制安排，敬请投资者注意。</w:t>
      </w:r>
      <w:r>
        <w:rPr>
          <w:rFonts w:hint="eastAsia"/>
        </w:rPr>
        <w:t xml:space="preserve">    </w:t>
      </w:r>
    </w:p>
    <w:p w14:paraId="2B559AA7">
      <w:pPr>
        <w:pStyle w:val="3"/>
        <w:spacing w:before="0" w:beforeAutospacing="0" w:after="0" w:afterAutospacing="0" w:line="360" w:lineRule="auto"/>
        <w:ind w:firstLine="420"/>
        <w:rPr>
          <w:rFonts w:hint="eastAsia"/>
        </w:rPr>
      </w:pPr>
      <w:r>
        <w:rPr>
          <w:rFonts w:hint="eastAsia"/>
        </w:rPr>
        <w:t xml:space="preserve">（5）在本基金暂停大额申购、转换转入、定期定额投资业务期间，其它业务正常办理。本基金恢复办理大额申购、转换转入、定期定额投资业务的时间将另行公告。   </w:t>
      </w:r>
    </w:p>
    <w:p w14:paraId="1835AD05">
      <w:pPr>
        <w:pStyle w:val="3"/>
        <w:spacing w:before="0" w:beforeAutospacing="0" w:after="0" w:afterAutospacing="0" w:line="360" w:lineRule="auto"/>
        <w:ind w:firstLine="420"/>
        <w:rPr>
          <w:rFonts w:hint="eastAsia"/>
        </w:rPr>
      </w:pPr>
      <w:r>
        <w:rPr>
          <w:rFonts w:hint="eastAsia"/>
        </w:rPr>
        <w:t xml:space="preserve">（6）如有疑问，请拨打博时一线通：95105568（免长途话费）或登录本公司网站www.bosera.com获取相关信息。   </w:t>
      </w:r>
    </w:p>
    <w:p w14:paraId="277A4E4B">
      <w:pPr>
        <w:pStyle w:val="3"/>
        <w:spacing w:before="0" w:beforeAutospacing="0" w:after="0" w:afterAutospacing="0" w:line="360" w:lineRule="auto"/>
        <w:ind w:firstLine="420"/>
        <w:rPr>
          <w:rFonts w:hint="eastAsia"/>
        </w:rPr>
      </w:pPr>
      <w:r>
        <w:rPr>
          <w:rFonts w:hint="eastAsia"/>
        </w:rPr>
        <w:t xml:space="preserve">（7）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0720B76A">
      <w:pPr>
        <w:pStyle w:val="3"/>
        <w:spacing w:before="0" w:beforeAutospacing="0" w:after="0" w:afterAutospacing="0" w:line="360" w:lineRule="auto"/>
        <w:ind w:firstLine="420"/>
        <w:rPr>
          <w:rFonts w:hint="eastAsia"/>
        </w:rPr>
      </w:pPr>
      <w:r>
        <w:rPr>
          <w:rFonts w:hint="eastAsia"/>
        </w:rPr>
        <w:t xml:space="preserve">特此公告。 </w:t>
      </w:r>
    </w:p>
    <w:p w14:paraId="2EBF806C">
      <w:pPr>
        <w:pStyle w:val="3"/>
        <w:spacing w:before="0" w:beforeAutospacing="0" w:after="0" w:afterAutospacing="0" w:line="360" w:lineRule="auto"/>
        <w:ind w:firstLine="420"/>
      </w:pPr>
    </w:p>
    <w:p w14:paraId="6CD4AF0C">
      <w:pPr>
        <w:pStyle w:val="3"/>
        <w:spacing w:before="0" w:beforeAutospacing="0" w:after="0" w:afterAutospacing="0" w:line="360" w:lineRule="auto"/>
        <w:ind w:firstLine="420"/>
      </w:pPr>
    </w:p>
    <w:p w14:paraId="15993BF2">
      <w:pPr>
        <w:pStyle w:val="3"/>
        <w:spacing w:before="0" w:beforeAutospacing="0" w:after="0" w:afterAutospacing="0" w:line="360" w:lineRule="auto"/>
        <w:ind w:firstLine="420"/>
      </w:pPr>
    </w:p>
    <w:p w14:paraId="32F17545">
      <w:pPr>
        <w:pStyle w:val="3"/>
        <w:spacing w:before="0" w:beforeAutospacing="0" w:after="0" w:afterAutospacing="0" w:line="360" w:lineRule="auto"/>
        <w:ind w:firstLine="420"/>
        <w:jc w:val="right"/>
        <w:rPr>
          <w:rFonts w:hint="eastAsia"/>
        </w:rPr>
      </w:pPr>
      <w:r>
        <w:rPr>
          <w:rFonts w:hint="eastAsia"/>
        </w:rPr>
        <w:t>博时基金管理有限公司</w:t>
      </w:r>
    </w:p>
    <w:p w14:paraId="1BFD8BA3">
      <w:pPr>
        <w:pStyle w:val="3"/>
        <w:spacing w:before="0" w:beforeAutospacing="0" w:after="0" w:afterAutospacing="0" w:line="360" w:lineRule="auto"/>
        <w:ind w:firstLine="420"/>
        <w:jc w:val="right"/>
      </w:pPr>
      <w:r>
        <w:t>2026年6月2日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C74"/>
    <w:rsid w:val="00321C74"/>
    <w:rsid w:val="004A1537"/>
    <w:rsid w:val="2BC6627C"/>
    <w:rsid w:val="43BE0584"/>
    <w:rsid w:val="464C1C55"/>
    <w:rsid w:val="6DCC5C83"/>
    <w:rsid w:val="7A601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7"/>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255</Words>
  <Characters>1457</Characters>
  <Lines>12</Lines>
  <Paragraphs>3</Paragraphs>
  <TotalTime>2</TotalTime>
  <ScaleCrop>false</ScaleCrop>
  <LinksUpToDate>false</LinksUpToDate>
  <CharactersWithSpaces>1709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2026-06-01T01:37:00Z</dcterms:created>
  <dc:creator>BSKMadminDev</dc:creator>
  <cp:lastModifiedBy>panan</cp:lastModifiedBy>
  <dcterms:modified xsi:type="dcterms:W3CDTF">2026-06-01T06:00:36Z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1425365EB64C42948BA02552FC6E56AB_13</vt:lpwstr>
  </property>
</Properties>
</file>