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A436AD1">
      <w:pPr>
        <w:adjustRightInd w:val="0"/>
        <w:snapToGrid w:val="0"/>
        <w:spacing w:line="360" w:lineRule="auto"/>
        <w:jc w:val="center"/>
        <w:rPr>
          <w:rFonts w:cs="Arial" w:asciiTheme="minorEastAsia" w:hAnsiTheme="minorEastAsia" w:eastAsiaTheme="minorEastAsia"/>
          <w:b/>
          <w:color w:val="0C0C0C" w:themeColor="text1" w:themeTint="F2"/>
          <w:sz w:val="24"/>
          <w:szCs w:val="24"/>
        </w:rPr>
      </w:pPr>
      <w:bookmarkStart w:id="0" w:name="CTS_1e4cda9ef7d04a03af2d4d340c1d96cc"/>
      <w:bookmarkEnd w:id="0"/>
      <w:bookmarkStart w:id="1" w:name="CLAUSE_1e4cda9ef7d04a03af2d4d340c1d96cc"/>
    </w:p>
    <w:p w14:paraId="7DE9C544">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51EBBBC1">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40E678C3">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67458697">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46C836D6">
      <w:pPr>
        <w:adjustRightInd w:val="0"/>
        <w:snapToGrid w:val="0"/>
        <w:spacing w:line="360" w:lineRule="auto"/>
        <w:jc w:val="center"/>
        <w:rPr>
          <w:rFonts w:cs="Arial" w:asciiTheme="minorEastAsia" w:hAnsiTheme="minorEastAsia" w:eastAsiaTheme="minorEastAsia"/>
          <w:b/>
          <w:color w:val="0C0C0C" w:themeColor="text1" w:themeTint="F2"/>
          <w:sz w:val="48"/>
          <w:szCs w:val="48"/>
        </w:rPr>
      </w:pPr>
      <w:r>
        <w:rPr>
          <w:rFonts w:hint="eastAsia" w:cs="Arial" w:asciiTheme="minorEastAsia" w:hAnsiTheme="minorEastAsia" w:eastAsiaTheme="minorEastAsia"/>
          <w:b/>
          <w:color w:val="0C0C0C" w:themeColor="text1" w:themeTint="F2"/>
          <w:sz w:val="48"/>
          <w:szCs w:val="48"/>
        </w:rPr>
        <w:t>博时国证大盘成长交易型开放式指数证券投资基金</w:t>
      </w:r>
    </w:p>
    <w:p w14:paraId="49D94B44">
      <w:pPr>
        <w:adjustRightInd w:val="0"/>
        <w:snapToGrid w:val="0"/>
        <w:spacing w:line="360" w:lineRule="auto"/>
        <w:jc w:val="center"/>
        <w:rPr>
          <w:rFonts w:asciiTheme="minorEastAsia" w:hAnsiTheme="minorEastAsia" w:eastAsiaTheme="minorEastAsia"/>
          <w:b/>
          <w:color w:val="0C0C0C" w:themeColor="text1" w:themeTint="F2"/>
          <w:sz w:val="48"/>
          <w:szCs w:val="48"/>
        </w:rPr>
      </w:pPr>
      <w:r>
        <w:rPr>
          <w:rFonts w:hint="eastAsia" w:asciiTheme="minorEastAsia" w:hAnsiTheme="minorEastAsia" w:eastAsiaTheme="minorEastAsia"/>
          <w:b/>
          <w:color w:val="0C0C0C" w:themeColor="text1" w:themeTint="F2"/>
          <w:sz w:val="48"/>
          <w:szCs w:val="48"/>
        </w:rPr>
        <w:t>基金合同</w:t>
      </w:r>
    </w:p>
    <w:p w14:paraId="4168D1EB">
      <w:pPr>
        <w:adjustRightInd w:val="0"/>
        <w:snapToGrid w:val="0"/>
        <w:spacing w:line="360" w:lineRule="auto"/>
        <w:jc w:val="center"/>
        <w:rPr>
          <w:rFonts w:cs="Arial" w:asciiTheme="minorEastAsia" w:hAnsiTheme="minorEastAsia" w:eastAsiaTheme="minorEastAsia"/>
          <w:b/>
          <w:color w:val="0C0C0C" w:themeColor="text1" w:themeTint="F2"/>
          <w:sz w:val="48"/>
          <w:szCs w:val="48"/>
        </w:rPr>
      </w:pPr>
    </w:p>
    <w:p w14:paraId="73454D44">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594F9097">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408E96BF">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16ED38CE">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78DEA996">
      <w:pPr>
        <w:adjustRightInd w:val="0"/>
        <w:snapToGrid w:val="0"/>
        <w:spacing w:line="360" w:lineRule="auto"/>
        <w:jc w:val="center"/>
        <w:rPr>
          <w:rFonts w:cs="Arial" w:asciiTheme="minorEastAsia" w:hAnsiTheme="minorEastAsia" w:eastAsiaTheme="minorEastAsia"/>
          <w:b/>
          <w:color w:val="0C0C0C" w:themeColor="text1" w:themeTint="F2"/>
          <w:sz w:val="24"/>
          <w:szCs w:val="24"/>
        </w:rPr>
      </w:pPr>
    </w:p>
    <w:p w14:paraId="3928C965">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382C53BF">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381663D6">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1D0B3C79">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4A1FCF08">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3A36CD4F">
      <w:pPr>
        <w:adjustRightInd w:val="0"/>
        <w:snapToGrid w:val="0"/>
        <w:spacing w:line="360" w:lineRule="auto"/>
        <w:jc w:val="center"/>
        <w:rPr>
          <w:rFonts w:asciiTheme="minorEastAsia" w:hAnsiTheme="minorEastAsia" w:eastAsiaTheme="minorEastAsia"/>
          <w:b/>
          <w:color w:val="0C0C0C" w:themeColor="text1" w:themeTint="F2"/>
          <w:sz w:val="24"/>
          <w:szCs w:val="24"/>
        </w:rPr>
      </w:pPr>
    </w:p>
    <w:p w14:paraId="0ABFFB6A">
      <w:pPr>
        <w:adjustRightInd w:val="0"/>
        <w:snapToGrid w:val="0"/>
        <w:spacing w:line="360" w:lineRule="auto"/>
        <w:jc w:val="center"/>
        <w:rPr>
          <w:rFonts w:asciiTheme="minorEastAsia" w:hAnsiTheme="minorEastAsia" w:eastAsiaTheme="minorEastAsia"/>
          <w:b/>
          <w:color w:val="0C0C0C" w:themeColor="text1" w:themeTint="F2"/>
          <w:sz w:val="24"/>
          <w:szCs w:val="24"/>
        </w:rPr>
      </w:pPr>
      <w:bookmarkStart w:id="2" w:name="_Toc123112263"/>
      <w:bookmarkStart w:id="3" w:name="_Toc123701383"/>
      <w:bookmarkStart w:id="4" w:name="_Toc139992301"/>
      <w:bookmarkStart w:id="5" w:name="_Toc123112224"/>
      <w:bookmarkStart w:id="6" w:name="_Toc139991726"/>
      <w:r>
        <w:rPr>
          <w:rFonts w:hint="eastAsia" w:asciiTheme="minorEastAsia" w:hAnsiTheme="minorEastAsia" w:eastAsiaTheme="minorEastAsia"/>
          <w:b/>
          <w:color w:val="0C0C0C" w:themeColor="text1" w:themeTint="F2"/>
          <w:sz w:val="24"/>
          <w:szCs w:val="24"/>
        </w:rPr>
        <w:t>基金管理人：</w:t>
      </w:r>
      <w:bookmarkEnd w:id="2"/>
      <w:bookmarkEnd w:id="3"/>
      <w:bookmarkEnd w:id="4"/>
      <w:bookmarkEnd w:id="5"/>
      <w:bookmarkEnd w:id="6"/>
      <w:bookmarkStart w:id="7" w:name="_Hlk168385933"/>
      <w:r>
        <w:rPr>
          <w:rFonts w:cs="Arial" w:asciiTheme="minorEastAsia" w:hAnsiTheme="minorEastAsia" w:eastAsiaTheme="minorEastAsia"/>
          <w:b/>
          <w:bCs/>
          <w:color w:val="0C0C0C" w:themeColor="text1" w:themeTint="F2"/>
          <w:sz w:val="24"/>
          <w:szCs w:val="24"/>
        </w:rPr>
        <w:t>博时基金管理有限公司</w:t>
      </w:r>
      <w:bookmarkEnd w:id="7"/>
    </w:p>
    <w:p w14:paraId="1F8317B7">
      <w:pPr>
        <w:adjustRightInd w:val="0"/>
        <w:snapToGrid w:val="0"/>
        <w:spacing w:line="360" w:lineRule="auto"/>
        <w:jc w:val="center"/>
        <w:rPr>
          <w:rFonts w:asciiTheme="minorEastAsia" w:hAnsiTheme="minorEastAsia" w:eastAsiaTheme="minorEastAsia"/>
          <w:b/>
          <w:color w:val="0C0C0C" w:themeColor="text1" w:themeTint="F2"/>
          <w:sz w:val="24"/>
          <w:szCs w:val="24"/>
        </w:rPr>
      </w:pPr>
      <w:bookmarkStart w:id="8" w:name="_Toc139991727"/>
      <w:bookmarkStart w:id="9" w:name="_Toc123112225"/>
      <w:bookmarkStart w:id="10" w:name="_Toc123701384"/>
      <w:bookmarkStart w:id="11" w:name="_Toc123112264"/>
      <w:bookmarkStart w:id="12" w:name="_Toc139992302"/>
      <w:r>
        <w:rPr>
          <w:rFonts w:hint="eastAsia" w:asciiTheme="minorEastAsia" w:hAnsiTheme="minorEastAsia" w:eastAsiaTheme="minorEastAsia"/>
          <w:b/>
          <w:color w:val="0C0C0C" w:themeColor="text1" w:themeTint="F2"/>
          <w:sz w:val="24"/>
          <w:szCs w:val="24"/>
        </w:rPr>
        <w:t>基金托管人：</w:t>
      </w:r>
      <w:bookmarkEnd w:id="8"/>
      <w:bookmarkEnd w:id="9"/>
      <w:bookmarkEnd w:id="10"/>
      <w:bookmarkEnd w:id="11"/>
      <w:bookmarkEnd w:id="12"/>
      <w:r>
        <w:rPr>
          <w:rFonts w:hint="eastAsia" w:asciiTheme="minorEastAsia" w:hAnsiTheme="minorEastAsia" w:eastAsiaTheme="minorEastAsia"/>
          <w:b/>
          <w:color w:val="0C0C0C" w:themeColor="text1" w:themeTint="F2"/>
          <w:sz w:val="24"/>
          <w:szCs w:val="24"/>
        </w:rPr>
        <w:t>国泰海通证券股份有限公司</w:t>
      </w:r>
    </w:p>
    <w:bookmarkEnd w:id="1"/>
    <w:p w14:paraId="0E20B7A6">
      <w:pPr>
        <w:spacing w:line="360" w:lineRule="auto"/>
        <w:jc w:val="center"/>
        <w:rPr>
          <w:rFonts w:cs="Arial" w:asciiTheme="minorEastAsia" w:hAnsiTheme="minorEastAsia" w:eastAsiaTheme="minorEastAsia"/>
          <w:b/>
          <w:bCs/>
          <w:color w:val="0C0C0C" w:themeColor="text1" w:themeTint="F2"/>
          <w:sz w:val="24"/>
          <w:szCs w:val="24"/>
        </w:rPr>
        <w:sectPr>
          <w:footerReference r:id="rId7" w:type="first"/>
          <w:headerReference r:id="rId3" w:type="default"/>
          <w:footerReference r:id="rId5" w:type="default"/>
          <w:headerReference r:id="rId4" w:type="even"/>
          <w:footerReference r:id="rId6" w:type="even"/>
          <w:pgSz w:w="11906" w:h="16838"/>
          <w:pgMar w:top="1440" w:right="1800" w:bottom="1440" w:left="1800" w:header="851" w:footer="992" w:gutter="0"/>
          <w:cols w:space="425" w:num="1"/>
          <w:titlePg/>
          <w:docGrid w:type="lines" w:linePitch="312" w:charSpace="0"/>
        </w:sectPr>
      </w:pPr>
      <w:bookmarkStart w:id="13" w:name="CTS_11606cca7f0c4bf7a5f87c9437b80dfa"/>
      <w:bookmarkEnd w:id="13"/>
      <w:bookmarkStart w:id="14" w:name="CLAUSE_11606cca7f0c4bf7a5f87c9437b80dfa"/>
      <w:bookmarkStart w:id="15" w:name="_Toc139991729"/>
      <w:bookmarkStart w:id="16" w:name="_Toc123112266"/>
      <w:bookmarkStart w:id="17" w:name="_Toc123701386"/>
      <w:bookmarkStart w:id="18" w:name="_Toc123112227"/>
      <w:r>
        <w:rPr>
          <w:rFonts w:hint="eastAsia" w:asciiTheme="minorEastAsia" w:hAnsiTheme="minorEastAsia" w:eastAsiaTheme="minorEastAsia"/>
          <w:b/>
          <w:bCs/>
          <w:color w:val="0C0C0C" w:themeColor="text1" w:themeTint="F2"/>
          <w:sz w:val="24"/>
          <w:szCs w:val="24"/>
        </w:rPr>
        <w:t>二零二五年</w:t>
      </w:r>
      <w:r>
        <w:rPr>
          <w:rFonts w:hint="eastAsia" w:asciiTheme="minorEastAsia" w:hAnsiTheme="minorEastAsia" w:eastAsiaTheme="minorEastAsia"/>
          <w:b/>
          <w:bCs/>
          <w:color w:val="0C0C0C" w:themeColor="text1" w:themeTint="F2"/>
          <w:sz w:val="24"/>
          <w:szCs w:val="24"/>
          <w:lang w:val="en-US" w:eastAsia="zh-CN"/>
        </w:rPr>
        <w:t>五</w:t>
      </w:r>
      <w:r>
        <w:rPr>
          <w:rFonts w:hint="eastAsia" w:asciiTheme="minorEastAsia" w:hAnsiTheme="minorEastAsia" w:eastAsiaTheme="minorEastAsia"/>
          <w:b/>
          <w:bCs/>
          <w:color w:val="0C0C0C" w:themeColor="text1" w:themeTint="F2"/>
          <w:sz w:val="24"/>
          <w:szCs w:val="24"/>
        </w:rPr>
        <w:t>月</w:t>
      </w:r>
    </w:p>
    <w:bookmarkEnd w:id="14"/>
    <w:p w14:paraId="6F345C24">
      <w:pPr>
        <w:adjustRightInd w:val="0"/>
        <w:snapToGrid w:val="0"/>
        <w:spacing w:line="360" w:lineRule="auto"/>
        <w:jc w:val="center"/>
        <w:rPr>
          <w:rFonts w:asciiTheme="minorEastAsia" w:hAnsiTheme="minorEastAsia" w:eastAsiaTheme="minorEastAsia"/>
          <w:b/>
          <w:sz w:val="30"/>
          <w:szCs w:val="30"/>
        </w:rPr>
      </w:pPr>
      <w:bookmarkStart w:id="19" w:name="CTS_7964f364388a444fbc5ed698e7f07ff5"/>
      <w:bookmarkEnd w:id="19"/>
      <w:bookmarkStart w:id="20" w:name="CLAUSE_7964f364388a444fbc5ed698e7f07ff5"/>
      <w:r>
        <w:rPr>
          <w:rFonts w:hint="eastAsia" w:asciiTheme="minorEastAsia" w:hAnsiTheme="minorEastAsia" w:eastAsiaTheme="minorEastAsia"/>
          <w:b/>
          <w:sz w:val="30"/>
          <w:szCs w:val="30"/>
        </w:rPr>
        <w:t>目录</w:t>
      </w:r>
      <w:bookmarkEnd w:id="15"/>
      <w:bookmarkEnd w:id="16"/>
      <w:bookmarkEnd w:id="17"/>
      <w:bookmarkEnd w:id="18"/>
    </w:p>
    <w:p w14:paraId="25518562">
      <w:pPr>
        <w:pStyle w:val="20"/>
        <w:tabs>
          <w:tab w:val="right" w:leader="dot" w:pos="8296"/>
        </w:tabs>
        <w:spacing w:line="360" w:lineRule="auto"/>
        <w:rPr>
          <w:rFonts w:asciiTheme="minorHAnsi" w:hAnsiTheme="minorHAnsi" w:eastAsiaTheme="minorEastAsia" w:cstheme="minorBidi"/>
          <w:sz w:val="24"/>
          <w:szCs w:val="24"/>
        </w:rPr>
      </w:pPr>
      <w:bookmarkStart w:id="21" w:name="_Toc23386"/>
      <w:bookmarkStart w:id="22" w:name="_Toc30935"/>
      <w:bookmarkStart w:id="23" w:name="_Toc4966"/>
      <w:bookmarkStart w:id="24" w:name="_Toc29629"/>
      <w:bookmarkStart w:id="25" w:name="_Toc8727"/>
      <w:bookmarkStart w:id="26" w:name="_Toc32639"/>
      <w:bookmarkStart w:id="27" w:name="_Toc139991730"/>
      <w:bookmarkStart w:id="28" w:name="_Toc26897"/>
      <w:bookmarkStart w:id="29" w:name="_Toc4867"/>
      <w:bookmarkStart w:id="30" w:name="_Toc6306"/>
      <w:bookmarkStart w:id="31" w:name="_Toc11660"/>
      <w:bookmarkStart w:id="32" w:name="_Toc15517"/>
      <w:bookmarkStart w:id="33" w:name="_Toc141703880"/>
      <w:bookmarkStart w:id="34" w:name="_Toc123112229"/>
      <w:bookmarkStart w:id="35" w:name="_Toc123112268"/>
      <w:bookmarkStart w:id="36" w:name="_Toc123701389"/>
      <w:bookmarkStart w:id="37" w:name="_Toc233456271"/>
      <w:r>
        <w:rPr>
          <w:rFonts w:ascii="宋体" w:hAnsi="宋体"/>
          <w:color w:val="0C0C0C" w:themeColor="text1" w:themeTint="F2"/>
          <w:sz w:val="24"/>
          <w:szCs w:val="24"/>
        </w:rPr>
        <w:fldChar w:fldCharType="begin"/>
      </w:r>
      <w:r>
        <w:rPr>
          <w:rFonts w:ascii="宋体" w:hAnsi="宋体"/>
          <w:color w:val="0C0C0C" w:themeColor="text1" w:themeTint="F2"/>
          <w:sz w:val="24"/>
          <w:szCs w:val="24"/>
        </w:rPr>
        <w:instrText xml:space="preserve"> TOC \o "1-</w:instrText>
      </w:r>
      <w:r>
        <w:rPr>
          <w:rFonts w:ascii="宋体" w:hAnsi="宋体" w:cs="Arial"/>
          <w:color w:val="0C0C0C" w:themeColor="text1" w:themeTint="F2"/>
          <w:sz w:val="24"/>
          <w:szCs w:val="24"/>
        </w:rPr>
        <w:instrText xml:space="preserve">3</w:instrText>
      </w:r>
      <w:r>
        <w:rPr>
          <w:rFonts w:ascii="宋体" w:hAnsi="宋体"/>
          <w:color w:val="0C0C0C" w:themeColor="text1" w:themeTint="F2"/>
          <w:sz w:val="24"/>
          <w:szCs w:val="24"/>
        </w:rPr>
        <w:instrText xml:space="preserve">" \h \z \u </w:instrText>
      </w:r>
      <w:r>
        <w:rPr>
          <w:rFonts w:ascii="宋体" w:hAnsi="宋体"/>
          <w:color w:val="0C0C0C" w:themeColor="text1" w:themeTint="F2"/>
          <w:sz w:val="24"/>
          <w:szCs w:val="24"/>
        </w:rPr>
        <w:fldChar w:fldCharType="separate"/>
      </w:r>
      <w:r>
        <w:fldChar w:fldCharType="begin"/>
      </w:r>
      <w:r>
        <w:instrText xml:space="preserve"> HYPERLINK \l "_Toc86655075" </w:instrText>
      </w:r>
      <w:r>
        <w:fldChar w:fldCharType="separate"/>
      </w:r>
      <w:r>
        <w:rPr>
          <w:rStyle w:val="31"/>
          <w:rFonts w:hint="eastAsia"/>
          <w:sz w:val="24"/>
          <w:szCs w:val="24"/>
        </w:rPr>
        <w:t>第一部分前言</w:t>
      </w:r>
      <w:r>
        <w:rPr>
          <w:sz w:val="24"/>
          <w:szCs w:val="24"/>
        </w:rPr>
        <w:tab/>
      </w:r>
      <w:r>
        <w:rPr>
          <w:rFonts w:hint="eastAsia"/>
          <w:sz w:val="24"/>
          <w:szCs w:val="24"/>
        </w:rPr>
        <w:t>1-</w:t>
      </w:r>
      <w:r>
        <w:rPr>
          <w:sz w:val="24"/>
          <w:szCs w:val="24"/>
        </w:rPr>
        <w:fldChar w:fldCharType="begin"/>
      </w:r>
      <w:r>
        <w:rPr>
          <w:sz w:val="24"/>
          <w:szCs w:val="24"/>
        </w:rPr>
        <w:instrText xml:space="preserve"> PAGEREF _Toc86655075 \h </w:instrText>
      </w:r>
      <w:r>
        <w:rPr>
          <w:sz w:val="24"/>
          <w:szCs w:val="24"/>
        </w:rPr>
        <w:fldChar w:fldCharType="separate"/>
      </w:r>
      <w:r>
        <w:rPr>
          <w:sz w:val="24"/>
          <w:szCs w:val="24"/>
        </w:rPr>
        <w:t>1</w:t>
      </w:r>
      <w:r>
        <w:rPr>
          <w:sz w:val="24"/>
          <w:szCs w:val="24"/>
        </w:rPr>
        <w:fldChar w:fldCharType="end"/>
      </w:r>
      <w:r>
        <w:rPr>
          <w:sz w:val="24"/>
          <w:szCs w:val="24"/>
        </w:rPr>
        <w:fldChar w:fldCharType="end"/>
      </w:r>
    </w:p>
    <w:p w14:paraId="0367D84C">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"_Toc86655076" </w:instrText>
      </w:r>
      <w:r>
        <w:fldChar w:fldCharType="separate"/>
      </w:r>
      <w:r>
        <w:rPr>
          <w:rStyle w:val="31"/>
          <w:rFonts w:hint="eastAsia"/>
          <w:sz w:val="24"/>
          <w:szCs w:val="24"/>
        </w:rPr>
        <w:t>第二部分释义</w:t>
      </w:r>
      <w:r>
        <w:rPr>
          <w:sz w:val="24"/>
          <w:szCs w:val="24"/>
        </w:rPr>
        <w:tab/>
      </w:r>
      <w:r>
        <w:rPr>
          <w:rFonts w:hint="eastAsia"/>
          <w:sz w:val="24"/>
          <w:szCs w:val="24"/>
        </w:rPr>
        <w:t>2-</w:t>
      </w:r>
      <w:r>
        <w:rPr>
          <w:sz w:val="24"/>
          <w:szCs w:val="24"/>
        </w:rPr>
        <w:fldChar w:fldCharType="begin"/>
      </w:r>
      <w:r>
        <w:rPr>
          <w:sz w:val="24"/>
          <w:szCs w:val="24"/>
        </w:rPr>
        <w:instrText xml:space="preserve"> PAGEREF _Toc86655076 \h </w:instrText>
      </w:r>
      <w:r>
        <w:rPr>
          <w:sz w:val="24"/>
          <w:szCs w:val="24"/>
        </w:rPr>
        <w:fldChar w:fldCharType="separate"/>
      </w:r>
      <w:r>
        <w:rPr>
          <w:sz w:val="24"/>
          <w:szCs w:val="24"/>
        </w:rPr>
        <w:t>1</w:t>
      </w:r>
      <w:r>
        <w:rPr>
          <w:sz w:val="24"/>
          <w:szCs w:val="24"/>
        </w:rPr>
        <w:fldChar w:fldCharType="end"/>
      </w:r>
      <w:r>
        <w:rPr>
          <w:sz w:val="24"/>
          <w:szCs w:val="24"/>
        </w:rPr>
        <w:fldChar w:fldCharType="end"/>
      </w:r>
    </w:p>
    <w:p w14:paraId="60A4EFC2">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"_Toc86655077" </w:instrText>
      </w:r>
      <w:r>
        <w:fldChar w:fldCharType="separate"/>
      </w:r>
      <w:r>
        <w:rPr>
          <w:rStyle w:val="31"/>
          <w:rFonts w:hint="eastAsia"/>
          <w:sz w:val="24"/>
          <w:szCs w:val="24"/>
        </w:rPr>
        <w:t>第三部分基金的基本情况</w:t>
      </w:r>
      <w:r>
        <w:rPr>
          <w:sz w:val="24"/>
          <w:szCs w:val="24"/>
        </w:rPr>
        <w:tab/>
      </w:r>
      <w:r>
        <w:rPr>
          <w:rFonts w:hint="eastAsia"/>
          <w:sz w:val="24"/>
          <w:szCs w:val="24"/>
        </w:rPr>
        <w:t>3-</w:t>
      </w:r>
      <w:r>
        <w:rPr>
          <w:sz w:val="24"/>
          <w:szCs w:val="24"/>
        </w:rPr>
        <w:fldChar w:fldCharType="begin"/>
      </w:r>
      <w:r>
        <w:rPr>
          <w:sz w:val="24"/>
          <w:szCs w:val="24"/>
        </w:rPr>
        <w:instrText xml:space="preserve"> PAGEREF _Toc86655077 \h </w:instrText>
      </w:r>
      <w:r>
        <w:rPr>
          <w:sz w:val="24"/>
          <w:szCs w:val="24"/>
        </w:rPr>
        <w:fldChar w:fldCharType="separate"/>
      </w:r>
      <w:r>
        <w:rPr>
          <w:sz w:val="24"/>
          <w:szCs w:val="24"/>
        </w:rPr>
        <w:t>1</w:t>
      </w:r>
      <w:r>
        <w:rPr>
          <w:sz w:val="24"/>
          <w:szCs w:val="24"/>
        </w:rPr>
        <w:fldChar w:fldCharType="end"/>
      </w:r>
      <w:r>
        <w:rPr>
          <w:sz w:val="24"/>
          <w:szCs w:val="24"/>
        </w:rPr>
        <w:fldChar w:fldCharType="end"/>
      </w:r>
    </w:p>
    <w:p w14:paraId="24866F2D">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"_Toc86655078" </w:instrText>
      </w:r>
      <w:r>
        <w:fldChar w:fldCharType="separate"/>
      </w:r>
      <w:r>
        <w:rPr>
          <w:rStyle w:val="31"/>
          <w:rFonts w:hint="eastAsia"/>
          <w:sz w:val="24"/>
          <w:szCs w:val="24"/>
        </w:rPr>
        <w:t>第四部分基金份额的发售</w:t>
      </w:r>
      <w:r>
        <w:rPr>
          <w:sz w:val="24"/>
          <w:szCs w:val="24"/>
        </w:rPr>
        <w:tab/>
      </w:r>
      <w:r>
        <w:rPr>
          <w:rFonts w:hint="eastAsia"/>
          <w:sz w:val="24"/>
          <w:szCs w:val="24"/>
        </w:rPr>
        <w:t>4-</w:t>
      </w:r>
      <w:r>
        <w:rPr>
          <w:sz w:val="24"/>
          <w:szCs w:val="24"/>
        </w:rPr>
        <w:fldChar w:fldCharType="begin"/>
      </w:r>
      <w:r>
        <w:rPr>
          <w:sz w:val="24"/>
          <w:szCs w:val="24"/>
        </w:rPr>
        <w:instrText xml:space="preserve"> PAGEREF _Toc86655078 \h </w:instrText>
      </w:r>
      <w:r>
        <w:rPr>
          <w:sz w:val="24"/>
          <w:szCs w:val="24"/>
        </w:rPr>
        <w:fldChar w:fldCharType="separate"/>
      </w:r>
      <w:r>
        <w:rPr>
          <w:sz w:val="24"/>
          <w:szCs w:val="24"/>
        </w:rPr>
        <w:t>1</w:t>
      </w:r>
      <w:r>
        <w:rPr>
          <w:sz w:val="24"/>
          <w:szCs w:val="24"/>
        </w:rPr>
        <w:fldChar w:fldCharType="end"/>
      </w:r>
      <w:r>
        <w:rPr>
          <w:sz w:val="24"/>
          <w:szCs w:val="24"/>
        </w:rPr>
        <w:fldChar w:fldCharType="end"/>
      </w:r>
    </w:p>
    <w:p w14:paraId="5ED50BA7">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"_Toc86655079" </w:instrText>
      </w:r>
      <w:r>
        <w:fldChar w:fldCharType="separate"/>
      </w:r>
      <w:r>
        <w:rPr>
          <w:rStyle w:val="31"/>
          <w:rFonts w:hint="eastAsia"/>
          <w:sz w:val="24"/>
          <w:szCs w:val="24"/>
        </w:rPr>
        <w:t>第五部分基金备案</w:t>
      </w:r>
      <w:r>
        <w:rPr>
          <w:sz w:val="24"/>
          <w:szCs w:val="24"/>
        </w:rPr>
        <w:tab/>
      </w:r>
      <w:r>
        <w:rPr>
          <w:rFonts w:hint="eastAsia"/>
          <w:sz w:val="24"/>
          <w:szCs w:val="24"/>
        </w:rPr>
        <w:t>5-</w:t>
      </w:r>
      <w:r>
        <w:rPr>
          <w:sz w:val="24"/>
          <w:szCs w:val="24"/>
        </w:rPr>
        <w:fldChar w:fldCharType="begin"/>
      </w:r>
      <w:r>
        <w:rPr>
          <w:sz w:val="24"/>
          <w:szCs w:val="24"/>
        </w:rPr>
        <w:instrText xml:space="preserve"> PAGEREF _Toc86655079 \h </w:instrText>
      </w:r>
      <w:r>
        <w:rPr>
          <w:sz w:val="24"/>
          <w:szCs w:val="24"/>
        </w:rPr>
        <w:fldChar w:fldCharType="separate"/>
      </w:r>
      <w:r>
        <w:rPr>
          <w:sz w:val="24"/>
          <w:szCs w:val="24"/>
        </w:rPr>
        <w:t>1</w:t>
      </w:r>
      <w:r>
        <w:rPr>
          <w:sz w:val="24"/>
          <w:szCs w:val="24"/>
        </w:rPr>
        <w:fldChar w:fldCharType="end"/>
      </w:r>
      <w:r>
        <w:rPr>
          <w:sz w:val="24"/>
          <w:szCs w:val="24"/>
        </w:rPr>
        <w:fldChar w:fldCharType="end"/>
      </w:r>
    </w:p>
    <w:p w14:paraId="0A9570D0">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"_Toc86655080" </w:instrText>
      </w:r>
      <w:r>
        <w:fldChar w:fldCharType="separate"/>
      </w:r>
      <w:r>
        <w:rPr>
          <w:rStyle w:val="31"/>
          <w:rFonts w:hint="eastAsia"/>
          <w:sz w:val="24"/>
          <w:szCs w:val="24"/>
        </w:rPr>
        <w:t>第六部分基金份额折算与变更登记</w:t>
      </w:r>
      <w:r>
        <w:rPr>
          <w:sz w:val="24"/>
          <w:szCs w:val="24"/>
        </w:rPr>
        <w:tab/>
      </w:r>
      <w:r>
        <w:rPr>
          <w:rFonts w:hint="eastAsia"/>
          <w:sz w:val="24"/>
          <w:szCs w:val="24"/>
        </w:rPr>
        <w:t>6-</w:t>
      </w:r>
      <w:r>
        <w:rPr>
          <w:sz w:val="24"/>
          <w:szCs w:val="24"/>
        </w:rPr>
        <w:fldChar w:fldCharType="begin"/>
      </w:r>
      <w:r>
        <w:rPr>
          <w:sz w:val="24"/>
          <w:szCs w:val="24"/>
        </w:rPr>
        <w:instrText xml:space="preserve"> PAGEREF _Toc86655080 \h </w:instrText>
      </w:r>
      <w:r>
        <w:rPr>
          <w:sz w:val="24"/>
          <w:szCs w:val="24"/>
        </w:rPr>
        <w:fldChar w:fldCharType="separate"/>
      </w:r>
      <w:r>
        <w:rPr>
          <w:sz w:val="24"/>
          <w:szCs w:val="24"/>
        </w:rPr>
        <w:t>1</w:t>
      </w:r>
      <w:r>
        <w:rPr>
          <w:sz w:val="24"/>
          <w:szCs w:val="24"/>
        </w:rPr>
        <w:fldChar w:fldCharType="end"/>
      </w:r>
      <w:r>
        <w:rPr>
          <w:sz w:val="24"/>
          <w:szCs w:val="24"/>
        </w:rPr>
        <w:fldChar w:fldCharType="end"/>
      </w:r>
    </w:p>
    <w:p w14:paraId="1EE86363">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"_Toc86655081" </w:instrText>
      </w:r>
      <w:r>
        <w:fldChar w:fldCharType="separate"/>
      </w:r>
      <w:r>
        <w:rPr>
          <w:rStyle w:val="31"/>
          <w:rFonts w:hint="eastAsia"/>
          <w:sz w:val="24"/>
          <w:szCs w:val="24"/>
        </w:rPr>
        <w:t>第七部分基金份额的上市交易</w:t>
      </w:r>
      <w:r>
        <w:rPr>
          <w:sz w:val="24"/>
          <w:szCs w:val="24"/>
        </w:rPr>
        <w:tab/>
      </w:r>
      <w:r>
        <w:rPr>
          <w:rFonts w:hint="eastAsia"/>
          <w:sz w:val="24"/>
          <w:szCs w:val="24"/>
        </w:rPr>
        <w:t>7-</w:t>
      </w:r>
      <w:r>
        <w:rPr>
          <w:sz w:val="24"/>
          <w:szCs w:val="24"/>
        </w:rPr>
        <w:fldChar w:fldCharType="begin"/>
      </w:r>
      <w:r>
        <w:rPr>
          <w:sz w:val="24"/>
          <w:szCs w:val="24"/>
        </w:rPr>
        <w:instrText xml:space="preserve"> PAGEREF _Toc86655081 \h </w:instrText>
      </w:r>
      <w:r>
        <w:rPr>
          <w:sz w:val="24"/>
          <w:szCs w:val="24"/>
        </w:rPr>
        <w:fldChar w:fldCharType="separate"/>
      </w:r>
      <w:r>
        <w:rPr>
          <w:sz w:val="24"/>
          <w:szCs w:val="24"/>
        </w:rPr>
        <w:t>1</w:t>
      </w:r>
      <w:r>
        <w:rPr>
          <w:sz w:val="24"/>
          <w:szCs w:val="24"/>
        </w:rPr>
        <w:fldChar w:fldCharType="end"/>
      </w:r>
      <w:r>
        <w:rPr>
          <w:sz w:val="24"/>
          <w:szCs w:val="24"/>
        </w:rPr>
        <w:fldChar w:fldCharType="end"/>
      </w:r>
    </w:p>
    <w:p w14:paraId="684DF34C">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"_Toc86655082" </w:instrText>
      </w:r>
      <w:r>
        <w:fldChar w:fldCharType="separate"/>
      </w:r>
      <w:r>
        <w:rPr>
          <w:rStyle w:val="31"/>
          <w:rFonts w:hint="eastAsia" w:cs="Arial"/>
          <w:sz w:val="24"/>
          <w:szCs w:val="24"/>
        </w:rPr>
        <w:t>第八部分</w:t>
      </w:r>
      <w:r>
        <w:rPr>
          <w:rStyle w:val="31"/>
          <w:rFonts w:hint="eastAsia"/>
          <w:sz w:val="24"/>
          <w:szCs w:val="24"/>
        </w:rPr>
        <w:t>基金份额的申购与赎回</w:t>
      </w:r>
      <w:r>
        <w:rPr>
          <w:sz w:val="24"/>
          <w:szCs w:val="24"/>
        </w:rPr>
        <w:tab/>
      </w:r>
      <w:r>
        <w:rPr>
          <w:rFonts w:hint="eastAsia"/>
          <w:sz w:val="24"/>
          <w:szCs w:val="24"/>
        </w:rPr>
        <w:t>8-</w:t>
      </w:r>
      <w:r>
        <w:rPr>
          <w:sz w:val="24"/>
          <w:szCs w:val="24"/>
        </w:rPr>
        <w:fldChar w:fldCharType="begin"/>
      </w:r>
      <w:r>
        <w:rPr>
          <w:sz w:val="24"/>
          <w:szCs w:val="24"/>
        </w:rPr>
        <w:instrText xml:space="preserve"> PAGEREF _Toc86655082 \h </w:instrText>
      </w:r>
      <w:r>
        <w:rPr>
          <w:sz w:val="24"/>
          <w:szCs w:val="24"/>
        </w:rPr>
        <w:fldChar w:fldCharType="separate"/>
      </w:r>
      <w:r>
        <w:rPr>
          <w:sz w:val="24"/>
          <w:szCs w:val="24"/>
        </w:rPr>
        <w:t>1</w:t>
      </w:r>
      <w:r>
        <w:rPr>
          <w:sz w:val="24"/>
          <w:szCs w:val="24"/>
        </w:rPr>
        <w:fldChar w:fldCharType="end"/>
      </w:r>
      <w:r>
        <w:rPr>
          <w:sz w:val="24"/>
          <w:szCs w:val="24"/>
        </w:rPr>
        <w:fldChar w:fldCharType="end"/>
      </w:r>
    </w:p>
    <w:p w14:paraId="0A0E7A4B">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"_Toc86655083" </w:instrText>
      </w:r>
      <w:r>
        <w:fldChar w:fldCharType="separate"/>
      </w:r>
      <w:r>
        <w:rPr>
          <w:rStyle w:val="31"/>
          <w:rFonts w:hint="eastAsia" w:cs="Arial"/>
          <w:sz w:val="24"/>
          <w:szCs w:val="24"/>
        </w:rPr>
        <w:t>第九部分</w:t>
      </w:r>
      <w:r>
        <w:rPr>
          <w:rStyle w:val="31"/>
          <w:rFonts w:hint="eastAsia"/>
          <w:sz w:val="24"/>
          <w:szCs w:val="24"/>
        </w:rPr>
        <w:t>基金合同当事人及权利义务</w:t>
      </w:r>
      <w:r>
        <w:rPr>
          <w:sz w:val="24"/>
          <w:szCs w:val="24"/>
        </w:rPr>
        <w:tab/>
      </w:r>
      <w:r>
        <w:rPr>
          <w:rFonts w:hint="eastAsia"/>
          <w:sz w:val="24"/>
          <w:szCs w:val="24"/>
        </w:rPr>
        <w:t>9-</w:t>
      </w:r>
      <w:r>
        <w:rPr>
          <w:sz w:val="24"/>
          <w:szCs w:val="24"/>
        </w:rPr>
        <w:fldChar w:fldCharType="begin"/>
      </w:r>
      <w:r>
        <w:rPr>
          <w:sz w:val="24"/>
          <w:szCs w:val="24"/>
        </w:rPr>
        <w:instrText xml:space="preserve"> PAGEREF _Toc86655083 \h </w:instrText>
      </w:r>
      <w:r>
        <w:rPr>
          <w:sz w:val="24"/>
          <w:szCs w:val="24"/>
        </w:rPr>
        <w:fldChar w:fldCharType="separate"/>
      </w:r>
      <w:r>
        <w:rPr>
          <w:sz w:val="24"/>
          <w:szCs w:val="24"/>
        </w:rPr>
        <w:t>1</w:t>
      </w:r>
      <w:r>
        <w:rPr>
          <w:sz w:val="24"/>
          <w:szCs w:val="24"/>
        </w:rPr>
        <w:fldChar w:fldCharType="end"/>
      </w:r>
      <w:r>
        <w:rPr>
          <w:sz w:val="24"/>
          <w:szCs w:val="24"/>
        </w:rPr>
        <w:fldChar w:fldCharType="end"/>
      </w:r>
    </w:p>
    <w:p w14:paraId="69588DA4">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"_Toc86655084" </w:instrText>
      </w:r>
      <w:r>
        <w:fldChar w:fldCharType="separate"/>
      </w:r>
      <w:r>
        <w:rPr>
          <w:rStyle w:val="31"/>
          <w:rFonts w:hint="eastAsia" w:cs="Arial"/>
          <w:sz w:val="24"/>
          <w:szCs w:val="24"/>
        </w:rPr>
        <w:t>第十部分</w:t>
      </w:r>
      <w:r>
        <w:rPr>
          <w:rStyle w:val="31"/>
          <w:rFonts w:hint="eastAsia"/>
          <w:sz w:val="24"/>
          <w:szCs w:val="24"/>
        </w:rPr>
        <w:t>基金份额持有人大会</w:t>
      </w:r>
      <w:r>
        <w:rPr>
          <w:sz w:val="24"/>
          <w:szCs w:val="24"/>
        </w:rPr>
        <w:tab/>
      </w:r>
      <w:r>
        <w:rPr>
          <w:rFonts w:hint="eastAsia"/>
          <w:sz w:val="24"/>
          <w:szCs w:val="24"/>
        </w:rPr>
        <w:t>10-</w:t>
      </w:r>
      <w:r>
        <w:rPr>
          <w:sz w:val="24"/>
          <w:szCs w:val="24"/>
        </w:rPr>
        <w:fldChar w:fldCharType="begin"/>
      </w:r>
      <w:r>
        <w:rPr>
          <w:sz w:val="24"/>
          <w:szCs w:val="24"/>
        </w:rPr>
        <w:instrText xml:space="preserve"> PAGEREF _Toc86655084 \h </w:instrText>
      </w:r>
      <w:r>
        <w:rPr>
          <w:sz w:val="24"/>
          <w:szCs w:val="24"/>
        </w:rPr>
        <w:fldChar w:fldCharType="separate"/>
      </w:r>
      <w:r>
        <w:rPr>
          <w:sz w:val="24"/>
          <w:szCs w:val="24"/>
        </w:rPr>
        <w:t>1</w:t>
      </w:r>
      <w:r>
        <w:rPr>
          <w:sz w:val="24"/>
          <w:szCs w:val="24"/>
        </w:rPr>
        <w:fldChar w:fldCharType="end"/>
      </w:r>
      <w:r>
        <w:rPr>
          <w:sz w:val="24"/>
          <w:szCs w:val="24"/>
        </w:rPr>
        <w:fldChar w:fldCharType="end"/>
      </w:r>
    </w:p>
    <w:p w14:paraId="41F00859">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"_Toc86655085" </w:instrText>
      </w:r>
      <w:r>
        <w:fldChar w:fldCharType="separate"/>
      </w:r>
      <w:r>
        <w:rPr>
          <w:rStyle w:val="31"/>
          <w:rFonts w:hint="eastAsia" w:cs="Arial"/>
          <w:sz w:val="24"/>
          <w:szCs w:val="24"/>
        </w:rPr>
        <w:t>第十一部分</w:t>
      </w:r>
      <w:r>
        <w:rPr>
          <w:rStyle w:val="31"/>
          <w:rFonts w:hint="eastAsia"/>
          <w:sz w:val="24"/>
          <w:szCs w:val="24"/>
        </w:rPr>
        <w:t>基金管理人、基金托管人的更换条件和程序</w:t>
      </w:r>
      <w:r>
        <w:rPr>
          <w:sz w:val="24"/>
          <w:szCs w:val="24"/>
        </w:rPr>
        <w:tab/>
      </w:r>
      <w:r>
        <w:rPr>
          <w:rFonts w:hint="eastAsia"/>
          <w:sz w:val="24"/>
          <w:szCs w:val="24"/>
        </w:rPr>
        <w:t>11-</w:t>
      </w:r>
      <w:r>
        <w:rPr>
          <w:sz w:val="24"/>
          <w:szCs w:val="24"/>
        </w:rPr>
        <w:fldChar w:fldCharType="begin"/>
      </w:r>
      <w:r>
        <w:rPr>
          <w:sz w:val="24"/>
          <w:szCs w:val="24"/>
        </w:rPr>
        <w:instrText xml:space="preserve"> PAGEREF _Toc86655085 \h </w:instrText>
      </w:r>
      <w:r>
        <w:rPr>
          <w:sz w:val="24"/>
          <w:szCs w:val="24"/>
        </w:rPr>
        <w:fldChar w:fldCharType="separate"/>
      </w:r>
      <w:r>
        <w:rPr>
          <w:sz w:val="24"/>
          <w:szCs w:val="24"/>
        </w:rPr>
        <w:t>1</w:t>
      </w:r>
      <w:r>
        <w:rPr>
          <w:sz w:val="24"/>
          <w:szCs w:val="24"/>
        </w:rPr>
        <w:fldChar w:fldCharType="end"/>
      </w:r>
      <w:r>
        <w:rPr>
          <w:sz w:val="24"/>
          <w:szCs w:val="24"/>
        </w:rPr>
        <w:fldChar w:fldCharType="end"/>
      </w:r>
    </w:p>
    <w:p w14:paraId="578B3702">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"_Toc86655086" </w:instrText>
      </w:r>
      <w:r>
        <w:fldChar w:fldCharType="separate"/>
      </w:r>
      <w:r>
        <w:rPr>
          <w:rStyle w:val="31"/>
          <w:rFonts w:hint="eastAsia" w:cs="Arial"/>
          <w:sz w:val="24"/>
          <w:szCs w:val="24"/>
        </w:rPr>
        <w:t>第十二部分</w:t>
      </w:r>
      <w:r>
        <w:rPr>
          <w:rStyle w:val="31"/>
          <w:rFonts w:hint="eastAsia"/>
          <w:sz w:val="24"/>
          <w:szCs w:val="24"/>
        </w:rPr>
        <w:t>基金的托管</w:t>
      </w:r>
      <w:r>
        <w:rPr>
          <w:sz w:val="24"/>
          <w:szCs w:val="24"/>
        </w:rPr>
        <w:tab/>
      </w:r>
      <w:r>
        <w:rPr>
          <w:rFonts w:hint="eastAsia"/>
          <w:sz w:val="24"/>
          <w:szCs w:val="24"/>
        </w:rPr>
        <w:t>12-</w:t>
      </w:r>
      <w:r>
        <w:rPr>
          <w:sz w:val="24"/>
          <w:szCs w:val="24"/>
        </w:rPr>
        <w:fldChar w:fldCharType="begin"/>
      </w:r>
      <w:r>
        <w:rPr>
          <w:sz w:val="24"/>
          <w:szCs w:val="24"/>
        </w:rPr>
        <w:instrText xml:space="preserve"> PAGEREF _Toc86655086 \h </w:instrText>
      </w:r>
      <w:r>
        <w:rPr>
          <w:sz w:val="24"/>
          <w:szCs w:val="24"/>
        </w:rPr>
        <w:fldChar w:fldCharType="separate"/>
      </w:r>
      <w:r>
        <w:rPr>
          <w:sz w:val="24"/>
          <w:szCs w:val="24"/>
        </w:rPr>
        <w:t>1</w:t>
      </w:r>
      <w:r>
        <w:rPr>
          <w:sz w:val="24"/>
          <w:szCs w:val="24"/>
        </w:rPr>
        <w:fldChar w:fldCharType="end"/>
      </w:r>
      <w:r>
        <w:rPr>
          <w:sz w:val="24"/>
          <w:szCs w:val="24"/>
        </w:rPr>
        <w:fldChar w:fldCharType="end"/>
      </w:r>
    </w:p>
    <w:p w14:paraId="4A9BD888">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"_Toc86655087" </w:instrText>
      </w:r>
      <w:r>
        <w:fldChar w:fldCharType="separate"/>
      </w:r>
      <w:r>
        <w:rPr>
          <w:rStyle w:val="31"/>
          <w:rFonts w:hint="eastAsia" w:cs="Arial"/>
          <w:sz w:val="24"/>
          <w:szCs w:val="24"/>
        </w:rPr>
        <w:t>第十三部分</w:t>
      </w:r>
      <w:r>
        <w:rPr>
          <w:rStyle w:val="31"/>
          <w:rFonts w:hint="eastAsia"/>
          <w:sz w:val="24"/>
          <w:szCs w:val="24"/>
        </w:rPr>
        <w:t>基金份额的登记</w:t>
      </w:r>
      <w:r>
        <w:rPr>
          <w:sz w:val="24"/>
          <w:szCs w:val="24"/>
        </w:rPr>
        <w:tab/>
      </w:r>
      <w:r>
        <w:rPr>
          <w:rFonts w:hint="eastAsia"/>
          <w:sz w:val="24"/>
          <w:szCs w:val="24"/>
        </w:rPr>
        <w:t>13-</w:t>
      </w:r>
      <w:r>
        <w:rPr>
          <w:sz w:val="24"/>
          <w:szCs w:val="24"/>
        </w:rPr>
        <w:fldChar w:fldCharType="begin"/>
      </w:r>
      <w:r>
        <w:rPr>
          <w:sz w:val="24"/>
          <w:szCs w:val="24"/>
        </w:rPr>
        <w:instrText xml:space="preserve"> PAGEREF _Toc86655087 \h </w:instrText>
      </w:r>
      <w:r>
        <w:rPr>
          <w:sz w:val="24"/>
          <w:szCs w:val="24"/>
        </w:rPr>
        <w:fldChar w:fldCharType="separate"/>
      </w:r>
      <w:r>
        <w:rPr>
          <w:sz w:val="24"/>
          <w:szCs w:val="24"/>
        </w:rPr>
        <w:t>1</w:t>
      </w:r>
      <w:r>
        <w:rPr>
          <w:sz w:val="24"/>
          <w:szCs w:val="24"/>
        </w:rPr>
        <w:fldChar w:fldCharType="end"/>
      </w:r>
      <w:r>
        <w:rPr>
          <w:sz w:val="24"/>
          <w:szCs w:val="24"/>
        </w:rPr>
        <w:fldChar w:fldCharType="end"/>
      </w:r>
    </w:p>
    <w:p w14:paraId="447CC4DD">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"_Toc86655088" </w:instrText>
      </w:r>
      <w:r>
        <w:fldChar w:fldCharType="separate"/>
      </w:r>
      <w:r>
        <w:rPr>
          <w:rStyle w:val="31"/>
          <w:rFonts w:hint="eastAsia" w:cs="Arial"/>
          <w:sz w:val="24"/>
          <w:szCs w:val="24"/>
        </w:rPr>
        <w:t>第十四部分</w:t>
      </w:r>
      <w:r>
        <w:rPr>
          <w:rStyle w:val="31"/>
          <w:rFonts w:hint="eastAsia"/>
          <w:sz w:val="24"/>
          <w:szCs w:val="24"/>
        </w:rPr>
        <w:t>基金的投资</w:t>
      </w:r>
      <w:r>
        <w:rPr>
          <w:sz w:val="24"/>
          <w:szCs w:val="24"/>
        </w:rPr>
        <w:tab/>
      </w:r>
      <w:r>
        <w:rPr>
          <w:rFonts w:hint="eastAsia"/>
          <w:sz w:val="24"/>
          <w:szCs w:val="24"/>
        </w:rPr>
        <w:t>14-</w:t>
      </w:r>
      <w:r>
        <w:rPr>
          <w:sz w:val="24"/>
          <w:szCs w:val="24"/>
        </w:rPr>
        <w:fldChar w:fldCharType="begin"/>
      </w:r>
      <w:r>
        <w:rPr>
          <w:sz w:val="24"/>
          <w:szCs w:val="24"/>
        </w:rPr>
        <w:instrText xml:space="preserve"> PAGEREF _Toc86655088 \h </w:instrText>
      </w:r>
      <w:r>
        <w:rPr>
          <w:sz w:val="24"/>
          <w:szCs w:val="24"/>
        </w:rPr>
        <w:fldChar w:fldCharType="separate"/>
      </w:r>
      <w:r>
        <w:rPr>
          <w:sz w:val="24"/>
          <w:szCs w:val="24"/>
        </w:rPr>
        <w:t>1</w:t>
      </w:r>
      <w:r>
        <w:rPr>
          <w:sz w:val="24"/>
          <w:szCs w:val="24"/>
        </w:rPr>
        <w:fldChar w:fldCharType="end"/>
      </w:r>
      <w:r>
        <w:rPr>
          <w:sz w:val="24"/>
          <w:szCs w:val="24"/>
        </w:rPr>
        <w:fldChar w:fldCharType="end"/>
      </w:r>
    </w:p>
    <w:p w14:paraId="07C5D913">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"_Toc86655089" </w:instrText>
      </w:r>
      <w:r>
        <w:fldChar w:fldCharType="separate"/>
      </w:r>
      <w:r>
        <w:rPr>
          <w:rStyle w:val="31"/>
          <w:rFonts w:hint="eastAsia" w:cs="Arial"/>
          <w:sz w:val="24"/>
          <w:szCs w:val="24"/>
        </w:rPr>
        <w:t>第十五部分</w:t>
      </w:r>
      <w:r>
        <w:rPr>
          <w:rStyle w:val="31"/>
          <w:rFonts w:hint="eastAsia"/>
          <w:sz w:val="24"/>
          <w:szCs w:val="24"/>
        </w:rPr>
        <w:t>基金的财产</w:t>
      </w:r>
      <w:r>
        <w:rPr>
          <w:sz w:val="24"/>
          <w:szCs w:val="24"/>
        </w:rPr>
        <w:tab/>
      </w:r>
      <w:r>
        <w:rPr>
          <w:rFonts w:hint="eastAsia"/>
          <w:sz w:val="24"/>
          <w:szCs w:val="24"/>
        </w:rPr>
        <w:t>15-</w:t>
      </w:r>
      <w:r>
        <w:rPr>
          <w:sz w:val="24"/>
          <w:szCs w:val="24"/>
        </w:rPr>
        <w:fldChar w:fldCharType="begin"/>
      </w:r>
      <w:r>
        <w:rPr>
          <w:sz w:val="24"/>
          <w:szCs w:val="24"/>
        </w:rPr>
        <w:instrText xml:space="preserve"> PAGEREF _Toc86655089 \h </w:instrText>
      </w:r>
      <w:r>
        <w:rPr>
          <w:sz w:val="24"/>
          <w:szCs w:val="24"/>
        </w:rPr>
        <w:fldChar w:fldCharType="separate"/>
      </w:r>
      <w:r>
        <w:rPr>
          <w:sz w:val="24"/>
          <w:szCs w:val="24"/>
        </w:rPr>
        <w:t>1</w:t>
      </w:r>
      <w:r>
        <w:rPr>
          <w:sz w:val="24"/>
          <w:szCs w:val="24"/>
        </w:rPr>
        <w:fldChar w:fldCharType="end"/>
      </w:r>
      <w:r>
        <w:rPr>
          <w:sz w:val="24"/>
          <w:szCs w:val="24"/>
        </w:rPr>
        <w:fldChar w:fldCharType="end"/>
      </w:r>
    </w:p>
    <w:p w14:paraId="20A57778">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"_Toc86655090" </w:instrText>
      </w:r>
      <w:r>
        <w:fldChar w:fldCharType="separate"/>
      </w:r>
      <w:r>
        <w:rPr>
          <w:rStyle w:val="31"/>
          <w:rFonts w:hint="eastAsia" w:cs="Arial"/>
          <w:sz w:val="24"/>
          <w:szCs w:val="24"/>
        </w:rPr>
        <w:t>第十六部分</w:t>
      </w:r>
      <w:r>
        <w:rPr>
          <w:rStyle w:val="31"/>
          <w:rFonts w:hint="eastAsia"/>
          <w:sz w:val="24"/>
          <w:szCs w:val="24"/>
        </w:rPr>
        <w:t>基金资产估值</w:t>
      </w:r>
      <w:r>
        <w:rPr>
          <w:sz w:val="24"/>
          <w:szCs w:val="24"/>
        </w:rPr>
        <w:tab/>
      </w:r>
      <w:r>
        <w:rPr>
          <w:rFonts w:hint="eastAsia"/>
          <w:sz w:val="24"/>
          <w:szCs w:val="24"/>
        </w:rPr>
        <w:t>16-</w:t>
      </w:r>
      <w:r>
        <w:rPr>
          <w:sz w:val="24"/>
          <w:szCs w:val="24"/>
        </w:rPr>
        <w:fldChar w:fldCharType="begin"/>
      </w:r>
      <w:r>
        <w:rPr>
          <w:sz w:val="24"/>
          <w:szCs w:val="24"/>
        </w:rPr>
        <w:instrText xml:space="preserve"> PAGEREF _Toc86655090 \h </w:instrText>
      </w:r>
      <w:r>
        <w:rPr>
          <w:sz w:val="24"/>
          <w:szCs w:val="24"/>
        </w:rPr>
        <w:fldChar w:fldCharType="separate"/>
      </w:r>
      <w:r>
        <w:rPr>
          <w:sz w:val="24"/>
          <w:szCs w:val="24"/>
        </w:rPr>
        <w:t>1</w:t>
      </w:r>
      <w:r>
        <w:rPr>
          <w:sz w:val="24"/>
          <w:szCs w:val="24"/>
        </w:rPr>
        <w:fldChar w:fldCharType="end"/>
      </w:r>
      <w:r>
        <w:rPr>
          <w:sz w:val="24"/>
          <w:szCs w:val="24"/>
        </w:rPr>
        <w:fldChar w:fldCharType="end"/>
      </w:r>
    </w:p>
    <w:p w14:paraId="0A60A548">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"_Toc86655091" </w:instrText>
      </w:r>
      <w:r>
        <w:fldChar w:fldCharType="separate"/>
      </w:r>
      <w:r>
        <w:rPr>
          <w:rStyle w:val="31"/>
          <w:rFonts w:hint="eastAsia" w:cs="Arial"/>
          <w:sz w:val="24"/>
          <w:szCs w:val="24"/>
        </w:rPr>
        <w:t>第十七部分</w:t>
      </w:r>
      <w:r>
        <w:rPr>
          <w:rStyle w:val="31"/>
          <w:rFonts w:hint="eastAsia"/>
          <w:sz w:val="24"/>
          <w:szCs w:val="24"/>
        </w:rPr>
        <w:t>基金</w:t>
      </w:r>
      <w:r>
        <w:rPr>
          <w:rStyle w:val="31"/>
          <w:rFonts w:hint="eastAsia" w:cs="Arial"/>
          <w:sz w:val="24"/>
          <w:szCs w:val="24"/>
        </w:rPr>
        <w:t>的</w:t>
      </w:r>
      <w:r>
        <w:rPr>
          <w:rStyle w:val="31"/>
          <w:rFonts w:hint="eastAsia"/>
          <w:sz w:val="24"/>
          <w:szCs w:val="24"/>
        </w:rPr>
        <w:t>费用与税收</w:t>
      </w:r>
      <w:r>
        <w:rPr>
          <w:sz w:val="24"/>
          <w:szCs w:val="24"/>
        </w:rPr>
        <w:tab/>
      </w:r>
      <w:r>
        <w:rPr>
          <w:rFonts w:hint="eastAsia"/>
          <w:sz w:val="24"/>
          <w:szCs w:val="24"/>
        </w:rPr>
        <w:t>17-</w:t>
      </w:r>
      <w:r>
        <w:rPr>
          <w:sz w:val="24"/>
          <w:szCs w:val="24"/>
        </w:rPr>
        <w:fldChar w:fldCharType="begin"/>
      </w:r>
      <w:r>
        <w:rPr>
          <w:sz w:val="24"/>
          <w:szCs w:val="24"/>
        </w:rPr>
        <w:instrText xml:space="preserve"> PAGEREF _Toc86655091 \h </w:instrText>
      </w:r>
      <w:r>
        <w:rPr>
          <w:sz w:val="24"/>
          <w:szCs w:val="24"/>
        </w:rPr>
        <w:fldChar w:fldCharType="separate"/>
      </w:r>
      <w:r>
        <w:rPr>
          <w:sz w:val="24"/>
          <w:szCs w:val="24"/>
        </w:rPr>
        <w:t>1</w:t>
      </w:r>
      <w:r>
        <w:rPr>
          <w:sz w:val="24"/>
          <w:szCs w:val="24"/>
        </w:rPr>
        <w:fldChar w:fldCharType="end"/>
      </w:r>
      <w:r>
        <w:rPr>
          <w:sz w:val="24"/>
          <w:szCs w:val="24"/>
        </w:rPr>
        <w:fldChar w:fldCharType="end"/>
      </w:r>
    </w:p>
    <w:p w14:paraId="1AED2E41">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"_Toc86655092" </w:instrText>
      </w:r>
      <w:r>
        <w:fldChar w:fldCharType="separate"/>
      </w:r>
      <w:r>
        <w:rPr>
          <w:rStyle w:val="31"/>
          <w:rFonts w:hint="eastAsia" w:cs="Arial"/>
          <w:sz w:val="24"/>
          <w:szCs w:val="24"/>
        </w:rPr>
        <w:t>第十八部分</w:t>
      </w:r>
      <w:r>
        <w:rPr>
          <w:rStyle w:val="31"/>
          <w:rFonts w:hint="eastAsia"/>
          <w:sz w:val="24"/>
          <w:szCs w:val="24"/>
        </w:rPr>
        <w:t>基金的收益与分配</w:t>
      </w:r>
      <w:r>
        <w:rPr>
          <w:sz w:val="24"/>
          <w:szCs w:val="24"/>
        </w:rPr>
        <w:tab/>
      </w:r>
      <w:r>
        <w:rPr>
          <w:rFonts w:hint="eastAsia"/>
          <w:sz w:val="24"/>
          <w:szCs w:val="24"/>
        </w:rPr>
        <w:t>18-</w:t>
      </w:r>
      <w:r>
        <w:rPr>
          <w:sz w:val="24"/>
          <w:szCs w:val="24"/>
        </w:rPr>
        <w:fldChar w:fldCharType="begin"/>
      </w:r>
      <w:r>
        <w:rPr>
          <w:sz w:val="24"/>
          <w:szCs w:val="24"/>
        </w:rPr>
        <w:instrText xml:space="preserve"> PAGEREF _Toc86655092 \h </w:instrText>
      </w:r>
      <w:r>
        <w:rPr>
          <w:sz w:val="24"/>
          <w:szCs w:val="24"/>
        </w:rPr>
        <w:fldChar w:fldCharType="separate"/>
      </w:r>
      <w:r>
        <w:rPr>
          <w:sz w:val="24"/>
          <w:szCs w:val="24"/>
        </w:rPr>
        <w:t>1</w:t>
      </w:r>
      <w:r>
        <w:rPr>
          <w:sz w:val="24"/>
          <w:szCs w:val="24"/>
        </w:rPr>
        <w:fldChar w:fldCharType="end"/>
      </w:r>
      <w:r>
        <w:rPr>
          <w:sz w:val="24"/>
          <w:szCs w:val="24"/>
        </w:rPr>
        <w:fldChar w:fldCharType="end"/>
      </w:r>
    </w:p>
    <w:p w14:paraId="48C106A9">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"_Toc86655093" </w:instrText>
      </w:r>
      <w:r>
        <w:fldChar w:fldCharType="separate"/>
      </w:r>
      <w:r>
        <w:rPr>
          <w:rStyle w:val="31"/>
          <w:rFonts w:hint="eastAsia"/>
          <w:sz w:val="24"/>
          <w:szCs w:val="24"/>
        </w:rPr>
        <w:t>第十九部分基金的会计与审计</w:t>
      </w:r>
      <w:r>
        <w:rPr>
          <w:sz w:val="24"/>
          <w:szCs w:val="24"/>
        </w:rPr>
        <w:tab/>
      </w:r>
      <w:r>
        <w:rPr>
          <w:rFonts w:hint="eastAsia"/>
          <w:sz w:val="24"/>
          <w:szCs w:val="24"/>
        </w:rPr>
        <w:t>19-</w:t>
      </w:r>
      <w:r>
        <w:rPr>
          <w:sz w:val="24"/>
          <w:szCs w:val="24"/>
        </w:rPr>
        <w:fldChar w:fldCharType="begin"/>
      </w:r>
      <w:r>
        <w:rPr>
          <w:sz w:val="24"/>
          <w:szCs w:val="24"/>
        </w:rPr>
        <w:instrText xml:space="preserve"> PAGEREF _Toc86655093 \h </w:instrText>
      </w:r>
      <w:r>
        <w:rPr>
          <w:sz w:val="24"/>
          <w:szCs w:val="24"/>
        </w:rPr>
        <w:fldChar w:fldCharType="separate"/>
      </w:r>
      <w:r>
        <w:rPr>
          <w:sz w:val="24"/>
          <w:szCs w:val="24"/>
        </w:rPr>
        <w:t>1</w:t>
      </w:r>
      <w:r>
        <w:rPr>
          <w:sz w:val="24"/>
          <w:szCs w:val="24"/>
        </w:rPr>
        <w:fldChar w:fldCharType="end"/>
      </w:r>
      <w:r>
        <w:rPr>
          <w:sz w:val="24"/>
          <w:szCs w:val="24"/>
        </w:rPr>
        <w:fldChar w:fldCharType="end"/>
      </w:r>
    </w:p>
    <w:p w14:paraId="58FCC2E0">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"_Toc86655094" </w:instrText>
      </w:r>
      <w:r>
        <w:fldChar w:fldCharType="separate"/>
      </w:r>
      <w:r>
        <w:rPr>
          <w:rStyle w:val="31"/>
          <w:rFonts w:hint="eastAsia" w:cs="Arial"/>
          <w:sz w:val="24"/>
          <w:szCs w:val="24"/>
        </w:rPr>
        <w:t>第二十部分</w:t>
      </w:r>
      <w:r>
        <w:rPr>
          <w:rStyle w:val="31"/>
          <w:rFonts w:hint="eastAsia"/>
          <w:sz w:val="24"/>
          <w:szCs w:val="24"/>
        </w:rPr>
        <w:t>基金的信息披露</w:t>
      </w:r>
      <w:r>
        <w:rPr>
          <w:sz w:val="24"/>
          <w:szCs w:val="24"/>
        </w:rPr>
        <w:tab/>
      </w:r>
      <w:r>
        <w:rPr>
          <w:rFonts w:hint="eastAsia"/>
          <w:sz w:val="24"/>
          <w:szCs w:val="24"/>
        </w:rPr>
        <w:t>20-</w:t>
      </w:r>
      <w:r>
        <w:rPr>
          <w:sz w:val="24"/>
          <w:szCs w:val="24"/>
        </w:rPr>
        <w:fldChar w:fldCharType="begin"/>
      </w:r>
      <w:r>
        <w:rPr>
          <w:sz w:val="24"/>
          <w:szCs w:val="24"/>
        </w:rPr>
        <w:instrText xml:space="preserve"> PAGEREF _Toc86655094 \h </w:instrText>
      </w:r>
      <w:r>
        <w:rPr>
          <w:sz w:val="24"/>
          <w:szCs w:val="24"/>
        </w:rPr>
        <w:fldChar w:fldCharType="separate"/>
      </w:r>
      <w:r>
        <w:rPr>
          <w:sz w:val="24"/>
          <w:szCs w:val="24"/>
        </w:rPr>
        <w:t>1</w:t>
      </w:r>
      <w:r>
        <w:rPr>
          <w:sz w:val="24"/>
          <w:szCs w:val="24"/>
        </w:rPr>
        <w:fldChar w:fldCharType="end"/>
      </w:r>
      <w:r>
        <w:rPr>
          <w:sz w:val="24"/>
          <w:szCs w:val="24"/>
        </w:rPr>
        <w:fldChar w:fldCharType="end"/>
      </w:r>
    </w:p>
    <w:p w14:paraId="5B2E9649">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"_Toc86655095" </w:instrText>
      </w:r>
      <w:r>
        <w:fldChar w:fldCharType="separate"/>
      </w:r>
      <w:r>
        <w:rPr>
          <w:rStyle w:val="31"/>
          <w:rFonts w:hint="eastAsia" w:cs="Arial"/>
          <w:sz w:val="24"/>
          <w:szCs w:val="24"/>
        </w:rPr>
        <w:t>第二十一部分</w:t>
      </w:r>
      <w:r>
        <w:rPr>
          <w:rStyle w:val="31"/>
          <w:rFonts w:hint="eastAsia"/>
          <w:sz w:val="24"/>
          <w:szCs w:val="24"/>
        </w:rPr>
        <w:t>基金合同的变更、终止与基金财产的清算</w:t>
      </w:r>
      <w:r>
        <w:rPr>
          <w:sz w:val="24"/>
          <w:szCs w:val="24"/>
        </w:rPr>
        <w:tab/>
      </w:r>
      <w:r>
        <w:rPr>
          <w:rFonts w:hint="eastAsia"/>
          <w:sz w:val="24"/>
          <w:szCs w:val="24"/>
        </w:rPr>
        <w:t>21-</w:t>
      </w:r>
      <w:r>
        <w:rPr>
          <w:sz w:val="24"/>
          <w:szCs w:val="24"/>
        </w:rPr>
        <w:fldChar w:fldCharType="begin"/>
      </w:r>
      <w:r>
        <w:rPr>
          <w:sz w:val="24"/>
          <w:szCs w:val="24"/>
        </w:rPr>
        <w:instrText xml:space="preserve"> PAGEREF _Toc86655095 \h </w:instrText>
      </w:r>
      <w:r>
        <w:rPr>
          <w:sz w:val="24"/>
          <w:szCs w:val="24"/>
        </w:rPr>
        <w:fldChar w:fldCharType="separate"/>
      </w:r>
      <w:r>
        <w:rPr>
          <w:sz w:val="24"/>
          <w:szCs w:val="24"/>
        </w:rPr>
        <w:t>1</w:t>
      </w:r>
      <w:r>
        <w:rPr>
          <w:sz w:val="24"/>
          <w:szCs w:val="24"/>
        </w:rPr>
        <w:fldChar w:fldCharType="end"/>
      </w:r>
      <w:r>
        <w:rPr>
          <w:sz w:val="24"/>
          <w:szCs w:val="24"/>
        </w:rPr>
        <w:fldChar w:fldCharType="end"/>
      </w:r>
    </w:p>
    <w:p w14:paraId="178F8F4E">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"_Toc86655096" </w:instrText>
      </w:r>
      <w:r>
        <w:fldChar w:fldCharType="separate"/>
      </w:r>
      <w:r>
        <w:rPr>
          <w:rStyle w:val="31"/>
          <w:rFonts w:hint="eastAsia" w:cs="Arial"/>
          <w:sz w:val="24"/>
          <w:szCs w:val="24"/>
        </w:rPr>
        <w:t>第二十二部分</w:t>
      </w:r>
      <w:r>
        <w:rPr>
          <w:rStyle w:val="31"/>
          <w:rFonts w:hint="eastAsia"/>
          <w:sz w:val="24"/>
          <w:szCs w:val="24"/>
        </w:rPr>
        <w:t>违约责任</w:t>
      </w:r>
      <w:r>
        <w:rPr>
          <w:sz w:val="24"/>
          <w:szCs w:val="24"/>
        </w:rPr>
        <w:tab/>
      </w:r>
      <w:r>
        <w:rPr>
          <w:rFonts w:hint="eastAsia"/>
          <w:sz w:val="24"/>
          <w:szCs w:val="24"/>
        </w:rPr>
        <w:t>22-</w:t>
      </w:r>
      <w:r>
        <w:rPr>
          <w:sz w:val="24"/>
          <w:szCs w:val="24"/>
        </w:rPr>
        <w:fldChar w:fldCharType="begin"/>
      </w:r>
      <w:r>
        <w:rPr>
          <w:sz w:val="24"/>
          <w:szCs w:val="24"/>
        </w:rPr>
        <w:instrText xml:space="preserve"> PAGEREF _Toc86655096 \h </w:instrText>
      </w:r>
      <w:r>
        <w:rPr>
          <w:sz w:val="24"/>
          <w:szCs w:val="24"/>
        </w:rPr>
        <w:fldChar w:fldCharType="separate"/>
      </w:r>
      <w:r>
        <w:rPr>
          <w:sz w:val="24"/>
          <w:szCs w:val="24"/>
        </w:rPr>
        <w:t>1</w:t>
      </w:r>
      <w:r>
        <w:rPr>
          <w:sz w:val="24"/>
          <w:szCs w:val="24"/>
        </w:rPr>
        <w:fldChar w:fldCharType="end"/>
      </w:r>
      <w:r>
        <w:rPr>
          <w:sz w:val="24"/>
          <w:szCs w:val="24"/>
        </w:rPr>
        <w:fldChar w:fldCharType="end"/>
      </w:r>
    </w:p>
    <w:p w14:paraId="7612241D">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"_Toc86655097" </w:instrText>
      </w:r>
      <w:r>
        <w:fldChar w:fldCharType="separate"/>
      </w:r>
      <w:r>
        <w:rPr>
          <w:rStyle w:val="31"/>
          <w:rFonts w:hint="eastAsia" w:cs="Arial"/>
          <w:sz w:val="24"/>
          <w:szCs w:val="24"/>
        </w:rPr>
        <w:t>第二十三部分</w:t>
      </w:r>
      <w:r>
        <w:rPr>
          <w:rStyle w:val="31"/>
          <w:rFonts w:hint="eastAsia"/>
          <w:sz w:val="24"/>
          <w:szCs w:val="24"/>
        </w:rPr>
        <w:t>争议的处理和适用的法律</w:t>
      </w:r>
      <w:r>
        <w:rPr>
          <w:sz w:val="24"/>
          <w:szCs w:val="24"/>
        </w:rPr>
        <w:tab/>
      </w:r>
      <w:r>
        <w:rPr>
          <w:rFonts w:hint="eastAsia"/>
          <w:sz w:val="24"/>
          <w:szCs w:val="24"/>
        </w:rPr>
        <w:t>23-</w:t>
      </w:r>
      <w:r>
        <w:rPr>
          <w:sz w:val="24"/>
          <w:szCs w:val="24"/>
        </w:rPr>
        <w:fldChar w:fldCharType="begin"/>
      </w:r>
      <w:r>
        <w:rPr>
          <w:sz w:val="24"/>
          <w:szCs w:val="24"/>
        </w:rPr>
        <w:instrText xml:space="preserve"> PAGEREF _Toc86655097 \h </w:instrText>
      </w:r>
      <w:r>
        <w:rPr>
          <w:sz w:val="24"/>
          <w:szCs w:val="24"/>
        </w:rPr>
        <w:fldChar w:fldCharType="separate"/>
      </w:r>
      <w:r>
        <w:rPr>
          <w:sz w:val="24"/>
          <w:szCs w:val="24"/>
        </w:rPr>
        <w:t>1</w:t>
      </w:r>
      <w:r>
        <w:rPr>
          <w:sz w:val="24"/>
          <w:szCs w:val="24"/>
        </w:rPr>
        <w:fldChar w:fldCharType="end"/>
      </w:r>
      <w:r>
        <w:rPr>
          <w:sz w:val="24"/>
          <w:szCs w:val="24"/>
        </w:rPr>
        <w:fldChar w:fldCharType="end"/>
      </w:r>
    </w:p>
    <w:p w14:paraId="5C0ACAFD">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"_Toc86655098" </w:instrText>
      </w:r>
      <w:r>
        <w:fldChar w:fldCharType="separate"/>
      </w:r>
      <w:r>
        <w:rPr>
          <w:rStyle w:val="31"/>
          <w:rFonts w:hint="eastAsia" w:cs="Arial"/>
          <w:sz w:val="24"/>
          <w:szCs w:val="24"/>
        </w:rPr>
        <w:t>第二十四部分</w:t>
      </w:r>
      <w:r>
        <w:rPr>
          <w:rStyle w:val="31"/>
          <w:rFonts w:hint="eastAsia"/>
          <w:sz w:val="24"/>
          <w:szCs w:val="24"/>
        </w:rPr>
        <w:t>基金合同的效力</w:t>
      </w:r>
      <w:r>
        <w:rPr>
          <w:sz w:val="24"/>
          <w:szCs w:val="24"/>
        </w:rPr>
        <w:tab/>
      </w:r>
      <w:r>
        <w:rPr>
          <w:rFonts w:hint="eastAsia"/>
          <w:sz w:val="24"/>
          <w:szCs w:val="24"/>
        </w:rPr>
        <w:t>24-</w:t>
      </w:r>
      <w:r>
        <w:rPr>
          <w:sz w:val="24"/>
          <w:szCs w:val="24"/>
        </w:rPr>
        <w:fldChar w:fldCharType="begin"/>
      </w:r>
      <w:r>
        <w:rPr>
          <w:sz w:val="24"/>
          <w:szCs w:val="24"/>
        </w:rPr>
        <w:instrText xml:space="preserve"> PAGEREF _Toc86655098 \h </w:instrText>
      </w:r>
      <w:r>
        <w:rPr>
          <w:sz w:val="24"/>
          <w:szCs w:val="24"/>
        </w:rPr>
        <w:fldChar w:fldCharType="separate"/>
      </w:r>
      <w:r>
        <w:rPr>
          <w:sz w:val="24"/>
          <w:szCs w:val="24"/>
        </w:rPr>
        <w:t>1</w:t>
      </w:r>
      <w:r>
        <w:rPr>
          <w:sz w:val="24"/>
          <w:szCs w:val="24"/>
        </w:rPr>
        <w:fldChar w:fldCharType="end"/>
      </w:r>
      <w:r>
        <w:rPr>
          <w:sz w:val="24"/>
          <w:szCs w:val="24"/>
        </w:rPr>
        <w:fldChar w:fldCharType="end"/>
      </w:r>
    </w:p>
    <w:p w14:paraId="529490A1">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"_Toc86655099" </w:instrText>
      </w:r>
      <w:r>
        <w:fldChar w:fldCharType="separate"/>
      </w:r>
      <w:r>
        <w:rPr>
          <w:rStyle w:val="31"/>
          <w:rFonts w:hint="eastAsia" w:cs="Arial"/>
          <w:sz w:val="24"/>
          <w:szCs w:val="24"/>
        </w:rPr>
        <w:t>第二十五部分</w:t>
      </w:r>
      <w:r>
        <w:rPr>
          <w:rStyle w:val="31"/>
          <w:rFonts w:hint="eastAsia"/>
          <w:sz w:val="24"/>
          <w:szCs w:val="24"/>
        </w:rPr>
        <w:t>其他事项</w:t>
      </w:r>
      <w:r>
        <w:rPr>
          <w:sz w:val="24"/>
          <w:szCs w:val="24"/>
        </w:rPr>
        <w:tab/>
      </w:r>
      <w:r>
        <w:rPr>
          <w:rFonts w:hint="eastAsia"/>
          <w:sz w:val="24"/>
          <w:szCs w:val="24"/>
        </w:rPr>
        <w:t>25-</w:t>
      </w:r>
      <w:r>
        <w:rPr>
          <w:sz w:val="24"/>
          <w:szCs w:val="24"/>
        </w:rPr>
        <w:fldChar w:fldCharType="begin"/>
      </w:r>
      <w:r>
        <w:rPr>
          <w:sz w:val="24"/>
          <w:szCs w:val="24"/>
        </w:rPr>
        <w:instrText xml:space="preserve"> PAGEREF _Toc86655099 \h </w:instrText>
      </w:r>
      <w:r>
        <w:rPr>
          <w:sz w:val="24"/>
          <w:szCs w:val="24"/>
        </w:rPr>
        <w:fldChar w:fldCharType="separate"/>
      </w:r>
      <w:r>
        <w:rPr>
          <w:sz w:val="24"/>
          <w:szCs w:val="24"/>
        </w:rPr>
        <w:t>1</w:t>
      </w:r>
      <w:r>
        <w:rPr>
          <w:sz w:val="24"/>
          <w:szCs w:val="24"/>
        </w:rPr>
        <w:fldChar w:fldCharType="end"/>
      </w:r>
      <w:r>
        <w:rPr>
          <w:sz w:val="24"/>
          <w:szCs w:val="24"/>
        </w:rPr>
        <w:fldChar w:fldCharType="end"/>
      </w:r>
    </w:p>
    <w:p w14:paraId="2B416EBA">
      <w:pPr>
        <w:pStyle w:val="20"/>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"_Toc86655100" </w:instrText>
      </w:r>
      <w:r>
        <w:fldChar w:fldCharType="separate"/>
      </w:r>
      <w:r>
        <w:rPr>
          <w:rStyle w:val="31"/>
          <w:rFonts w:hint="eastAsia"/>
          <w:sz w:val="24"/>
          <w:szCs w:val="24"/>
        </w:rPr>
        <w:t>第二十六部分基金合同摘要</w:t>
      </w:r>
      <w:r>
        <w:rPr>
          <w:sz w:val="24"/>
          <w:szCs w:val="24"/>
        </w:rPr>
        <w:tab/>
      </w:r>
      <w:r>
        <w:rPr>
          <w:rFonts w:hint="eastAsia"/>
          <w:sz w:val="24"/>
          <w:szCs w:val="24"/>
        </w:rPr>
        <w:t>26-</w:t>
      </w:r>
      <w:r>
        <w:rPr>
          <w:sz w:val="24"/>
          <w:szCs w:val="24"/>
        </w:rPr>
        <w:fldChar w:fldCharType="begin"/>
      </w:r>
      <w:r>
        <w:rPr>
          <w:sz w:val="24"/>
          <w:szCs w:val="24"/>
        </w:rPr>
        <w:instrText xml:space="preserve"> PAGEREF _Toc86655100 \h </w:instrText>
      </w:r>
      <w:r>
        <w:rPr>
          <w:sz w:val="24"/>
          <w:szCs w:val="24"/>
        </w:rPr>
        <w:fldChar w:fldCharType="separate"/>
      </w:r>
      <w:r>
        <w:rPr>
          <w:sz w:val="24"/>
          <w:szCs w:val="24"/>
        </w:rPr>
        <w:t>1</w:t>
      </w:r>
      <w:r>
        <w:rPr>
          <w:sz w:val="24"/>
          <w:szCs w:val="24"/>
        </w:rPr>
        <w:fldChar w:fldCharType="end"/>
      </w:r>
      <w:r>
        <w:rPr>
          <w:sz w:val="24"/>
          <w:szCs w:val="24"/>
        </w:rPr>
        <w:fldChar w:fldCharType="end"/>
      </w:r>
    </w:p>
    <w:p w14:paraId="3FB6B3E3">
      <w:pPr>
        <w:pStyle w:val="2"/>
        <w:rPr>
          <w:kern w:val="2"/>
          <w:szCs w:val="24"/>
        </w:rPr>
        <w:sectPr>
          <w:headerReference r:id="rId8" w:type="default"/>
          <w:pgSz w:w="11906" w:h="16838"/>
          <w:pgMar w:top="1440" w:right="1800" w:bottom="1440" w:left="1800" w:header="851" w:footer="992" w:gutter="0"/>
          <w:cols w:space="720" w:num="1"/>
          <w:docGrid w:type="lines" w:linePitch="312" w:charSpace="0"/>
        </w:sectPr>
      </w:pPr>
      <w:r>
        <w:rPr>
          <w:szCs w:val="24"/>
        </w:rPr>
        <w:fldChar w:fldCharType="end"/>
      </w:r>
    </w:p>
    <w:bookmarkEnd w:id="20"/>
    <w:p w14:paraId="140002AA">
      <w:pPr>
        <w:pStyle w:val="2"/>
        <w:rPr>
          <w:szCs w:val="24"/>
        </w:rPr>
      </w:pPr>
      <w:bookmarkStart w:id="38" w:name="CTS_4f19456cd08f49bd8fd8446605e1288e"/>
      <w:bookmarkEnd w:id="38"/>
      <w:bookmarkStart w:id="39" w:name="_Toc86655075"/>
      <w:bookmarkStart w:id="40" w:name="_Toc90742685"/>
      <w:bookmarkStart w:id="41" w:name="_Toc90742387"/>
      <w:bookmarkStart w:id="42" w:name="_Toc90742318"/>
      <w:bookmarkStart w:id="43" w:name="CLAUSE_aab1dd75ce6642719ce7dff545bd31fc"/>
      <w:r>
        <w:rPr>
          <w:rFonts w:hint="eastAsia"/>
          <w:szCs w:val="24"/>
        </w:rPr>
        <w:t xml:space="preserve">第一部分 </w:t>
      </w:r>
      <w:bookmarkStart w:id="44" w:name="CTS_aab1dd75ce6642719ce7dff545bd31fc"/>
      <w:bookmarkEnd w:id="44"/>
      <w:bookmarkStart w:id="505" w:name="_GoBack"/>
      <w:bookmarkEnd w:id="505"/>
      <w:r>
        <w:rPr>
          <w:szCs w:val="24"/>
        </w:rPr>
        <w:t>前言</w:t>
      </w:r>
      <w:bookmarkEnd w:id="21"/>
      <w:bookmarkEnd w:id="22"/>
      <w:bookmarkEnd w:id="23"/>
      <w:bookmarkEnd w:id="24"/>
      <w:bookmarkEnd w:id="25"/>
      <w:bookmarkEnd w:id="26"/>
      <w:bookmarkEnd w:id="27"/>
      <w:bookmarkEnd w:id="28"/>
      <w:bookmarkEnd w:id="29"/>
      <w:bookmarkEnd w:id="30"/>
      <w:bookmarkEnd w:id="31"/>
      <w:bookmarkEnd w:id="32"/>
      <w:bookmarkEnd w:id="33"/>
      <w:bookmarkEnd w:id="39"/>
      <w:bookmarkEnd w:id="40"/>
      <w:bookmarkEnd w:id="41"/>
      <w:bookmarkEnd w:id="42"/>
    </w:p>
    <w:bookmarkEnd w:id="34"/>
    <w:bookmarkEnd w:id="35"/>
    <w:bookmarkEnd w:id="36"/>
    <w:p w14:paraId="418E2B5F">
      <w:pPr>
        <w:rPr>
          <w:rFonts w:asciiTheme="minorEastAsia" w:hAnsiTheme="minorEastAsia" w:eastAsiaTheme="minorEastAsia"/>
          <w:bCs/>
          <w:sz w:val="24"/>
          <w:szCs w:val="24"/>
        </w:rPr>
      </w:pPr>
      <w:bookmarkStart w:id="45" w:name="_Toc139991731"/>
      <w:bookmarkStart w:id="46" w:name="_Toc258829399"/>
    </w:p>
    <w:bookmarkEnd w:id="45"/>
    <w:p w14:paraId="67714C8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一、订立本基金合同的目的、依据和原则</w:t>
      </w:r>
    </w:p>
    <w:p w14:paraId="6E85018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、订立本基金合同的目的是保护投资人合法权益，明确基金合同当事人的权利义务，规范基金运作。</w:t>
      </w:r>
    </w:p>
    <w:p w14:paraId="60FDBF4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、订立本基金合同的依据是《中华人民共和国民法典》、</w:t>
      </w:r>
      <w:bookmarkStart w:id="47" w:name="_Hlk37984380"/>
      <w:r>
        <w:rPr>
          <w:rFonts w:hint="eastAsia" w:asciiTheme="minorEastAsia" w:hAnsiTheme="minorEastAsia" w:eastAsiaTheme="minorEastAsia"/>
          <w:color w:val="0C0C0C" w:themeColor="text1" w:themeTint="F2"/>
          <w:kern w:val="0"/>
          <w:sz w:val="24"/>
          <w:szCs w:val="24"/>
        </w:rPr>
        <w:t>《中华人民共和国证券法》(以下简称“《证券法》”)、</w:t>
      </w:r>
      <w:bookmarkEnd w:id="47"/>
      <w:r>
        <w:rPr>
          <w:rFonts w:hint="eastAsia" w:asciiTheme="minorEastAsia" w:hAnsiTheme="minorEastAsia" w:eastAsiaTheme="minorEastAsia"/>
          <w:color w:val="0C0C0C" w:themeColor="text1" w:themeTint="F2"/>
          <w:kern w:val="0"/>
          <w:sz w:val="24"/>
          <w:szCs w:val="24"/>
        </w:rPr>
        <w:t>《中华人民共和国证券投资基金法》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以下简称</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《基金法》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、《公开募集证券投资基金运作管理办法》(以下简称</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《运作办法》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、《公开募集证券投资基金销售机构监督管理办法》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以下简称</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《销售办法》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、《公开募集证券投资基金信息披露管理办法》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以下简称</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《信息披露办法》</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公开募集开放式证券投资基金流动性风险管理规定》（以下简称“《流动性风险管理规定》”）、《公开募集证券投资基金运作指引第3号——指数基金指引》（以下简称“《指数基金指引》”）和其他有关法律法规。</w:t>
      </w:r>
    </w:p>
    <w:p w14:paraId="4CBAC8B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、订立本基金合同的原则是平等自愿、诚实信用、充分保护投资人合法权益。</w:t>
      </w:r>
    </w:p>
    <w:p w14:paraId="240EE97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68111CC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4FDBD9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三、</w:t>
      </w:r>
      <w:r>
        <w:rPr>
          <w:rFonts w:hint="eastAsia" w:cs="Arial" w:asciiTheme="minorEastAsia" w:hAnsiTheme="minorEastAsia" w:eastAsiaTheme="minorEastAsia"/>
          <w:color w:val="0C0C0C" w:themeColor="text1" w:themeTint="F2"/>
          <w:kern w:val="0"/>
          <w:sz w:val="24"/>
          <w:szCs w:val="24"/>
        </w:rPr>
        <w:t>博时国证大盘成长交易型开放式指数证券投资基金（以下简称“本基金”）</w:t>
      </w:r>
      <w:r>
        <w:rPr>
          <w:rFonts w:hint="eastAsia" w:asciiTheme="minorEastAsia" w:hAnsiTheme="minorEastAsia" w:eastAsiaTheme="minorEastAsia"/>
          <w:color w:val="0C0C0C" w:themeColor="text1" w:themeTint="F2"/>
          <w:kern w:val="0"/>
          <w:sz w:val="24"/>
          <w:szCs w:val="24"/>
        </w:rPr>
        <w:t>由基金管理人依照《基金法》、基金合同及其他有关规定募集，并经中国证券监督管理委员会</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以下简称</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中国证监会</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注册。</w:t>
      </w:r>
    </w:p>
    <w:p w14:paraId="405B33D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中国证监会对本基金募集的注册，并不表明其对本基金的投资价值、市场前景和收益做出实质性判断或保证，也不表明投资于本基金没有风险。</w:t>
      </w:r>
    </w:p>
    <w:p w14:paraId="6D49324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基金管理人依照恪尽职守、诚实信用、谨慎勤勉的原则管理和运用基金财产，但不保证投资于本基金一定盈利，也不保证最低收益。</w:t>
      </w:r>
    </w:p>
    <w:p w14:paraId="15E8B5BA">
      <w:pPr>
        <w:adjustRightInd w:val="0"/>
        <w:snapToGrid w:val="0"/>
        <w:spacing w:line="360" w:lineRule="auto"/>
        <w:ind w:firstLine="480" w:firstLineChars="200"/>
        <w:rPr>
          <w:rFonts w:cs="Arial" w:asciiTheme="minorEastAsia" w:hAnsiTheme="minorEastAsia" w:eastAsiaTheme="minorEastAsia"/>
          <w:color w:val="0C0C0C" w:themeColor="text1" w:themeTint="F2"/>
          <w:kern w:val="0"/>
          <w:sz w:val="24"/>
          <w:szCs w:val="24"/>
        </w:rPr>
      </w:pPr>
      <w:r>
        <w:rPr>
          <w:rFonts w:hint="eastAsia" w:cs="Arial" w:asciiTheme="minorEastAsia" w:hAnsiTheme="minorEastAsia" w:eastAsiaTheme="minorEastAsia"/>
          <w:color w:val="0C0C0C" w:themeColor="text1" w:themeTint="F2"/>
          <w:kern w:val="0"/>
          <w:sz w:val="24"/>
          <w:szCs w:val="24"/>
        </w:rPr>
        <w:t>投资者应当认真阅读基金招募说明书、基金合同、基金产品资料概要等信息披露文件，自主判断基金的投资价值，自主做出投资决策，自行承担投资风险。</w:t>
      </w:r>
    </w:p>
    <w:p w14:paraId="52B63FA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cs="Arial" w:asciiTheme="minorEastAsia" w:hAnsiTheme="minorEastAsia" w:eastAsiaTheme="minorEastAsia"/>
          <w:color w:val="0C0C0C" w:themeColor="text1" w:themeTint="F2"/>
          <w:kern w:val="0"/>
          <w:sz w:val="24"/>
          <w:szCs w:val="24"/>
        </w:rPr>
        <w:t>四、</w:t>
      </w:r>
      <w:r>
        <w:rPr>
          <w:rFonts w:hint="eastAsia" w:asciiTheme="minorEastAsia" w:hAnsiTheme="minorEastAsia" w:eastAsiaTheme="minorEastAsia"/>
          <w:color w:val="0C0C0C" w:themeColor="text1" w:themeTint="F2"/>
          <w:kern w:val="0"/>
          <w:sz w:val="24"/>
          <w:szCs w:val="24"/>
        </w:rPr>
        <w:t>基金管理人、基金托管人在本基金合同之外披露涉及本基金的信息，其内容涉及界定基金合同当事人之间权利义务关系的，如与基金合同有冲突，以基金合同为准。</w:t>
      </w:r>
    </w:p>
    <w:p w14:paraId="46F227CE">
      <w:pPr>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五、本基金按照中国法律法规成立并运作，若基金合同的内容与届时有效的法律法规的强制性规定不一致，应当以届时有效的法律法规的规定为准。</w:t>
      </w:r>
    </w:p>
    <w:p w14:paraId="7EC709FF">
      <w:pPr>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六、本基金为指数基金，投资者投资于本基金面临跟踪误差控制未达约定目标、指数编制机构停止服务、成份股停牌或退市等潜在风险，具体风险详见本基金招募说明书。</w:t>
      </w:r>
    </w:p>
    <w:p w14:paraId="7C9CF230">
      <w:pPr>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七、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1D4E86F7">
      <w:pPr>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八、本基金的投资范围包括存托凭证，除与其他仅投资于</w:t>
      </w:r>
      <w:r>
        <w:rPr>
          <w:rFonts w:asciiTheme="minorEastAsia" w:hAnsiTheme="minorEastAsia" w:eastAsiaTheme="minorEastAsia"/>
          <w:color w:val="0C0C0C" w:themeColor="text1" w:themeTint="F2"/>
          <w:kern w:val="0"/>
          <w:sz w:val="24"/>
          <w:szCs w:val="24"/>
        </w:rPr>
        <w:t>境内</w:t>
      </w:r>
      <w:r>
        <w:rPr>
          <w:rFonts w:hint="eastAsia" w:asciiTheme="minorEastAsia" w:hAnsiTheme="minorEastAsia" w:eastAsiaTheme="minorEastAsia"/>
          <w:color w:val="0C0C0C" w:themeColor="text1" w:themeTint="F2"/>
          <w:kern w:val="0"/>
          <w:sz w:val="24"/>
          <w:szCs w:val="24"/>
        </w:rPr>
        <w:t>市场股票的基金所面临的共同风险外，本基金还将面临中国存托凭证价格大幅波动甚至出现较大亏损的风险，以及与中国存托凭证发行机制相关的风险。</w:t>
      </w:r>
    </w:p>
    <w:bookmarkEnd w:id="43"/>
    <w:p w14:paraId="4F013214">
      <w:pPr>
        <w:adjustRightInd w:val="0"/>
        <w:snapToGrid w:val="0"/>
        <w:spacing w:line="360" w:lineRule="auto"/>
        <w:rPr>
          <w:rFonts w:cs="Arial" w:asciiTheme="minorEastAsia" w:hAnsiTheme="minorEastAsia" w:eastAsiaTheme="minorEastAsia"/>
          <w:color w:val="0C0C0C" w:themeColor="text1" w:themeTint="F2"/>
          <w:sz w:val="24"/>
          <w:szCs w:val="24"/>
        </w:rPr>
        <w:sectPr>
          <w:headerReference r:id="rId9" w:type="default"/>
          <w:footerReference r:id="rId10" w:type="default"/>
          <w:pgSz w:w="11906" w:h="16838"/>
          <w:pgMar w:top="1440" w:right="1800" w:bottom="1440" w:left="1800" w:header="851" w:footer="992" w:gutter="0"/>
          <w:pgNumType w:start="1"/>
          <w:cols w:space="425" w:num="1"/>
          <w:docGrid w:type="lines" w:linePitch="312" w:charSpace="0"/>
        </w:sectPr>
      </w:pPr>
      <w:bookmarkStart w:id="48" w:name="_Toc21301"/>
      <w:bookmarkStart w:id="49" w:name="_Toc819"/>
      <w:bookmarkStart w:id="50" w:name="_Toc3224"/>
      <w:bookmarkStart w:id="51" w:name="_Toc22864"/>
      <w:bookmarkStart w:id="52" w:name="_Toc24860"/>
      <w:bookmarkStart w:id="53" w:name="_Toc6617"/>
      <w:bookmarkStart w:id="54" w:name="_Toc19592"/>
      <w:bookmarkStart w:id="55" w:name="_Toc13020"/>
      <w:bookmarkStart w:id="56" w:name="_Toc15067"/>
      <w:bookmarkStart w:id="57" w:name="_Toc2465"/>
      <w:bookmarkStart w:id="58" w:name="_Toc31551"/>
    </w:p>
    <w:p w14:paraId="65C55184">
      <w:pPr>
        <w:adjustRightInd w:val="0"/>
        <w:snapToGrid w:val="0"/>
        <w:spacing w:line="360" w:lineRule="auto"/>
        <w:jc w:val="center"/>
        <w:rPr>
          <w:rFonts w:cs="Arial" w:asciiTheme="minorEastAsia" w:hAnsiTheme="minorEastAsia" w:eastAsiaTheme="minorEastAsia"/>
          <w:color w:val="0C0C0C" w:themeColor="text1" w:themeTint="F2"/>
          <w:sz w:val="24"/>
          <w:szCs w:val="24"/>
        </w:rPr>
      </w:pPr>
      <w:bookmarkStart w:id="59" w:name="CTS_eee538634e0f48d7bfcd1e419f7e5629"/>
      <w:bookmarkEnd w:id="59"/>
      <w:bookmarkStart w:id="60" w:name="CLAUSE_eee538634e0f48d7bfcd1e419f7e5629"/>
    </w:p>
    <w:p w14:paraId="72518F2B">
      <w:pPr>
        <w:pStyle w:val="2"/>
        <w:rPr>
          <w:szCs w:val="24"/>
        </w:rPr>
      </w:pPr>
      <w:bookmarkStart w:id="61" w:name="_Toc90742388"/>
      <w:bookmarkStart w:id="62" w:name="_Toc90742686"/>
      <w:bookmarkStart w:id="63" w:name="_Toc86655076"/>
      <w:bookmarkStart w:id="64" w:name="_Toc90742319"/>
      <w:r>
        <w:rPr>
          <w:rFonts w:hint="eastAsia"/>
          <w:szCs w:val="24"/>
        </w:rPr>
        <w:t xml:space="preserve">第二部分 </w:t>
      </w:r>
      <w:r>
        <w:rPr>
          <w:szCs w:val="24"/>
        </w:rPr>
        <w:t>释义</w:t>
      </w:r>
      <w:bookmarkEnd w:id="37"/>
      <w:bookmarkEnd w:id="46"/>
      <w:bookmarkEnd w:id="48"/>
      <w:bookmarkEnd w:id="49"/>
      <w:bookmarkEnd w:id="50"/>
      <w:bookmarkEnd w:id="51"/>
      <w:bookmarkEnd w:id="52"/>
      <w:bookmarkEnd w:id="53"/>
      <w:bookmarkEnd w:id="54"/>
      <w:bookmarkEnd w:id="55"/>
      <w:bookmarkEnd w:id="56"/>
      <w:bookmarkEnd w:id="57"/>
      <w:bookmarkEnd w:id="58"/>
      <w:bookmarkEnd w:id="61"/>
      <w:bookmarkEnd w:id="62"/>
      <w:bookmarkEnd w:id="63"/>
      <w:bookmarkEnd w:id="64"/>
    </w:p>
    <w:p w14:paraId="648E7DE3">
      <w:pPr>
        <w:adjustRightInd w:val="0"/>
        <w:snapToGrid w:val="0"/>
        <w:spacing w:line="360" w:lineRule="auto"/>
        <w:rPr>
          <w:rFonts w:asciiTheme="minorEastAsia" w:hAnsiTheme="minorEastAsia" w:eastAsiaTheme="minorEastAsia"/>
          <w:bCs/>
          <w:sz w:val="24"/>
          <w:szCs w:val="24"/>
        </w:rPr>
      </w:pPr>
    </w:p>
    <w:p w14:paraId="65478ED7">
      <w:pPr>
        <w:adjustRightInd w:val="0"/>
        <w:snapToGrid w:val="0"/>
        <w:spacing w:line="360" w:lineRule="auto"/>
        <w:ind w:firstLine="480" w:firstLineChars="200"/>
        <w:rPr>
          <w:rFonts w:asciiTheme="minorEastAsia" w:hAnsiTheme="minorEastAsia" w:eastAsiaTheme="minorEastAsia"/>
          <w:color w:val="0C0C0C" w:themeColor="text1" w:themeTint="F2"/>
          <w:spacing w:val="8"/>
          <w:sz w:val="24"/>
          <w:szCs w:val="24"/>
        </w:rPr>
      </w:pPr>
      <w:r>
        <w:rPr>
          <w:rFonts w:hint="eastAsia" w:asciiTheme="minorEastAsia" w:hAnsiTheme="minorEastAsia" w:eastAsiaTheme="minorEastAsia"/>
          <w:color w:val="0C0C0C" w:themeColor="text1" w:themeTint="F2"/>
          <w:sz w:val="24"/>
          <w:szCs w:val="24"/>
        </w:rPr>
        <w:t>在本基金合同中，除非文意另有所指，下列词语或简称具有如下含义：</w:t>
      </w:r>
    </w:p>
    <w:p w14:paraId="7FE42DFB">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基金或本基金：指</w:t>
      </w:r>
      <w:r>
        <w:rPr>
          <w:rFonts w:hint="eastAsia" w:cs="Arial" w:asciiTheme="minorEastAsia" w:hAnsiTheme="minorEastAsia" w:eastAsiaTheme="minorEastAsia"/>
          <w:bCs/>
          <w:color w:val="0C0C0C" w:themeColor="text1" w:themeTint="F2"/>
          <w:sz w:val="24"/>
          <w:szCs w:val="24"/>
        </w:rPr>
        <w:t>博时国证大盘成长交易型开放式指数证券投资基金</w:t>
      </w:r>
    </w:p>
    <w:p w14:paraId="0A2831D0">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基金管理人：指</w:t>
      </w:r>
      <w:r>
        <w:rPr>
          <w:rFonts w:hint="eastAsia" w:cs="Arial" w:asciiTheme="minorEastAsia" w:hAnsiTheme="minorEastAsia" w:eastAsiaTheme="minorEastAsia"/>
          <w:bCs/>
          <w:color w:val="0C0C0C" w:themeColor="text1" w:themeTint="F2"/>
          <w:sz w:val="24"/>
          <w:szCs w:val="24"/>
        </w:rPr>
        <w:t>博时基金管理有限公司</w:t>
      </w:r>
    </w:p>
    <w:p w14:paraId="08FD4458">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基金托管人：指</w:t>
      </w:r>
      <w:r>
        <w:rPr>
          <w:rFonts w:hint="eastAsia" w:cs="Arial" w:asciiTheme="minorEastAsia" w:hAnsiTheme="minorEastAsia" w:eastAsiaTheme="minorEastAsia"/>
          <w:bCs/>
          <w:color w:val="0C0C0C" w:themeColor="text1" w:themeTint="F2"/>
          <w:sz w:val="24"/>
          <w:szCs w:val="24"/>
        </w:rPr>
        <w:t>国泰海通证券股份有限公司</w:t>
      </w:r>
    </w:p>
    <w:p w14:paraId="1A8B2F07">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基金合同或本基金合同：指</w:t>
      </w:r>
      <w:r>
        <w:rPr>
          <w:rFonts w:hint="eastAsia" w:cs="Arial" w:asciiTheme="minorEastAsia" w:hAnsiTheme="minorEastAsia" w:eastAsiaTheme="minorEastAsia"/>
          <w:bCs/>
          <w:color w:val="0C0C0C" w:themeColor="text1" w:themeTint="F2"/>
          <w:sz w:val="24"/>
          <w:szCs w:val="24"/>
        </w:rPr>
        <w:t>《博时国证大盘成长交易型开放式指数证券投资基金基金合同》</w:t>
      </w:r>
      <w:r>
        <w:rPr>
          <w:rFonts w:hint="eastAsia" w:asciiTheme="minorEastAsia" w:hAnsiTheme="minorEastAsia" w:eastAsiaTheme="minorEastAsia"/>
          <w:color w:val="0C0C0C" w:themeColor="text1" w:themeTint="F2"/>
          <w:sz w:val="24"/>
          <w:szCs w:val="24"/>
        </w:rPr>
        <w:t>及对本基金合同的任何有效修订和补充</w:t>
      </w:r>
    </w:p>
    <w:p w14:paraId="2F2DEDE4">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托管协议：指基金管理人与基金托管人就本基金签订之</w:t>
      </w:r>
      <w:r>
        <w:rPr>
          <w:rFonts w:hint="eastAsia" w:cs="Arial" w:asciiTheme="minorEastAsia" w:hAnsiTheme="minorEastAsia" w:eastAsiaTheme="minorEastAsia"/>
          <w:bCs/>
          <w:color w:val="0C0C0C" w:themeColor="text1" w:themeTint="F2"/>
          <w:sz w:val="24"/>
          <w:szCs w:val="24"/>
        </w:rPr>
        <w:t>《博时国证大盘成长交易型开放式指数证券投资基金托管协议》</w:t>
      </w:r>
      <w:r>
        <w:rPr>
          <w:rFonts w:hint="eastAsia" w:asciiTheme="minorEastAsia" w:hAnsiTheme="minorEastAsia" w:eastAsiaTheme="minorEastAsia"/>
          <w:color w:val="0C0C0C" w:themeColor="text1" w:themeTint="F2"/>
          <w:sz w:val="24"/>
          <w:szCs w:val="24"/>
        </w:rPr>
        <w:t>及对该托管协议的任何有效修订和补充</w:t>
      </w:r>
    </w:p>
    <w:p w14:paraId="00431DB9">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招募说明书：指</w:t>
      </w:r>
      <w:r>
        <w:rPr>
          <w:rFonts w:hint="eastAsia" w:cs="Arial" w:asciiTheme="minorEastAsia" w:hAnsiTheme="minorEastAsia" w:eastAsiaTheme="minorEastAsia"/>
          <w:bCs/>
          <w:color w:val="0C0C0C" w:themeColor="text1" w:themeTint="F2"/>
          <w:sz w:val="24"/>
          <w:szCs w:val="24"/>
        </w:rPr>
        <w:t>《博时国证大盘成长交易型开放式指数证券投资基金招募说明书》</w:t>
      </w:r>
      <w:r>
        <w:rPr>
          <w:rFonts w:hint="eastAsia" w:asciiTheme="minorEastAsia" w:hAnsiTheme="minorEastAsia" w:eastAsiaTheme="minorEastAsia"/>
          <w:color w:val="0C0C0C" w:themeColor="text1" w:themeTint="F2"/>
          <w:sz w:val="24"/>
          <w:szCs w:val="24"/>
        </w:rPr>
        <w:t>及其更新</w:t>
      </w:r>
    </w:p>
    <w:p w14:paraId="7B26A763">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基金产品资料概要：指《博时国证大盘成长交易型开放式指数证券投资基金基金产品资料概要》及其更新</w:t>
      </w:r>
    </w:p>
    <w:p w14:paraId="4ECCFE17">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基金份额发售公告：指</w:t>
      </w:r>
      <w:r>
        <w:rPr>
          <w:rFonts w:hint="eastAsia" w:cs="Arial" w:asciiTheme="minorEastAsia" w:hAnsiTheme="minorEastAsia" w:eastAsiaTheme="minorEastAsia"/>
          <w:bCs/>
          <w:color w:val="0C0C0C" w:themeColor="text1" w:themeTint="F2"/>
          <w:sz w:val="24"/>
          <w:szCs w:val="24"/>
        </w:rPr>
        <w:t>《博时国证大盘成长交易型开放式指数证券投资基金基金份额发售公告》</w:t>
      </w:r>
    </w:p>
    <w:p w14:paraId="4B04F301">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上市交易公告书：指《博时国证大盘成长交易型开放式指数证券投资基金上市交易公告书》</w:t>
      </w:r>
    </w:p>
    <w:p w14:paraId="7C6F60AE">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asciiTheme="minorEastAsia" w:hAnsiTheme="minorEastAsia" w:eastAsiaTheme="minorEastAsia"/>
          <w:color w:val="0C0C0C" w:themeColor="text1" w:themeTint="F2"/>
          <w:sz w:val="24"/>
          <w:szCs w:val="24"/>
        </w:rPr>
        <w:t>法律法规：指中国现行有效并公布实施的法律、行政法规、规范性文件、司法解释、行政规章以及其他对基金合同当事人有约束力的决定、决议、通知等</w:t>
      </w:r>
    </w:p>
    <w:p w14:paraId="77A765BB">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《基金法》：</w:t>
      </w:r>
      <w:r>
        <w:rPr>
          <w:rFonts w:hint="eastAsia" w:cs="Arial" w:asciiTheme="minorEastAsia" w:hAnsiTheme="minorEastAsia" w:eastAsiaTheme="minorEastAsia"/>
          <w:bCs/>
          <w:color w:val="0C0C0C" w:themeColor="text1" w:themeTint="F2"/>
          <w:sz w:val="24"/>
          <w:szCs w:val="24"/>
        </w:rPr>
        <w:t>指</w:t>
      </w:r>
      <w:r>
        <w:rPr>
          <w:rFonts w:asciiTheme="minorEastAsia" w:hAnsiTheme="minorEastAsia" w:eastAsiaTheme="minorEastAsia"/>
          <w:color w:val="0C0C0C" w:themeColor="text1" w:themeTint="F2"/>
          <w:sz w:val="24"/>
          <w:szCs w:val="24"/>
        </w:rPr>
        <w:t>2003</w:t>
      </w:r>
      <w:r>
        <w:rPr>
          <w:rFonts w:hint="eastAsia" w:asciiTheme="minorEastAsia" w:hAnsiTheme="minorEastAsia" w:eastAsiaTheme="minorEastAsia"/>
          <w:color w:val="0C0C0C" w:themeColor="text1" w:themeTint="F2"/>
          <w:sz w:val="24"/>
          <w:szCs w:val="24"/>
        </w:rPr>
        <w:t>年</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月</w:t>
      </w:r>
      <w:r>
        <w:rPr>
          <w:rFonts w:asciiTheme="minorEastAsia" w:hAnsiTheme="minorEastAsia" w:eastAsiaTheme="minorEastAsia"/>
          <w:color w:val="0C0C0C" w:themeColor="text1" w:themeTint="F2"/>
          <w:sz w:val="24"/>
          <w:szCs w:val="24"/>
        </w:rPr>
        <w:t>28</w:t>
      </w:r>
      <w:r>
        <w:rPr>
          <w:rFonts w:hint="eastAsia" w:asciiTheme="minorEastAsia" w:hAnsiTheme="minorEastAsia" w:eastAsiaTheme="minorEastAsia"/>
          <w:color w:val="0C0C0C" w:themeColor="text1" w:themeTint="F2"/>
          <w:sz w:val="24"/>
          <w:szCs w:val="24"/>
        </w:rPr>
        <w:t>日经第十届全国人民代表大会常务委员会第五次会议通过，</w:t>
      </w:r>
      <w:r>
        <w:rPr>
          <w:rFonts w:hint="eastAsia" w:cs="Arial" w:asciiTheme="minorEastAsia" w:hAnsiTheme="minorEastAsia" w:eastAsiaTheme="minorEastAsia"/>
          <w:bCs/>
          <w:color w:val="0C0C0C" w:themeColor="text1" w:themeTint="F2"/>
          <w:sz w:val="24"/>
          <w:szCs w:val="24"/>
        </w:rPr>
        <w:t>经</w:t>
      </w:r>
      <w:r>
        <w:rPr>
          <w:rFonts w:asciiTheme="minorEastAsia" w:hAnsiTheme="minorEastAsia" w:eastAsiaTheme="minorEastAsia"/>
          <w:color w:val="0C0C0C" w:themeColor="text1" w:themeTint="F2"/>
          <w:sz w:val="24"/>
          <w:szCs w:val="24"/>
        </w:rPr>
        <w:t>2012</w:t>
      </w:r>
      <w:r>
        <w:rPr>
          <w:rFonts w:hint="eastAsia" w:asciiTheme="minorEastAsia" w:hAnsiTheme="minorEastAsia" w:eastAsiaTheme="minorEastAsia"/>
          <w:color w:val="0C0C0C" w:themeColor="text1" w:themeTint="F2"/>
          <w:sz w:val="24"/>
          <w:szCs w:val="24"/>
        </w:rPr>
        <w:t>年</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月</w:t>
      </w:r>
      <w:r>
        <w:rPr>
          <w:rFonts w:asciiTheme="minorEastAsia" w:hAnsiTheme="minorEastAsia" w:eastAsiaTheme="minorEastAsia"/>
          <w:color w:val="0C0C0C" w:themeColor="text1" w:themeTint="F2"/>
          <w:sz w:val="24"/>
          <w:szCs w:val="24"/>
        </w:rPr>
        <w:t>28</w:t>
      </w:r>
      <w:r>
        <w:rPr>
          <w:rFonts w:hint="eastAsia" w:asciiTheme="minorEastAsia" w:hAnsiTheme="minorEastAsia" w:eastAsiaTheme="minorEastAsia"/>
          <w:color w:val="0C0C0C" w:themeColor="text1" w:themeTint="F2"/>
          <w:sz w:val="24"/>
          <w:szCs w:val="24"/>
        </w:rPr>
        <w:t>日第十一届全国人民代表大会常务委员会第三十次会议修订，自</w:t>
      </w:r>
      <w:r>
        <w:rPr>
          <w:rFonts w:asciiTheme="minorEastAsia" w:hAnsiTheme="minorEastAsia" w:eastAsiaTheme="minorEastAsia"/>
          <w:color w:val="0C0C0C" w:themeColor="text1" w:themeTint="F2"/>
          <w:sz w:val="24"/>
          <w:szCs w:val="24"/>
        </w:rPr>
        <w:t>2013</w:t>
      </w:r>
      <w:r>
        <w:rPr>
          <w:rFonts w:hint="eastAsia" w:asciiTheme="minorEastAsia" w:hAnsiTheme="minorEastAsia" w:eastAsiaTheme="minorEastAsia"/>
          <w:color w:val="0C0C0C" w:themeColor="text1" w:themeTint="F2"/>
          <w:sz w:val="24"/>
          <w:szCs w:val="24"/>
        </w:rPr>
        <w:t>年</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月</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日起实施</w:t>
      </w:r>
      <w:r>
        <w:rPr>
          <w:rFonts w:hint="eastAsia" w:cs="Arial" w:asciiTheme="minorEastAsia" w:hAnsiTheme="minorEastAsia" w:eastAsiaTheme="minorEastAsia"/>
          <w:bCs/>
          <w:color w:val="0C0C0C" w:themeColor="text1" w:themeTint="F2"/>
          <w:sz w:val="24"/>
          <w:szCs w:val="24"/>
        </w:rPr>
        <w:t>，并经</w:t>
      </w:r>
      <w:r>
        <w:rPr>
          <w:rFonts w:cs="Arial" w:asciiTheme="minorEastAsia" w:hAnsiTheme="minorEastAsia" w:eastAsiaTheme="minorEastAsia"/>
          <w:bCs/>
          <w:color w:val="0C0C0C" w:themeColor="text1" w:themeTint="F2"/>
          <w:sz w:val="24"/>
          <w:szCs w:val="24"/>
        </w:rPr>
        <w:t>2015</w:t>
      </w:r>
      <w:r>
        <w:rPr>
          <w:rFonts w:hint="eastAsia" w:cs="Arial" w:asciiTheme="minorEastAsia" w:hAnsiTheme="minorEastAsia" w:eastAsiaTheme="minorEastAsia"/>
          <w:bCs/>
          <w:color w:val="0C0C0C" w:themeColor="text1" w:themeTint="F2"/>
          <w:sz w:val="24"/>
          <w:szCs w:val="24"/>
        </w:rPr>
        <w:t>年</w:t>
      </w:r>
      <w:r>
        <w:rPr>
          <w:rFonts w:cs="Arial" w:asciiTheme="minorEastAsia" w:hAnsiTheme="minorEastAsia" w:eastAsiaTheme="minorEastAsia"/>
          <w:bCs/>
          <w:color w:val="0C0C0C" w:themeColor="text1" w:themeTint="F2"/>
          <w:sz w:val="24"/>
          <w:szCs w:val="24"/>
        </w:rPr>
        <w:t>4</w:t>
      </w:r>
      <w:r>
        <w:rPr>
          <w:rFonts w:hint="eastAsia" w:cs="Arial" w:asciiTheme="minorEastAsia" w:hAnsiTheme="minorEastAsia" w:eastAsiaTheme="minorEastAsia"/>
          <w:bCs/>
          <w:color w:val="0C0C0C" w:themeColor="text1" w:themeTint="F2"/>
          <w:sz w:val="24"/>
          <w:szCs w:val="24"/>
        </w:rPr>
        <w:t>月</w:t>
      </w:r>
      <w:r>
        <w:rPr>
          <w:rFonts w:cs="Arial" w:asciiTheme="minorEastAsia" w:hAnsiTheme="minorEastAsia" w:eastAsiaTheme="minorEastAsia"/>
          <w:bCs/>
          <w:color w:val="0C0C0C" w:themeColor="text1" w:themeTint="F2"/>
          <w:sz w:val="24"/>
          <w:szCs w:val="24"/>
        </w:rPr>
        <w:t>24</w:t>
      </w:r>
      <w:r>
        <w:rPr>
          <w:rFonts w:hint="eastAsia" w:cs="Arial" w:asciiTheme="minorEastAsia" w:hAnsiTheme="minorEastAsia" w:eastAsiaTheme="minorEastAsia"/>
          <w:bCs/>
          <w:color w:val="0C0C0C" w:themeColor="text1" w:themeTint="F2"/>
          <w:sz w:val="24"/>
          <w:szCs w:val="24"/>
        </w:rPr>
        <w:t>日第十二届全国人民代表大会常务委员会第十四次会议《全国人民代表大会常务委员会关于修改</w:t>
      </w:r>
      <w:r>
        <w:rPr>
          <w:rFonts w:cs="Arial" w:asciiTheme="minorEastAsia" w:hAnsiTheme="minorEastAsia" w:eastAsiaTheme="minorEastAsia"/>
          <w:bCs/>
          <w:color w:val="0C0C0C" w:themeColor="text1" w:themeTint="F2"/>
          <w:sz w:val="24"/>
          <w:szCs w:val="24"/>
        </w:rPr>
        <w:t>&lt;</w:t>
      </w:r>
      <w:r>
        <w:rPr>
          <w:rFonts w:hint="eastAsia" w:cs="Arial" w:asciiTheme="minorEastAsia" w:hAnsiTheme="minorEastAsia" w:eastAsiaTheme="minorEastAsia"/>
          <w:bCs/>
          <w:color w:val="0C0C0C" w:themeColor="text1" w:themeTint="F2"/>
          <w:sz w:val="24"/>
          <w:szCs w:val="24"/>
        </w:rPr>
        <w:t>中华人民共和国港口法</w:t>
      </w:r>
      <w:r>
        <w:rPr>
          <w:rFonts w:cs="Arial" w:asciiTheme="minorEastAsia" w:hAnsiTheme="minorEastAsia" w:eastAsiaTheme="minorEastAsia"/>
          <w:bCs/>
          <w:color w:val="0C0C0C" w:themeColor="text1" w:themeTint="F2"/>
          <w:sz w:val="24"/>
          <w:szCs w:val="24"/>
        </w:rPr>
        <w:t>&gt;</w:t>
      </w:r>
      <w:r>
        <w:rPr>
          <w:rFonts w:hint="eastAsia" w:cs="Arial" w:asciiTheme="minorEastAsia" w:hAnsiTheme="minorEastAsia" w:eastAsiaTheme="minorEastAsia"/>
          <w:bCs/>
          <w:color w:val="0C0C0C" w:themeColor="text1" w:themeTint="F2"/>
          <w:sz w:val="24"/>
          <w:szCs w:val="24"/>
        </w:rPr>
        <w:t>等七部法律的决定》修正</w:t>
      </w:r>
      <w:r>
        <w:rPr>
          <w:rFonts w:hint="eastAsia" w:asciiTheme="minorEastAsia" w:hAnsiTheme="minorEastAsia" w:eastAsiaTheme="minorEastAsia"/>
          <w:color w:val="0C0C0C" w:themeColor="text1" w:themeTint="F2"/>
          <w:sz w:val="24"/>
          <w:szCs w:val="24"/>
        </w:rPr>
        <w:t>的《中华人民共和国证券投资基金法》及颁布机关对其不时做出的修订</w:t>
      </w:r>
    </w:p>
    <w:p w14:paraId="5E49C686">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《销售办法》：指中国证监会</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20年8月28日颁布、同年10月</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日实施的《公开募集证券投资基金销售机构监督管理办法》及颁布机关对其不时做出的修订</w:t>
      </w:r>
    </w:p>
    <w:p w14:paraId="10F503D1">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《信息披露办法》：指中国证监会</w:t>
      </w:r>
      <w:r>
        <w:rPr>
          <w:rFonts w:asciiTheme="minorEastAsia" w:hAnsiTheme="minorEastAsia" w:eastAsiaTheme="minorEastAsia"/>
          <w:bCs/>
          <w:color w:val="0C0C0C" w:themeColor="text1" w:themeTint="F2"/>
          <w:sz w:val="24"/>
          <w:szCs w:val="24"/>
        </w:rPr>
        <w:t>2019年7月26日颁布、同年9月1日</w:t>
      </w:r>
      <w:r>
        <w:rPr>
          <w:rFonts w:hint="eastAsia" w:asciiTheme="minorEastAsia" w:hAnsiTheme="minorEastAsia" w:eastAsiaTheme="minorEastAsia"/>
          <w:color w:val="0C0C0C" w:themeColor="text1" w:themeTint="F2"/>
          <w:sz w:val="24"/>
          <w:szCs w:val="24"/>
        </w:rPr>
        <w:t>实施，并经2020年3月20日中国证监会《关于修改部分证券期货规章的决定》修改的《</w:t>
      </w:r>
      <w:r>
        <w:rPr>
          <w:rFonts w:hint="eastAsia" w:asciiTheme="minorEastAsia" w:hAnsiTheme="minorEastAsia" w:eastAsiaTheme="minorEastAsia"/>
          <w:bCs/>
          <w:color w:val="0C0C0C" w:themeColor="text1" w:themeTint="F2"/>
          <w:sz w:val="24"/>
          <w:szCs w:val="24"/>
        </w:rPr>
        <w:t>公开募集</w:t>
      </w:r>
      <w:r>
        <w:rPr>
          <w:rFonts w:hint="eastAsia" w:asciiTheme="minorEastAsia" w:hAnsiTheme="minorEastAsia" w:eastAsiaTheme="minorEastAsia"/>
          <w:color w:val="0C0C0C" w:themeColor="text1" w:themeTint="F2"/>
          <w:sz w:val="24"/>
          <w:szCs w:val="24"/>
        </w:rPr>
        <w:t>证券投资基金信息披露管理办法》及颁布机关对其不时做出的修订</w:t>
      </w:r>
    </w:p>
    <w:p w14:paraId="3726D959">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《运作办法》：指中国证监会</w:t>
      </w:r>
      <w:r>
        <w:rPr>
          <w:rFonts w:asciiTheme="minorEastAsia" w:hAnsiTheme="minorEastAsia" w:eastAsiaTheme="minorEastAsia"/>
          <w:color w:val="0C0C0C" w:themeColor="text1" w:themeTint="F2"/>
          <w:sz w:val="24"/>
          <w:szCs w:val="24"/>
        </w:rPr>
        <w:t>2014</w:t>
      </w:r>
      <w:r>
        <w:rPr>
          <w:rFonts w:hint="eastAsia" w:asciiTheme="minorEastAsia" w:hAnsiTheme="minorEastAsia" w:eastAsiaTheme="minorEastAsia"/>
          <w:color w:val="0C0C0C" w:themeColor="text1" w:themeTint="F2"/>
          <w:sz w:val="24"/>
          <w:szCs w:val="24"/>
        </w:rPr>
        <w:t>年</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月</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日颁布、同年</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月</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日实施的《公开募集证券投资基金运作管理办法》及颁布机关对其不时做出的修订</w:t>
      </w:r>
    </w:p>
    <w:p w14:paraId="2D016B8C">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《流动性风险管理规定》：指中国证监会</w:t>
      </w:r>
      <w:r>
        <w:rPr>
          <w:rFonts w:cs="Arial" w:asciiTheme="minorEastAsia" w:hAnsiTheme="minorEastAsia" w:eastAsiaTheme="minorEastAsia"/>
          <w:bCs/>
          <w:color w:val="0C0C0C" w:themeColor="text1" w:themeTint="F2"/>
          <w:sz w:val="24"/>
          <w:szCs w:val="24"/>
        </w:rPr>
        <w:t>2017</w:t>
      </w:r>
      <w:r>
        <w:rPr>
          <w:rFonts w:hint="eastAsia" w:cs="Arial" w:asciiTheme="minorEastAsia" w:hAnsiTheme="minorEastAsia" w:eastAsiaTheme="minorEastAsia"/>
          <w:bCs/>
          <w:color w:val="0C0C0C" w:themeColor="text1" w:themeTint="F2"/>
          <w:sz w:val="24"/>
          <w:szCs w:val="24"/>
        </w:rPr>
        <w:t>年</w:t>
      </w:r>
      <w:r>
        <w:rPr>
          <w:rFonts w:cs="Arial" w:asciiTheme="minorEastAsia" w:hAnsiTheme="minorEastAsia" w:eastAsiaTheme="minorEastAsia"/>
          <w:bCs/>
          <w:color w:val="0C0C0C" w:themeColor="text1" w:themeTint="F2"/>
          <w:sz w:val="24"/>
          <w:szCs w:val="24"/>
        </w:rPr>
        <w:t>8</w:t>
      </w:r>
      <w:r>
        <w:rPr>
          <w:rFonts w:hint="eastAsia" w:cs="Arial" w:asciiTheme="minorEastAsia" w:hAnsiTheme="minorEastAsia" w:eastAsiaTheme="minorEastAsia"/>
          <w:bCs/>
          <w:color w:val="0C0C0C" w:themeColor="text1" w:themeTint="F2"/>
          <w:sz w:val="24"/>
          <w:szCs w:val="24"/>
        </w:rPr>
        <w:t>月</w:t>
      </w:r>
      <w:r>
        <w:rPr>
          <w:rFonts w:cs="Arial" w:asciiTheme="minorEastAsia" w:hAnsiTheme="minorEastAsia" w:eastAsiaTheme="minorEastAsia"/>
          <w:bCs/>
          <w:color w:val="0C0C0C" w:themeColor="text1" w:themeTint="F2"/>
          <w:sz w:val="24"/>
          <w:szCs w:val="24"/>
        </w:rPr>
        <w:t>31</w:t>
      </w:r>
      <w:r>
        <w:rPr>
          <w:rFonts w:hint="eastAsia" w:cs="Arial" w:asciiTheme="minorEastAsia" w:hAnsiTheme="minorEastAsia" w:eastAsiaTheme="minorEastAsia"/>
          <w:bCs/>
          <w:color w:val="0C0C0C" w:themeColor="text1" w:themeTint="F2"/>
          <w:sz w:val="24"/>
          <w:szCs w:val="24"/>
        </w:rPr>
        <w:t>日颁布、同年</w:t>
      </w:r>
      <w:r>
        <w:rPr>
          <w:rFonts w:cs="Arial" w:asciiTheme="minorEastAsia" w:hAnsiTheme="minorEastAsia" w:eastAsiaTheme="minorEastAsia"/>
          <w:bCs/>
          <w:color w:val="0C0C0C" w:themeColor="text1" w:themeTint="F2"/>
          <w:sz w:val="24"/>
          <w:szCs w:val="24"/>
        </w:rPr>
        <w:t>10</w:t>
      </w:r>
      <w:r>
        <w:rPr>
          <w:rFonts w:hint="eastAsia" w:cs="Arial" w:asciiTheme="minorEastAsia" w:hAnsiTheme="minorEastAsia" w:eastAsiaTheme="minorEastAsia"/>
          <w:bCs/>
          <w:color w:val="0C0C0C" w:themeColor="text1" w:themeTint="F2"/>
          <w:sz w:val="24"/>
          <w:szCs w:val="24"/>
        </w:rPr>
        <w:t>月</w:t>
      </w:r>
      <w:r>
        <w:rPr>
          <w:rFonts w:cs="Arial" w:asciiTheme="minorEastAsia" w:hAnsiTheme="minorEastAsia" w:eastAsiaTheme="minorEastAsia"/>
          <w:bCs/>
          <w:color w:val="0C0C0C" w:themeColor="text1" w:themeTint="F2"/>
          <w:sz w:val="24"/>
          <w:szCs w:val="24"/>
        </w:rPr>
        <w:t>1</w:t>
      </w:r>
      <w:r>
        <w:rPr>
          <w:rFonts w:hint="eastAsia" w:cs="Arial" w:asciiTheme="minorEastAsia" w:hAnsiTheme="minorEastAsia" w:eastAsiaTheme="minorEastAsia"/>
          <w:bCs/>
          <w:color w:val="0C0C0C" w:themeColor="text1" w:themeTint="F2"/>
          <w:sz w:val="24"/>
          <w:szCs w:val="24"/>
        </w:rPr>
        <w:t>日实施的《公开募集开放式证券投资基金流动性风险管理规定》及颁布机关对其不时做出的修订</w:t>
      </w:r>
    </w:p>
    <w:p w14:paraId="76BC0005">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《指数基金指引》：指中国证监会2021年</w:t>
      </w:r>
      <w:r>
        <w:rPr>
          <w:rFonts w:ascii="宋体" w:hAnsi="宋体"/>
          <w:color w:val="0C0C0C" w:themeColor="text1" w:themeTint="F2"/>
          <w:kern w:val="0"/>
          <w:sz w:val="24"/>
          <w:szCs w:val="24"/>
        </w:rPr>
        <w:t>1月22日</w:t>
      </w:r>
      <w:r>
        <w:rPr>
          <w:rFonts w:hint="eastAsia" w:cs="Arial" w:asciiTheme="minorEastAsia" w:hAnsiTheme="minorEastAsia" w:eastAsiaTheme="minorEastAsia"/>
          <w:bCs/>
          <w:color w:val="0C0C0C" w:themeColor="text1" w:themeTint="F2"/>
          <w:sz w:val="24"/>
          <w:szCs w:val="24"/>
        </w:rPr>
        <w:t>颁布、同年2月1日实施的《公开募集证券投资基金运作指引第3号——指数基金指引》及颁布机关对其不时做出的修订</w:t>
      </w:r>
    </w:p>
    <w:p w14:paraId="6334F36C">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业务规则：指深圳证券交易所、登记机构等相关机构发布的其他相关规则及其不时做出的修订</w:t>
      </w:r>
    </w:p>
    <w:p w14:paraId="24A3C2B1">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中国证监会：指中国证券监督管理委员会</w:t>
      </w:r>
    </w:p>
    <w:p w14:paraId="6CAAD8B8">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基金合同当事人：指受基金合同约束，根据基金合同享有权利并承担义务的法律主体，包括基金管理人、基金托管人和基金份额持有人</w:t>
      </w:r>
    </w:p>
    <w:p w14:paraId="73F7AAD1">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个人投资者：指依据有关法律法规规定可投资于证券投资基金的自然人</w:t>
      </w:r>
    </w:p>
    <w:p w14:paraId="7B56B8E7">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机构投资者：指依法可以投资证券投资基金的、在中华人民共和国境内合法登记并存续或经有关政府部门批准设立并存续的企业法人、事业法人、社会团体或其他组织</w:t>
      </w:r>
    </w:p>
    <w:p w14:paraId="42A1F0E4">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0BD2BB36">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投资人、投资者：指个人投资者、机构投资者、合格境外投资者以及法律法规或中国证监会允许购买证券投资基金的其他投资人的合称</w:t>
      </w:r>
    </w:p>
    <w:p w14:paraId="1E11DFDD">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基金份额持有人：指依基金合同和招募说明书合法取得基金份额的投资人</w:t>
      </w:r>
    </w:p>
    <w:p w14:paraId="2E56680E">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发售代理机构</w:t>
      </w:r>
      <w:r>
        <w:rPr>
          <w:rFonts w:hint="eastAsia" w:asciiTheme="minorEastAsia" w:hAnsiTheme="minorEastAsia" w:eastAsiaTheme="minorEastAsia"/>
          <w:color w:val="0C0C0C" w:themeColor="text1" w:themeTint="F2"/>
          <w:sz w:val="24"/>
          <w:szCs w:val="24"/>
        </w:rPr>
        <w:t>：指</w:t>
      </w:r>
      <w:r>
        <w:rPr>
          <w:rFonts w:hint="eastAsia" w:cs="Arial" w:asciiTheme="minorEastAsia" w:hAnsiTheme="minorEastAsia" w:eastAsiaTheme="minorEastAsia"/>
          <w:bCs/>
          <w:color w:val="0C0C0C" w:themeColor="text1" w:themeTint="F2"/>
          <w:sz w:val="24"/>
          <w:szCs w:val="24"/>
        </w:rPr>
        <w:t>符合《销售办法》和中国证监会规定的其他条件，由</w:t>
      </w:r>
      <w:r>
        <w:rPr>
          <w:rFonts w:hint="eastAsia" w:asciiTheme="minorEastAsia" w:hAnsiTheme="minorEastAsia" w:eastAsiaTheme="minorEastAsia"/>
          <w:color w:val="0C0C0C" w:themeColor="text1" w:themeTint="F2"/>
          <w:sz w:val="24"/>
          <w:szCs w:val="24"/>
        </w:rPr>
        <w:t>基金管理人</w:t>
      </w:r>
      <w:r>
        <w:rPr>
          <w:rFonts w:hint="eastAsia" w:cs="Arial" w:asciiTheme="minorEastAsia" w:hAnsiTheme="minorEastAsia" w:eastAsiaTheme="minorEastAsia"/>
          <w:bCs/>
          <w:color w:val="0C0C0C" w:themeColor="text1" w:themeTint="F2"/>
          <w:sz w:val="24"/>
          <w:szCs w:val="24"/>
        </w:rPr>
        <w:t>指定的代理本基金发售业务的</w:t>
      </w:r>
      <w:r>
        <w:rPr>
          <w:rFonts w:hint="eastAsia" w:asciiTheme="minorEastAsia" w:hAnsiTheme="minorEastAsia" w:eastAsiaTheme="minorEastAsia"/>
          <w:color w:val="0C0C0C" w:themeColor="text1" w:themeTint="F2"/>
          <w:sz w:val="24"/>
          <w:szCs w:val="24"/>
        </w:rPr>
        <w:t>机构</w:t>
      </w:r>
    </w:p>
    <w:p w14:paraId="7395D942">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申购、赎回代理券商：指</w:t>
      </w:r>
      <w:r>
        <w:rPr>
          <w:rFonts w:hint="eastAsia" w:asciiTheme="minorEastAsia" w:hAnsiTheme="minorEastAsia" w:eastAsiaTheme="minorEastAsia"/>
          <w:color w:val="0C0C0C" w:themeColor="text1" w:themeTint="F2"/>
          <w:sz w:val="24"/>
          <w:szCs w:val="24"/>
        </w:rPr>
        <w:t>基金</w:t>
      </w:r>
      <w:r>
        <w:rPr>
          <w:rFonts w:hint="eastAsia" w:cs="Arial" w:asciiTheme="minorEastAsia" w:hAnsiTheme="minorEastAsia" w:eastAsiaTheme="minorEastAsia"/>
          <w:bCs/>
          <w:color w:val="0C0C0C" w:themeColor="text1" w:themeTint="F2"/>
          <w:sz w:val="24"/>
          <w:szCs w:val="24"/>
        </w:rPr>
        <w:t>管理人指定的，在</w:t>
      </w:r>
      <w:r>
        <w:rPr>
          <w:rFonts w:hint="eastAsia" w:asciiTheme="minorEastAsia" w:hAnsiTheme="minorEastAsia" w:eastAsiaTheme="minorEastAsia"/>
          <w:color w:val="0C0C0C" w:themeColor="text1" w:themeTint="F2"/>
          <w:sz w:val="24"/>
          <w:szCs w:val="24"/>
        </w:rPr>
        <w:t>基金</w:t>
      </w:r>
      <w:r>
        <w:rPr>
          <w:rFonts w:hint="eastAsia" w:cs="Arial" w:asciiTheme="minorEastAsia" w:hAnsiTheme="minorEastAsia" w:eastAsiaTheme="minorEastAsia"/>
          <w:bCs/>
          <w:color w:val="0C0C0C" w:themeColor="text1" w:themeTint="F2"/>
          <w:sz w:val="24"/>
          <w:szCs w:val="24"/>
        </w:rPr>
        <w:t>合同生效后代理</w:t>
      </w:r>
      <w:r>
        <w:rPr>
          <w:rFonts w:hint="eastAsia" w:asciiTheme="minorEastAsia" w:hAnsiTheme="minorEastAsia" w:eastAsiaTheme="minorEastAsia"/>
          <w:color w:val="0C0C0C" w:themeColor="text1" w:themeTint="F2"/>
          <w:sz w:val="24"/>
          <w:szCs w:val="24"/>
        </w:rPr>
        <w:t>办理</w:t>
      </w:r>
      <w:r>
        <w:rPr>
          <w:rFonts w:hint="eastAsia" w:cs="Arial" w:asciiTheme="minorEastAsia" w:hAnsiTheme="minorEastAsia" w:eastAsiaTheme="minorEastAsia"/>
          <w:bCs/>
          <w:color w:val="0C0C0C" w:themeColor="text1" w:themeTint="F2"/>
          <w:sz w:val="24"/>
          <w:szCs w:val="24"/>
        </w:rPr>
        <w:t>本</w:t>
      </w:r>
      <w:r>
        <w:rPr>
          <w:rFonts w:hint="eastAsia" w:asciiTheme="minorEastAsia" w:hAnsiTheme="minorEastAsia" w:eastAsiaTheme="minorEastAsia"/>
          <w:color w:val="0C0C0C" w:themeColor="text1" w:themeTint="F2"/>
          <w:sz w:val="24"/>
          <w:szCs w:val="24"/>
        </w:rPr>
        <w:t>基金申购、赎回业务</w:t>
      </w:r>
      <w:r>
        <w:rPr>
          <w:rFonts w:hint="eastAsia" w:cs="Arial" w:asciiTheme="minorEastAsia" w:hAnsiTheme="minorEastAsia" w:eastAsiaTheme="minorEastAsia"/>
          <w:bCs/>
          <w:color w:val="0C0C0C" w:themeColor="text1" w:themeTint="F2"/>
          <w:sz w:val="24"/>
          <w:szCs w:val="24"/>
        </w:rPr>
        <w:t>的证券公司，又称为代办证券公司</w:t>
      </w:r>
    </w:p>
    <w:p w14:paraId="41C774C0">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直销</w:t>
      </w:r>
      <w:r>
        <w:rPr>
          <w:rFonts w:hint="eastAsia" w:asciiTheme="minorEastAsia" w:hAnsiTheme="minorEastAsia" w:eastAsiaTheme="minorEastAsia"/>
          <w:color w:val="0C0C0C" w:themeColor="text1" w:themeTint="F2"/>
          <w:sz w:val="24"/>
          <w:szCs w:val="24"/>
        </w:rPr>
        <w:t>机构：指</w:t>
      </w:r>
      <w:r>
        <w:rPr>
          <w:rFonts w:hint="eastAsia" w:cs="Arial" w:asciiTheme="minorEastAsia" w:hAnsiTheme="minorEastAsia" w:eastAsiaTheme="minorEastAsia"/>
          <w:bCs/>
          <w:color w:val="0C0C0C" w:themeColor="text1" w:themeTint="F2"/>
          <w:sz w:val="24"/>
          <w:szCs w:val="24"/>
        </w:rPr>
        <w:t>博时</w:t>
      </w:r>
      <w:r>
        <w:rPr>
          <w:rFonts w:hint="eastAsia" w:asciiTheme="minorEastAsia" w:hAnsiTheme="minorEastAsia" w:eastAsiaTheme="minorEastAsia"/>
          <w:color w:val="0C0C0C" w:themeColor="text1" w:themeTint="F2"/>
          <w:sz w:val="24"/>
          <w:szCs w:val="24"/>
        </w:rPr>
        <w:t>基金</w:t>
      </w:r>
      <w:r>
        <w:rPr>
          <w:rFonts w:hint="eastAsia" w:cs="Arial" w:asciiTheme="minorEastAsia" w:hAnsiTheme="minorEastAsia" w:eastAsiaTheme="minorEastAsia"/>
          <w:bCs/>
          <w:color w:val="0C0C0C" w:themeColor="text1" w:themeTint="F2"/>
          <w:sz w:val="24"/>
          <w:szCs w:val="24"/>
        </w:rPr>
        <w:t>管理有限公司</w:t>
      </w:r>
    </w:p>
    <w:p w14:paraId="73203F76">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代销机构：指</w:t>
      </w:r>
      <w:r>
        <w:rPr>
          <w:rFonts w:hint="eastAsia" w:asciiTheme="minorEastAsia" w:hAnsiTheme="minorEastAsia" w:eastAsiaTheme="minorEastAsia"/>
          <w:color w:val="0C0C0C" w:themeColor="text1" w:themeTint="F2"/>
          <w:sz w:val="24"/>
          <w:szCs w:val="24"/>
        </w:rPr>
        <w:t>符合《销售办法》和中国证监会规定的其他条件，取得基金销售业务资格并与基金管理人签订了基金销售服务协议，办理基金销售业务的机构</w:t>
      </w:r>
      <w:r>
        <w:rPr>
          <w:rFonts w:hint="eastAsia" w:cs="Arial" w:asciiTheme="minorEastAsia" w:hAnsiTheme="minorEastAsia" w:eastAsiaTheme="minorEastAsia"/>
          <w:bCs/>
          <w:color w:val="0C0C0C" w:themeColor="text1" w:themeTint="F2"/>
          <w:sz w:val="24"/>
          <w:szCs w:val="24"/>
        </w:rPr>
        <w:t>，包括发售代理机构和申购、赎回代理券商（即代办证券公司）</w:t>
      </w:r>
    </w:p>
    <w:p w14:paraId="6D31FB2F">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销售机构：指直销机构与代销机构</w:t>
      </w:r>
    </w:p>
    <w:p w14:paraId="354BF662">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登记机构：指办理登记业务的机构。本基金的登记机构为中国证券登记结算有限责任公司</w:t>
      </w:r>
    </w:p>
    <w:p w14:paraId="0524EF04">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登记</w:t>
      </w:r>
      <w:r>
        <w:rPr>
          <w:rFonts w:hint="eastAsia" w:asciiTheme="minorEastAsia" w:hAnsiTheme="minorEastAsia" w:eastAsiaTheme="minorEastAsia"/>
          <w:color w:val="0C0C0C" w:themeColor="text1" w:themeTint="F2"/>
          <w:sz w:val="24"/>
          <w:szCs w:val="24"/>
        </w:rPr>
        <w:t>业务：指《中国证券登记结算有限责任公司关于交易所交易型开放式证券投资基金登记结算业务实施细则》及其不时修订以及相关业务规则所定义的基金份额的登记、存管、结算及</w:t>
      </w:r>
      <w:r>
        <w:rPr>
          <w:rFonts w:asciiTheme="minorEastAsia" w:hAnsiTheme="minorEastAsia" w:eastAsiaTheme="minorEastAsia"/>
          <w:color w:val="0C0C0C" w:themeColor="text1" w:themeTint="F2"/>
          <w:sz w:val="24"/>
          <w:szCs w:val="24"/>
        </w:rPr>
        <w:t>相关</w:t>
      </w:r>
      <w:r>
        <w:rPr>
          <w:rFonts w:hint="eastAsia" w:asciiTheme="minorEastAsia" w:hAnsiTheme="minorEastAsia" w:eastAsiaTheme="minorEastAsia"/>
          <w:color w:val="0C0C0C" w:themeColor="text1" w:themeTint="F2"/>
          <w:sz w:val="24"/>
          <w:szCs w:val="24"/>
        </w:rPr>
        <w:t>业务</w:t>
      </w:r>
    </w:p>
    <w:p w14:paraId="43C90E9C">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bCs/>
          <w:color w:val="0C0C0C" w:themeColor="text1" w:themeTint="F2"/>
          <w:sz w:val="24"/>
          <w:szCs w:val="24"/>
        </w:rPr>
        <w:t>深圳证券账户：指深圳证券交易所人民币普通股票账户（即A股账户）或深圳证券交易所基金账户</w:t>
      </w:r>
    </w:p>
    <w:p w14:paraId="4BE35D76">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基金合同生效日：指基金募集达到法律法规规定及基金合同规定的条件，基金管理人向中国证监会办理基金备案手续完毕，并获得中国证监会书面确认的日期</w:t>
      </w:r>
    </w:p>
    <w:p w14:paraId="478708B7">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基金合同终止日：指基金合同规定的基金合同终止事由出现后，基金财产清算完毕，清算结果报中国证监会备案并予以公告的日期</w:t>
      </w:r>
    </w:p>
    <w:p w14:paraId="39BF33B1">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基金募集期：指自基金份额发售之日起至发售结束之日止的期间，最长不得超过</w:t>
      </w:r>
      <w:r>
        <w:rPr>
          <w:rFonts w:cs="Arial" w:asciiTheme="minorEastAsia" w:hAnsiTheme="minorEastAsia" w:eastAsiaTheme="minorEastAsia"/>
          <w:bCs/>
          <w:color w:val="0C0C0C" w:themeColor="text1" w:themeTint="F2"/>
          <w:sz w:val="24"/>
          <w:szCs w:val="24"/>
        </w:rPr>
        <w:t>3</w:t>
      </w:r>
      <w:r>
        <w:rPr>
          <w:rFonts w:hint="eastAsia" w:asciiTheme="minorEastAsia" w:hAnsiTheme="minorEastAsia" w:eastAsiaTheme="minorEastAsia"/>
          <w:color w:val="0C0C0C" w:themeColor="text1" w:themeTint="F2"/>
          <w:sz w:val="24"/>
          <w:szCs w:val="24"/>
        </w:rPr>
        <w:t>个月</w:t>
      </w:r>
    </w:p>
    <w:p w14:paraId="1B67A4BD">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存续期：指基金合同生效至终止之间的不定期期限</w:t>
      </w:r>
    </w:p>
    <w:p w14:paraId="7C4EBEA8">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工作日：指上海证券交易所、深圳证券交易所的正常交易日</w:t>
      </w:r>
    </w:p>
    <w:p w14:paraId="2E468862">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T</w:t>
      </w:r>
      <w:r>
        <w:rPr>
          <w:rFonts w:hint="eastAsia" w:asciiTheme="minorEastAsia" w:hAnsiTheme="minorEastAsia" w:eastAsiaTheme="minorEastAsia"/>
          <w:color w:val="0C0C0C" w:themeColor="text1" w:themeTint="F2"/>
          <w:sz w:val="24"/>
          <w:szCs w:val="24"/>
        </w:rPr>
        <w:t>日：指销售机构在规定时间受理投资人申购、赎回或其他业务申请的开放日</w:t>
      </w:r>
    </w:p>
    <w:p w14:paraId="66FA3F80">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T+n</w:t>
      </w:r>
      <w:r>
        <w:rPr>
          <w:rFonts w:hint="eastAsia" w:asciiTheme="minorEastAsia" w:hAnsiTheme="minorEastAsia" w:eastAsiaTheme="minorEastAsia"/>
          <w:color w:val="0C0C0C" w:themeColor="text1" w:themeTint="F2"/>
          <w:sz w:val="24"/>
          <w:szCs w:val="24"/>
        </w:rPr>
        <w:t>日：指自</w:t>
      </w:r>
      <w:r>
        <w:rPr>
          <w:rFonts w:asciiTheme="minorEastAsia" w:hAnsiTheme="minorEastAsia" w:eastAsiaTheme="minorEastAsia"/>
          <w:color w:val="0C0C0C" w:themeColor="text1" w:themeTint="F2"/>
          <w:sz w:val="24"/>
          <w:szCs w:val="24"/>
        </w:rPr>
        <w:t>T</w:t>
      </w:r>
      <w:r>
        <w:rPr>
          <w:rFonts w:hint="eastAsia" w:asciiTheme="minorEastAsia" w:hAnsiTheme="minorEastAsia" w:eastAsiaTheme="minorEastAsia"/>
          <w:color w:val="0C0C0C" w:themeColor="text1" w:themeTint="F2"/>
          <w:sz w:val="24"/>
          <w:szCs w:val="24"/>
        </w:rPr>
        <w:t>日起第</w:t>
      </w:r>
      <w:r>
        <w:rPr>
          <w:rFonts w:asciiTheme="minorEastAsia" w:hAnsiTheme="minorEastAsia" w:eastAsiaTheme="minorEastAsia"/>
          <w:color w:val="0C0C0C" w:themeColor="text1" w:themeTint="F2"/>
          <w:sz w:val="24"/>
          <w:szCs w:val="24"/>
        </w:rPr>
        <w:t>n</w:t>
      </w:r>
      <w:r>
        <w:rPr>
          <w:rFonts w:hint="eastAsia" w:asciiTheme="minorEastAsia" w:hAnsiTheme="minorEastAsia" w:eastAsiaTheme="minorEastAsia"/>
          <w:color w:val="0C0C0C" w:themeColor="text1" w:themeTint="F2"/>
          <w:sz w:val="24"/>
          <w:szCs w:val="24"/>
        </w:rPr>
        <w:t>个工作日</w:t>
      </w:r>
      <w:r>
        <w:rPr>
          <w:rFonts w:hint="eastAsia" w:cs="Arial" w:asciiTheme="minorEastAsia" w:hAnsiTheme="minorEastAsia" w:eastAsiaTheme="minorEastAsia"/>
          <w:bCs/>
          <w:color w:val="0C0C0C" w:themeColor="text1" w:themeTint="F2"/>
          <w:sz w:val="24"/>
          <w:szCs w:val="24"/>
        </w:rPr>
        <w:t>（</w:t>
      </w:r>
      <w:r>
        <w:rPr>
          <w:rFonts w:hint="eastAsia" w:asciiTheme="minorEastAsia" w:hAnsiTheme="minorEastAsia" w:eastAsiaTheme="minorEastAsia"/>
          <w:color w:val="0C0C0C" w:themeColor="text1" w:themeTint="F2"/>
          <w:sz w:val="24"/>
          <w:szCs w:val="24"/>
        </w:rPr>
        <w:t>不包含</w:t>
      </w:r>
      <w:r>
        <w:rPr>
          <w:rFonts w:asciiTheme="minorEastAsia" w:hAnsiTheme="minorEastAsia" w:eastAsiaTheme="minorEastAsia"/>
          <w:color w:val="0C0C0C" w:themeColor="text1" w:themeTint="F2"/>
          <w:sz w:val="24"/>
          <w:szCs w:val="24"/>
        </w:rPr>
        <w:t>T</w:t>
      </w:r>
      <w:r>
        <w:rPr>
          <w:rFonts w:hint="eastAsia" w:asciiTheme="minorEastAsia" w:hAnsiTheme="minorEastAsia" w:eastAsiaTheme="minorEastAsia"/>
          <w:color w:val="0C0C0C" w:themeColor="text1" w:themeTint="F2"/>
          <w:sz w:val="24"/>
          <w:szCs w:val="24"/>
        </w:rPr>
        <w:t>日</w:t>
      </w:r>
      <w:r>
        <w:rPr>
          <w:rFonts w:hint="eastAsia" w:cs="Arial" w:asciiTheme="minorEastAsia" w:hAnsiTheme="minorEastAsia" w:eastAsiaTheme="minorEastAsia"/>
          <w:bCs/>
          <w:color w:val="0C0C0C" w:themeColor="text1" w:themeTint="F2"/>
          <w:sz w:val="24"/>
          <w:szCs w:val="24"/>
        </w:rPr>
        <w:t>）</w:t>
      </w:r>
    </w:p>
    <w:p w14:paraId="21FAF407">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开放日：指为投资人办理基金份额申购、赎回或其他业务的工作日</w:t>
      </w:r>
    </w:p>
    <w:p w14:paraId="3B22A810">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开放时间：指开放日基金接受申购、赎回或其他交易的时间段</w:t>
      </w:r>
    </w:p>
    <w:p w14:paraId="637F1F15">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认购：指在基金募集期内，投资人</w:t>
      </w:r>
      <w:r>
        <w:rPr>
          <w:rFonts w:hint="eastAsia" w:cs="Arial" w:asciiTheme="minorEastAsia" w:hAnsiTheme="minorEastAsia" w:eastAsiaTheme="minorEastAsia"/>
          <w:bCs/>
          <w:color w:val="0C0C0C" w:themeColor="text1" w:themeTint="F2"/>
          <w:sz w:val="24"/>
          <w:szCs w:val="24"/>
        </w:rPr>
        <w:t>根据基金合同和招募说明书的规定</w:t>
      </w:r>
      <w:r>
        <w:rPr>
          <w:rFonts w:hint="eastAsia" w:asciiTheme="minorEastAsia" w:hAnsiTheme="minorEastAsia" w:eastAsiaTheme="minorEastAsia"/>
          <w:color w:val="0C0C0C" w:themeColor="text1" w:themeTint="F2"/>
          <w:sz w:val="24"/>
          <w:szCs w:val="24"/>
        </w:rPr>
        <w:t>申请购买基金份额的行为</w:t>
      </w:r>
    </w:p>
    <w:p w14:paraId="665D032C">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申购：指基金合同生效后，投资人根据基金合同和招募说明书的规定，以申购赎回清单规定的申购对价申请购买基金份额的行为</w:t>
      </w:r>
    </w:p>
    <w:p w14:paraId="445ED659">
      <w:pPr>
        <w:numPr>
          <w:ilvl w:val="0"/>
          <w:numId w:val="2"/>
        </w:numPr>
        <w:snapToGrid w:val="0"/>
        <w:spacing w:line="360" w:lineRule="auto"/>
        <w:ind w:left="0" w:firstLine="360" w:firstLineChars="15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赎回：指基金合同生效后，基金份额持有人按基金合同和招募说明书规定的条件要</w:t>
      </w:r>
      <w:r>
        <w:rPr>
          <w:rFonts w:hint="eastAsia" w:cs="Arial" w:asciiTheme="minorEastAsia" w:hAnsiTheme="minorEastAsia" w:eastAsiaTheme="minorEastAsia"/>
          <w:bCs/>
          <w:color w:val="0C0C0C" w:themeColor="text1" w:themeTint="F2"/>
          <w:sz w:val="24"/>
          <w:szCs w:val="24"/>
        </w:rPr>
        <w:t>求将本</w:t>
      </w:r>
      <w:r>
        <w:rPr>
          <w:rFonts w:hint="eastAsia" w:asciiTheme="minorEastAsia" w:hAnsiTheme="minorEastAsia" w:eastAsiaTheme="minorEastAsia"/>
          <w:color w:val="0C0C0C" w:themeColor="text1" w:themeTint="F2"/>
          <w:sz w:val="24"/>
          <w:szCs w:val="24"/>
        </w:rPr>
        <w:t>基金份额兑换为申购赎回清单规定的赎回对价的行为</w:t>
      </w:r>
    </w:p>
    <w:p w14:paraId="41C5FDEE">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 xml:space="preserve">申购赎回清单：指由基金管理人编制的用以公告申购对价、赎回对价等信息的文件 </w:t>
      </w:r>
    </w:p>
    <w:p w14:paraId="5EBB77C0">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申购对价：指投资人申购基金份额时，按基金合同和招募说明书规定应交付的组合证券、现金替代、现金差额和/或其他对价</w:t>
      </w:r>
    </w:p>
    <w:p w14:paraId="73A5F203">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赎回对价：指投资人赎回</w:t>
      </w:r>
      <w:r>
        <w:rPr>
          <w:rFonts w:hint="eastAsia" w:asciiTheme="minorEastAsia" w:hAnsiTheme="minorEastAsia" w:eastAsiaTheme="minorEastAsia"/>
          <w:color w:val="0C0C0C" w:themeColor="text1" w:themeTint="F2"/>
          <w:sz w:val="24"/>
          <w:szCs w:val="24"/>
        </w:rPr>
        <w:t>基金份额</w:t>
      </w:r>
      <w:r>
        <w:rPr>
          <w:rFonts w:hint="eastAsia" w:cs="Arial" w:asciiTheme="minorEastAsia" w:hAnsiTheme="minorEastAsia" w:eastAsiaTheme="minorEastAsia"/>
          <w:bCs/>
          <w:color w:val="0C0C0C" w:themeColor="text1" w:themeTint="F2"/>
          <w:sz w:val="24"/>
          <w:szCs w:val="24"/>
        </w:rPr>
        <w:t>时，基金</w:t>
      </w:r>
      <w:r>
        <w:rPr>
          <w:rFonts w:hint="eastAsia" w:asciiTheme="minorEastAsia" w:hAnsiTheme="minorEastAsia" w:eastAsiaTheme="minorEastAsia"/>
          <w:color w:val="0C0C0C" w:themeColor="text1" w:themeTint="F2"/>
          <w:sz w:val="24"/>
          <w:szCs w:val="24"/>
        </w:rPr>
        <w:t>管理</w:t>
      </w:r>
      <w:r>
        <w:rPr>
          <w:rFonts w:hint="eastAsia" w:cs="Arial" w:asciiTheme="minorEastAsia" w:hAnsiTheme="minorEastAsia" w:eastAsiaTheme="minorEastAsia"/>
          <w:bCs/>
          <w:color w:val="0C0C0C" w:themeColor="text1" w:themeTint="F2"/>
          <w:sz w:val="24"/>
          <w:szCs w:val="24"/>
        </w:rPr>
        <w:t>人按基金合同和招募说明书规定应交付给赎回人的组合证券、现金替代、现金差额和/或其他对价</w:t>
      </w:r>
    </w:p>
    <w:p w14:paraId="457305C6">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组合证券：指本基金标的指数所包含的全部或部分证券</w:t>
      </w:r>
    </w:p>
    <w:p w14:paraId="29AB9863">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标的指数：指深圳证券信息有限公司编制并发布的国证大盘成长指数及其未来可能发生的变更</w:t>
      </w:r>
    </w:p>
    <w:p w14:paraId="774D9545">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现金替代：指申购、赎回过程中，投资人按基金合同和招募说明书的规定，用于替代组合证券中部分证券的一定数量的现金</w:t>
      </w:r>
    </w:p>
    <w:p w14:paraId="0BE16B37">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 xml:space="preserve">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079D243D">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2B13EB40">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最小申购、赎回单位：指本基金申购、赎回份额的最低数量，投资人申购、赎回的基金份额应为最小申购、赎回单位的整数倍</w:t>
      </w:r>
    </w:p>
    <w:p w14:paraId="36FE5183">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基金份额参考净值：指基金管理人或基金管理人委托其他机构在相关证券交易所交易时间内根据申购赎回清单和组合证券内各只证券的实时成交数据计算并发布的基金份额参考净值，简称IOPV</w:t>
      </w:r>
    </w:p>
    <w:p w14:paraId="34CBD49A">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预估现金差额：指为便于计算基金份额参考净值及申购、赎回代理券商预先冻结申请申购、赎回的投资人的相应资金，由基金管理人计算并公布的现金差额的预估值</w:t>
      </w:r>
    </w:p>
    <w:p w14:paraId="0CCF15AE">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元：指人民币元</w:t>
      </w:r>
    </w:p>
    <w:p w14:paraId="5204FDB4">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w:t>
      </w:r>
      <w:r>
        <w:rPr>
          <w:rFonts w:cs="Arial" w:asciiTheme="minorEastAsia" w:hAnsiTheme="minorEastAsia" w:eastAsiaTheme="minorEastAsia"/>
          <w:bCs/>
          <w:color w:val="0C0C0C" w:themeColor="text1" w:themeTint="F2"/>
          <w:sz w:val="24"/>
          <w:szCs w:val="24"/>
        </w:rPr>
        <w:t>收益：</w:t>
      </w:r>
      <w:r>
        <w:rPr>
          <w:rFonts w:hint="eastAsia" w:cs="Arial" w:asciiTheme="minorEastAsia" w:hAnsiTheme="minorEastAsia" w:eastAsiaTheme="minorEastAsia"/>
          <w:bCs/>
          <w:color w:val="0C0C0C" w:themeColor="text1" w:themeTint="F2"/>
          <w:sz w:val="24"/>
          <w:szCs w:val="24"/>
        </w:rPr>
        <w:t>指基金投资所得红利、股息、债券利息、买卖证券价差、银行存款利息、已实现的其他合法收入及因运用基金财产带来的成本和费用的节约</w:t>
      </w:r>
    </w:p>
    <w:p w14:paraId="2EDD3614">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基金份额折算：指基金管理人根据基金合同规定将投资人的基金份额进行变更登记的行为</w:t>
      </w:r>
    </w:p>
    <w:p w14:paraId="3B258C84">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收益评价日：指基金管理人计算本基金份额净值增长率与标的指数同期增长率差额之日</w:t>
      </w:r>
    </w:p>
    <w:p w14:paraId="1216E5DC">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14:paraId="64C34C5B">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标的指数同期增长率：指收益评价日标的指数收盘价与基金上市前一交易日标的指数收盘价之比减去</w:t>
      </w:r>
      <w:r>
        <w:rPr>
          <w:rFonts w:cs="Arial" w:asciiTheme="minorEastAsia" w:hAnsiTheme="minorEastAsia" w:eastAsiaTheme="minorEastAsia"/>
          <w:bCs/>
          <w:color w:val="0C0C0C" w:themeColor="text1" w:themeTint="F2"/>
          <w:sz w:val="24"/>
          <w:szCs w:val="24"/>
        </w:rPr>
        <w:t>1</w:t>
      </w:r>
      <w:r>
        <w:rPr>
          <w:rFonts w:hint="eastAsia" w:cs="Arial" w:asciiTheme="minorEastAsia" w:hAnsiTheme="minorEastAsia" w:eastAsiaTheme="minorEastAsia"/>
          <w:bCs/>
          <w:color w:val="0C0C0C" w:themeColor="text1" w:themeTint="F2"/>
          <w:sz w:val="24"/>
          <w:szCs w:val="24"/>
        </w:rPr>
        <w:t>乘以</w:t>
      </w:r>
      <w:r>
        <w:rPr>
          <w:rFonts w:cs="Arial" w:asciiTheme="minorEastAsia" w:hAnsiTheme="minorEastAsia" w:eastAsiaTheme="minorEastAsia"/>
          <w:bCs/>
          <w:color w:val="0C0C0C" w:themeColor="text1" w:themeTint="F2"/>
          <w:sz w:val="24"/>
          <w:szCs w:val="24"/>
        </w:rPr>
        <w:t>100%</w:t>
      </w:r>
      <w:r>
        <w:rPr>
          <w:rFonts w:hint="eastAsia" w:cs="Arial" w:asciiTheme="minorEastAsia" w:hAnsiTheme="minorEastAsia" w:eastAsiaTheme="minorEastAsia"/>
          <w:bCs/>
          <w:color w:val="0C0C0C" w:themeColor="text1" w:themeTint="F2"/>
          <w:sz w:val="24"/>
          <w:szCs w:val="24"/>
        </w:rPr>
        <w:t>（期间发生基金份额折算、拆分或合并，则以基金份额折算日、经拆分或合并调整后的基金份额折算日为初始日重新计算）</w:t>
      </w:r>
    </w:p>
    <w:p w14:paraId="26FF6CD1">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基金资产总值：指基金拥有的各类有价证券、银行存款本息、基金应收款项及其他资产的价值总和</w:t>
      </w:r>
    </w:p>
    <w:p w14:paraId="33523281">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基金资产净值：指基金资产总值减去基金负债后的价值</w:t>
      </w:r>
    </w:p>
    <w:p w14:paraId="078B9601">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基金份额净值：指计算日基金资产净值除以计算日基金份额总数</w:t>
      </w:r>
    </w:p>
    <w:p w14:paraId="0905E68C">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基金资产估值：指计算评估基金资产和负债的价值，以确定基金资产净值和基金份额净值的过程</w:t>
      </w:r>
    </w:p>
    <w:p w14:paraId="6F127AF9">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规定媒介：指符合中国证监会规定条件的用以进行信息披露的全国性</w:t>
      </w:r>
      <w:r>
        <w:rPr>
          <w:rFonts w:cs="Arial" w:asciiTheme="minorEastAsia" w:hAnsiTheme="minorEastAsia" w:eastAsiaTheme="minorEastAsia"/>
          <w:bCs/>
          <w:color w:val="0C0C0C" w:themeColor="text1" w:themeTint="F2"/>
          <w:sz w:val="24"/>
          <w:szCs w:val="24"/>
        </w:rPr>
        <w:t>报刊</w:t>
      </w:r>
      <w:r>
        <w:rPr>
          <w:rFonts w:hint="eastAsia" w:cs="Arial" w:asciiTheme="minorEastAsia" w:hAnsiTheme="minorEastAsia" w:eastAsiaTheme="minorEastAsia"/>
          <w:bCs/>
          <w:color w:val="0C0C0C" w:themeColor="text1" w:themeTint="F2"/>
          <w:sz w:val="24"/>
          <w:szCs w:val="24"/>
        </w:rPr>
        <w:t>及《信息披露办法》规定的</w:t>
      </w:r>
      <w:r>
        <w:rPr>
          <w:rFonts w:cs="Arial" w:asciiTheme="minorEastAsia" w:hAnsiTheme="minorEastAsia" w:eastAsiaTheme="minorEastAsia"/>
          <w:bCs/>
          <w:color w:val="0C0C0C" w:themeColor="text1" w:themeTint="F2"/>
          <w:sz w:val="24"/>
          <w:szCs w:val="24"/>
        </w:rPr>
        <w:t>互联网网站</w:t>
      </w:r>
      <w:r>
        <w:rPr>
          <w:rFonts w:hint="eastAsia" w:cs="Arial" w:asciiTheme="minorEastAsia" w:hAnsiTheme="minorEastAsia" w:eastAsiaTheme="minorEastAsia"/>
          <w:bCs/>
          <w:color w:val="0C0C0C" w:themeColor="text1" w:themeTint="F2"/>
          <w:sz w:val="24"/>
          <w:szCs w:val="24"/>
        </w:rPr>
        <w:t>（包括基金管理人网站、基金托管人网站、中国证监会基金电子披露网站）等媒介</w:t>
      </w:r>
    </w:p>
    <w:p w14:paraId="29DB61C9">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bookmarkStart w:id="65" w:name="_Toc5246"/>
      <w:bookmarkStart w:id="66" w:name="_Toc22708"/>
      <w:bookmarkStart w:id="67" w:name="_Toc6149"/>
      <w:bookmarkStart w:id="68" w:name="_Toc24571"/>
      <w:bookmarkStart w:id="69" w:name="_Toc545"/>
      <w:bookmarkStart w:id="70" w:name="_Toc18631"/>
      <w:bookmarkStart w:id="71" w:name="_Toc13288"/>
      <w:bookmarkStart w:id="72" w:name="_Toc6683"/>
      <w:bookmarkStart w:id="73" w:name="_Toc20627"/>
      <w:bookmarkStart w:id="74" w:name="_Toc20318"/>
      <w:bookmarkStart w:id="75" w:name="_Toc733"/>
      <w:bookmarkStart w:id="76" w:name="_Toc233456272"/>
      <w:bookmarkStart w:id="77" w:name="_Toc258829400"/>
      <w:r>
        <w:rPr>
          <w:rFonts w:hint="eastAsia" w:cs="Arial" w:asciiTheme="minorEastAsia" w:hAnsiTheme="minorEastAsia" w:eastAsiaTheme="minorEastAsia"/>
          <w:bCs/>
          <w:color w:val="0C0C0C" w:themeColor="text1" w:themeTint="F2"/>
          <w:sz w:val="24"/>
          <w:szCs w:val="24"/>
        </w:rPr>
        <w:t>ETF：指《深圳证券交易所证券投资基金交易和申购赎回实施细则》定义的“交易型开放式基金”</w:t>
      </w:r>
    </w:p>
    <w:p w14:paraId="1C6680A9">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联接基金：指将绝大部分基金财产投资于跟踪同一标的指数的基金（即目标</w:t>
      </w:r>
      <w:r>
        <w:rPr>
          <w:rFonts w:cs="Arial" w:asciiTheme="minorEastAsia" w:hAnsiTheme="minorEastAsia" w:eastAsiaTheme="minorEastAsia"/>
          <w:bCs/>
          <w:color w:val="0C0C0C" w:themeColor="text1" w:themeTint="F2"/>
          <w:sz w:val="24"/>
          <w:szCs w:val="24"/>
        </w:rPr>
        <w:t>ETF</w:t>
      </w:r>
      <w:r>
        <w:rPr>
          <w:rFonts w:hint="eastAsia" w:cs="Arial" w:asciiTheme="minorEastAsia" w:hAnsiTheme="minorEastAsia" w:eastAsiaTheme="minorEastAsia"/>
          <w:bCs/>
          <w:color w:val="0C0C0C" w:themeColor="text1" w:themeTint="F2"/>
          <w:sz w:val="24"/>
          <w:szCs w:val="24"/>
        </w:rPr>
        <w:t>），紧密跟踪标的指数表现，追求跟踪偏离度和跟踪误差最小化，获得与指数收益相似的回报，采用开放式运作方式的基金</w:t>
      </w:r>
    </w:p>
    <w:p w14:paraId="3D34C1D0">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流动性受限资产：指由于法律法规、监管、合同或操作障碍等原因无法以合理价格予以变现的资产，包括但不限于到期日在</w:t>
      </w:r>
      <w:r>
        <w:rPr>
          <w:rFonts w:cs="Arial" w:asciiTheme="minorEastAsia" w:hAnsiTheme="minorEastAsia" w:eastAsiaTheme="minorEastAsia"/>
          <w:bCs/>
          <w:color w:val="0C0C0C" w:themeColor="text1" w:themeTint="F2"/>
          <w:sz w:val="24"/>
          <w:szCs w:val="24"/>
        </w:rPr>
        <w:t>10</w:t>
      </w:r>
      <w:r>
        <w:rPr>
          <w:rFonts w:hint="eastAsia" w:cs="Arial" w:asciiTheme="minorEastAsia" w:hAnsiTheme="minorEastAsia" w:eastAsiaTheme="minorEastAsia"/>
          <w:bCs/>
          <w:color w:val="0C0C0C" w:themeColor="text1" w:themeTint="F2"/>
          <w:sz w:val="24"/>
          <w:szCs w:val="24"/>
        </w:rPr>
        <w:t>个交易日以上的逆回购与银行定期存款（含协议约定有条件提前支取的银行存款）、停牌股票、流通受限的新股及非公开发行股票、资产支持证券、因发行人债务违约无法进行转让或交易的债券等</w:t>
      </w:r>
    </w:p>
    <w:p w14:paraId="20DE30AE">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17C4F792">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特定投资者：指《中国证券登记结算有限责任公司深圳分公司交易型开放式基金登记结算业务指南》规定的不通过代办证券公司经纪交易单元，而通过基金管理人直销申报跨市场股票</w:t>
      </w:r>
      <w:r>
        <w:rPr>
          <w:rFonts w:cs="Arial" w:asciiTheme="minorEastAsia" w:hAnsiTheme="minorEastAsia" w:eastAsiaTheme="minorEastAsia"/>
          <w:bCs/>
          <w:color w:val="0C0C0C" w:themeColor="text1" w:themeTint="F2"/>
          <w:sz w:val="24"/>
          <w:szCs w:val="24"/>
        </w:rPr>
        <w:t>ETF</w:t>
      </w:r>
      <w:r>
        <w:rPr>
          <w:rFonts w:hint="eastAsia" w:cs="Arial" w:asciiTheme="minorEastAsia" w:hAnsiTheme="minorEastAsia" w:eastAsiaTheme="minorEastAsia"/>
          <w:bCs/>
          <w:color w:val="0C0C0C" w:themeColor="text1" w:themeTint="F2"/>
          <w:sz w:val="24"/>
          <w:szCs w:val="24"/>
        </w:rPr>
        <w:t>场外组合证券申购赎回申请的保险产品、全国社保基金、证券投资基金、证券集合资产管理计划等特殊机构及产品投资者</w:t>
      </w:r>
    </w:p>
    <w:p w14:paraId="3B2E1B23">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中国法律：指中华人民共和国法律，就本基金合同而言，不包括香港特别行政区、澳门特别行政区和台湾地区法律</w:t>
      </w:r>
    </w:p>
    <w:p w14:paraId="73B1EABF">
      <w:pPr>
        <w:numPr>
          <w:ilvl w:val="0"/>
          <w:numId w:val="2"/>
        </w:numPr>
        <w:snapToGrid w:val="0"/>
        <w:spacing w:line="360" w:lineRule="auto"/>
        <w:ind w:left="0" w:firstLine="360" w:firstLineChars="150"/>
        <w:rPr>
          <w:rFonts w:cs="Arial" w:asciiTheme="minorEastAsia" w:hAnsiTheme="minorEastAsia" w:eastAsiaTheme="minorEastAsia"/>
          <w:bCs/>
          <w:color w:val="0C0C0C" w:themeColor="text1" w:themeTint="F2"/>
          <w:sz w:val="24"/>
          <w:szCs w:val="24"/>
        </w:rPr>
      </w:pPr>
      <w:r>
        <w:rPr>
          <w:rFonts w:hint="eastAsia" w:cs="Arial" w:asciiTheme="minorEastAsia" w:hAnsiTheme="minorEastAsia" w:eastAsiaTheme="minorEastAsia"/>
          <w:bCs/>
          <w:color w:val="0C0C0C" w:themeColor="text1" w:themeTint="F2"/>
          <w:sz w:val="24"/>
          <w:szCs w:val="24"/>
        </w:rPr>
        <w:t>不可抗力：指本基金合同当事人不能预见、不能避免且不能克服的客观事件</w:t>
      </w:r>
    </w:p>
    <w:p w14:paraId="34EE2AF2">
      <w:pPr>
        <w:pStyle w:val="2"/>
        <w:rPr>
          <w:szCs w:val="24"/>
        </w:rPr>
        <w:sectPr>
          <w:footerReference r:id="rId11" w:type="default"/>
          <w:pgSz w:w="11906" w:h="16838"/>
          <w:pgMar w:top="1440" w:right="1800" w:bottom="1440" w:left="1800" w:header="851" w:footer="992" w:gutter="0"/>
          <w:pgNumType w:start="1"/>
          <w:cols w:space="425" w:num="1"/>
          <w:docGrid w:type="lines" w:linePitch="312" w:charSpace="0"/>
        </w:sectPr>
      </w:pPr>
      <w:bookmarkStart w:id="78" w:name="_Toc90742320"/>
      <w:bookmarkStart w:id="79" w:name="_Toc90742389"/>
      <w:bookmarkStart w:id="80" w:name="_Toc90742687"/>
    </w:p>
    <w:bookmarkEnd w:id="60"/>
    <w:p w14:paraId="77C730AB">
      <w:pPr>
        <w:pStyle w:val="2"/>
        <w:rPr>
          <w:szCs w:val="24"/>
        </w:rPr>
      </w:pPr>
      <w:bookmarkStart w:id="81" w:name="CTS_947a99ec03914ad29283f168953a9d59"/>
      <w:bookmarkEnd w:id="81"/>
      <w:bookmarkStart w:id="82" w:name="_Toc86655077"/>
      <w:bookmarkStart w:id="83" w:name="CLAUSE_947a99ec03914ad29283f168953a9d59"/>
      <w:r>
        <w:rPr>
          <w:rFonts w:hint="eastAsia"/>
          <w:szCs w:val="24"/>
        </w:rPr>
        <w:t xml:space="preserve">第三部分 </w:t>
      </w:r>
      <w:r>
        <w:rPr>
          <w:szCs w:val="24"/>
        </w:rPr>
        <w:t>基金的基本情况</w:t>
      </w:r>
      <w:bookmarkEnd w:id="65"/>
      <w:bookmarkEnd w:id="66"/>
      <w:bookmarkEnd w:id="67"/>
      <w:bookmarkEnd w:id="68"/>
      <w:bookmarkEnd w:id="69"/>
      <w:bookmarkEnd w:id="70"/>
      <w:bookmarkEnd w:id="71"/>
      <w:bookmarkEnd w:id="72"/>
      <w:bookmarkEnd w:id="73"/>
      <w:bookmarkEnd w:id="74"/>
      <w:bookmarkEnd w:id="75"/>
      <w:bookmarkEnd w:id="78"/>
      <w:bookmarkEnd w:id="79"/>
      <w:bookmarkEnd w:id="80"/>
      <w:bookmarkEnd w:id="82"/>
      <w:bookmarkStart w:id="84" w:name="_Toc79392573"/>
    </w:p>
    <w:p w14:paraId="6961208E">
      <w:pPr>
        <w:adjustRightInd w:val="0"/>
        <w:snapToGrid w:val="0"/>
        <w:spacing w:line="360" w:lineRule="auto"/>
        <w:rPr>
          <w:rFonts w:asciiTheme="minorEastAsia" w:hAnsiTheme="minorEastAsia" w:eastAsiaTheme="minorEastAsia"/>
          <w:bCs/>
          <w:sz w:val="24"/>
          <w:szCs w:val="24"/>
        </w:rPr>
      </w:pPr>
      <w:bookmarkStart w:id="85" w:name="_Hlt88031774"/>
      <w:bookmarkEnd w:id="85"/>
    </w:p>
    <w:p w14:paraId="6852DFB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一、基金名称</w:t>
      </w:r>
      <w:bookmarkEnd w:id="84"/>
    </w:p>
    <w:p w14:paraId="47091CB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博时国证大盘成长交易型开放式指数证券投资基金</w:t>
      </w:r>
    </w:p>
    <w:p w14:paraId="44612B03">
      <w:pPr>
        <w:adjustRightInd w:val="0"/>
        <w:snapToGrid w:val="0"/>
        <w:spacing w:line="360" w:lineRule="auto"/>
        <w:rPr>
          <w:rFonts w:asciiTheme="minorEastAsia" w:hAnsiTheme="minorEastAsia" w:eastAsiaTheme="minorEastAsia"/>
          <w:bCs/>
          <w:sz w:val="24"/>
          <w:szCs w:val="24"/>
        </w:rPr>
      </w:pPr>
      <w:bookmarkStart w:id="86" w:name="_Toc79392574"/>
    </w:p>
    <w:p w14:paraId="115FD0F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二、基金的类别</w:t>
      </w:r>
      <w:bookmarkEnd w:id="86"/>
    </w:p>
    <w:p w14:paraId="5D8F81D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股票型指数基金</w:t>
      </w:r>
    </w:p>
    <w:p w14:paraId="707EB345">
      <w:pPr>
        <w:adjustRightInd w:val="0"/>
        <w:snapToGrid w:val="0"/>
        <w:spacing w:line="360" w:lineRule="auto"/>
        <w:rPr>
          <w:rFonts w:asciiTheme="minorEastAsia" w:hAnsiTheme="minorEastAsia" w:eastAsiaTheme="minorEastAsia"/>
          <w:bCs/>
          <w:sz w:val="24"/>
          <w:szCs w:val="24"/>
        </w:rPr>
      </w:pPr>
      <w:bookmarkStart w:id="87" w:name="_Toc79392575"/>
    </w:p>
    <w:p w14:paraId="1F7765C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三、基金的运作方式</w:t>
      </w:r>
    </w:p>
    <w:p w14:paraId="42A1E87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cs="Arial" w:asciiTheme="minorEastAsia" w:hAnsiTheme="minorEastAsia" w:eastAsiaTheme="minorEastAsia"/>
          <w:color w:val="0C0C0C" w:themeColor="text1" w:themeTint="F2"/>
          <w:sz w:val="24"/>
          <w:szCs w:val="24"/>
        </w:rPr>
        <w:t>交易型</w:t>
      </w:r>
      <w:r>
        <w:rPr>
          <w:rFonts w:hint="eastAsia" w:asciiTheme="minorEastAsia" w:hAnsiTheme="minorEastAsia" w:eastAsiaTheme="minorEastAsia"/>
          <w:color w:val="0C0C0C" w:themeColor="text1" w:themeTint="F2"/>
          <w:sz w:val="24"/>
          <w:szCs w:val="24"/>
        </w:rPr>
        <w:t>开放式</w:t>
      </w:r>
    </w:p>
    <w:p w14:paraId="58E53F47">
      <w:pPr>
        <w:adjustRightInd w:val="0"/>
        <w:snapToGrid w:val="0"/>
        <w:spacing w:line="360" w:lineRule="auto"/>
        <w:rPr>
          <w:rFonts w:asciiTheme="minorEastAsia" w:hAnsiTheme="minorEastAsia" w:eastAsiaTheme="minorEastAsia"/>
          <w:bCs/>
          <w:sz w:val="24"/>
          <w:szCs w:val="24"/>
        </w:rPr>
      </w:pPr>
    </w:p>
    <w:p w14:paraId="6111ADB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四、基金的投资目标</w:t>
      </w:r>
      <w:bookmarkEnd w:id="87"/>
    </w:p>
    <w:p w14:paraId="0AA7F40A">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cs="Arial" w:asciiTheme="minorEastAsia" w:hAnsiTheme="minorEastAsia" w:eastAsiaTheme="minorEastAsia"/>
          <w:color w:val="0C0C0C" w:themeColor="text1" w:themeTint="F2"/>
          <w:sz w:val="24"/>
          <w:szCs w:val="24"/>
        </w:rPr>
        <w:t>紧密跟踪标的指数，追求跟踪偏离度和跟踪误差的最小化</w:t>
      </w:r>
      <w:r>
        <w:rPr>
          <w:rFonts w:hint="eastAsia" w:cs="Arial" w:asciiTheme="minorEastAsia" w:hAnsiTheme="minorEastAsia" w:eastAsiaTheme="minorEastAsia"/>
          <w:color w:val="0C0C0C" w:themeColor="text1" w:themeTint="F2"/>
          <w:sz w:val="24"/>
          <w:szCs w:val="24"/>
        </w:rPr>
        <w:t>。</w:t>
      </w:r>
    </w:p>
    <w:p w14:paraId="70CD0EDF">
      <w:pPr>
        <w:adjustRightInd w:val="0"/>
        <w:snapToGrid w:val="0"/>
        <w:spacing w:line="360" w:lineRule="auto"/>
        <w:rPr>
          <w:rFonts w:asciiTheme="minorEastAsia" w:hAnsiTheme="minorEastAsia" w:eastAsiaTheme="minorEastAsia"/>
          <w:color w:val="0C0C0C" w:themeColor="text1" w:themeTint="F2"/>
          <w:sz w:val="24"/>
          <w:szCs w:val="24"/>
        </w:rPr>
      </w:pPr>
    </w:p>
    <w:p w14:paraId="3DA75A0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五、基金</w:t>
      </w:r>
      <w:r>
        <w:rPr>
          <w:rFonts w:hint="eastAsia" w:cs="Arial" w:asciiTheme="minorEastAsia" w:hAnsiTheme="minorEastAsia" w:eastAsiaTheme="minorEastAsia"/>
          <w:color w:val="0C0C0C" w:themeColor="text1" w:themeTint="F2"/>
          <w:sz w:val="24"/>
          <w:szCs w:val="24"/>
        </w:rPr>
        <w:t>标</w:t>
      </w:r>
      <w:r>
        <w:rPr>
          <w:rFonts w:hint="eastAsia" w:asciiTheme="minorEastAsia" w:hAnsiTheme="minorEastAsia" w:eastAsiaTheme="minorEastAsia"/>
          <w:color w:val="0C0C0C" w:themeColor="text1" w:themeTint="F2"/>
          <w:sz w:val="24"/>
          <w:szCs w:val="24"/>
        </w:rPr>
        <w:t>的</w:t>
      </w:r>
      <w:r>
        <w:rPr>
          <w:rFonts w:hint="eastAsia" w:cs="Arial" w:asciiTheme="minorEastAsia" w:hAnsiTheme="minorEastAsia" w:eastAsiaTheme="minorEastAsia"/>
          <w:color w:val="0C0C0C" w:themeColor="text1" w:themeTint="F2"/>
          <w:sz w:val="24"/>
          <w:szCs w:val="24"/>
        </w:rPr>
        <w:t>指数</w:t>
      </w:r>
    </w:p>
    <w:p w14:paraId="29CE6E50">
      <w:pPr>
        <w:adjustRightInd w:val="0"/>
        <w:snapToGrid w:val="0"/>
        <w:spacing w:line="360" w:lineRule="auto"/>
        <w:ind w:firstLine="480" w:firstLineChars="200"/>
        <w:rPr>
          <w:rFonts w:cs="Arial" w:asciiTheme="minorEastAsia" w:hAnsiTheme="minorEastAsia" w:eastAsiaTheme="minorEastAsia"/>
          <w:color w:val="0C0C0C" w:themeColor="text1" w:themeTint="F2"/>
          <w:kern w:val="0"/>
          <w:sz w:val="24"/>
          <w:szCs w:val="24"/>
        </w:rPr>
      </w:pPr>
      <w:r>
        <w:rPr>
          <w:rFonts w:hint="eastAsia" w:cs="Arial" w:asciiTheme="minorEastAsia" w:hAnsiTheme="minorEastAsia" w:eastAsiaTheme="minorEastAsia"/>
          <w:color w:val="0C0C0C" w:themeColor="text1" w:themeTint="F2"/>
          <w:kern w:val="0"/>
          <w:sz w:val="24"/>
          <w:szCs w:val="24"/>
        </w:rPr>
        <w:t>国证大盘成长指数</w:t>
      </w:r>
    </w:p>
    <w:p w14:paraId="2D6D5A5B">
      <w:pPr>
        <w:snapToGrid w:val="0"/>
        <w:spacing w:line="360" w:lineRule="auto"/>
        <w:rPr>
          <w:rFonts w:asciiTheme="minorEastAsia" w:hAnsiTheme="minorEastAsia" w:eastAsiaTheme="minorEastAsia"/>
          <w:sz w:val="24"/>
          <w:szCs w:val="24"/>
        </w:rPr>
      </w:pPr>
      <w:bookmarkStart w:id="88" w:name="_Toc79392577"/>
    </w:p>
    <w:p w14:paraId="44875DC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六、基金的最低募集份额总额</w:t>
      </w:r>
    </w:p>
    <w:p w14:paraId="499B821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本基金的最低募集份额总额为2亿份。</w:t>
      </w:r>
    </w:p>
    <w:p w14:paraId="39DB2478">
      <w:pPr>
        <w:snapToGrid w:val="0"/>
        <w:spacing w:line="360" w:lineRule="auto"/>
        <w:rPr>
          <w:rFonts w:asciiTheme="minorEastAsia" w:hAnsiTheme="minorEastAsia" w:eastAsiaTheme="minorEastAsia"/>
          <w:bCs/>
          <w:sz w:val="24"/>
          <w:szCs w:val="24"/>
        </w:rPr>
      </w:pPr>
    </w:p>
    <w:p w14:paraId="6E18A07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七、基金份额发售面值和认购费用</w:t>
      </w:r>
    </w:p>
    <w:p w14:paraId="2EF8180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本基金基金份额发售面值为人民币</w:t>
      </w:r>
      <w:r>
        <w:rPr>
          <w:rFonts w:asciiTheme="minorEastAsia" w:hAnsiTheme="minorEastAsia" w:eastAsiaTheme="minorEastAsia"/>
          <w:sz w:val="24"/>
          <w:szCs w:val="24"/>
        </w:rPr>
        <w:t>1.00</w:t>
      </w:r>
      <w:r>
        <w:rPr>
          <w:rFonts w:hint="eastAsia" w:asciiTheme="minorEastAsia" w:hAnsiTheme="minorEastAsia" w:eastAsiaTheme="minorEastAsia"/>
          <w:sz w:val="24"/>
          <w:szCs w:val="24"/>
        </w:rPr>
        <w:t>元。</w:t>
      </w:r>
    </w:p>
    <w:p w14:paraId="542BBA6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本基金具体认购费率按招募说明书及基金产品资料概要的规定执行。</w:t>
      </w:r>
    </w:p>
    <w:p w14:paraId="48391AC7">
      <w:pPr>
        <w:adjustRightInd w:val="0"/>
        <w:snapToGrid w:val="0"/>
        <w:spacing w:line="360" w:lineRule="auto"/>
        <w:rPr>
          <w:rFonts w:asciiTheme="minorEastAsia" w:hAnsiTheme="minorEastAsia" w:eastAsiaTheme="minorEastAsia"/>
          <w:bCs/>
          <w:sz w:val="24"/>
          <w:szCs w:val="24"/>
        </w:rPr>
      </w:pPr>
    </w:p>
    <w:p w14:paraId="28ABA33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八</w:t>
      </w:r>
      <w:bookmarkEnd w:id="88"/>
      <w:bookmarkStart w:id="89" w:name="_Toc79392578"/>
      <w:r>
        <w:rPr>
          <w:rFonts w:hint="eastAsia" w:asciiTheme="minorEastAsia" w:hAnsiTheme="minorEastAsia" w:eastAsiaTheme="minorEastAsia"/>
          <w:color w:val="0C0C0C" w:themeColor="text1" w:themeTint="F2"/>
          <w:sz w:val="24"/>
          <w:szCs w:val="24"/>
        </w:rPr>
        <w:t>、基金存续期限</w:t>
      </w:r>
      <w:bookmarkEnd w:id="89"/>
    </w:p>
    <w:p w14:paraId="3253061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不定期</w:t>
      </w:r>
    </w:p>
    <w:p w14:paraId="50832553">
      <w:pPr>
        <w:adjustRightInd w:val="0"/>
        <w:snapToGrid w:val="0"/>
        <w:spacing w:line="360" w:lineRule="auto"/>
        <w:rPr>
          <w:rFonts w:asciiTheme="minorEastAsia" w:hAnsiTheme="minorEastAsia" w:eastAsiaTheme="minorEastAsia"/>
          <w:bCs/>
          <w:sz w:val="24"/>
          <w:szCs w:val="24"/>
        </w:rPr>
      </w:pPr>
    </w:p>
    <w:p w14:paraId="504B3A5E">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九、发行联接基金或增设新的份额类别等相关业务</w:t>
      </w:r>
    </w:p>
    <w:p w14:paraId="1838D248">
      <w:pPr>
        <w:spacing w:line="360" w:lineRule="auto"/>
        <w:ind w:firstLine="480" w:firstLineChars="200"/>
        <w:rPr>
          <w:rFonts w:cs="Arial" w:asciiTheme="minorEastAsia" w:hAnsiTheme="minorEastAsia" w:eastAsiaTheme="minorEastAsia"/>
          <w:color w:val="0C0C0C" w:themeColor="text1" w:themeTint="F2"/>
          <w:sz w:val="24"/>
          <w:szCs w:val="24"/>
        </w:rPr>
      </w:pPr>
      <w:bookmarkStart w:id="90" w:name="_Toc90742391"/>
      <w:bookmarkStart w:id="91" w:name="_Toc90742322"/>
      <w:bookmarkStart w:id="92" w:name="_Toc90742689"/>
      <w:r>
        <w:rPr>
          <w:rFonts w:hint="eastAsia" w:cs="Arial" w:asciiTheme="minorEastAsia" w:hAnsiTheme="minorEastAsia" w:eastAsiaTheme="minorEastAsia"/>
          <w:color w:val="0C0C0C" w:themeColor="text1" w:themeTint="F2"/>
          <w:sz w:val="24"/>
          <w:szCs w:val="24"/>
        </w:rPr>
        <w:t>在不违反法律法规及对基金份额持有人利益无实质性不利影响的前提下，基金管理人可根据基金发展需要，经与基金托管人协商一致并履行相关程序后，为本基金募集并管理以本基金为目标ETF的一只或多只联接基金，或增设新的基金份额类别，</w:t>
      </w:r>
      <w:r>
        <w:rPr>
          <w:rFonts w:hint="eastAsia" w:cs="Arial" w:asciiTheme="minorEastAsia" w:hAnsiTheme="minorEastAsia" w:eastAsiaTheme="minorEastAsia"/>
          <w:bCs/>
          <w:color w:val="0C0C0C" w:themeColor="text1" w:themeTint="F2"/>
          <w:sz w:val="24"/>
          <w:szCs w:val="24"/>
        </w:rPr>
        <w:t>或开通场外申购、赎回等相关业务并制定、公布相应的交易规则等，</w:t>
      </w:r>
      <w:r>
        <w:rPr>
          <w:rFonts w:hint="eastAsia" w:cs="Arial" w:asciiTheme="minorEastAsia" w:hAnsiTheme="minorEastAsia" w:eastAsiaTheme="minorEastAsia"/>
          <w:color w:val="0C0C0C" w:themeColor="text1" w:themeTint="F2"/>
          <w:sz w:val="24"/>
          <w:szCs w:val="24"/>
        </w:rPr>
        <w:t>无</w:t>
      </w:r>
      <w:r>
        <w:rPr>
          <w:rFonts w:cs="Arial" w:asciiTheme="minorEastAsia" w:hAnsiTheme="minorEastAsia" w:eastAsiaTheme="minorEastAsia"/>
          <w:color w:val="0C0C0C" w:themeColor="text1" w:themeTint="F2"/>
          <w:sz w:val="24"/>
          <w:szCs w:val="24"/>
        </w:rPr>
        <w:t>需</w:t>
      </w:r>
      <w:r>
        <w:rPr>
          <w:rFonts w:hint="eastAsia" w:cs="Arial" w:asciiTheme="minorEastAsia" w:hAnsiTheme="minorEastAsia" w:eastAsiaTheme="minorEastAsia"/>
          <w:color w:val="0C0C0C" w:themeColor="text1" w:themeTint="F2"/>
          <w:sz w:val="24"/>
          <w:szCs w:val="24"/>
        </w:rPr>
        <w:t>召开基金份额持有人大会审议。</w:t>
      </w:r>
    </w:p>
    <w:p w14:paraId="3CDD4356">
      <w:pPr>
        <w:spacing w:line="360" w:lineRule="auto"/>
        <w:rPr>
          <w:rFonts w:cs="Arial" w:asciiTheme="minorEastAsia" w:hAnsiTheme="minorEastAsia" w:eastAsiaTheme="minorEastAsia"/>
          <w:color w:val="0C0C0C" w:themeColor="text1" w:themeTint="F2"/>
          <w:sz w:val="24"/>
          <w:szCs w:val="24"/>
        </w:rPr>
      </w:pPr>
    </w:p>
    <w:p w14:paraId="0A7FF815">
      <w:pPr>
        <w:sectPr>
          <w:footerReference r:id="rId12" w:type="default"/>
          <w:pgSz w:w="11906" w:h="16838"/>
          <w:pgMar w:top="1440" w:right="1800" w:bottom="1440" w:left="1800" w:header="851" w:footer="992" w:gutter="0"/>
          <w:pgNumType w:start="1"/>
          <w:cols w:space="425" w:num="1"/>
          <w:docGrid w:type="lines" w:linePitch="312" w:charSpace="0"/>
        </w:sectPr>
      </w:pPr>
    </w:p>
    <w:bookmarkEnd w:id="83"/>
    <w:p w14:paraId="46F885BC">
      <w:pPr>
        <w:pStyle w:val="2"/>
        <w:rPr>
          <w:szCs w:val="24"/>
        </w:rPr>
      </w:pPr>
      <w:bookmarkStart w:id="93" w:name="CTS_411678b0fc2f4e7e85ab796e80ab1926"/>
      <w:bookmarkEnd w:id="93"/>
      <w:bookmarkStart w:id="94" w:name="_Toc86655078"/>
      <w:bookmarkStart w:id="95" w:name="CLAUSE_411678b0fc2f4e7e85ab796e80ab1926"/>
      <w:r>
        <w:rPr>
          <w:rFonts w:hint="eastAsia"/>
          <w:szCs w:val="24"/>
        </w:rPr>
        <w:t xml:space="preserve">第四部分 </w:t>
      </w:r>
      <w:r>
        <w:rPr>
          <w:szCs w:val="24"/>
        </w:rPr>
        <w:t>基金</w:t>
      </w:r>
      <w:bookmarkEnd w:id="90"/>
      <w:bookmarkEnd w:id="91"/>
      <w:bookmarkEnd w:id="92"/>
      <w:r>
        <w:rPr>
          <w:rFonts w:hint="eastAsia"/>
          <w:szCs w:val="24"/>
        </w:rPr>
        <w:t>份额的发售</w:t>
      </w:r>
      <w:bookmarkEnd w:id="94"/>
    </w:p>
    <w:p w14:paraId="7D41964F">
      <w:pPr>
        <w:adjustRightInd w:val="0"/>
        <w:snapToGrid w:val="0"/>
        <w:spacing w:line="360" w:lineRule="auto"/>
        <w:rPr>
          <w:rFonts w:asciiTheme="minorEastAsia" w:hAnsiTheme="minorEastAsia" w:eastAsiaTheme="minorEastAsia"/>
          <w:bCs/>
          <w:kern w:val="44"/>
          <w:sz w:val="24"/>
          <w:szCs w:val="24"/>
        </w:rPr>
      </w:pPr>
    </w:p>
    <w:p w14:paraId="4E95AB7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一、基金份额的发售时间、发售方式、发售对象</w:t>
      </w:r>
    </w:p>
    <w:p w14:paraId="6BB5158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、发售时间</w:t>
      </w:r>
    </w:p>
    <w:p w14:paraId="7BF04C2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自基金份额发售之日起最长不得超过</w:t>
      </w: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个月，具体发售时间见基金份额发售公告。</w:t>
      </w:r>
    </w:p>
    <w:p w14:paraId="0E595AF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、发售方式</w:t>
      </w:r>
    </w:p>
    <w:p w14:paraId="6C148FB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投资人可选择网上现金认购、网下现金认购和网下股票认购三种方式认购本基金：</w:t>
      </w:r>
    </w:p>
    <w:p w14:paraId="5926960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网上现金认购是指投资人通过基金管理人指定的发售代理机构通过深圳证券交易所网上系统以现金进行的认购；</w:t>
      </w:r>
    </w:p>
    <w:p w14:paraId="3D1B5EC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网下现金认购是指投资人通过基金管理人及其指定的发售代理机构以现金进行的认购；</w:t>
      </w:r>
    </w:p>
    <w:p w14:paraId="53ACD59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网下股票认购是指投资人通过基金管理人及其指定的发售代理机构以股票进行的认购。</w:t>
      </w:r>
    </w:p>
    <w:p w14:paraId="681C698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4AB5721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基金管理人可依据实际情况增减、变更发售代理机构，发售代理机构的具体名单见基金份额发售公告以及基金管理人网站。</w:t>
      </w:r>
    </w:p>
    <w:p w14:paraId="5DFD7A1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若证券交易所、中国证券登记结算有限责任公司对发售方式、发售场所有所调整的，本基金将进行相应调整。</w:t>
      </w:r>
    </w:p>
    <w:p w14:paraId="32E06C3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2D3F230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、发售对象</w:t>
      </w:r>
    </w:p>
    <w:p w14:paraId="14E43FD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符合法律法规规定的可投资于证券投资基金的个人投资者、机构投资者、合格境外投资者以及法律法规或中国证监会允许购买证券投资基金的其他投资人。</w:t>
      </w:r>
    </w:p>
    <w:p w14:paraId="00AAD4F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二、基金份额的认购</w:t>
      </w:r>
    </w:p>
    <w:p w14:paraId="6A6673A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、认购费用</w:t>
      </w:r>
    </w:p>
    <w:p w14:paraId="737DA30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本基金的认购费率由基金管理人决定，并在招募说明书、基金产品资料概要和基金份额发售公告中列示。基金认购费用不列入基金财产。</w:t>
      </w:r>
    </w:p>
    <w:p w14:paraId="4BEA017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、募集期资金和股票的处理方式</w:t>
      </w:r>
    </w:p>
    <w:p w14:paraId="0033E2A7">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应将基金募集期间募集的资金存入专门账户，网下股票认购募集的股票按照交易所和登记机构的规则和流程办理股票的冻结与过户，上述资金及网下股票认购募集的股票在基金募集行为结束前任何人不得动用。</w:t>
      </w:r>
    </w:p>
    <w:p w14:paraId="14EE0AC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、募集期利息与募集股票权益的处理方式</w:t>
      </w:r>
    </w:p>
    <w:p w14:paraId="701C5B7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网下现金认购及网上现金认购的有效认购资金在募集期间产生的利息将折算为基金份额归基金份额持有人所有。投资者的认购股票在股票认购日至登记机构进行股票过户日的冻结期间的权益归投资者所有。</w:t>
      </w:r>
    </w:p>
    <w:p w14:paraId="1FBD3227">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、基金认购份额的计算</w:t>
      </w:r>
    </w:p>
    <w:p w14:paraId="294C06B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基金认购份额具体的计算方法在招募说明书中列示。</w:t>
      </w:r>
    </w:p>
    <w:p w14:paraId="739ACC0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5</w:t>
      </w:r>
      <w:r>
        <w:rPr>
          <w:rFonts w:hint="eastAsia" w:asciiTheme="minorEastAsia" w:hAnsiTheme="minorEastAsia" w:eastAsiaTheme="minorEastAsia"/>
          <w:color w:val="0C0C0C" w:themeColor="text1" w:themeTint="F2"/>
          <w:kern w:val="0"/>
          <w:sz w:val="24"/>
          <w:szCs w:val="24"/>
        </w:rPr>
        <w:t>、基金份额认购的限制</w:t>
      </w:r>
    </w:p>
    <w:p w14:paraId="536343D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基金管理人可以对投资者的认购数额进行限制，具体限制和处理方式请参看招募说明书或相关公告。</w:t>
      </w:r>
    </w:p>
    <w:p w14:paraId="114D999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三、基金认购的其他具体规定</w:t>
      </w:r>
    </w:p>
    <w:p w14:paraId="50E18FC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投资人认购原则、认购时间安排、投资人认购应提交的文件和办理的手续等事项，由基金管理人根据相关法律法规以及本基金合同的规定，在招募说明书或基金份额发售公告中确定并披露。</w:t>
      </w:r>
      <w:bookmarkStart w:id="96" w:name="_Hlt70495313"/>
      <w:bookmarkEnd w:id="96"/>
    </w:p>
    <w:p w14:paraId="7710EE7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四、本基金可设置首次募集规模上限，具体募集上限及规模控制的方案详见基金份额发售公告或其他公告。若本基金设置首次募集规模上限，基金合同生效后不受首次募集规模的限制。</w:t>
      </w:r>
    </w:p>
    <w:p w14:paraId="359A628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p>
    <w:bookmarkEnd w:id="95"/>
    <w:p w14:paraId="0CC39263">
      <w:pPr>
        <w:pStyle w:val="2"/>
        <w:rPr>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162BE250">
      <w:pPr>
        <w:pStyle w:val="2"/>
        <w:rPr>
          <w:szCs w:val="24"/>
        </w:rPr>
      </w:pPr>
      <w:bookmarkStart w:id="97" w:name="CTS_82005793dce748a79111178f94002b78"/>
      <w:bookmarkEnd w:id="97"/>
      <w:bookmarkStart w:id="98" w:name="_Toc86655079"/>
      <w:bookmarkStart w:id="99" w:name="CLAUSE_82005793dce748a79111178f94002b78"/>
      <w:r>
        <w:rPr>
          <w:rFonts w:hint="eastAsia"/>
          <w:szCs w:val="24"/>
        </w:rPr>
        <w:t>第五部分 基金备案</w:t>
      </w:r>
      <w:bookmarkEnd w:id="98"/>
    </w:p>
    <w:p w14:paraId="4F8FBA7A">
      <w:pPr>
        <w:adjustRightInd w:val="0"/>
        <w:snapToGrid w:val="0"/>
        <w:spacing w:line="360" w:lineRule="auto"/>
        <w:rPr>
          <w:rFonts w:asciiTheme="minorEastAsia" w:hAnsiTheme="minorEastAsia" w:eastAsiaTheme="minorEastAsia"/>
          <w:bCs/>
          <w:sz w:val="24"/>
          <w:szCs w:val="24"/>
        </w:rPr>
      </w:pPr>
    </w:p>
    <w:p w14:paraId="63060AF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一、基金备案的条件</w:t>
      </w:r>
    </w:p>
    <w:p w14:paraId="513B5CD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本基金自基金份额发售之日起</w:t>
      </w: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个月内，在基金募集份额总额不少于</w:t>
      </w: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亿份，基金募集金额（含网下股票认购所募集的股票按基金合同约定的估值方法计算的价值）不少于</w:t>
      </w: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亿元人民币且基金认购人数不少于</w:t>
      </w:r>
      <w:r>
        <w:rPr>
          <w:rFonts w:asciiTheme="minorEastAsia" w:hAnsiTheme="minorEastAsia" w:eastAsiaTheme="minorEastAsia"/>
          <w:color w:val="0C0C0C" w:themeColor="text1" w:themeTint="F2"/>
          <w:kern w:val="0"/>
          <w:sz w:val="24"/>
          <w:szCs w:val="24"/>
        </w:rPr>
        <w:t>200</w:t>
      </w:r>
      <w:r>
        <w:rPr>
          <w:rFonts w:hint="eastAsia" w:asciiTheme="minorEastAsia" w:hAnsiTheme="minorEastAsia" w:eastAsiaTheme="minorEastAsia"/>
          <w:color w:val="0C0C0C" w:themeColor="text1" w:themeTint="F2"/>
          <w:kern w:val="0"/>
          <w:sz w:val="24"/>
          <w:szCs w:val="24"/>
        </w:rPr>
        <w:t>人的条件下，基金募集期届满或基金管理人依据法律法规及招募说明书可以决定停止基金发售，并在</w:t>
      </w:r>
      <w:r>
        <w:rPr>
          <w:rFonts w:asciiTheme="minorEastAsia" w:hAnsiTheme="minorEastAsia" w:eastAsiaTheme="minorEastAsia"/>
          <w:color w:val="0C0C0C" w:themeColor="text1" w:themeTint="F2"/>
          <w:kern w:val="0"/>
          <w:sz w:val="24"/>
          <w:szCs w:val="24"/>
        </w:rPr>
        <w:t>10</w:t>
      </w:r>
      <w:r>
        <w:rPr>
          <w:rFonts w:hint="eastAsia" w:asciiTheme="minorEastAsia" w:hAnsiTheme="minorEastAsia" w:eastAsiaTheme="minorEastAsia"/>
          <w:color w:val="0C0C0C" w:themeColor="text1" w:themeTint="F2"/>
          <w:kern w:val="0"/>
          <w:sz w:val="24"/>
          <w:szCs w:val="24"/>
        </w:rPr>
        <w:t>日内聘请法定验资机构验资，自收到验资报告之日起</w:t>
      </w:r>
      <w:r>
        <w:rPr>
          <w:rFonts w:asciiTheme="minorEastAsia" w:hAnsiTheme="minorEastAsia" w:eastAsiaTheme="minorEastAsia"/>
          <w:color w:val="0C0C0C" w:themeColor="text1" w:themeTint="F2"/>
          <w:kern w:val="0"/>
          <w:sz w:val="24"/>
          <w:szCs w:val="24"/>
        </w:rPr>
        <w:t>10</w:t>
      </w:r>
      <w:r>
        <w:rPr>
          <w:rFonts w:hint="eastAsia" w:asciiTheme="minorEastAsia" w:hAnsiTheme="minorEastAsia" w:eastAsiaTheme="minorEastAsia"/>
          <w:color w:val="0C0C0C" w:themeColor="text1" w:themeTint="F2"/>
          <w:kern w:val="0"/>
          <w:sz w:val="24"/>
          <w:szCs w:val="24"/>
        </w:rPr>
        <w:t>日内，向中国证监会办理基金备案手续。</w:t>
      </w:r>
    </w:p>
    <w:p w14:paraId="2C533B5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网下股票认购募集的股票按照交易所和登记机构的规则和流程办理股票的冻结与过户，在基金募集行为结束前任何人不得动用。</w:t>
      </w:r>
    </w:p>
    <w:p w14:paraId="6254223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二、基金合同不能生效时募集资金及股票的处理方式</w:t>
      </w:r>
    </w:p>
    <w:p w14:paraId="2119E17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如果募集期限届满，未满足基金备案条件，基金管理人应当承担下列责任：</w:t>
      </w:r>
    </w:p>
    <w:p w14:paraId="0BEF537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、以其固有财产承担因募集行为而产生的债务和费用；</w:t>
      </w:r>
    </w:p>
    <w:p w14:paraId="7ED8327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、在基金募集期限届满后</w:t>
      </w:r>
      <w:r>
        <w:rPr>
          <w:rFonts w:asciiTheme="minorEastAsia" w:hAnsiTheme="minorEastAsia" w:eastAsiaTheme="minorEastAsia"/>
          <w:color w:val="0C0C0C" w:themeColor="text1" w:themeTint="F2"/>
          <w:kern w:val="0"/>
          <w:sz w:val="24"/>
          <w:szCs w:val="24"/>
        </w:rPr>
        <w:t>30</w:t>
      </w:r>
      <w:r>
        <w:rPr>
          <w:rFonts w:hint="eastAsia" w:asciiTheme="minorEastAsia" w:hAnsiTheme="minorEastAsia" w:eastAsiaTheme="minorEastAsia"/>
          <w:color w:val="0C0C0C" w:themeColor="text1" w:themeTint="F2"/>
          <w:kern w:val="0"/>
          <w:sz w:val="24"/>
          <w:szCs w:val="24"/>
        </w:rPr>
        <w:t>日内返还投资者已</w:t>
      </w:r>
      <w:r>
        <w:rPr>
          <w:rFonts w:asciiTheme="minorEastAsia" w:hAnsiTheme="minorEastAsia" w:eastAsiaTheme="minorEastAsia"/>
          <w:color w:val="0C0C0C" w:themeColor="text1" w:themeTint="F2"/>
          <w:kern w:val="0"/>
          <w:sz w:val="24"/>
          <w:szCs w:val="24"/>
        </w:rPr>
        <w:t>交</w:t>
      </w:r>
      <w:r>
        <w:rPr>
          <w:rFonts w:hint="eastAsia" w:asciiTheme="minorEastAsia" w:hAnsiTheme="minorEastAsia" w:eastAsiaTheme="minorEastAsia"/>
          <w:color w:val="0C0C0C" w:themeColor="text1" w:themeTint="F2"/>
          <w:kern w:val="0"/>
          <w:sz w:val="24"/>
          <w:szCs w:val="24"/>
        </w:rPr>
        <w:t>纳的款项，并加计银行同期活期存款利息；已冻结的股票应根据交易所及登记机构相关规则予以解冻，登记机构及发售代理机构将协助基金管理人完成相关资金和股票的退还工作，基金管理人不承担相关股票冻结期间交易价格波动的责任；</w:t>
      </w:r>
    </w:p>
    <w:p w14:paraId="0A81C16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、如基金募集失败，基金管理人、基金托管人及发售代理机构不得请求报酬。基金管理人、基金托管人和发售代理机构为基金募集支付之一切费用应由各方各自承担。</w:t>
      </w:r>
    </w:p>
    <w:p w14:paraId="1383553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三、基金存续期内的基金份额持有人数量和资产规模</w:t>
      </w:r>
    </w:p>
    <w:p w14:paraId="419FDAD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《基金合同》生效后，连续20个工作日出现基金份额持有人数量不满200人或者基金资产净值低于5000 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进行表决。</w:t>
      </w:r>
    </w:p>
    <w:p w14:paraId="799AC93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法律法规或中国证监会另有规定时，从其规定。</w:t>
      </w:r>
    </w:p>
    <w:p w14:paraId="2D4668C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p>
    <w:bookmarkEnd w:id="99"/>
    <w:p w14:paraId="619F95F7">
      <w:pPr>
        <w:snapToGrid w:val="0"/>
        <w:spacing w:line="360" w:lineRule="auto"/>
        <w:ind w:firstLine="482" w:firstLineChars="200"/>
        <w:rPr>
          <w:rFonts w:asciiTheme="minorEastAsia" w:hAnsiTheme="minorEastAsia" w:eastAsiaTheme="minorEastAsia"/>
          <w:b/>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67470205">
      <w:pPr>
        <w:pStyle w:val="2"/>
        <w:rPr>
          <w:szCs w:val="24"/>
        </w:rPr>
      </w:pPr>
      <w:bookmarkStart w:id="100" w:name="CTS_f8a2c7ea9115405eb5690619f2e812cd"/>
      <w:bookmarkEnd w:id="100"/>
      <w:bookmarkStart w:id="101" w:name="_Toc86655080"/>
      <w:bookmarkStart w:id="102" w:name="CLAUSE_f8a2c7ea9115405eb5690619f2e812cd"/>
      <w:r>
        <w:rPr>
          <w:rFonts w:hint="eastAsia"/>
          <w:szCs w:val="24"/>
        </w:rPr>
        <w:t xml:space="preserve">第六部分 </w:t>
      </w:r>
      <w:r>
        <w:rPr>
          <w:szCs w:val="24"/>
        </w:rPr>
        <w:t>基金份额折算与变更登记</w:t>
      </w:r>
      <w:bookmarkEnd w:id="101"/>
    </w:p>
    <w:p w14:paraId="29EB5DFA">
      <w:pPr>
        <w:adjustRightInd w:val="0"/>
        <w:snapToGrid w:val="0"/>
        <w:spacing w:line="360" w:lineRule="auto"/>
        <w:rPr>
          <w:rFonts w:cs="Arial" w:asciiTheme="minorEastAsia" w:hAnsiTheme="minorEastAsia" w:eastAsiaTheme="minorEastAsia"/>
          <w:color w:val="0C0C0C" w:themeColor="text1" w:themeTint="F2"/>
          <w:kern w:val="0"/>
          <w:sz w:val="24"/>
          <w:szCs w:val="24"/>
        </w:rPr>
      </w:pPr>
    </w:p>
    <w:p w14:paraId="4FAAA03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基金合同生效后，本基金可以进行份额折算。</w:t>
      </w:r>
    </w:p>
    <w:p w14:paraId="337A76B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一、基金份额折算的时间</w:t>
      </w:r>
    </w:p>
    <w:p w14:paraId="3B82E3F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基金管理人应事先确定基金份额折算日，并依照《信息披露办法》的有关规定进行公告。</w:t>
      </w:r>
    </w:p>
    <w:p w14:paraId="0BA7ACB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二、基金份额折算的原则</w:t>
      </w:r>
    </w:p>
    <w:p w14:paraId="29688CA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基金份额折算由基金管理人向登记机构申请办理，并由登记机构进行基金份额的变更登记。</w:t>
      </w:r>
      <w:r>
        <w:rPr>
          <w:rFonts w:hint="eastAsia" w:asciiTheme="minorEastAsia" w:hAnsiTheme="minorEastAsia" w:eastAsiaTheme="minorEastAsia"/>
          <w:bCs/>
          <w:color w:val="0C0C0C" w:themeColor="text1" w:themeTint="F2"/>
          <w:kern w:val="0"/>
          <w:sz w:val="24"/>
          <w:szCs w:val="24"/>
        </w:rPr>
        <w:t>基金份额折算的比例和具体安排见基金管理人届时发布的相关公告。</w:t>
      </w:r>
    </w:p>
    <w:p w14:paraId="64E9C6F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w:t>
      </w:r>
      <w:r>
        <w:rPr>
          <w:rFonts w:hint="eastAsia" w:asciiTheme="minorEastAsia" w:hAnsiTheme="minorEastAsia" w:eastAsiaTheme="minorEastAsia"/>
          <w:bCs/>
          <w:color w:val="0C0C0C" w:themeColor="text1" w:themeTint="F2"/>
          <w:kern w:val="0"/>
          <w:sz w:val="24"/>
          <w:szCs w:val="24"/>
        </w:rPr>
        <w:t>（因尾数处理而产生的损益不视为实质性影响），无需召开基金份额持有人大会审议</w:t>
      </w:r>
      <w:r>
        <w:rPr>
          <w:rFonts w:hint="eastAsia" w:asciiTheme="minorEastAsia" w:hAnsiTheme="minorEastAsia" w:eastAsiaTheme="minorEastAsia"/>
          <w:color w:val="0C0C0C" w:themeColor="text1" w:themeTint="F2"/>
          <w:kern w:val="0"/>
          <w:sz w:val="24"/>
          <w:szCs w:val="24"/>
        </w:rPr>
        <w:t>。基金份额折算后，基金份额持有人将按照折算后的基金份额享有权利并承担义务。</w:t>
      </w:r>
    </w:p>
    <w:p w14:paraId="16C96A9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如果基金份额折算过程中发生不可抗力等特殊情形，基金管理人可延迟办理基金份额折算。</w:t>
      </w:r>
    </w:p>
    <w:p w14:paraId="36BBE0F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三、基金份额折算的方法</w:t>
      </w:r>
    </w:p>
    <w:p w14:paraId="657E5AE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基金份额折算的具体方法在份额折算公告中列示。</w:t>
      </w:r>
    </w:p>
    <w:p w14:paraId="07FBE2BC">
      <w:pPr>
        <w:pStyle w:val="22"/>
        <w:adjustRightInd w:val="0"/>
        <w:snapToGrid w:val="0"/>
        <w:rPr>
          <w:rFonts w:cs="Arial" w:asciiTheme="minorEastAsia" w:hAnsiTheme="minorEastAsia" w:eastAsiaTheme="minorEastAsia"/>
          <w:color w:val="0C0C0C" w:themeColor="text1" w:themeTint="F2"/>
          <w:sz w:val="24"/>
        </w:rPr>
      </w:pPr>
    </w:p>
    <w:bookmarkEnd w:id="102"/>
    <w:p w14:paraId="5DB5D796">
      <w:pPr>
        <w:pStyle w:val="2"/>
        <w:rPr>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55F2FA83">
      <w:pPr>
        <w:pStyle w:val="2"/>
        <w:rPr>
          <w:szCs w:val="24"/>
        </w:rPr>
      </w:pPr>
      <w:bookmarkStart w:id="103" w:name="CTS_2602dfeb98664f4e9342b071e32d99ea"/>
      <w:bookmarkEnd w:id="103"/>
      <w:bookmarkStart w:id="104" w:name="_Toc86655081"/>
      <w:bookmarkStart w:id="105" w:name="CLAUSE_2602dfeb98664f4e9342b071e32d99ea"/>
      <w:r>
        <w:rPr>
          <w:rFonts w:hint="eastAsia"/>
          <w:szCs w:val="24"/>
        </w:rPr>
        <w:t xml:space="preserve">第七部分 </w:t>
      </w:r>
      <w:r>
        <w:rPr>
          <w:szCs w:val="24"/>
        </w:rPr>
        <w:t>基金份额的</w:t>
      </w:r>
      <w:r>
        <w:rPr>
          <w:rFonts w:hint="eastAsia"/>
          <w:szCs w:val="24"/>
        </w:rPr>
        <w:t>上市</w:t>
      </w:r>
      <w:r>
        <w:rPr>
          <w:szCs w:val="24"/>
        </w:rPr>
        <w:t>交易</w:t>
      </w:r>
      <w:bookmarkEnd w:id="104"/>
    </w:p>
    <w:p w14:paraId="2DF4B07F">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p>
    <w:p w14:paraId="6574848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一、基金上市</w:t>
      </w:r>
    </w:p>
    <w:p w14:paraId="7DED253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基金合同生效后，具备以下条件的，基金管理人可依据《深圳证券交易所证券投资基金上市规则》，向深圳证券交易所申请基金份额上市：</w:t>
      </w:r>
    </w:p>
    <w:p w14:paraId="5FA6102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 xml:space="preserve">（1）基金场内募集金额（含网下股票认购所募集的股票市值）不低于2亿元； </w:t>
      </w:r>
    </w:p>
    <w:p w14:paraId="1C2217B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（2）场内基金份额持有人不少于1000人；</w:t>
      </w:r>
    </w:p>
    <w:p w14:paraId="60F9B92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（3）法律法规或深圳证券交易所规定的其他条件。</w:t>
      </w:r>
    </w:p>
    <w:p w14:paraId="64D6BE5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基金上市前，基金管理人应与深圳证券交易所签订上市协议书。基金获准在深圳证券交易所上市的，基金管理人应按照相关规定发布基金上市交易公告书。</w:t>
      </w:r>
    </w:p>
    <w:p w14:paraId="416DC6A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二、基金份额的上市交易</w:t>
      </w:r>
    </w:p>
    <w:p w14:paraId="3A52A6B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基金份额在深圳证券交易所的上市交易应遵照《深圳证券交易所交易规则》、《深圳证券交易所证券投资基金上市规则》、《深圳证券交易所证券投资基金交易和申购赎回实施细则》等有关规定。</w:t>
      </w:r>
    </w:p>
    <w:p w14:paraId="009A8EF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三、</w:t>
      </w:r>
      <w:r>
        <w:rPr>
          <w:rFonts w:hint="eastAsia" w:asciiTheme="minorEastAsia" w:hAnsiTheme="minorEastAsia" w:eastAsiaTheme="minorEastAsia"/>
          <w:color w:val="0C0C0C" w:themeColor="text1" w:themeTint="F2"/>
          <w:kern w:val="0"/>
          <w:sz w:val="24"/>
          <w:szCs w:val="24"/>
        </w:rPr>
        <w:t>停复牌、</w:t>
      </w:r>
      <w:r>
        <w:rPr>
          <w:rFonts w:asciiTheme="minorEastAsia" w:hAnsiTheme="minorEastAsia" w:eastAsiaTheme="minorEastAsia"/>
          <w:color w:val="0C0C0C" w:themeColor="text1" w:themeTint="F2"/>
          <w:kern w:val="0"/>
          <w:sz w:val="24"/>
          <w:szCs w:val="24"/>
        </w:rPr>
        <w:t>暂停上市</w:t>
      </w:r>
      <w:r>
        <w:rPr>
          <w:rFonts w:hint="eastAsia" w:asciiTheme="minorEastAsia" w:hAnsiTheme="minorEastAsia" w:eastAsiaTheme="minorEastAsia"/>
          <w:color w:val="0C0C0C" w:themeColor="text1" w:themeTint="F2"/>
          <w:kern w:val="0"/>
          <w:sz w:val="24"/>
          <w:szCs w:val="24"/>
        </w:rPr>
        <w:t>、恢复上市</w:t>
      </w:r>
      <w:r>
        <w:rPr>
          <w:rFonts w:asciiTheme="minorEastAsia" w:hAnsiTheme="minorEastAsia" w:eastAsiaTheme="minorEastAsia"/>
          <w:color w:val="0C0C0C" w:themeColor="text1" w:themeTint="F2"/>
          <w:kern w:val="0"/>
          <w:sz w:val="24"/>
          <w:szCs w:val="24"/>
        </w:rPr>
        <w:t>或终止上市的情形和处理方式</w:t>
      </w:r>
    </w:p>
    <w:p w14:paraId="19A3B29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本基金份额在深圳证券交易所上市后，如遇</w:t>
      </w:r>
      <w:r>
        <w:rPr>
          <w:rFonts w:hint="eastAsia" w:asciiTheme="minorEastAsia" w:hAnsiTheme="minorEastAsia" w:eastAsiaTheme="minorEastAsia"/>
          <w:color w:val="0C0C0C" w:themeColor="text1" w:themeTint="F2"/>
          <w:kern w:val="0"/>
          <w:sz w:val="24"/>
          <w:szCs w:val="24"/>
        </w:rPr>
        <w:t>停复牌、</w:t>
      </w:r>
      <w:r>
        <w:rPr>
          <w:rFonts w:asciiTheme="minorEastAsia" w:hAnsiTheme="minorEastAsia" w:eastAsiaTheme="minorEastAsia"/>
          <w:color w:val="0C0C0C" w:themeColor="text1" w:themeTint="F2"/>
          <w:kern w:val="0"/>
          <w:sz w:val="24"/>
          <w:szCs w:val="24"/>
        </w:rPr>
        <w:t>暂停上市</w:t>
      </w:r>
      <w:r>
        <w:rPr>
          <w:rFonts w:hint="eastAsia" w:asciiTheme="minorEastAsia" w:hAnsiTheme="minorEastAsia" w:eastAsiaTheme="minorEastAsia"/>
          <w:color w:val="0C0C0C" w:themeColor="text1" w:themeTint="F2"/>
          <w:kern w:val="0"/>
          <w:sz w:val="24"/>
          <w:szCs w:val="24"/>
        </w:rPr>
        <w:t>、恢复上市</w:t>
      </w:r>
      <w:r>
        <w:rPr>
          <w:rFonts w:asciiTheme="minorEastAsia" w:hAnsiTheme="minorEastAsia" w:eastAsiaTheme="minorEastAsia"/>
          <w:color w:val="0C0C0C" w:themeColor="text1" w:themeTint="F2"/>
          <w:kern w:val="0"/>
          <w:sz w:val="24"/>
          <w:szCs w:val="24"/>
        </w:rPr>
        <w:t>或终止上市的情形，按照《深圳证券交易所证券投资基金上市规则》的相关规定执行。</w:t>
      </w:r>
    </w:p>
    <w:p w14:paraId="379DF0D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w:t>
      </w:r>
    </w:p>
    <w:p w14:paraId="33445DA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四、基金份额参考净值的计算与公告</w:t>
      </w:r>
    </w:p>
    <w:p w14:paraId="6D139B5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基金管理人在每一个交易日开市前向深圳证券交易所提供当日的申购赎回清单。本基金基金份额参考净值（</w:t>
      </w:r>
      <w:r>
        <w:rPr>
          <w:rFonts w:asciiTheme="minorEastAsia" w:hAnsiTheme="minorEastAsia" w:eastAsiaTheme="minorEastAsia"/>
          <w:color w:val="0C0C0C" w:themeColor="text1" w:themeTint="F2"/>
          <w:kern w:val="0"/>
          <w:sz w:val="24"/>
          <w:szCs w:val="24"/>
        </w:rPr>
        <w:t>IOPV</w:t>
      </w:r>
      <w:r>
        <w:rPr>
          <w:rFonts w:hint="eastAsia" w:asciiTheme="minorEastAsia" w:hAnsiTheme="minorEastAsia" w:eastAsiaTheme="minorEastAsia"/>
          <w:color w:val="0C0C0C" w:themeColor="text1" w:themeTint="F2"/>
          <w:kern w:val="0"/>
          <w:sz w:val="24"/>
          <w:szCs w:val="24"/>
        </w:rPr>
        <w:t>）由基金管理人或基金管理人委托的机构计算，并交由深圳证券交易所发布，供投资者交易、申购、赎回基金份额时参考。基金份额参考净值（</w:t>
      </w:r>
      <w:r>
        <w:rPr>
          <w:rFonts w:asciiTheme="minorEastAsia" w:hAnsiTheme="minorEastAsia" w:eastAsiaTheme="minorEastAsia"/>
          <w:color w:val="0C0C0C" w:themeColor="text1" w:themeTint="F2"/>
          <w:kern w:val="0"/>
          <w:sz w:val="24"/>
          <w:szCs w:val="24"/>
        </w:rPr>
        <w:t>IOPV）的具体计算方法参见招募说明书。</w:t>
      </w:r>
    </w:p>
    <w:p w14:paraId="66231198">
      <w:pPr>
        <w:adjustRightInd w:val="0"/>
        <w:snapToGrid w:val="0"/>
        <w:spacing w:line="360" w:lineRule="auto"/>
        <w:ind w:firstLine="480" w:firstLineChars="200"/>
        <w:rPr>
          <w:rFonts w:asciiTheme="minorEastAsia" w:hAnsiTheme="minorEastAsia" w:eastAsiaTheme="minorEastAsia"/>
          <w:bCs/>
          <w:color w:val="0C0C0C" w:themeColor="text1" w:themeTint="F2"/>
          <w:kern w:val="0"/>
          <w:sz w:val="24"/>
          <w:szCs w:val="24"/>
        </w:rPr>
      </w:pPr>
      <w:r>
        <w:rPr>
          <w:rFonts w:hint="eastAsia" w:asciiTheme="minorEastAsia" w:hAnsiTheme="minorEastAsia" w:eastAsiaTheme="minorEastAsia"/>
          <w:bCs/>
          <w:color w:val="0C0C0C" w:themeColor="text1" w:themeTint="F2"/>
          <w:kern w:val="0"/>
          <w:sz w:val="24"/>
          <w:szCs w:val="24"/>
        </w:rPr>
        <w:t>基金管理人可以调整基金份额参考净值计算公式，并予以公告。如深圳</w:t>
      </w:r>
      <w:r>
        <w:rPr>
          <w:rFonts w:asciiTheme="minorEastAsia" w:hAnsiTheme="minorEastAsia" w:eastAsiaTheme="minorEastAsia"/>
          <w:bCs/>
          <w:color w:val="0C0C0C" w:themeColor="text1" w:themeTint="F2"/>
          <w:kern w:val="0"/>
          <w:sz w:val="24"/>
          <w:szCs w:val="24"/>
        </w:rPr>
        <w:t>证券交易所对基金份额参考净值的计算方法另有规定的，从其规定。</w:t>
      </w:r>
    </w:p>
    <w:p w14:paraId="7CB18BF0">
      <w:pPr>
        <w:adjustRightInd w:val="0"/>
        <w:snapToGrid w:val="0"/>
        <w:spacing w:line="360" w:lineRule="auto"/>
        <w:ind w:firstLine="480" w:firstLineChars="200"/>
        <w:rPr>
          <w:rFonts w:ascii="宋体" w:hAnsi="宋体" w:cs="Arial"/>
          <w:b/>
          <w:kern w:val="0"/>
          <w:sz w:val="24"/>
          <w:szCs w:val="24"/>
        </w:rPr>
      </w:pPr>
      <w:r>
        <w:rPr>
          <w:rFonts w:hint="eastAsia" w:asciiTheme="minorEastAsia" w:hAnsiTheme="minorEastAsia" w:eastAsiaTheme="minorEastAsia"/>
          <w:color w:val="0C0C0C" w:themeColor="text1" w:themeTint="F2"/>
          <w:kern w:val="0"/>
          <w:sz w:val="24"/>
          <w:szCs w:val="24"/>
        </w:rPr>
        <w:t>五、</w:t>
      </w:r>
      <w:r>
        <w:rPr>
          <w:rFonts w:hint="eastAsia" w:ascii="宋体" w:hAnsi="宋体" w:cs="Arial"/>
          <w:kern w:val="0"/>
          <w:sz w:val="24"/>
          <w:szCs w:val="24"/>
        </w:rPr>
        <w:t>其他</w:t>
      </w:r>
    </w:p>
    <w:p w14:paraId="6B8DFCB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若深圳证券交易所、中国证券登记结算有限责任公司增加了基金上市交易的新功能，本基金管理人可以在履行适当的程序后增加相应功能。</w:t>
      </w:r>
    </w:p>
    <w:p w14:paraId="493196F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相关法律法规、中国证监会、登记机构或深圳证券交易所对基金上市交易的规则等相关规定内容进行调整的，本基金按照新规定执行，若</w:t>
      </w:r>
      <w:r>
        <w:rPr>
          <w:rFonts w:hint="eastAsia" w:asciiTheme="minorEastAsia" w:hAnsiTheme="minorEastAsia" w:eastAsiaTheme="minorEastAsia"/>
          <w:bCs/>
          <w:color w:val="0C0C0C" w:themeColor="text1" w:themeTint="F2"/>
          <w:kern w:val="0"/>
          <w:sz w:val="24"/>
          <w:szCs w:val="24"/>
        </w:rPr>
        <w:t>由此需要对基金合同进行修订的，</w:t>
      </w:r>
      <w:r>
        <w:rPr>
          <w:rFonts w:hint="eastAsia" w:asciiTheme="minorEastAsia" w:hAnsiTheme="minorEastAsia" w:eastAsiaTheme="minorEastAsia"/>
          <w:color w:val="0C0C0C" w:themeColor="text1" w:themeTint="F2"/>
          <w:kern w:val="0"/>
          <w:sz w:val="24"/>
          <w:szCs w:val="24"/>
        </w:rPr>
        <w:t>无需召开基金份额持有人大会。</w:t>
      </w:r>
    </w:p>
    <w:p w14:paraId="318D2E2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bCs/>
          <w:color w:val="0C0C0C" w:themeColor="text1" w:themeTint="F2"/>
          <w:kern w:val="0"/>
          <w:sz w:val="24"/>
          <w:szCs w:val="24"/>
        </w:rPr>
        <w:t>在不违反法律法规且对基金份额持有人利益无实质不利影响的前提下，基金管理人在履行适当的程序后，本基金可以申请在包括境外交易所在内的其他证券交易所上市交易，而无需召开基金份额持有人大会。</w:t>
      </w:r>
    </w:p>
    <w:bookmarkEnd w:id="105"/>
    <w:p w14:paraId="567DE12B">
      <w:pPr>
        <w:rPr>
          <w:b/>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53FBA232">
      <w:pPr>
        <w:pStyle w:val="2"/>
        <w:rPr>
          <w:szCs w:val="24"/>
        </w:rPr>
      </w:pPr>
      <w:bookmarkStart w:id="106" w:name="CTS_c783c198b8fc4169b5e9d8f09e6b46d3"/>
      <w:bookmarkEnd w:id="106"/>
      <w:bookmarkStart w:id="107" w:name="_Toc86655082"/>
      <w:bookmarkStart w:id="108" w:name="CLAUSE_c783c198b8fc4169b5e9d8f09e6b46d3"/>
      <w:r>
        <w:rPr>
          <w:rFonts w:hint="eastAsia" w:cs="Arial"/>
          <w:szCs w:val="24"/>
        </w:rPr>
        <w:t xml:space="preserve">第八部分 </w:t>
      </w:r>
      <w:r>
        <w:rPr>
          <w:szCs w:val="24"/>
        </w:rPr>
        <w:t>基金份额的申购与赎回</w:t>
      </w:r>
      <w:bookmarkEnd w:id="107"/>
    </w:p>
    <w:p w14:paraId="171449D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一、申购和赎回场所</w:t>
      </w:r>
    </w:p>
    <w:p w14:paraId="159D237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bookmarkStart w:id="109" w:name="_Hlk37986905"/>
      <w:r>
        <w:rPr>
          <w:rFonts w:hint="eastAsia" w:asciiTheme="minorEastAsia" w:hAnsiTheme="minorEastAsia" w:eastAsiaTheme="minorEastAsia"/>
          <w:color w:val="0C0C0C" w:themeColor="text1" w:themeTint="F2"/>
          <w:kern w:val="0"/>
          <w:sz w:val="24"/>
          <w:szCs w:val="24"/>
        </w:rPr>
        <w:t>本基金投资人应当通过申购、赎回代理券商办理基金申购、赎回业务的营业场所或按申购、赎回代理券商提供的其他方式办理本基金的申购和赎回。</w:t>
      </w:r>
      <w:bookmarkEnd w:id="109"/>
    </w:p>
    <w:p w14:paraId="3AE47B4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基金管理人在开始申购、赎回业务前公告</w:t>
      </w:r>
      <w:bookmarkStart w:id="110" w:name="_Hlk37986971"/>
      <w:r>
        <w:rPr>
          <w:rFonts w:hint="eastAsia" w:asciiTheme="minorEastAsia" w:hAnsiTheme="minorEastAsia" w:eastAsiaTheme="minorEastAsia"/>
          <w:color w:val="0C0C0C" w:themeColor="text1" w:themeTint="F2"/>
          <w:kern w:val="0"/>
          <w:sz w:val="24"/>
          <w:szCs w:val="24"/>
        </w:rPr>
        <w:t>申购、赎回代理券商的名单</w:t>
      </w:r>
      <w:bookmarkEnd w:id="110"/>
      <w:r>
        <w:rPr>
          <w:rFonts w:hint="eastAsia" w:asciiTheme="minorEastAsia" w:hAnsiTheme="minorEastAsia" w:eastAsiaTheme="minorEastAsia"/>
          <w:color w:val="0C0C0C" w:themeColor="text1" w:themeTint="F2"/>
          <w:kern w:val="0"/>
          <w:sz w:val="24"/>
          <w:szCs w:val="24"/>
        </w:rPr>
        <w:t>，并可依据实际情况变更申购、赎回代理券商并在基金管理人网站公示。基金管理人在确定、变更申购、赎回代理券商名单时，均应在公告之前报请深圳证券交易所认可。</w:t>
      </w:r>
    </w:p>
    <w:p w14:paraId="0396FB66">
      <w:pPr>
        <w:tabs>
          <w:tab w:val="left" w:pos="3780"/>
        </w:tabs>
        <w:autoSpaceDE w:val="0"/>
        <w:autoSpaceDN w:val="0"/>
        <w:adjustRightInd w:val="0"/>
        <w:snapToGrid w:val="0"/>
        <w:spacing w:line="360" w:lineRule="auto"/>
        <w:ind w:firstLine="480" w:firstLineChars="200"/>
        <w:textAlignment w:val="bottom"/>
        <w:rPr>
          <w:rFonts w:ascii="宋体" w:hAnsi="宋体" w:cs="Arial"/>
          <w:kern w:val="0"/>
          <w:sz w:val="24"/>
          <w:szCs w:val="24"/>
        </w:rPr>
      </w:pPr>
      <w:r>
        <w:rPr>
          <w:rFonts w:hint="eastAsia" w:ascii="宋体" w:hAnsi="宋体" w:cs="Arial"/>
          <w:kern w:val="0"/>
          <w:sz w:val="24"/>
          <w:szCs w:val="24"/>
        </w:rPr>
        <w:t>在法律法规、基金合同及未来条件允许的情况下，基金管理人直销机构可以开通申购赎回业务，具体业务的办理时间及办理方式基金管理人将另行公告。</w:t>
      </w:r>
    </w:p>
    <w:p w14:paraId="1944A11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二、申购和赎回的开放日及时间</w:t>
      </w:r>
    </w:p>
    <w:p w14:paraId="51005C8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、开放日及开放时间</w:t>
      </w:r>
    </w:p>
    <w:p w14:paraId="36504A1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4A3C41B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基金合同生效后，若出现新的证券</w:t>
      </w:r>
      <w:r>
        <w:rPr>
          <w:rFonts w:hint="eastAsia" w:asciiTheme="minorEastAsia" w:hAnsiTheme="minorEastAsia"/>
          <w:color w:val="0C0C0C" w:themeColor="text1" w:themeTint="F2"/>
          <w:kern w:val="0"/>
          <w:sz w:val="24"/>
          <w:szCs w:val="24"/>
        </w:rPr>
        <w:t>/期货</w:t>
      </w:r>
      <w:r>
        <w:rPr>
          <w:rFonts w:hint="eastAsia" w:asciiTheme="minorEastAsia" w:hAnsiTheme="minorEastAsia" w:eastAsiaTheme="minorEastAsia"/>
          <w:color w:val="0C0C0C" w:themeColor="text1" w:themeTint="F2"/>
          <w:kern w:val="0"/>
          <w:sz w:val="24"/>
          <w:szCs w:val="24"/>
        </w:rPr>
        <w:t>交易市场、证券</w:t>
      </w:r>
      <w:r>
        <w:rPr>
          <w:rFonts w:hint="eastAsia" w:asciiTheme="minorEastAsia" w:hAnsiTheme="minorEastAsia"/>
          <w:color w:val="0C0C0C" w:themeColor="text1" w:themeTint="F2"/>
          <w:kern w:val="0"/>
          <w:sz w:val="24"/>
          <w:szCs w:val="24"/>
        </w:rPr>
        <w:t>/期货</w:t>
      </w:r>
      <w:r>
        <w:rPr>
          <w:rFonts w:hint="eastAsia" w:asciiTheme="minorEastAsia" w:hAnsiTheme="minorEastAsia" w:eastAsiaTheme="minorEastAsia"/>
          <w:color w:val="0C0C0C" w:themeColor="text1" w:themeTint="F2"/>
          <w:kern w:val="0"/>
          <w:sz w:val="24"/>
          <w:szCs w:val="24"/>
        </w:rPr>
        <w:t>交易所交易时间变更或其他特殊情况，基金管理人将视情况对前述开放日及开放时间进行相应的调整，但应在实施日前依照《信息披露办法》的有关规定在规定</w:t>
      </w:r>
      <w:r>
        <w:rPr>
          <w:rFonts w:asciiTheme="minorEastAsia" w:hAnsiTheme="minorEastAsia" w:eastAsiaTheme="minorEastAsia"/>
          <w:color w:val="0C0C0C" w:themeColor="text1" w:themeTint="F2"/>
          <w:kern w:val="0"/>
          <w:sz w:val="24"/>
          <w:szCs w:val="24"/>
        </w:rPr>
        <w:t>媒介</w:t>
      </w:r>
      <w:r>
        <w:rPr>
          <w:rFonts w:hint="eastAsia" w:asciiTheme="minorEastAsia" w:hAnsiTheme="minorEastAsia" w:eastAsiaTheme="minorEastAsia"/>
          <w:color w:val="0C0C0C" w:themeColor="text1" w:themeTint="F2"/>
          <w:kern w:val="0"/>
          <w:sz w:val="24"/>
          <w:szCs w:val="24"/>
        </w:rPr>
        <w:t>上公告。</w:t>
      </w:r>
    </w:p>
    <w:p w14:paraId="0AB0360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、申购、赎回开始日及业务办理时间</w:t>
      </w:r>
    </w:p>
    <w:p w14:paraId="5EC0F9E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基金管理人可以根据实际情况依法决定本基金开始办理申购的具体日期，具体业务办理时间在申购开始公告中规定。</w:t>
      </w:r>
    </w:p>
    <w:p w14:paraId="0ECEC27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基金管理人自基金合同生效之日起不超过</w:t>
      </w: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个月开始办理赎回，具体业务办理时间在赎回开始公告中规定。</w:t>
      </w:r>
    </w:p>
    <w:p w14:paraId="7E7255A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在确定申购开始与赎回开始时间后，基金管理人应在申购、赎回开放日前依照《信息披露办法》的有关规定在规定</w:t>
      </w:r>
      <w:r>
        <w:rPr>
          <w:rFonts w:asciiTheme="minorEastAsia" w:hAnsiTheme="minorEastAsia" w:eastAsiaTheme="minorEastAsia"/>
          <w:color w:val="0C0C0C" w:themeColor="text1" w:themeTint="F2"/>
          <w:kern w:val="0"/>
          <w:sz w:val="24"/>
          <w:szCs w:val="24"/>
        </w:rPr>
        <w:t>媒介</w:t>
      </w:r>
      <w:r>
        <w:rPr>
          <w:rFonts w:hint="eastAsia" w:asciiTheme="minorEastAsia" w:hAnsiTheme="minorEastAsia" w:eastAsiaTheme="minorEastAsia"/>
          <w:color w:val="0C0C0C" w:themeColor="text1" w:themeTint="F2"/>
          <w:kern w:val="0"/>
          <w:sz w:val="24"/>
          <w:szCs w:val="24"/>
        </w:rPr>
        <w:t>上公告申购与赎回的开始时间。</w:t>
      </w:r>
    </w:p>
    <w:p w14:paraId="6A0C77E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三、申购与赎回的原则</w:t>
      </w:r>
    </w:p>
    <w:p w14:paraId="71E3158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、“份额申购、份额赎回”原则，即申购、赎回均以份额申请；</w:t>
      </w:r>
    </w:p>
    <w:p w14:paraId="5229D72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、本基金的申购对价、赎回对价包括组合证券、现金替代、现金差额和</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或其他对价；</w:t>
      </w:r>
    </w:p>
    <w:p w14:paraId="0826204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3</w:t>
      </w:r>
      <w:r>
        <w:rPr>
          <w:rFonts w:asciiTheme="minorEastAsia" w:hAnsiTheme="minorEastAsia" w:eastAsiaTheme="minorEastAsia"/>
          <w:color w:val="0C0C0C" w:themeColor="text1" w:themeTint="F2"/>
          <w:kern w:val="0"/>
          <w:sz w:val="24"/>
          <w:szCs w:val="24"/>
        </w:rPr>
        <w:t>、申购、赎回申请提交后不得撤销；</w:t>
      </w:r>
    </w:p>
    <w:p w14:paraId="5A1602B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申购、赎回应遵守业务规则及其他相关规定</w:t>
      </w:r>
      <w:r>
        <w:rPr>
          <w:rFonts w:hint="eastAsia" w:asciiTheme="minorEastAsia" w:hAnsiTheme="minorEastAsia" w:eastAsiaTheme="minorEastAsia"/>
          <w:color w:val="0C0C0C" w:themeColor="text1" w:themeTint="F2"/>
          <w:kern w:val="0"/>
          <w:sz w:val="24"/>
          <w:szCs w:val="24"/>
        </w:rPr>
        <w:t>；</w:t>
      </w:r>
    </w:p>
    <w:p w14:paraId="73247794">
      <w:pPr>
        <w:adjustRightInd w:val="0"/>
        <w:snapToGrid w:val="0"/>
        <w:spacing w:line="360" w:lineRule="auto"/>
        <w:ind w:firstLine="480" w:firstLineChars="200"/>
        <w:rPr>
          <w:sz w:val="24"/>
        </w:rPr>
      </w:pPr>
      <w:r>
        <w:rPr>
          <w:rFonts w:hint="eastAsia"/>
          <w:sz w:val="24"/>
        </w:rPr>
        <w:t>5、办理申购、赎回业务时，应当遵循基金份额持有人利益优先原则，确保投资者的合法权益不受损害并得到公平对待。</w:t>
      </w:r>
    </w:p>
    <w:p w14:paraId="2909ABA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基金管理人可在不违反法律法规规定的情况下，对上述原则进行调整。基金管理人必须在新</w:t>
      </w:r>
      <w:r>
        <w:rPr>
          <w:rFonts w:asciiTheme="minorEastAsia" w:hAnsiTheme="minorEastAsia" w:eastAsiaTheme="minorEastAsia"/>
          <w:color w:val="0C0C0C" w:themeColor="text1" w:themeTint="F2"/>
          <w:kern w:val="0"/>
          <w:sz w:val="24"/>
          <w:szCs w:val="24"/>
        </w:rPr>
        <w:t>原</w:t>
      </w:r>
      <w:r>
        <w:rPr>
          <w:rFonts w:hint="eastAsia" w:asciiTheme="minorEastAsia" w:hAnsiTheme="minorEastAsia" w:eastAsiaTheme="minorEastAsia"/>
          <w:color w:val="0C0C0C" w:themeColor="text1" w:themeTint="F2"/>
          <w:kern w:val="0"/>
          <w:sz w:val="24"/>
          <w:szCs w:val="24"/>
        </w:rPr>
        <w:t>则开始实施前依照《信息披露办法》的有关规定在规定</w:t>
      </w:r>
      <w:r>
        <w:rPr>
          <w:rFonts w:asciiTheme="minorEastAsia" w:hAnsiTheme="minorEastAsia" w:eastAsiaTheme="minorEastAsia"/>
          <w:color w:val="0C0C0C" w:themeColor="text1" w:themeTint="F2"/>
          <w:kern w:val="0"/>
          <w:sz w:val="24"/>
          <w:szCs w:val="24"/>
        </w:rPr>
        <w:t>媒介</w:t>
      </w:r>
      <w:r>
        <w:rPr>
          <w:rFonts w:hint="eastAsia" w:asciiTheme="minorEastAsia" w:hAnsiTheme="minorEastAsia" w:eastAsiaTheme="minorEastAsia"/>
          <w:color w:val="0C0C0C" w:themeColor="text1" w:themeTint="F2"/>
          <w:kern w:val="0"/>
          <w:sz w:val="24"/>
          <w:szCs w:val="24"/>
        </w:rPr>
        <w:t>上公告。</w:t>
      </w:r>
    </w:p>
    <w:p w14:paraId="01B9761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四、申购与赎回的程序</w:t>
      </w:r>
    </w:p>
    <w:p w14:paraId="4BA4E08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按照深圳证券交易所及中国证券登记结算有限责任公司的相关规定进行申购、赎回，具体业务的办理时间请参见相关公告。本基金支持通过深圳证券交易所及/或通过登记机构的两种模式进行申购、赎回，两种模式分别适用不同的程序。本基金办理相关业务的时间及规定请参见相关公告。</w:t>
      </w:r>
    </w:p>
    <w:p w14:paraId="6EDE66D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（一）通过深圳证券交易所申购赎回</w:t>
      </w:r>
    </w:p>
    <w:p w14:paraId="03CC270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、申购和赎回的申请方式</w:t>
      </w:r>
    </w:p>
    <w:p w14:paraId="7357A1F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投资人必须根据申购、赎回代理券商或基金管理人规定的程序，在开放日的具体业务办理时间内提出申购或赎回的申请。</w:t>
      </w:r>
    </w:p>
    <w:p w14:paraId="57C2672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投资人交付</w:t>
      </w:r>
      <w:r>
        <w:rPr>
          <w:rFonts w:hint="eastAsia" w:asciiTheme="minorEastAsia" w:hAnsiTheme="minorEastAsia" w:eastAsiaTheme="minorEastAsia"/>
          <w:color w:val="0C0C0C" w:themeColor="text1" w:themeTint="F2"/>
          <w:kern w:val="0"/>
          <w:sz w:val="24"/>
          <w:szCs w:val="24"/>
        </w:rPr>
        <w:t>申购对价</w:t>
      </w: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成立；登记机构确认申请时，申购生效</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4FAD164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、申购和赎回</w:t>
      </w:r>
      <w:r>
        <w:rPr>
          <w:rFonts w:asciiTheme="minorEastAsia" w:hAnsiTheme="minorEastAsia" w:eastAsiaTheme="minorEastAsia"/>
          <w:color w:val="0C0C0C" w:themeColor="text1" w:themeTint="F2"/>
          <w:kern w:val="0"/>
          <w:sz w:val="24"/>
          <w:szCs w:val="24"/>
        </w:rPr>
        <w:t>申请</w:t>
      </w:r>
      <w:r>
        <w:rPr>
          <w:rFonts w:hint="eastAsia" w:asciiTheme="minorEastAsia" w:hAnsiTheme="minorEastAsia" w:eastAsiaTheme="minorEastAsia"/>
          <w:color w:val="0C0C0C" w:themeColor="text1" w:themeTint="F2"/>
          <w:kern w:val="0"/>
          <w:sz w:val="24"/>
          <w:szCs w:val="24"/>
        </w:rPr>
        <w:t>的</w:t>
      </w:r>
      <w:r>
        <w:rPr>
          <w:rFonts w:asciiTheme="minorEastAsia" w:hAnsiTheme="minorEastAsia" w:eastAsiaTheme="minorEastAsia"/>
          <w:color w:val="0C0C0C" w:themeColor="text1" w:themeTint="F2"/>
          <w:kern w:val="0"/>
          <w:sz w:val="24"/>
          <w:szCs w:val="24"/>
        </w:rPr>
        <w:t>确认</w:t>
      </w:r>
    </w:p>
    <w:p w14:paraId="54967479">
      <w:pPr>
        <w:adjustRightInd w:val="0"/>
        <w:snapToGrid w:val="0"/>
        <w:spacing w:line="360" w:lineRule="auto"/>
        <w:ind w:firstLine="480" w:firstLineChars="200"/>
        <w:rPr>
          <w:rFonts w:asciiTheme="minorEastAsia" w:hAnsiTheme="minorEastAsia" w:eastAsiaTheme="minorEastAsia"/>
          <w:bCs/>
          <w:color w:val="0C0C0C" w:themeColor="text1" w:themeTint="F2"/>
          <w:kern w:val="0"/>
          <w:sz w:val="24"/>
          <w:szCs w:val="24"/>
        </w:rPr>
      </w:pPr>
      <w:r>
        <w:rPr>
          <w:rFonts w:hint="eastAsia" w:asciiTheme="minorEastAsia" w:hAnsiTheme="minorEastAsia" w:eastAsiaTheme="minorEastAsia"/>
          <w:bCs/>
          <w:color w:val="0C0C0C" w:themeColor="text1" w:themeTint="F2"/>
          <w:kern w:val="0"/>
          <w:sz w:val="24"/>
          <w:szCs w:val="24"/>
        </w:rPr>
        <w:t>本基金申购和赎回的确认适用业务规则的规定，具体在招募说明书中列示。</w:t>
      </w:r>
    </w:p>
    <w:p w14:paraId="4E6EEC7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04712A4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赎回代理</w:t>
      </w:r>
      <w:r>
        <w:rPr>
          <w:rFonts w:hint="eastAsia" w:asciiTheme="minorEastAsia" w:hAnsiTheme="minorEastAsia" w:eastAsiaTheme="minorEastAsia"/>
          <w:color w:val="0C0C0C" w:themeColor="text1" w:themeTint="F2"/>
          <w:kern w:val="0"/>
          <w:sz w:val="24"/>
          <w:szCs w:val="24"/>
        </w:rPr>
        <w:t>券商对申购、赎回申请的受理并不代表该申请一定成功，而仅代表</w:t>
      </w: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赎回代理</w:t>
      </w:r>
      <w:r>
        <w:rPr>
          <w:rFonts w:hint="eastAsia" w:asciiTheme="minorEastAsia" w:hAnsiTheme="minorEastAsia" w:eastAsiaTheme="minorEastAsia"/>
          <w:color w:val="0C0C0C" w:themeColor="text1" w:themeTint="F2"/>
          <w:kern w:val="0"/>
          <w:sz w:val="24"/>
          <w:szCs w:val="24"/>
        </w:rPr>
        <w:t>券商确实接收到该申请。申购、赎回的确认以登记机构的确认结果为准。对于申购、赎回申请的确认情况，投资人应及时查询并妥善行使合法权利。</w:t>
      </w:r>
    </w:p>
    <w:p w14:paraId="64EABC2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w:t>
      </w:r>
      <w:r>
        <w:rPr>
          <w:rFonts w:asciiTheme="minorEastAsia" w:hAnsiTheme="minorEastAsia" w:eastAsiaTheme="minorEastAsia"/>
          <w:color w:val="0C0C0C" w:themeColor="text1" w:themeTint="F2"/>
          <w:kern w:val="0"/>
          <w:sz w:val="24"/>
          <w:szCs w:val="24"/>
        </w:rPr>
        <w:t>需</w:t>
      </w:r>
      <w:r>
        <w:rPr>
          <w:rFonts w:hint="eastAsia" w:asciiTheme="minorEastAsia" w:hAnsiTheme="minorEastAsia" w:eastAsiaTheme="minorEastAsia"/>
          <w:color w:val="0C0C0C" w:themeColor="text1" w:themeTint="F2"/>
          <w:kern w:val="0"/>
          <w:sz w:val="24"/>
          <w:szCs w:val="24"/>
        </w:rPr>
        <w:t>召开基金份额持有人大会审议。</w:t>
      </w:r>
    </w:p>
    <w:p w14:paraId="6CCD501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、申购和赎回的清算交收与登记</w:t>
      </w:r>
    </w:p>
    <w:p w14:paraId="46156CF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的申购和赎回的清算交收与登记规则详见招募说明书规定。本基金获批后，若深圳证券交易所和中国证券登记结算有限责任公司针对跨市场交易型开放式指数证券投资基金推出新的清算交收与登记模式并引入新的申购、赎回方式，</w:t>
      </w:r>
      <w:r>
        <w:rPr>
          <w:rFonts w:hint="eastAsia" w:asciiTheme="minorEastAsia" w:hAnsiTheme="minorEastAsia"/>
          <w:color w:val="0C0C0C" w:themeColor="text1" w:themeTint="F2"/>
          <w:sz w:val="24"/>
          <w:szCs w:val="24"/>
        </w:rPr>
        <w:t>在履行适当程序后，</w:t>
      </w:r>
      <w:r>
        <w:rPr>
          <w:rFonts w:hint="eastAsia" w:asciiTheme="minorEastAsia" w:hAnsiTheme="minorEastAsia" w:eastAsiaTheme="minorEastAsia"/>
          <w:color w:val="0C0C0C" w:themeColor="text1" w:themeTint="F2"/>
          <w:kern w:val="0"/>
          <w:sz w:val="24"/>
          <w:szCs w:val="24"/>
        </w:rPr>
        <w:t>本基金管理人有权调整本基金的清算交收与登记模式及申购、赎回方式，或新增本基金的清算交收与登记模式并引入新的申购、赎回方式，详见“九、基金清算交收与登记模式的调整或新增”。</w:t>
      </w:r>
    </w:p>
    <w:p w14:paraId="5CDE9158">
      <w:pPr>
        <w:adjustRightInd w:val="0"/>
        <w:snapToGrid w:val="0"/>
        <w:spacing w:line="360" w:lineRule="auto"/>
        <w:ind w:firstLine="480" w:firstLineChars="200"/>
        <w:rPr>
          <w:rFonts w:asciiTheme="minorEastAsia" w:hAnsiTheme="minorEastAsia" w:eastAsiaTheme="minorEastAsia"/>
          <w:bCs/>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者应按照本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7617D8E6">
      <w:pPr>
        <w:adjustRightInd w:val="0"/>
        <w:snapToGrid w:val="0"/>
        <w:spacing w:line="360" w:lineRule="auto"/>
        <w:ind w:firstLine="480" w:firstLineChars="200"/>
        <w:rPr>
          <w:rFonts w:ascii="宋体" w:hAnsi="宋体" w:cs="Arial"/>
          <w:sz w:val="24"/>
          <w:szCs w:val="24"/>
        </w:rPr>
      </w:pPr>
      <w:r>
        <w:rPr>
          <w:rFonts w:hint="eastAsia" w:ascii="宋体" w:hAnsi="宋体" w:cs="Arial"/>
          <w:kern w:val="0"/>
          <w:sz w:val="24"/>
          <w:szCs w:val="24"/>
        </w:rPr>
        <w:t>（二）</w:t>
      </w:r>
      <w:r>
        <w:rPr>
          <w:rFonts w:hint="eastAsia" w:ascii="宋体" w:hAnsi="宋体" w:cs="Arial"/>
          <w:sz w:val="24"/>
          <w:szCs w:val="24"/>
        </w:rPr>
        <w:t>通过登记机构申购赎回</w:t>
      </w:r>
    </w:p>
    <w:p w14:paraId="21D4D8F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、申购和赎回的申请方式</w:t>
      </w:r>
    </w:p>
    <w:p w14:paraId="3243825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投资人必须根据申购、赎回代理券商或基金管理人规定的程序，在开放日的具体业务办理时间内提出申购或赎回的申请。</w:t>
      </w:r>
    </w:p>
    <w:p w14:paraId="3BC736E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投资人交付</w:t>
      </w:r>
      <w:r>
        <w:rPr>
          <w:rFonts w:hint="eastAsia" w:asciiTheme="minorEastAsia" w:hAnsiTheme="minorEastAsia" w:eastAsiaTheme="minorEastAsia"/>
          <w:color w:val="0C0C0C" w:themeColor="text1" w:themeTint="F2"/>
          <w:kern w:val="0"/>
          <w:sz w:val="24"/>
          <w:szCs w:val="24"/>
        </w:rPr>
        <w:t>申购对价</w:t>
      </w: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成立；登记机构确认申请时，申购生效</w:t>
      </w:r>
      <w:r>
        <w:rPr>
          <w:rFonts w:asciiTheme="minorEastAsia" w:hAnsiTheme="minorEastAsia" w:eastAsiaTheme="minorEastAsia"/>
          <w:color w:val="0C0C0C" w:themeColor="text1" w:themeTint="F2"/>
          <w:kern w:val="0"/>
          <w:sz w:val="24"/>
          <w:szCs w:val="24"/>
        </w:rPr>
        <w:t>。</w:t>
      </w:r>
      <w:r>
        <w:rPr>
          <w:rFonts w:hint="eastAsia" w:asciiTheme="minorEastAsia" w:hAnsiTheme="minorEastAsia" w:eastAsiaTheme="minorEastAsia"/>
          <w:color w:val="0C0C0C" w:themeColor="text1" w:themeTint="F2"/>
          <w:kern w:val="0"/>
          <w:sz w:val="24"/>
          <w:szCs w:val="24"/>
        </w:rPr>
        <w:t>投资人在提交赎回申请时有足够的基金份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5F44D94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、申购和赎回</w:t>
      </w:r>
      <w:r>
        <w:rPr>
          <w:rFonts w:asciiTheme="minorEastAsia" w:hAnsiTheme="minorEastAsia" w:eastAsiaTheme="minorEastAsia"/>
          <w:color w:val="0C0C0C" w:themeColor="text1" w:themeTint="F2"/>
          <w:kern w:val="0"/>
          <w:sz w:val="24"/>
          <w:szCs w:val="24"/>
        </w:rPr>
        <w:t>申请</w:t>
      </w:r>
      <w:r>
        <w:rPr>
          <w:rFonts w:hint="eastAsia" w:asciiTheme="minorEastAsia" w:hAnsiTheme="minorEastAsia" w:eastAsiaTheme="minorEastAsia"/>
          <w:color w:val="0C0C0C" w:themeColor="text1" w:themeTint="F2"/>
          <w:kern w:val="0"/>
          <w:sz w:val="24"/>
          <w:szCs w:val="24"/>
        </w:rPr>
        <w:t>的</w:t>
      </w:r>
      <w:r>
        <w:rPr>
          <w:rFonts w:asciiTheme="minorEastAsia" w:hAnsiTheme="minorEastAsia" w:eastAsiaTheme="minorEastAsia"/>
          <w:color w:val="0C0C0C" w:themeColor="text1" w:themeTint="F2"/>
          <w:kern w:val="0"/>
          <w:sz w:val="24"/>
          <w:szCs w:val="24"/>
        </w:rPr>
        <w:t>确认</w:t>
      </w:r>
    </w:p>
    <w:p w14:paraId="6E91198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基金份额申购申请、赎回申请的确认根据登记机构的相关规定办理，具体见本基金招募说明书。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37EB164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赎回代理</w:t>
      </w:r>
      <w:r>
        <w:rPr>
          <w:rFonts w:hint="eastAsia" w:asciiTheme="minorEastAsia" w:hAnsiTheme="minorEastAsia" w:eastAsiaTheme="minorEastAsia"/>
          <w:color w:val="0C0C0C" w:themeColor="text1" w:themeTint="F2"/>
          <w:kern w:val="0"/>
          <w:sz w:val="24"/>
          <w:szCs w:val="24"/>
        </w:rPr>
        <w:t>券商对申购、赎回申请的受理并不代表该申请一定成功，而仅代表</w:t>
      </w:r>
      <w:r>
        <w:rPr>
          <w:rFonts w:asciiTheme="minorEastAsia" w:hAnsiTheme="minorEastAsia" w:eastAsiaTheme="minorEastAsia"/>
          <w:color w:val="0C0C0C" w:themeColor="text1" w:themeTint="F2"/>
          <w:kern w:val="0"/>
          <w:sz w:val="24"/>
          <w:szCs w:val="24"/>
        </w:rPr>
        <w:t>申购</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赎回代理</w:t>
      </w:r>
      <w:r>
        <w:rPr>
          <w:rFonts w:hint="eastAsia" w:asciiTheme="minorEastAsia" w:hAnsiTheme="minorEastAsia" w:eastAsiaTheme="minorEastAsia"/>
          <w:color w:val="0C0C0C" w:themeColor="text1" w:themeTint="F2"/>
          <w:kern w:val="0"/>
          <w:sz w:val="24"/>
          <w:szCs w:val="24"/>
        </w:rPr>
        <w:t>券商确实接收到该申请。申购、赎回的确认以登记机构的确认结果为准。对于申购、赎回申请的确认情况，投资人应及时查询并妥善行使合法权利。</w:t>
      </w:r>
    </w:p>
    <w:p w14:paraId="7A835FF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宋体" w:hAnsi="宋体"/>
          <w:color w:val="0D0D0D"/>
          <w:kern w:val="0"/>
          <w:sz w:val="24"/>
          <w:szCs w:val="24"/>
        </w:rPr>
        <w:t>本基金获批后，若深圳证券交易所和中国证券登记结算有限责任公司针对跨市场交易型开放式指数证券投资基金推出新的清算交收与登记模式并引入新的申购、赎回方式，</w:t>
      </w:r>
      <w:r>
        <w:rPr>
          <w:rFonts w:hint="eastAsia" w:asciiTheme="minorEastAsia" w:hAnsiTheme="minorEastAsia"/>
          <w:color w:val="0C0C0C" w:themeColor="text1" w:themeTint="F2"/>
          <w:sz w:val="24"/>
          <w:szCs w:val="24"/>
        </w:rPr>
        <w:t>在履行适当程序后，</w:t>
      </w:r>
      <w:r>
        <w:rPr>
          <w:rFonts w:hint="eastAsia" w:ascii="宋体" w:hAnsi="宋体"/>
          <w:color w:val="0D0D0D"/>
          <w:kern w:val="0"/>
          <w:sz w:val="24"/>
          <w:szCs w:val="24"/>
        </w:rPr>
        <w:t>本基金管理人将根据新的业务规则新增或调整申购和赎回申请的确认方式，届</w:t>
      </w:r>
      <w:r>
        <w:rPr>
          <w:rFonts w:hint="eastAsia" w:asciiTheme="minorEastAsia" w:hAnsiTheme="minorEastAsia" w:eastAsiaTheme="minorEastAsia"/>
          <w:color w:val="0C0C0C" w:themeColor="text1" w:themeTint="F2"/>
          <w:kern w:val="0"/>
          <w:sz w:val="24"/>
          <w:szCs w:val="24"/>
        </w:rPr>
        <w:t>时将发布公告予以披露并对本基金的基金合同和招募说明书予以更新，无需召开基金份额持有人大会审议。</w:t>
      </w:r>
    </w:p>
    <w:p w14:paraId="03B8DB4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、申购和赎回的清算交收与登记</w:t>
      </w:r>
    </w:p>
    <w:p w14:paraId="03F57CB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本基金的申购和赎回的清算交收与登记规则详见招募说明书规定。本基金获批后，若深圳证券交易所</w:t>
      </w:r>
      <w:r>
        <w:rPr>
          <w:rFonts w:hint="eastAsia" w:ascii="宋体" w:hAnsi="宋体"/>
          <w:color w:val="0D0D0D"/>
          <w:kern w:val="0"/>
          <w:sz w:val="24"/>
          <w:szCs w:val="24"/>
        </w:rPr>
        <w:t>和中国证券登记结算有限责任公司</w:t>
      </w:r>
      <w:r>
        <w:rPr>
          <w:rFonts w:hint="eastAsia" w:asciiTheme="minorEastAsia" w:hAnsiTheme="minorEastAsia" w:eastAsiaTheme="minorEastAsia"/>
          <w:color w:val="0C0C0C" w:themeColor="text1" w:themeTint="F2"/>
          <w:kern w:val="0"/>
          <w:sz w:val="24"/>
          <w:szCs w:val="24"/>
        </w:rPr>
        <w:t>针对跨市场交易型开放式指数证券投资基金推出新的清算交收与登记模式并引入新的申购、赎回方式，</w:t>
      </w:r>
      <w:r>
        <w:rPr>
          <w:rFonts w:hint="eastAsia" w:asciiTheme="minorEastAsia" w:hAnsiTheme="minorEastAsia"/>
          <w:color w:val="0C0C0C" w:themeColor="text1" w:themeTint="F2"/>
          <w:sz w:val="24"/>
          <w:szCs w:val="24"/>
        </w:rPr>
        <w:t>在履行适当程序后，</w:t>
      </w:r>
      <w:r>
        <w:rPr>
          <w:rFonts w:hint="eastAsia" w:asciiTheme="minorEastAsia" w:hAnsiTheme="minorEastAsia" w:eastAsiaTheme="minorEastAsia"/>
          <w:color w:val="0C0C0C" w:themeColor="text1" w:themeTint="F2"/>
          <w:kern w:val="0"/>
          <w:sz w:val="24"/>
          <w:szCs w:val="24"/>
        </w:rPr>
        <w:t>本基金管理人有权调整本基金的清算交收与登记模式及申购、赎回方式，或新增本基金的清算交收与登记模式并引入新的申购、赎回方式，详见“九、基金清算交收与登记模式的调整或新增”。</w:t>
      </w:r>
    </w:p>
    <w:p w14:paraId="0DA6C5D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投资者应按照本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3972041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投资人用以申购的部分或全部组合证券或者用以赎回的部分或全部基金份额因被国家有关机关冻结或强制执行导致不足额的，基金管理人有权指示申购赎回代理券商及登记机构依法进行相应处置；如该情况导致其他基金份额持有人或基金资产遭受损失的，基金管理人有权代表其他基金份额持有人或基金资产要求该投资者进行赔偿。</w:t>
      </w:r>
    </w:p>
    <w:p w14:paraId="7D5228A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五、</w:t>
      </w:r>
      <w:r>
        <w:rPr>
          <w:rFonts w:asciiTheme="minorEastAsia" w:hAnsiTheme="minorEastAsia" w:eastAsiaTheme="minorEastAsia"/>
          <w:color w:val="0C0C0C" w:themeColor="text1" w:themeTint="F2"/>
          <w:kern w:val="0"/>
          <w:sz w:val="24"/>
          <w:szCs w:val="24"/>
        </w:rPr>
        <w:t>申购和赎回的数量限制</w:t>
      </w:r>
    </w:p>
    <w:p w14:paraId="0AC1FB2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、投资人申购、赎回的基金份额需为最小申购、赎回单位的整数倍。最小申购、赎回单位由基金管理人确定和调整，详见本基金招募说明书或相关公告。</w:t>
      </w:r>
    </w:p>
    <w:p w14:paraId="456C0122">
      <w:pPr>
        <w:adjustRightInd w:val="0"/>
        <w:snapToGrid w:val="0"/>
        <w:spacing w:line="360" w:lineRule="auto"/>
        <w:ind w:firstLine="480" w:firstLineChars="200"/>
        <w:rPr>
          <w:rFonts w:asciiTheme="minorEastAsia" w:hAnsiTheme="minorEastAsia" w:eastAsiaTheme="minorEastAsia"/>
          <w:bCs/>
          <w:color w:val="0C0C0C" w:themeColor="text1" w:themeTint="F2"/>
          <w:kern w:val="0"/>
          <w:sz w:val="24"/>
          <w:szCs w:val="24"/>
        </w:rPr>
      </w:pPr>
      <w:r>
        <w:rPr>
          <w:rFonts w:hint="eastAsia" w:asciiTheme="minorEastAsia" w:hAnsiTheme="minorEastAsia" w:eastAsiaTheme="minorEastAsia"/>
          <w:bCs/>
          <w:color w:val="0C0C0C" w:themeColor="text1" w:themeTint="F2"/>
          <w:kern w:val="0"/>
          <w:sz w:val="24"/>
          <w:szCs w:val="24"/>
        </w:rPr>
        <w:t>基金管理人可根据基金运作情况、市场变化以及投资者需求等因素对基金的最小申购赎回单位进行调整，并在调整实施前依照《信息披露办法》的有关规定在规定媒介公告。</w:t>
      </w:r>
    </w:p>
    <w:p w14:paraId="21C4971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、基金管理人可以规定本基金当日申购份额及当日赎回份额上限，具体规定详见申购赎回清单。</w:t>
      </w:r>
    </w:p>
    <w:p w14:paraId="4EA9E4E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3、基金管理人可以规定投资人每个交易账户的最低基金份额余额，具体规定请参见招募说明书或相关公告。</w:t>
      </w:r>
    </w:p>
    <w:p w14:paraId="023C876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、基金管理人可以规定单个投资人累计持有的基金份额上限，具体规定请参见招募说明书或相关公告。</w:t>
      </w:r>
    </w:p>
    <w:p w14:paraId="3E3C46A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5、当接受申购申请对存量基金份额持有人利益构成潜在重大不利影响时，基金管理人</w:t>
      </w:r>
      <w:r>
        <w:rPr>
          <w:rFonts w:hint="eastAsia" w:asciiTheme="minorEastAsia" w:hAnsiTheme="minorEastAsia" w:eastAsiaTheme="minorEastAsia"/>
          <w:color w:val="0C0C0C" w:themeColor="text1" w:themeTint="F2"/>
          <w:kern w:val="0"/>
          <w:sz w:val="24"/>
          <w:szCs w:val="24"/>
        </w:rPr>
        <w:t>应当</w:t>
      </w:r>
      <w:r>
        <w:rPr>
          <w:rFonts w:asciiTheme="minorEastAsia" w:hAnsiTheme="minorEastAsia" w:eastAsiaTheme="minorEastAsia"/>
          <w:color w:val="0C0C0C" w:themeColor="text1" w:themeTint="F2"/>
          <w:kern w:val="0"/>
          <w:sz w:val="24"/>
          <w:szCs w:val="24"/>
        </w:rPr>
        <w:t>采取设定单一投资者申购</w:t>
      </w:r>
      <w:r>
        <w:rPr>
          <w:rFonts w:hint="eastAsia" w:asciiTheme="minorEastAsia" w:hAnsiTheme="minorEastAsia" w:eastAsiaTheme="minorEastAsia"/>
          <w:color w:val="0C0C0C" w:themeColor="text1" w:themeTint="F2"/>
          <w:kern w:val="0"/>
          <w:sz w:val="24"/>
          <w:szCs w:val="24"/>
        </w:rPr>
        <w:t>份</w:t>
      </w:r>
      <w:r>
        <w:rPr>
          <w:rFonts w:asciiTheme="minorEastAsia" w:hAnsiTheme="minorEastAsia" w:eastAsiaTheme="minorEastAsia"/>
          <w:color w:val="0C0C0C" w:themeColor="text1" w:themeTint="F2"/>
          <w:kern w:val="0"/>
          <w:sz w:val="24"/>
          <w:szCs w:val="24"/>
        </w:rPr>
        <w:t>额上限或基金单日净申购比例上限、拒绝大额申购、暂停基金申购等措施，切实保护存量基金份额持有人的合法权益。</w:t>
      </w:r>
      <w:r>
        <w:rPr>
          <w:rFonts w:hint="eastAsia" w:asciiTheme="minorEastAsia" w:hAnsiTheme="minorEastAsia" w:eastAsiaTheme="minorEastAsia"/>
          <w:color w:val="0C0C0C" w:themeColor="text1" w:themeTint="F2"/>
          <w:kern w:val="0"/>
          <w:sz w:val="24"/>
          <w:szCs w:val="24"/>
        </w:rPr>
        <w:t>基金管理人基于投资运作与风险控制的需要，可采取上述措施对基金规模予以控制。</w:t>
      </w:r>
      <w:r>
        <w:rPr>
          <w:rFonts w:asciiTheme="minorEastAsia" w:hAnsiTheme="minorEastAsia" w:eastAsiaTheme="minorEastAsia"/>
          <w:color w:val="0C0C0C" w:themeColor="text1" w:themeTint="F2"/>
          <w:kern w:val="0"/>
          <w:sz w:val="24"/>
          <w:szCs w:val="24"/>
        </w:rPr>
        <w:t>具体见</w:t>
      </w:r>
      <w:r>
        <w:rPr>
          <w:rFonts w:hint="eastAsia" w:asciiTheme="minorEastAsia" w:hAnsiTheme="minorEastAsia" w:eastAsiaTheme="minorEastAsia"/>
          <w:color w:val="0C0C0C" w:themeColor="text1" w:themeTint="F2"/>
          <w:kern w:val="0"/>
          <w:sz w:val="24"/>
          <w:szCs w:val="24"/>
        </w:rPr>
        <w:t>基金管理人</w:t>
      </w:r>
      <w:r>
        <w:rPr>
          <w:rFonts w:asciiTheme="minorEastAsia" w:hAnsiTheme="minorEastAsia" w:eastAsiaTheme="minorEastAsia"/>
          <w:color w:val="0C0C0C" w:themeColor="text1" w:themeTint="F2"/>
          <w:kern w:val="0"/>
          <w:sz w:val="24"/>
          <w:szCs w:val="24"/>
        </w:rPr>
        <w:t>相关公告。</w:t>
      </w:r>
    </w:p>
    <w:p w14:paraId="341F1D27">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6、基金管理人可根据市场情况，在不违反法律法规规定的情况下，调整上述规定数量或比例等限制。基金管理人必须在调整实施前依照《信息披露办法》的有关规定在规定</w:t>
      </w:r>
      <w:r>
        <w:rPr>
          <w:rFonts w:asciiTheme="minorEastAsia" w:hAnsiTheme="minorEastAsia" w:eastAsiaTheme="minorEastAsia"/>
          <w:color w:val="0C0C0C" w:themeColor="text1" w:themeTint="F2"/>
          <w:kern w:val="0"/>
          <w:sz w:val="24"/>
          <w:szCs w:val="24"/>
        </w:rPr>
        <w:t>媒介</w:t>
      </w:r>
      <w:r>
        <w:rPr>
          <w:rFonts w:hint="eastAsia" w:asciiTheme="minorEastAsia" w:hAnsiTheme="minorEastAsia" w:eastAsiaTheme="minorEastAsia"/>
          <w:color w:val="0C0C0C" w:themeColor="text1" w:themeTint="F2"/>
          <w:kern w:val="0"/>
          <w:sz w:val="24"/>
          <w:szCs w:val="24"/>
        </w:rPr>
        <w:t>上公告（其中上述第</w:t>
      </w: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3、4</w:t>
      </w:r>
      <w:r>
        <w:rPr>
          <w:rFonts w:hint="eastAsia" w:asciiTheme="minorEastAsia" w:hAnsiTheme="minorEastAsia" w:eastAsiaTheme="minorEastAsia"/>
          <w:color w:val="0C0C0C" w:themeColor="text1" w:themeTint="F2"/>
          <w:kern w:val="0"/>
          <w:sz w:val="24"/>
          <w:szCs w:val="24"/>
        </w:rPr>
        <w:t>条可由基金管理人于前一交易日设定并在当日基金申购赎回清单上公布，而不必在规定媒介上公告也无需报中国证监会备案）。</w:t>
      </w:r>
    </w:p>
    <w:p w14:paraId="523442C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六、</w:t>
      </w:r>
      <w:r>
        <w:rPr>
          <w:rFonts w:asciiTheme="minorEastAsia" w:hAnsiTheme="minorEastAsia" w:eastAsiaTheme="minorEastAsia"/>
          <w:color w:val="0C0C0C" w:themeColor="text1" w:themeTint="F2"/>
          <w:kern w:val="0"/>
          <w:sz w:val="24"/>
          <w:szCs w:val="24"/>
        </w:rPr>
        <w:t>申购和赎回的</w:t>
      </w:r>
      <w:r>
        <w:rPr>
          <w:rFonts w:hint="eastAsia" w:asciiTheme="minorEastAsia" w:hAnsiTheme="minorEastAsia" w:eastAsiaTheme="minorEastAsia"/>
          <w:color w:val="0C0C0C" w:themeColor="text1" w:themeTint="F2"/>
          <w:kern w:val="0"/>
          <w:sz w:val="24"/>
          <w:szCs w:val="24"/>
        </w:rPr>
        <w:t>对价、费用</w:t>
      </w:r>
    </w:p>
    <w:p w14:paraId="3C41FC4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、本基金份额净值的计算，保留到小数点后</w:t>
      </w: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位，小数点后第</w:t>
      </w:r>
      <w:r>
        <w:rPr>
          <w:rFonts w:asciiTheme="minorEastAsia" w:hAnsiTheme="minorEastAsia" w:eastAsiaTheme="minorEastAsia"/>
          <w:color w:val="0C0C0C" w:themeColor="text1" w:themeTint="F2"/>
          <w:kern w:val="0"/>
          <w:sz w:val="24"/>
          <w:szCs w:val="24"/>
        </w:rPr>
        <w:t>5</w:t>
      </w:r>
      <w:r>
        <w:rPr>
          <w:rFonts w:hint="eastAsia" w:asciiTheme="minorEastAsia" w:hAnsiTheme="minorEastAsia" w:eastAsiaTheme="minorEastAsia"/>
          <w:color w:val="0C0C0C" w:themeColor="text1" w:themeTint="F2"/>
          <w:kern w:val="0"/>
          <w:sz w:val="24"/>
          <w:szCs w:val="24"/>
        </w:rPr>
        <w:t>位四舍五入，由此产生的收益或损失由基金财产承担。</w:t>
      </w:r>
      <w:r>
        <w:rPr>
          <w:rFonts w:asciiTheme="minorEastAsia" w:hAnsiTheme="minorEastAsia" w:eastAsiaTheme="minorEastAsia"/>
          <w:color w:val="0C0C0C" w:themeColor="text1" w:themeTint="F2"/>
          <w:kern w:val="0"/>
          <w:sz w:val="24"/>
          <w:szCs w:val="24"/>
        </w:rPr>
        <w:t>T</w:t>
      </w:r>
      <w:r>
        <w:rPr>
          <w:rFonts w:hint="eastAsia" w:asciiTheme="minorEastAsia" w:hAnsiTheme="minorEastAsia" w:eastAsiaTheme="minorEastAsia"/>
          <w:color w:val="0C0C0C" w:themeColor="text1" w:themeTint="F2"/>
          <w:kern w:val="0"/>
          <w:sz w:val="24"/>
          <w:szCs w:val="24"/>
        </w:rPr>
        <w:t>日的基金份额净值在当天收市后计算，并在T+1日内公告。遇特殊情况，经履行适当程序，可以适当延迟计算或公告。</w:t>
      </w:r>
    </w:p>
    <w:p w14:paraId="603E4CC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w:t>
      </w:r>
      <w:r>
        <w:rPr>
          <w:rFonts w:hint="eastAsia" w:asciiTheme="minorEastAsia" w:hAnsiTheme="minorEastAsia" w:eastAsiaTheme="minorEastAsia"/>
          <w:color w:val="0C0C0C" w:themeColor="text1" w:themeTint="F2"/>
          <w:kern w:val="0"/>
          <w:sz w:val="24"/>
          <w:szCs w:val="24"/>
        </w:rPr>
        <w:t>、申购对价、赎回对价根据申购赎回清单和投资者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p>
    <w:p w14:paraId="76F9B7F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w:t>
      </w:r>
      <w:r>
        <w:rPr>
          <w:rFonts w:hint="eastAsia" w:asciiTheme="minorEastAsia" w:hAnsiTheme="minorEastAsia" w:eastAsiaTheme="minorEastAsia"/>
          <w:color w:val="0C0C0C" w:themeColor="text1" w:themeTint="F2"/>
          <w:kern w:val="0"/>
          <w:sz w:val="24"/>
          <w:szCs w:val="24"/>
        </w:rPr>
        <w:t>、申购赎回清单由基金管理人编制。</w:t>
      </w:r>
      <w:r>
        <w:rPr>
          <w:rFonts w:asciiTheme="minorEastAsia" w:hAnsiTheme="minorEastAsia" w:eastAsiaTheme="minorEastAsia"/>
          <w:color w:val="0C0C0C" w:themeColor="text1" w:themeTint="F2"/>
          <w:kern w:val="0"/>
          <w:sz w:val="24"/>
          <w:szCs w:val="24"/>
        </w:rPr>
        <w:t>T日的申购赎回清单在当日</w:t>
      </w:r>
      <w:r>
        <w:rPr>
          <w:rFonts w:hint="eastAsia" w:asciiTheme="minorEastAsia" w:hAnsiTheme="minorEastAsia" w:eastAsiaTheme="minorEastAsia"/>
          <w:color w:val="0C0C0C" w:themeColor="text1" w:themeTint="F2"/>
          <w:kern w:val="0"/>
          <w:sz w:val="24"/>
          <w:szCs w:val="24"/>
        </w:rPr>
        <w:t>深圳证券交易所开市前公告。如遇特殊情况，可以适当延迟计算或公告。申购赎回清单的内容与格式详见《招募说明书》。</w:t>
      </w:r>
    </w:p>
    <w:p w14:paraId="180BC2D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4、投资者在申购或赎回本基金时，申购赎回代理</w:t>
      </w:r>
      <w:r>
        <w:rPr>
          <w:rFonts w:hint="eastAsia" w:asciiTheme="minorEastAsia" w:hAnsiTheme="minorEastAsia" w:eastAsiaTheme="minorEastAsia"/>
          <w:color w:val="0C0C0C" w:themeColor="text1" w:themeTint="F2"/>
          <w:kern w:val="0"/>
          <w:sz w:val="24"/>
          <w:szCs w:val="24"/>
        </w:rPr>
        <w:t>券商</w:t>
      </w:r>
      <w:r>
        <w:rPr>
          <w:rFonts w:asciiTheme="minorEastAsia" w:hAnsiTheme="minorEastAsia" w:eastAsiaTheme="minorEastAsia"/>
          <w:color w:val="0C0C0C" w:themeColor="text1" w:themeTint="F2"/>
          <w:kern w:val="0"/>
          <w:sz w:val="24"/>
          <w:szCs w:val="24"/>
        </w:rPr>
        <w:t>可按照一定标准收取佣金，其中包含证券交易所、登记机构等收取的相关费用，具体规定详见招募说明书。</w:t>
      </w:r>
    </w:p>
    <w:p w14:paraId="47A6B1B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5、</w:t>
      </w:r>
      <w:r>
        <w:rPr>
          <w:rFonts w:asciiTheme="minorEastAsia" w:hAnsiTheme="minorEastAsia" w:eastAsiaTheme="minorEastAsia"/>
          <w:color w:val="0C0C0C" w:themeColor="text1" w:themeTint="F2"/>
          <w:kern w:val="0"/>
          <w:sz w:val="24"/>
          <w:szCs w:val="24"/>
        </w:rPr>
        <w:t>基金管理人可以在不违反相关法律法规的情况下对基金份额净值、申购赎回清单计算和公告时间进行调整并提前公告。</w:t>
      </w:r>
    </w:p>
    <w:p w14:paraId="719308A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七、拒绝或暂停申购的情形及处理方式</w:t>
      </w:r>
    </w:p>
    <w:p w14:paraId="3DF83AE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发生下列情况时，基金管理人可拒绝或暂停接受投资人的申购申请：</w:t>
      </w:r>
      <w:bookmarkStart w:id="111" w:name="_Hlt70481650"/>
      <w:bookmarkEnd w:id="111"/>
    </w:p>
    <w:p w14:paraId="4DD4EF4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、因不可抗力导致基金无法正常运作、基金管理人无法受理或办理基金份额持有人的申购申请；</w:t>
      </w:r>
    </w:p>
    <w:p w14:paraId="422881A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2、证券/</w:t>
      </w:r>
      <w:r>
        <w:rPr>
          <w:rFonts w:hint="eastAsia" w:asciiTheme="minorEastAsia" w:hAnsiTheme="minorEastAsia" w:eastAsiaTheme="minorEastAsia"/>
          <w:color w:val="0C0C0C" w:themeColor="text1" w:themeTint="F2"/>
          <w:kern w:val="0"/>
          <w:sz w:val="24"/>
          <w:szCs w:val="24"/>
        </w:rPr>
        <w:t>期货交易所交易时间非正常停市，导致基金管理人无法计算当日基金资产净值或无法进行证券交易；</w:t>
      </w:r>
    </w:p>
    <w:p w14:paraId="4216F79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3、发生基金合同规定的暂停基金资产估值情况</w:t>
      </w:r>
      <w:r>
        <w:rPr>
          <w:rFonts w:hint="eastAsia" w:asciiTheme="minorEastAsia" w:hAnsiTheme="minorEastAsia" w:eastAsiaTheme="minorEastAsia"/>
          <w:color w:val="0C0C0C" w:themeColor="text1" w:themeTint="F2"/>
          <w:kern w:val="0"/>
          <w:sz w:val="24"/>
          <w:szCs w:val="24"/>
        </w:rPr>
        <w:t>时</w:t>
      </w:r>
      <w:r>
        <w:rPr>
          <w:rFonts w:asciiTheme="minorEastAsia" w:hAnsiTheme="minorEastAsia" w:eastAsiaTheme="minorEastAsia"/>
          <w:color w:val="0C0C0C" w:themeColor="text1" w:themeTint="F2"/>
          <w:kern w:val="0"/>
          <w:sz w:val="24"/>
          <w:szCs w:val="24"/>
        </w:rPr>
        <w:t>；</w:t>
      </w:r>
    </w:p>
    <w:p w14:paraId="643BE78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基金管理人开市前因异常情况无法公布申购赎回清单、基金份额净值或者</w:t>
      </w:r>
      <w:r>
        <w:rPr>
          <w:rFonts w:asciiTheme="minorEastAsia" w:hAnsiTheme="minorEastAsia" w:eastAsiaTheme="minorEastAsia"/>
          <w:color w:val="0C0C0C" w:themeColor="text1" w:themeTint="F2"/>
          <w:kern w:val="0"/>
          <w:sz w:val="24"/>
          <w:szCs w:val="24"/>
        </w:rPr>
        <w:t>IOPV计算错误、申购赎回清单编制错误；</w:t>
      </w:r>
    </w:p>
    <w:p w14:paraId="4F51DBA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5、</w:t>
      </w:r>
      <w:r>
        <w:rPr>
          <w:rFonts w:hint="eastAsia" w:asciiTheme="minorEastAsia" w:hAnsiTheme="minorEastAsia" w:eastAsiaTheme="minorEastAsia"/>
          <w:color w:val="0C0C0C" w:themeColor="text1" w:themeTint="F2"/>
          <w:kern w:val="0"/>
          <w:sz w:val="24"/>
          <w:szCs w:val="24"/>
        </w:rPr>
        <w:t>接受某笔或某些申购申请可能会影响或损害现有基金份额持有人利益时；</w:t>
      </w:r>
    </w:p>
    <w:p w14:paraId="7B0C969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6、相关证券</w:t>
      </w:r>
      <w:r>
        <w:rPr>
          <w:rFonts w:hint="eastAsia" w:asciiTheme="minorEastAsia" w:hAnsiTheme="minorEastAsia" w:eastAsiaTheme="minorEastAsia"/>
          <w:color w:val="0C0C0C" w:themeColor="text1" w:themeTint="F2"/>
          <w:kern w:val="0"/>
          <w:sz w:val="24"/>
          <w:szCs w:val="24"/>
        </w:rPr>
        <w:t>/期货</w:t>
      </w:r>
      <w:r>
        <w:rPr>
          <w:rFonts w:asciiTheme="minorEastAsia" w:hAnsiTheme="minorEastAsia" w:eastAsiaTheme="minorEastAsia"/>
          <w:color w:val="0C0C0C" w:themeColor="text1" w:themeTint="F2"/>
          <w:kern w:val="0"/>
          <w:sz w:val="24"/>
          <w:szCs w:val="24"/>
        </w:rPr>
        <w:t>交易所、申购赎回代理券商、登记机构等因异常情况无法办理申购；或者</w:t>
      </w:r>
      <w:r>
        <w:rPr>
          <w:rFonts w:hint="eastAsia" w:asciiTheme="minorEastAsia" w:hAnsiTheme="minorEastAsia" w:eastAsiaTheme="minorEastAsia"/>
          <w:color w:val="0C0C0C" w:themeColor="text1" w:themeTint="F2"/>
          <w:kern w:val="0"/>
          <w:sz w:val="24"/>
          <w:szCs w:val="24"/>
        </w:rPr>
        <w:t>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08E4287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7</w:t>
      </w:r>
      <w:r>
        <w:rPr>
          <w:rFonts w:asciiTheme="minorEastAsia" w:hAnsiTheme="minorEastAsia" w:eastAsiaTheme="minorEastAsia"/>
          <w:color w:val="0C0C0C" w:themeColor="text1" w:themeTint="F2"/>
          <w:kern w:val="0"/>
          <w:sz w:val="24"/>
          <w:szCs w:val="24"/>
        </w:rPr>
        <w:t>、申请超过基金管理人设定的基金总规模、单日净申购比例上限、单一投资者单日或单笔申购</w:t>
      </w:r>
      <w:r>
        <w:rPr>
          <w:rFonts w:hint="eastAsia" w:asciiTheme="minorEastAsia" w:hAnsiTheme="minorEastAsia" w:eastAsiaTheme="minorEastAsia"/>
          <w:color w:val="0C0C0C" w:themeColor="text1" w:themeTint="F2"/>
          <w:kern w:val="0"/>
          <w:sz w:val="24"/>
          <w:szCs w:val="24"/>
        </w:rPr>
        <w:t>份额</w:t>
      </w:r>
      <w:r>
        <w:rPr>
          <w:rFonts w:asciiTheme="minorEastAsia" w:hAnsiTheme="minorEastAsia" w:eastAsiaTheme="minorEastAsia"/>
          <w:color w:val="0C0C0C" w:themeColor="text1" w:themeTint="F2"/>
          <w:kern w:val="0"/>
          <w:sz w:val="24"/>
          <w:szCs w:val="24"/>
        </w:rPr>
        <w:t>上限的；</w:t>
      </w:r>
    </w:p>
    <w:p w14:paraId="6E0567C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8</w:t>
      </w:r>
      <w:r>
        <w:rPr>
          <w:rFonts w:asciiTheme="minorEastAsia" w:hAnsiTheme="minorEastAsia" w:eastAsiaTheme="minorEastAsia"/>
          <w:color w:val="0C0C0C" w:themeColor="text1" w:themeTint="F2"/>
          <w:kern w:val="0"/>
          <w:sz w:val="24"/>
          <w:szCs w:val="24"/>
        </w:rPr>
        <w:t>、当前一估值日基金资产净值50%以上的资产出现无可参考的活跃市场价格且采用估值技术仍导致公允价值存在重大不确定性时，经与基金托管人协商确认后</w:t>
      </w:r>
      <w:r>
        <w:rPr>
          <w:rFonts w:hint="eastAsia" w:asciiTheme="minorEastAsia" w:hAnsiTheme="minorEastAsia" w:eastAsiaTheme="minorEastAsia"/>
          <w:color w:val="0C0C0C" w:themeColor="text1" w:themeTint="F2"/>
          <w:kern w:val="0"/>
          <w:sz w:val="24"/>
          <w:szCs w:val="24"/>
        </w:rPr>
        <w:t>，基金管理人应当暂停接受基金申购申请；</w:t>
      </w:r>
    </w:p>
    <w:p w14:paraId="735B96FA">
      <w:pPr>
        <w:adjustRightInd w:val="0"/>
        <w:snapToGrid w:val="0"/>
        <w:spacing w:line="360" w:lineRule="auto"/>
        <w:ind w:firstLine="480" w:firstLineChars="200"/>
        <w:rPr>
          <w:rFonts w:asciiTheme="minorEastAsia" w:hAnsiTheme="minorEastAsia" w:eastAsiaTheme="minorEastAsia"/>
          <w:bCs/>
          <w:color w:val="0C0C0C" w:themeColor="text1" w:themeTint="F2"/>
          <w:kern w:val="0"/>
          <w:sz w:val="24"/>
          <w:szCs w:val="24"/>
        </w:rPr>
      </w:pPr>
      <w:r>
        <w:rPr>
          <w:rFonts w:hint="eastAsia" w:asciiTheme="minorEastAsia" w:hAnsiTheme="minorEastAsia" w:eastAsiaTheme="minorEastAsia"/>
          <w:bCs/>
          <w:color w:val="0C0C0C" w:themeColor="text1" w:themeTint="F2"/>
          <w:kern w:val="0"/>
          <w:sz w:val="24"/>
          <w:szCs w:val="24"/>
        </w:rPr>
        <w:t>9、</w:t>
      </w:r>
      <w:r>
        <w:rPr>
          <w:rFonts w:asciiTheme="minorEastAsia" w:hAnsiTheme="minorEastAsia" w:eastAsiaTheme="minorEastAsia"/>
          <w:bCs/>
          <w:color w:val="0C0C0C" w:themeColor="text1" w:themeTint="F2"/>
          <w:kern w:val="0"/>
          <w:sz w:val="24"/>
          <w:szCs w:val="24"/>
        </w:rPr>
        <w:t>基金资产规模过大，使基金管理人无法找到合适的投资品种，或其他可能对基金业绩产生负面影响，</w:t>
      </w:r>
      <w:r>
        <w:rPr>
          <w:rFonts w:hint="eastAsia" w:asciiTheme="minorEastAsia" w:hAnsiTheme="minorEastAsia" w:eastAsiaTheme="minorEastAsia"/>
          <w:bCs/>
          <w:color w:val="0C0C0C" w:themeColor="text1" w:themeTint="F2"/>
          <w:kern w:val="0"/>
          <w:sz w:val="24"/>
          <w:szCs w:val="24"/>
        </w:rPr>
        <w:t>或发生其他</w:t>
      </w:r>
      <w:r>
        <w:rPr>
          <w:rFonts w:asciiTheme="minorEastAsia" w:hAnsiTheme="minorEastAsia" w:eastAsiaTheme="minorEastAsia"/>
          <w:bCs/>
          <w:color w:val="0C0C0C" w:themeColor="text1" w:themeTint="F2"/>
          <w:kern w:val="0"/>
          <w:sz w:val="24"/>
          <w:szCs w:val="24"/>
        </w:rPr>
        <w:t>损害现有基金份额持有人利益的情形</w:t>
      </w:r>
      <w:r>
        <w:rPr>
          <w:rFonts w:hint="eastAsia" w:asciiTheme="minorEastAsia" w:hAnsiTheme="minorEastAsia" w:eastAsiaTheme="minorEastAsia"/>
          <w:bCs/>
          <w:color w:val="0C0C0C" w:themeColor="text1" w:themeTint="F2"/>
          <w:kern w:val="0"/>
          <w:sz w:val="24"/>
          <w:szCs w:val="24"/>
        </w:rPr>
        <w:t>；</w:t>
      </w:r>
    </w:p>
    <w:p w14:paraId="6B8C3CC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10</w:t>
      </w:r>
      <w:r>
        <w:rPr>
          <w:rFonts w:hint="eastAsia" w:asciiTheme="minorEastAsia" w:hAnsiTheme="minorEastAsia" w:eastAsiaTheme="minorEastAsia"/>
          <w:color w:val="0C0C0C" w:themeColor="text1" w:themeTint="F2"/>
          <w:kern w:val="0"/>
          <w:sz w:val="24"/>
          <w:szCs w:val="24"/>
        </w:rPr>
        <w:t>、法律法规、深圳证券交易所规定或中国证监会认定的其他情形。</w:t>
      </w:r>
    </w:p>
    <w:p w14:paraId="6CDE85B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发生上述第</w:t>
      </w:r>
      <w:r>
        <w:rPr>
          <w:rFonts w:asciiTheme="minorEastAsia" w:hAnsiTheme="minorEastAsia" w:eastAsiaTheme="minorEastAsia"/>
          <w:color w:val="0C0C0C" w:themeColor="text1" w:themeTint="F2"/>
          <w:kern w:val="0"/>
          <w:sz w:val="24"/>
          <w:szCs w:val="24"/>
        </w:rPr>
        <w:t>1、2、3、4、6、8、9</w:t>
      </w:r>
      <w:r>
        <w:rPr>
          <w:rFonts w:hint="eastAsia" w:asciiTheme="minorEastAsia" w:hAnsiTheme="minorEastAsia" w:eastAsiaTheme="minorEastAsia"/>
          <w:color w:val="0C0C0C" w:themeColor="text1" w:themeTint="F2"/>
          <w:kern w:val="0"/>
          <w:sz w:val="24"/>
          <w:szCs w:val="24"/>
        </w:rPr>
        <w:t>、</w:t>
      </w:r>
      <w:r>
        <w:rPr>
          <w:rFonts w:asciiTheme="minorEastAsia" w:hAnsiTheme="minorEastAsia" w:eastAsiaTheme="minorEastAsia"/>
          <w:color w:val="0C0C0C" w:themeColor="text1" w:themeTint="F2"/>
          <w:kern w:val="0"/>
          <w:sz w:val="24"/>
          <w:szCs w:val="24"/>
        </w:rPr>
        <w:t>10</w:t>
      </w:r>
      <w:r>
        <w:rPr>
          <w:rFonts w:hint="eastAsia" w:asciiTheme="minorEastAsia" w:hAnsiTheme="minorEastAsia" w:eastAsiaTheme="minorEastAsia"/>
          <w:color w:val="0C0C0C" w:themeColor="text1" w:themeTint="F2"/>
          <w:kern w:val="0"/>
          <w:sz w:val="24"/>
          <w:szCs w:val="24"/>
        </w:rPr>
        <w:t>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59D09867">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在发生暂停申购或赎回的情形之一时，本基金的申购和赎回可能同时暂停。</w:t>
      </w:r>
    </w:p>
    <w:p w14:paraId="6399512D">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八、暂停赎回或延缓支付赎回对价的情形及处理方式</w:t>
      </w:r>
    </w:p>
    <w:p w14:paraId="08E38FC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发生下列情形时，基金管理人可暂停接受投资人的赎回申请或延缓支付赎回对价：</w:t>
      </w:r>
    </w:p>
    <w:p w14:paraId="183ACDF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1</w:t>
      </w:r>
      <w:r>
        <w:rPr>
          <w:rFonts w:hint="eastAsia" w:asciiTheme="minorEastAsia" w:hAnsiTheme="minorEastAsia" w:eastAsiaTheme="minorEastAsia"/>
          <w:color w:val="0C0C0C" w:themeColor="text1" w:themeTint="F2"/>
          <w:kern w:val="0"/>
          <w:sz w:val="24"/>
          <w:szCs w:val="24"/>
        </w:rPr>
        <w:t>、因不可抗力导致基金管理人无法受理或办理基金份额持有人的赎回申请；</w:t>
      </w:r>
    </w:p>
    <w:p w14:paraId="31F55050">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2、证券/</w:t>
      </w:r>
      <w:r>
        <w:rPr>
          <w:rFonts w:hint="eastAsia" w:asciiTheme="minorEastAsia" w:hAnsiTheme="minorEastAsia" w:eastAsiaTheme="minorEastAsia"/>
          <w:color w:val="0C0C0C" w:themeColor="text1" w:themeTint="F2"/>
          <w:kern w:val="0"/>
          <w:sz w:val="24"/>
          <w:szCs w:val="24"/>
        </w:rPr>
        <w:t>期货交易所交易时间非正常停市，导致基金管理人无法计算当日基金资产</w:t>
      </w:r>
      <w:bookmarkStart w:id="112" w:name="_Hlt152500890"/>
      <w:r>
        <w:rPr>
          <w:rFonts w:hint="eastAsia" w:asciiTheme="minorEastAsia" w:hAnsiTheme="minorEastAsia" w:eastAsiaTheme="minorEastAsia"/>
          <w:color w:val="0C0C0C" w:themeColor="text1" w:themeTint="F2"/>
          <w:kern w:val="0"/>
          <w:sz w:val="24"/>
          <w:szCs w:val="24"/>
        </w:rPr>
        <w:t>净值或无法进行证券交易；</w:t>
      </w:r>
    </w:p>
    <w:p w14:paraId="55C04B7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3、发生基金合同规定的暂停基金资产估值情况</w:t>
      </w:r>
      <w:r>
        <w:rPr>
          <w:rFonts w:hint="eastAsia" w:asciiTheme="minorEastAsia" w:hAnsiTheme="minorEastAsia" w:eastAsiaTheme="minorEastAsia"/>
          <w:color w:val="0C0C0C" w:themeColor="text1" w:themeTint="F2"/>
          <w:kern w:val="0"/>
          <w:sz w:val="24"/>
          <w:szCs w:val="24"/>
        </w:rPr>
        <w:t>时</w:t>
      </w:r>
      <w:r>
        <w:rPr>
          <w:rFonts w:asciiTheme="minorEastAsia" w:hAnsiTheme="minorEastAsia" w:eastAsiaTheme="minorEastAsia"/>
          <w:color w:val="0C0C0C" w:themeColor="text1" w:themeTint="F2"/>
          <w:kern w:val="0"/>
          <w:sz w:val="24"/>
          <w:szCs w:val="24"/>
        </w:rPr>
        <w:t>；</w:t>
      </w:r>
    </w:p>
    <w:p w14:paraId="6B31435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4、</w:t>
      </w:r>
      <w:r>
        <w:rPr>
          <w:rFonts w:hint="eastAsia" w:asciiTheme="minorEastAsia" w:hAnsiTheme="minorEastAsia" w:eastAsiaTheme="minorEastAsia"/>
          <w:color w:val="0C0C0C" w:themeColor="text1" w:themeTint="F2"/>
          <w:kern w:val="0"/>
          <w:sz w:val="24"/>
          <w:szCs w:val="24"/>
        </w:rPr>
        <w:t>基金管理人开市前因异常情况无法公布申购赎回清单、基金份额净值或者</w:t>
      </w:r>
      <w:r>
        <w:rPr>
          <w:rFonts w:asciiTheme="minorEastAsia" w:hAnsiTheme="minorEastAsia" w:eastAsiaTheme="minorEastAsia"/>
          <w:color w:val="0C0C0C" w:themeColor="text1" w:themeTint="F2"/>
          <w:kern w:val="0"/>
          <w:sz w:val="24"/>
          <w:szCs w:val="24"/>
        </w:rPr>
        <w:t>IOPV计算错误、申购赎回清单编制错误；</w:t>
      </w:r>
    </w:p>
    <w:p w14:paraId="698EE41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5</w:t>
      </w:r>
      <w:r>
        <w:rPr>
          <w:rFonts w:hint="eastAsia" w:asciiTheme="minorEastAsia" w:hAnsiTheme="minorEastAsia" w:eastAsiaTheme="minorEastAsia"/>
          <w:color w:val="0C0C0C" w:themeColor="text1" w:themeTint="F2"/>
          <w:kern w:val="0"/>
          <w:sz w:val="24"/>
          <w:szCs w:val="24"/>
        </w:rPr>
        <w:t>、发生继续接受赎回申请将损害现有基金份额持有人利益的情形时，基金管理人可暂停接受投资人的赎回申请；</w:t>
      </w:r>
    </w:p>
    <w:bookmarkEnd w:id="112"/>
    <w:p w14:paraId="5C9AE34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6</w:t>
      </w:r>
      <w:r>
        <w:rPr>
          <w:rFonts w:hint="eastAsia" w:asciiTheme="minorEastAsia" w:hAnsiTheme="minorEastAsia" w:eastAsiaTheme="minorEastAsia"/>
          <w:color w:val="0C0C0C" w:themeColor="text1" w:themeTint="F2"/>
          <w:kern w:val="0"/>
          <w:sz w:val="24"/>
          <w:szCs w:val="24"/>
        </w:rPr>
        <w:t>、本基金当日总赎回份额达到基金管理人所设定的上限，基金管理人可拒绝赎回申请；</w:t>
      </w:r>
    </w:p>
    <w:p w14:paraId="6AEE27F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7、当前一估值日基金资产净值50%以上的资产出现无可参考的活跃市场价格且采用估值技术仍导致公允价值存在重大不确定性时，经与基金托管人协商确认后，</w:t>
      </w:r>
      <w:r>
        <w:rPr>
          <w:rFonts w:hint="eastAsia" w:asciiTheme="minorEastAsia" w:hAnsiTheme="minorEastAsia" w:eastAsiaTheme="minorEastAsia"/>
          <w:color w:val="0C0C0C" w:themeColor="text1" w:themeTint="F2"/>
          <w:kern w:val="0"/>
          <w:sz w:val="24"/>
          <w:szCs w:val="24"/>
        </w:rPr>
        <w:t>基金管理人应当</w:t>
      </w:r>
      <w:r>
        <w:rPr>
          <w:rFonts w:asciiTheme="minorEastAsia" w:hAnsiTheme="minorEastAsia" w:eastAsiaTheme="minorEastAsia"/>
          <w:color w:val="0C0C0C" w:themeColor="text1" w:themeTint="F2"/>
          <w:kern w:val="0"/>
          <w:sz w:val="24"/>
          <w:szCs w:val="24"/>
        </w:rPr>
        <w:t>延缓支付赎回对价或暂停接受基金赎回申请；</w:t>
      </w:r>
    </w:p>
    <w:p w14:paraId="480AD07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8、相关证券/期货交易所、申购赎回代理券商、登记机构等因异常情况无法办理赎回；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6DF8C81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asciiTheme="minorEastAsia" w:hAnsiTheme="minorEastAsia" w:eastAsiaTheme="minorEastAsia"/>
          <w:color w:val="0C0C0C" w:themeColor="text1" w:themeTint="F2"/>
          <w:kern w:val="0"/>
          <w:sz w:val="24"/>
          <w:szCs w:val="24"/>
        </w:rPr>
        <w:t>9</w:t>
      </w:r>
      <w:r>
        <w:rPr>
          <w:rFonts w:hint="eastAsia" w:asciiTheme="minorEastAsia" w:hAnsiTheme="minorEastAsia" w:eastAsiaTheme="minorEastAsia"/>
          <w:color w:val="0C0C0C" w:themeColor="text1" w:themeTint="F2"/>
          <w:kern w:val="0"/>
          <w:sz w:val="24"/>
          <w:szCs w:val="24"/>
        </w:rPr>
        <w:t>、法律法规、深圳证券交易所规定或中国证监会认定的其他情形。</w:t>
      </w:r>
    </w:p>
    <w:p w14:paraId="47515C8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bookmarkStart w:id="113" w:name="_Toc14835"/>
      <w:bookmarkStart w:id="114" w:name="_Toc16859"/>
      <w:bookmarkStart w:id="115" w:name="_Toc29251"/>
      <w:bookmarkStart w:id="116" w:name="_Toc123102454"/>
      <w:bookmarkStart w:id="117" w:name="_Toc12245"/>
      <w:bookmarkStart w:id="118" w:name="_Toc31653"/>
      <w:bookmarkStart w:id="119" w:name="_Toc31235"/>
      <w:bookmarkStart w:id="120" w:name="_Toc15143"/>
      <w:bookmarkStart w:id="121" w:name="_Toc6405"/>
      <w:bookmarkStart w:id="122" w:name="_Toc139991737"/>
      <w:bookmarkStart w:id="123" w:name="_Toc31644"/>
      <w:bookmarkStart w:id="124" w:name="_Toc98560353"/>
      <w:bookmarkStart w:id="125" w:name="_Toc123051453"/>
      <w:bookmarkStart w:id="126" w:name="_Toc26207"/>
      <w:bookmarkStart w:id="127" w:name="_Toc123112235"/>
      <w:bookmarkStart w:id="128" w:name="_Toc141703887"/>
      <w:bookmarkStart w:id="129" w:name="_Toc3601"/>
    </w:p>
    <w:p w14:paraId="00FA485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在发生暂停申购或赎回的情形之一时，本基金的申购和赎回可能同时暂停。</w:t>
      </w:r>
    </w:p>
    <w:p w14:paraId="2D03ACF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九、基金清算交收与登记模式的调整或新增</w:t>
      </w:r>
    </w:p>
    <w:p w14:paraId="7FCBC38F">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无</w:t>
      </w:r>
      <w:r>
        <w:rPr>
          <w:rFonts w:asciiTheme="minorEastAsia" w:hAnsiTheme="minorEastAsia" w:eastAsiaTheme="minorEastAsia"/>
          <w:color w:val="0C0C0C" w:themeColor="text1" w:themeTint="F2"/>
          <w:kern w:val="0"/>
          <w:sz w:val="24"/>
          <w:szCs w:val="24"/>
        </w:rPr>
        <w:t>需</w:t>
      </w:r>
      <w:r>
        <w:rPr>
          <w:rFonts w:hint="eastAsia" w:asciiTheme="minorEastAsia" w:hAnsiTheme="minorEastAsia" w:eastAsiaTheme="minorEastAsia"/>
          <w:color w:val="0C0C0C" w:themeColor="text1" w:themeTint="F2"/>
          <w:kern w:val="0"/>
          <w:sz w:val="24"/>
          <w:szCs w:val="24"/>
        </w:rPr>
        <w:t>召开持有人大会审议。</w:t>
      </w:r>
    </w:p>
    <w:p w14:paraId="12CF69D6">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十、基金份额拆分与合并</w:t>
      </w:r>
    </w:p>
    <w:p w14:paraId="111387B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基金成立后，在法律法规规定的范围内，在履行</w:t>
      </w:r>
      <w:r>
        <w:rPr>
          <w:rFonts w:asciiTheme="minorEastAsia" w:hAnsiTheme="minorEastAsia" w:eastAsiaTheme="minorEastAsia"/>
          <w:color w:val="0C0C0C" w:themeColor="text1" w:themeTint="F2"/>
          <w:kern w:val="0"/>
          <w:sz w:val="24"/>
          <w:szCs w:val="24"/>
        </w:rPr>
        <w:t>适当程序</w:t>
      </w:r>
      <w:r>
        <w:rPr>
          <w:rFonts w:hint="eastAsia" w:asciiTheme="minorEastAsia" w:hAnsiTheme="minorEastAsia" w:eastAsiaTheme="minorEastAsia"/>
          <w:color w:val="0C0C0C" w:themeColor="text1" w:themeTint="F2"/>
          <w:kern w:val="0"/>
          <w:sz w:val="24"/>
          <w:szCs w:val="24"/>
        </w:rPr>
        <w:t>后，本基金可实施基金份额拆分或合并。</w:t>
      </w:r>
    </w:p>
    <w:p w14:paraId="471C1131">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6B9B2D87">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十一、基金份额的转让</w:t>
      </w:r>
    </w:p>
    <w:p w14:paraId="060841F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在法律法规允许且条件具备的情况下，如对</w:t>
      </w:r>
      <w:r>
        <w:rPr>
          <w:rFonts w:asciiTheme="minorEastAsia" w:hAnsiTheme="minorEastAsia" w:eastAsiaTheme="minorEastAsia"/>
          <w:color w:val="0C0C0C" w:themeColor="text1" w:themeTint="F2"/>
          <w:kern w:val="0"/>
          <w:sz w:val="24"/>
          <w:szCs w:val="24"/>
        </w:rPr>
        <w:t>存量基金份额持有人利益</w:t>
      </w:r>
      <w:r>
        <w:rPr>
          <w:rFonts w:hint="eastAsia" w:asciiTheme="minorEastAsia" w:hAnsiTheme="minorEastAsia" w:eastAsiaTheme="minorEastAsia"/>
          <w:color w:val="0C0C0C" w:themeColor="text1" w:themeTint="F2"/>
          <w:kern w:val="0"/>
          <w:sz w:val="24"/>
          <w:szCs w:val="24"/>
        </w:rPr>
        <w:t>无实质性</w:t>
      </w:r>
      <w:r>
        <w:rPr>
          <w:rFonts w:asciiTheme="minorEastAsia" w:hAnsiTheme="minorEastAsia" w:eastAsiaTheme="minorEastAsia"/>
          <w:color w:val="0C0C0C" w:themeColor="text1" w:themeTint="F2"/>
          <w:kern w:val="0"/>
          <w:sz w:val="24"/>
          <w:szCs w:val="24"/>
        </w:rPr>
        <w:t>不利影响</w:t>
      </w:r>
      <w:r>
        <w:rPr>
          <w:rFonts w:hint="eastAsia" w:asciiTheme="minorEastAsia" w:hAnsiTheme="minorEastAsia" w:eastAsiaTheme="minorEastAsia"/>
          <w:color w:val="0C0C0C" w:themeColor="text1" w:themeTint="F2"/>
          <w:kern w:val="0"/>
          <w:sz w:val="24"/>
          <w:szCs w:val="24"/>
        </w:rPr>
        <w:t>，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E62732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十二、基金份额的非交易过户、冻结、解冻等其他业务</w:t>
      </w:r>
    </w:p>
    <w:p w14:paraId="79C53D5A">
      <w:pPr>
        <w:spacing w:line="360" w:lineRule="auto"/>
        <w:ind w:firstLine="480" w:firstLineChars="200"/>
        <w:rPr>
          <w:bCs/>
          <w:sz w:val="24"/>
        </w:rPr>
      </w:pPr>
      <w:r>
        <w:rPr>
          <w:rFonts w:hint="eastAsia" w:asciiTheme="minorEastAsia" w:hAnsiTheme="minorEastAsia" w:eastAsiaTheme="minorEastAsia"/>
          <w:color w:val="0C0C0C" w:themeColor="text1" w:themeTint="F2"/>
          <w:kern w:val="0"/>
          <w:sz w:val="24"/>
          <w:szCs w:val="24"/>
        </w:rPr>
        <w:t>基金份额的登记机构可依据其业务规则，受理基金的非交易过户、冻结与解冻等业务，并收取一定的手续费用。</w:t>
      </w:r>
    </w:p>
    <w:p w14:paraId="507AAFAE">
      <w:pPr>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bCs/>
          <w:sz w:val="24"/>
        </w:rPr>
        <w:t>基金份额被冻结的，被冻结部分产生的权益一并冻结，被冻结部分份额仍然参与收益分配。法律法规或监管机构另有规定的除外。</w:t>
      </w:r>
    </w:p>
    <w:p w14:paraId="7352AF83">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十三、联接基金的特殊申购</w:t>
      </w:r>
    </w:p>
    <w:p w14:paraId="64D3BDD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若基金管理人推出以本基金为目标</w:t>
      </w:r>
      <w:r>
        <w:rPr>
          <w:rFonts w:asciiTheme="minorEastAsia" w:hAnsiTheme="minorEastAsia" w:eastAsiaTheme="minorEastAsia"/>
          <w:color w:val="0C0C0C" w:themeColor="text1" w:themeTint="F2"/>
          <w:kern w:val="0"/>
          <w:sz w:val="24"/>
          <w:szCs w:val="24"/>
        </w:rPr>
        <w:t>ETF</w:t>
      </w:r>
      <w:r>
        <w:rPr>
          <w:rFonts w:hint="eastAsia" w:asciiTheme="minorEastAsia" w:hAnsiTheme="minorEastAsia" w:eastAsiaTheme="minorEastAsia"/>
          <w:color w:val="0C0C0C" w:themeColor="text1" w:themeTint="F2"/>
          <w:kern w:val="0"/>
          <w:sz w:val="24"/>
          <w:szCs w:val="24"/>
        </w:rPr>
        <w:t>的联接基金，本基金可根据实际情况需要向本基金的联接基金开通特殊申购，不收取申购费用。具体见招募说明书。</w:t>
      </w:r>
    </w:p>
    <w:p w14:paraId="556AB06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十四、基金份额折算</w:t>
      </w:r>
    </w:p>
    <w:p w14:paraId="6F99BC7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w:t>
      </w:r>
    </w:p>
    <w:p w14:paraId="1DFFD75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十五、其他</w:t>
      </w:r>
    </w:p>
    <w:p w14:paraId="6DA0D50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1、在不违反法律法规且对基金份额持有人利益无实质性不利影响的情况下，经履行相关程序后，基金管理人可开放集合申购。基金管理人有权制定集合申购业务的相关规则。</w:t>
      </w:r>
    </w:p>
    <w:p w14:paraId="7E7EA965">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在条件允许时，基金管理人也可采取其他合理的申购方式，并于新的申购方式开始执行前予以公告。</w:t>
      </w:r>
    </w:p>
    <w:p w14:paraId="26BD2D2E">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2、基金管理人指定的代理机构可依据法律法规和本基金合同的规定开展其他服务，双方需签订书面委托代理协议。</w:t>
      </w:r>
    </w:p>
    <w:p w14:paraId="49F4E1A9">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3</w:t>
      </w:r>
      <w:r>
        <w:rPr>
          <w:rFonts w:asciiTheme="minorEastAsia" w:hAnsiTheme="minorEastAsia" w:eastAsiaTheme="minorEastAsia"/>
          <w:color w:val="0C0C0C" w:themeColor="text1" w:themeTint="F2"/>
          <w:kern w:val="0"/>
          <w:sz w:val="24"/>
          <w:szCs w:val="24"/>
        </w:rPr>
        <w:t>、对于符合《</w:t>
      </w:r>
      <w:r>
        <w:rPr>
          <w:rFonts w:hint="eastAsia"/>
          <w:sz w:val="24"/>
          <w:szCs w:val="24"/>
        </w:rPr>
        <w:t>中国证券登记结算有限责任公司深圳分公司交易型开放式基金登记结算业务指南</w:t>
      </w:r>
      <w:r>
        <w:rPr>
          <w:rFonts w:asciiTheme="minorEastAsia" w:hAnsiTheme="minorEastAsia" w:eastAsiaTheme="minorEastAsia"/>
          <w:color w:val="0C0C0C" w:themeColor="text1" w:themeTint="F2"/>
          <w:kern w:val="0"/>
          <w:sz w:val="24"/>
          <w:szCs w:val="24"/>
        </w:rPr>
        <w:t>》要求的特定投资者，基金管理人可在不违反法律法规且对基金份额持有人利益无实质性不利影响的情况下，安排专门的申购方式。</w:t>
      </w:r>
    </w:p>
    <w:p w14:paraId="006404D5">
      <w:pPr>
        <w:adjustRightInd w:val="0"/>
        <w:snapToGrid w:val="0"/>
        <w:spacing w:line="360" w:lineRule="auto"/>
        <w:rPr>
          <w:rFonts w:cs="Arial" w:asciiTheme="minorEastAsia" w:hAnsiTheme="minorEastAsia" w:eastAsiaTheme="minorEastAsia"/>
          <w:color w:val="0C0C0C" w:themeColor="text1" w:themeTint="F2"/>
          <w:sz w:val="24"/>
          <w:szCs w:val="24"/>
        </w:rPr>
      </w:pPr>
    </w:p>
    <w:bookmarkEnd w:id="108"/>
    <w:p w14:paraId="70346FB8">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661BCCAE">
      <w:pPr>
        <w:pStyle w:val="2"/>
        <w:rPr>
          <w:szCs w:val="24"/>
        </w:rPr>
      </w:pPr>
      <w:bookmarkStart w:id="130" w:name="CTS_093627b63be94cfa9c14ce403e9127ec"/>
      <w:bookmarkEnd w:id="130"/>
      <w:bookmarkStart w:id="131" w:name="_Toc86655083"/>
      <w:bookmarkStart w:id="132" w:name="CLAUSE_093627b63be94cfa9c14ce403e9127ec"/>
      <w:r>
        <w:rPr>
          <w:rFonts w:hint="eastAsia" w:cs="Arial"/>
          <w:szCs w:val="24"/>
        </w:rPr>
        <w:t xml:space="preserve">第九部分 </w:t>
      </w:r>
      <w:r>
        <w:rPr>
          <w:szCs w:val="24"/>
        </w:rPr>
        <w:t>基金合同当事人及权利义务</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1"/>
      <w:bookmarkStart w:id="133" w:name="_Hlt55355235"/>
      <w:bookmarkEnd w:id="133"/>
      <w:bookmarkStart w:id="134" w:name="_Toc523711668"/>
      <w:bookmarkStart w:id="135" w:name="_Toc15118234"/>
      <w:bookmarkStart w:id="136" w:name="_Toc57530239"/>
      <w:bookmarkStart w:id="137" w:name="_Toc79392580"/>
    </w:p>
    <w:p w14:paraId="1B106078">
      <w:pPr>
        <w:spacing w:line="360" w:lineRule="auto"/>
        <w:ind w:firstLine="480" w:firstLineChars="200"/>
        <w:rPr>
          <w:rFonts w:cs="Arial" w:asciiTheme="minorEastAsia" w:hAnsiTheme="minorEastAsia" w:eastAsiaTheme="minorEastAsia"/>
          <w:color w:val="0C0C0C" w:themeColor="text1" w:themeTint="F2"/>
          <w:sz w:val="24"/>
          <w:szCs w:val="24"/>
        </w:rPr>
      </w:pPr>
    </w:p>
    <w:p w14:paraId="662D76A7">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一、基金</w:t>
      </w:r>
      <w:bookmarkEnd w:id="134"/>
      <w:r>
        <w:rPr>
          <w:rFonts w:hint="eastAsia" w:cs="Arial" w:asciiTheme="minorEastAsia" w:hAnsiTheme="minorEastAsia" w:eastAsiaTheme="minorEastAsia"/>
          <w:color w:val="0C0C0C" w:themeColor="text1" w:themeTint="F2"/>
          <w:sz w:val="24"/>
          <w:szCs w:val="24"/>
        </w:rPr>
        <w:t>管理人</w:t>
      </w:r>
      <w:bookmarkEnd w:id="135"/>
      <w:bookmarkEnd w:id="136"/>
      <w:bookmarkEnd w:id="137"/>
    </w:p>
    <w:p w14:paraId="5281CB59">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138" w:name="_Toc15118235"/>
      <w:r>
        <w:rPr>
          <w:rFonts w:hint="eastAsia" w:cs="Arial" w:asciiTheme="minorEastAsia" w:hAnsiTheme="minorEastAsia" w:eastAsiaTheme="minorEastAsia"/>
          <w:color w:val="0C0C0C" w:themeColor="text1" w:themeTint="F2"/>
          <w:sz w:val="24"/>
          <w:szCs w:val="24"/>
        </w:rPr>
        <w:t>（一）</w:t>
      </w:r>
      <w:r>
        <w:rPr>
          <w:rFonts w:cs="Arial" w:asciiTheme="minorEastAsia" w:hAnsiTheme="minorEastAsia" w:eastAsiaTheme="minorEastAsia"/>
          <w:color w:val="0C0C0C" w:themeColor="text1" w:themeTint="F2"/>
          <w:sz w:val="24"/>
          <w:szCs w:val="24"/>
        </w:rPr>
        <w:tab/>
      </w:r>
      <w:r>
        <w:rPr>
          <w:rFonts w:hint="eastAsia" w:cs="Arial" w:asciiTheme="minorEastAsia" w:hAnsiTheme="minorEastAsia" w:eastAsiaTheme="minorEastAsia"/>
          <w:color w:val="0C0C0C" w:themeColor="text1" w:themeTint="F2"/>
          <w:sz w:val="24"/>
          <w:szCs w:val="24"/>
        </w:rPr>
        <w:t>基金管理人简况</w:t>
      </w:r>
      <w:bookmarkEnd w:id="138"/>
    </w:p>
    <w:p w14:paraId="56208751">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139" w:name="_Toc15118236"/>
      <w:bookmarkStart w:id="140" w:name="_Toc15118237"/>
      <w:r>
        <w:rPr>
          <w:rFonts w:hint="eastAsia" w:cs="Arial" w:asciiTheme="minorEastAsia" w:hAnsiTheme="minorEastAsia" w:eastAsiaTheme="minorEastAsia"/>
          <w:color w:val="0C0C0C" w:themeColor="text1" w:themeTint="F2"/>
          <w:sz w:val="24"/>
          <w:szCs w:val="24"/>
        </w:rPr>
        <w:t>名称：博时基金管理有限公司</w:t>
      </w:r>
    </w:p>
    <w:p w14:paraId="17D850BE">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住所：深圳市福田区莲花街道福新社区益田路5999号基金大厦21层</w:t>
      </w:r>
    </w:p>
    <w:p w14:paraId="0C2470F7">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法定代表人：江向阳</w:t>
      </w:r>
    </w:p>
    <w:p w14:paraId="458B7CF3">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设立日期：1998年7月13日</w:t>
      </w:r>
    </w:p>
    <w:p w14:paraId="58A847FC">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批准设立机关及批准设立文号：中国证监会证监基字【1998】26号</w:t>
      </w:r>
    </w:p>
    <w:p w14:paraId="6917AD86">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组织形式：有限责任公司</w:t>
      </w:r>
    </w:p>
    <w:p w14:paraId="2A4BEA4D">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注册资本：2.5亿元人民币</w:t>
      </w:r>
    </w:p>
    <w:p w14:paraId="58E3644B">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存续期限：持续经营</w:t>
      </w:r>
    </w:p>
    <w:p w14:paraId="5AF1169B">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联系电话：</w:t>
      </w:r>
      <w:r>
        <w:rPr>
          <w:rFonts w:cs="Arial" w:asciiTheme="minorEastAsia" w:hAnsiTheme="minorEastAsia" w:eastAsiaTheme="minorEastAsia"/>
          <w:color w:val="0C0C0C" w:themeColor="text1" w:themeTint="F2"/>
          <w:sz w:val="24"/>
          <w:szCs w:val="24"/>
        </w:rPr>
        <w:t>0755-83169999</w:t>
      </w:r>
    </w:p>
    <w:bookmarkEnd w:id="139"/>
    <w:p w14:paraId="3697835C">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（二）</w:t>
      </w:r>
      <w:r>
        <w:rPr>
          <w:rFonts w:cs="Arial" w:asciiTheme="minorEastAsia" w:hAnsiTheme="minorEastAsia" w:eastAsiaTheme="minorEastAsia"/>
          <w:color w:val="0C0C0C" w:themeColor="text1" w:themeTint="F2"/>
          <w:sz w:val="24"/>
          <w:szCs w:val="24"/>
        </w:rPr>
        <w:tab/>
      </w:r>
      <w:r>
        <w:rPr>
          <w:rFonts w:hint="eastAsia" w:cs="Arial" w:asciiTheme="minorEastAsia" w:hAnsiTheme="minorEastAsia" w:eastAsiaTheme="minorEastAsia"/>
          <w:color w:val="0C0C0C" w:themeColor="text1" w:themeTint="F2"/>
          <w:sz w:val="24"/>
          <w:szCs w:val="24"/>
        </w:rPr>
        <w:t>基金管理人的权利与义务</w:t>
      </w:r>
      <w:bookmarkEnd w:id="140"/>
    </w:p>
    <w:p w14:paraId="2E993A75">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cs="Arial" w:asciiTheme="minorEastAsia" w:hAnsiTheme="minorEastAsia" w:eastAsiaTheme="minorEastAsia"/>
          <w:color w:val="0C0C0C" w:themeColor="text1" w:themeTint="F2"/>
          <w:sz w:val="24"/>
          <w:szCs w:val="24"/>
        </w:rPr>
        <w:t>1</w:t>
      </w:r>
      <w:r>
        <w:rPr>
          <w:rFonts w:hint="eastAsia" w:cs="Arial" w:asciiTheme="minorEastAsia" w:hAnsiTheme="minorEastAsia" w:eastAsiaTheme="minorEastAsia"/>
          <w:color w:val="0C0C0C" w:themeColor="text1" w:themeTint="F2"/>
          <w:sz w:val="24"/>
          <w:szCs w:val="24"/>
        </w:rPr>
        <w:t>、根据《基金法》、《运作办法》及其他有关规定，基金管理人的权利包括但不限于：</w:t>
      </w:r>
    </w:p>
    <w:p w14:paraId="03074C21">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1</w:t>
      </w:r>
      <w:r>
        <w:rPr>
          <w:rFonts w:hint="eastAsia" w:cs="Arial" w:asciiTheme="minorEastAsia" w:hAnsiTheme="minorEastAsia" w:eastAsiaTheme="minorEastAsia"/>
          <w:color w:val="0C0C0C" w:themeColor="text1" w:themeTint="F2"/>
          <w:sz w:val="24"/>
          <w:szCs w:val="24"/>
        </w:rPr>
        <w:t>）依法募集资金；</w:t>
      </w:r>
    </w:p>
    <w:p w14:paraId="07D69944">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2</w:t>
      </w:r>
      <w:r>
        <w:rPr>
          <w:rFonts w:hint="eastAsia" w:cs="Arial" w:asciiTheme="minorEastAsia" w:hAnsiTheme="minorEastAsia" w:eastAsiaTheme="minorEastAsia"/>
          <w:color w:val="0C0C0C" w:themeColor="text1" w:themeTint="F2"/>
          <w:sz w:val="24"/>
          <w:szCs w:val="24"/>
        </w:rPr>
        <w:t>）自《基金合同》生效之日起，根据法律法规和《基金合同》独立运用并管理基金财产；</w:t>
      </w:r>
    </w:p>
    <w:p w14:paraId="1B83EADF">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3</w:t>
      </w:r>
      <w:r>
        <w:rPr>
          <w:rFonts w:hint="eastAsia" w:cs="Arial" w:asciiTheme="minorEastAsia" w:hAnsiTheme="minorEastAsia" w:eastAsiaTheme="minorEastAsia"/>
          <w:color w:val="0C0C0C" w:themeColor="text1" w:themeTint="F2"/>
          <w:sz w:val="24"/>
          <w:szCs w:val="24"/>
        </w:rPr>
        <w:t>）依照《基金合同》收取基金管理费以及法律法规规定或中国证监会批准的其他费用；</w:t>
      </w:r>
    </w:p>
    <w:p w14:paraId="4BD55727">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4</w:t>
      </w:r>
      <w:r>
        <w:rPr>
          <w:rFonts w:hint="eastAsia" w:cs="Arial" w:asciiTheme="minorEastAsia" w:hAnsiTheme="minorEastAsia" w:eastAsiaTheme="minorEastAsia"/>
          <w:color w:val="0C0C0C" w:themeColor="text1" w:themeTint="F2"/>
          <w:sz w:val="24"/>
          <w:szCs w:val="24"/>
        </w:rPr>
        <w:t>）销售基金份额；</w:t>
      </w:r>
    </w:p>
    <w:p w14:paraId="4B989A9E">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5</w:t>
      </w:r>
      <w:r>
        <w:rPr>
          <w:rFonts w:hint="eastAsia" w:cs="Arial" w:asciiTheme="minorEastAsia" w:hAnsiTheme="minorEastAsia" w:eastAsiaTheme="minorEastAsia"/>
          <w:color w:val="0C0C0C" w:themeColor="text1" w:themeTint="F2"/>
          <w:sz w:val="24"/>
          <w:szCs w:val="24"/>
        </w:rPr>
        <w:t>）</w:t>
      </w:r>
      <w:bookmarkStart w:id="141" w:name="_Hlt88896155"/>
      <w:r>
        <w:rPr>
          <w:rFonts w:hint="eastAsia" w:cs="Arial" w:asciiTheme="minorEastAsia" w:hAnsiTheme="minorEastAsia" w:eastAsiaTheme="minorEastAsia"/>
          <w:color w:val="0C0C0C" w:themeColor="text1" w:themeTint="F2"/>
          <w:sz w:val="24"/>
          <w:szCs w:val="24"/>
        </w:rPr>
        <w:t>按照规定召集</w:t>
      </w:r>
      <w:bookmarkEnd w:id="141"/>
      <w:r>
        <w:rPr>
          <w:rFonts w:hint="eastAsia" w:cs="Arial" w:asciiTheme="minorEastAsia" w:hAnsiTheme="minorEastAsia" w:eastAsiaTheme="minorEastAsia"/>
          <w:color w:val="0C0C0C" w:themeColor="text1" w:themeTint="F2"/>
          <w:sz w:val="24"/>
          <w:szCs w:val="24"/>
        </w:rPr>
        <w:t>基金份额持有人大会；</w:t>
      </w:r>
    </w:p>
    <w:p w14:paraId="3A6602E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74B7E78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）在基金托管人更换时，提名新的基金托管人；</w:t>
      </w:r>
    </w:p>
    <w:p w14:paraId="63CFFD3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）选择、更换基金销售机构，对基金销售机构的相关行为进行监督和处理；</w:t>
      </w:r>
    </w:p>
    <w:p w14:paraId="2315471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）担任或委托其他符合条件的机构担任基金登记机构办理基金登记业务并获得《基金合同》规定的费用；</w:t>
      </w:r>
    </w:p>
    <w:p w14:paraId="4246792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）依据《基金合同》及有关法律规定决定基金收益的分配方案；</w:t>
      </w:r>
      <w:r>
        <w:rPr>
          <w:rFonts w:asciiTheme="minorEastAsia" w:hAnsiTheme="minorEastAsia" w:eastAsiaTheme="minorEastAsia"/>
          <w:color w:val="0C0C0C" w:themeColor="text1" w:themeTint="F2"/>
          <w:sz w:val="24"/>
          <w:szCs w:val="24"/>
        </w:rPr>
        <w:tab/>
      </w:r>
    </w:p>
    <w:p w14:paraId="0EB5DAB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）在《基金合同》约定的范围内，拒绝或暂停受理申购与赎回申请；</w:t>
      </w:r>
    </w:p>
    <w:p w14:paraId="58650A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）依照法律法规为基金的利益对被投资公司行使股东权利，为基金的利益行使因基金财产投资于证券所产生的权利；</w:t>
      </w:r>
    </w:p>
    <w:p w14:paraId="2A2650F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）在法律法规允许的前提下，为基金的利益依法为基金进行融资和转融通证券出借业务；</w:t>
      </w:r>
    </w:p>
    <w:p w14:paraId="135B13E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）以基金管理人的名义，代表基金份额持有人的利益行使诉讼权利或者实施其他法律行为；</w:t>
      </w:r>
      <w:r>
        <w:rPr>
          <w:rFonts w:asciiTheme="minorEastAsia" w:hAnsiTheme="minorEastAsia" w:eastAsiaTheme="minorEastAsia"/>
          <w:color w:val="0C0C0C" w:themeColor="text1" w:themeTint="F2"/>
          <w:sz w:val="24"/>
          <w:szCs w:val="24"/>
        </w:rPr>
        <w:tab/>
      </w:r>
    </w:p>
    <w:p w14:paraId="70C14F5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）选择、更换律师事务所、会计师事务所、证券、期货经纪商或其他为基金提供服务的外部机构；</w:t>
      </w:r>
      <w:r>
        <w:rPr>
          <w:rFonts w:asciiTheme="minorEastAsia" w:hAnsiTheme="minorEastAsia" w:eastAsiaTheme="minorEastAsia"/>
          <w:color w:val="0C0C0C" w:themeColor="text1" w:themeTint="F2"/>
          <w:sz w:val="24"/>
          <w:szCs w:val="24"/>
        </w:rPr>
        <w:tab/>
      </w:r>
    </w:p>
    <w:p w14:paraId="3C92853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）在符合有关法律、法规的前提下，制订和调整有关基金认购</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申购、赎回、非交易过户</w:t>
      </w:r>
      <w:r>
        <w:rPr>
          <w:rFonts w:hint="eastAsia" w:cs="Arial" w:asciiTheme="minorEastAsia" w:hAnsiTheme="minorEastAsia" w:eastAsiaTheme="minorEastAsia"/>
          <w:color w:val="0C0C0C" w:themeColor="text1" w:themeTint="F2"/>
          <w:sz w:val="24"/>
          <w:szCs w:val="24"/>
        </w:rPr>
        <w:t>等</w:t>
      </w:r>
      <w:r>
        <w:rPr>
          <w:rFonts w:hint="eastAsia" w:asciiTheme="minorEastAsia" w:hAnsiTheme="minorEastAsia" w:eastAsiaTheme="minorEastAsia"/>
          <w:color w:val="0C0C0C" w:themeColor="text1" w:themeTint="F2"/>
          <w:sz w:val="24"/>
          <w:szCs w:val="24"/>
        </w:rPr>
        <w:t>业务规则；</w:t>
      </w:r>
    </w:p>
    <w:p w14:paraId="5A045DE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00B374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、根据《基金法》、《运作办法》及其他有关规定，基金管理人的义务包括但不限于：</w:t>
      </w:r>
    </w:p>
    <w:p w14:paraId="54A2007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42" w:name="_Toc523711669"/>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）依法募集资金，办理或者委托经中国证监会认定的其他机构代为办理基金份额的发售、申购、赎回和登记事宜；</w:t>
      </w:r>
    </w:p>
    <w:p w14:paraId="1C939D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）办理基金备案手续；</w:t>
      </w:r>
    </w:p>
    <w:p w14:paraId="085E1F2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）自《基金合同》生效之日起</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以诚实信用、谨慎勤勉的原则管理和运用基金财产；</w:t>
      </w:r>
    </w:p>
    <w:p w14:paraId="2F4A0F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）配备足够的具有专业资格的人员进行基金投资分析、决策，以专业化的经营方式管理和运作基金财产；</w:t>
      </w:r>
    </w:p>
    <w:p w14:paraId="0A4204A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对所管理的不同基金分别管理，分别记账，进行证券投资；</w:t>
      </w:r>
    </w:p>
    <w:p w14:paraId="727A31A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）除依据《基金法》、《基金合同》及其他有关规定外</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不得利用基金财产为自己及任何第三人谋取利益，不得委托第三人运作基金财产；</w:t>
      </w:r>
      <w:bookmarkStart w:id="143" w:name="_Hlt88897298"/>
      <w:bookmarkEnd w:id="143"/>
    </w:p>
    <w:p w14:paraId="6792D53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）依法接受基金托管人的监督；</w:t>
      </w:r>
    </w:p>
    <w:p w14:paraId="6528726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）采取适当合理的措施使计算基金份额认购价格、申购对价、赎回对价的方法符合《基金合同》等法律文件的规定，按有关规定计算并公告基金净值信息，确定基金份额申购、赎回对价，编制申购赎回清单；</w:t>
      </w:r>
    </w:p>
    <w:p w14:paraId="497B00A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）进行基金会计核算并编制基金财务会计报告；</w:t>
      </w:r>
    </w:p>
    <w:p w14:paraId="3F16D3F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）编制季度报告、中期报告和年度报告；</w:t>
      </w:r>
    </w:p>
    <w:p w14:paraId="17FD727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）严格按照《基金法》、《基金合同》及其他有关规定，履行信息披露及报告义务；</w:t>
      </w:r>
    </w:p>
    <w:p w14:paraId="4A11C05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保守基金商业秘密，不泄露基金投资计划、投资意向等。除《基金法》、《基金合同》及其他有关规定另有规定外，在基金信息公开披露前应予保密，不向他人泄露，法律、法规另有规定的以及审计需要的除外；</w:t>
      </w:r>
    </w:p>
    <w:p w14:paraId="7B525D5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）按《基金合同》的约定确定基金收益分配方案，及时向基金份额持有人分配基金收益；</w:t>
      </w:r>
    </w:p>
    <w:p w14:paraId="064B425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14</w:t>
      </w:r>
      <w:r>
        <w:rPr>
          <w:rFonts w:hint="eastAsia" w:asciiTheme="minorEastAsia" w:hAnsiTheme="minorEastAsia" w:eastAsiaTheme="minorEastAsia"/>
          <w:color w:val="0C0C0C" w:themeColor="text1" w:themeTint="F2"/>
          <w:sz w:val="24"/>
          <w:szCs w:val="24"/>
        </w:rPr>
        <w:t>）按规定受理申购与赎回申请，及时、足额支付赎回</w:t>
      </w:r>
      <w:r>
        <w:rPr>
          <w:rFonts w:hint="eastAsia" w:cs="Arial" w:asciiTheme="minorEastAsia" w:hAnsiTheme="minorEastAsia" w:eastAsiaTheme="minorEastAsia"/>
          <w:color w:val="0C0C0C" w:themeColor="text1" w:themeTint="F2"/>
          <w:sz w:val="24"/>
          <w:szCs w:val="24"/>
        </w:rPr>
        <w:t>对价</w:t>
      </w:r>
      <w:r>
        <w:rPr>
          <w:rFonts w:hint="eastAsia" w:asciiTheme="minorEastAsia" w:hAnsiTheme="minorEastAsia" w:eastAsiaTheme="minorEastAsia"/>
          <w:color w:val="0C0C0C" w:themeColor="text1" w:themeTint="F2"/>
          <w:sz w:val="24"/>
          <w:szCs w:val="24"/>
        </w:rPr>
        <w:t>；</w:t>
      </w:r>
    </w:p>
    <w:p w14:paraId="20E9036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）依据《基金法》、《基金合同》及其他有关规定召集基金份额持有人大会或配合基金托管人、基金份额持有人依法召集基金份额持有人大会；</w:t>
      </w:r>
    </w:p>
    <w:p w14:paraId="1DDF2AB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）按规定保存基金财产管理业务活动的会计账册、报表、记录和其他相关资料，保存期限不低于法定最低期限；</w:t>
      </w:r>
    </w:p>
    <w:p w14:paraId="7CC83B7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1380EF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18</w:t>
      </w:r>
      <w:r>
        <w:rPr>
          <w:rFonts w:hint="eastAsia" w:asciiTheme="minorEastAsia" w:hAnsiTheme="minorEastAsia" w:eastAsiaTheme="minorEastAsia"/>
          <w:color w:val="0C0C0C" w:themeColor="text1" w:themeTint="F2"/>
          <w:sz w:val="24"/>
          <w:szCs w:val="24"/>
        </w:rPr>
        <w:t>）组织并参加基金财产清算小组</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参与基金财产的保管、清理、估价、变现和分配；</w:t>
      </w:r>
    </w:p>
    <w:p w14:paraId="1E6CA56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19</w:t>
      </w:r>
      <w:r>
        <w:rPr>
          <w:rFonts w:hint="eastAsia" w:asciiTheme="minorEastAsia" w:hAnsiTheme="minorEastAsia" w:eastAsiaTheme="minorEastAsia"/>
          <w:color w:val="0C0C0C" w:themeColor="text1" w:themeTint="F2"/>
          <w:sz w:val="24"/>
          <w:szCs w:val="24"/>
        </w:rPr>
        <w:t>）面临解散、依法被撤销或者被依法宣告破产时，及时报告中国证监会并通知基金托管人；</w:t>
      </w:r>
    </w:p>
    <w:p w14:paraId="70BEF8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）因违反《基金合同》导致基金财产的损失或损害基金份额持有人合法权益时，应当承担赔偿责任，其赔偿责任不因其退任而免除；</w:t>
      </w:r>
    </w:p>
    <w:p w14:paraId="01CFBD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21</w:t>
      </w:r>
      <w:r>
        <w:rPr>
          <w:rFonts w:hint="eastAsia" w:asciiTheme="minorEastAsia" w:hAnsiTheme="minorEastAsia" w:eastAsiaTheme="minorEastAsia"/>
          <w:color w:val="0C0C0C" w:themeColor="text1" w:themeTint="F2"/>
          <w:sz w:val="24"/>
          <w:szCs w:val="24"/>
        </w:rPr>
        <w:t>）监督基金托管人按法律法规和《基金合同》规定履行自己的义务，基金托管人违反《基金合同》造成基金财产损失时，基金管理人应为基金份额持有人利益向基金托管人追偿；</w:t>
      </w:r>
    </w:p>
    <w:p w14:paraId="11B696B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22</w:t>
      </w:r>
      <w:r>
        <w:rPr>
          <w:rFonts w:hint="eastAsia" w:asciiTheme="minorEastAsia" w:hAnsiTheme="minorEastAsia" w:eastAsiaTheme="minorEastAsia"/>
          <w:color w:val="0C0C0C" w:themeColor="text1" w:themeTint="F2"/>
          <w:sz w:val="24"/>
          <w:szCs w:val="24"/>
        </w:rPr>
        <w:t>）当基金管理人将其义务委托第三方处理时，应当对第三方处理有关基金事务的行为承担责任；</w:t>
      </w:r>
    </w:p>
    <w:p w14:paraId="31F18B8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23</w:t>
      </w:r>
      <w:r>
        <w:rPr>
          <w:rFonts w:hint="eastAsia" w:asciiTheme="minorEastAsia" w:hAnsiTheme="minorEastAsia" w:eastAsiaTheme="minorEastAsia"/>
          <w:color w:val="0C0C0C" w:themeColor="text1" w:themeTint="F2"/>
          <w:sz w:val="24"/>
          <w:szCs w:val="24"/>
        </w:rPr>
        <w:t>）以基金管理人名义，代表基金份额持有人利益行使诉讼权利或实施其他法律行为；</w:t>
      </w:r>
    </w:p>
    <w:p w14:paraId="120FE40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（24）基金在募集期间未能达到基金</w:t>
      </w:r>
      <w:bookmarkStart w:id="144" w:name="_Hlt88823209"/>
      <w:bookmarkEnd w:id="144"/>
      <w:r>
        <w:rPr>
          <w:rFonts w:hint="eastAsia" w:asciiTheme="minorEastAsia" w:hAnsiTheme="minorEastAsia" w:eastAsiaTheme="minorEastAsia"/>
          <w:sz w:val="24"/>
          <w:szCs w:val="24"/>
        </w:rPr>
        <w:t>的备案条件，</w:t>
      </w:r>
      <w:r>
        <w:rPr>
          <w:rFonts w:hint="eastAsia" w:asciiTheme="minorEastAsia" w:hAnsiTheme="minorEastAsia" w:eastAsiaTheme="minorEastAsia"/>
          <w:color w:val="0C0C0C" w:themeColor="text1" w:themeTint="F2"/>
          <w:sz w:val="24"/>
          <w:szCs w:val="24"/>
        </w:rPr>
        <w:t>《基金合同》</w:t>
      </w:r>
      <w:r>
        <w:rPr>
          <w:rFonts w:hint="eastAsia" w:asciiTheme="minorEastAsia" w:hAnsiTheme="minorEastAsia" w:eastAsiaTheme="minorEastAsia"/>
          <w:sz w:val="24"/>
          <w:szCs w:val="24"/>
        </w:rPr>
        <w:t>不能生效，基金管理人承担全部募集费用，将已募集资金并加计银行同期活期存款利息在基金募集期结束后</w:t>
      </w:r>
      <w:r>
        <w:rPr>
          <w:rFonts w:asciiTheme="minorEastAsia" w:hAnsiTheme="minorEastAsia" w:eastAsiaTheme="minorEastAsia"/>
          <w:sz w:val="24"/>
          <w:szCs w:val="24"/>
        </w:rPr>
        <w:t>30</w:t>
      </w:r>
      <w:r>
        <w:rPr>
          <w:rFonts w:hint="eastAsia" w:asciiTheme="minorEastAsia" w:hAnsiTheme="minorEastAsia" w:eastAsiaTheme="minorEastAsia"/>
          <w:sz w:val="24"/>
          <w:szCs w:val="24"/>
        </w:rPr>
        <w:t>日内退还基金认购人，对于基金募集期间网下股票认购所冻结的股票，发售代理机构应予以解冻；</w:t>
      </w:r>
    </w:p>
    <w:p w14:paraId="35FF00F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25</w:t>
      </w:r>
      <w:r>
        <w:rPr>
          <w:rFonts w:hint="eastAsia" w:asciiTheme="minorEastAsia" w:hAnsiTheme="minorEastAsia" w:eastAsiaTheme="minorEastAsia"/>
          <w:color w:val="0C0C0C" w:themeColor="text1" w:themeTint="F2"/>
          <w:sz w:val="24"/>
          <w:szCs w:val="24"/>
        </w:rPr>
        <w:t>）执行生效的基金份额持有人大会的决议；</w:t>
      </w:r>
    </w:p>
    <w:p w14:paraId="6DF5FF5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26</w:t>
      </w:r>
      <w:r>
        <w:rPr>
          <w:rFonts w:hint="eastAsia" w:asciiTheme="minorEastAsia" w:hAnsiTheme="minorEastAsia" w:eastAsiaTheme="minorEastAsia"/>
          <w:color w:val="0C0C0C" w:themeColor="text1" w:themeTint="F2"/>
          <w:sz w:val="24"/>
          <w:szCs w:val="24"/>
        </w:rPr>
        <w:t>）建立并保存基金份额持有人名册；</w:t>
      </w:r>
    </w:p>
    <w:p w14:paraId="7B9F6E4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27</w:t>
      </w:r>
      <w:r>
        <w:rPr>
          <w:rFonts w:hint="eastAsia" w:asciiTheme="minorEastAsia" w:hAnsiTheme="minorEastAsia" w:eastAsiaTheme="minorEastAsia"/>
          <w:color w:val="0C0C0C" w:themeColor="text1" w:themeTint="F2"/>
          <w:sz w:val="24"/>
          <w:szCs w:val="24"/>
        </w:rPr>
        <w:t>）法律法规及中国证监会规定的和《基金合同》约定的其他义务。</w:t>
      </w:r>
    </w:p>
    <w:p w14:paraId="21FC7B5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45" w:name="_Toc57530240"/>
      <w:bookmarkStart w:id="146" w:name="_Toc15118238"/>
      <w:bookmarkStart w:id="147" w:name="_Toc79392581"/>
      <w:r>
        <w:rPr>
          <w:rFonts w:hint="eastAsia" w:asciiTheme="minorEastAsia" w:hAnsiTheme="minorEastAsia" w:eastAsiaTheme="minorEastAsia"/>
          <w:color w:val="0C0C0C" w:themeColor="text1" w:themeTint="F2"/>
          <w:sz w:val="24"/>
          <w:szCs w:val="24"/>
        </w:rPr>
        <w:t>二、基金托管人</w:t>
      </w:r>
      <w:bookmarkEnd w:id="142"/>
      <w:bookmarkEnd w:id="145"/>
      <w:bookmarkEnd w:id="146"/>
      <w:bookmarkEnd w:id="147"/>
    </w:p>
    <w:p w14:paraId="5C5C3AD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48" w:name="_Toc15118239"/>
      <w:r>
        <w:rPr>
          <w:rFonts w:hint="eastAsia" w:asciiTheme="minorEastAsia" w:hAnsiTheme="minorEastAsia" w:eastAsiaTheme="minorEastAsia"/>
          <w:color w:val="0C0C0C" w:themeColor="text1" w:themeTint="F2"/>
          <w:sz w:val="24"/>
          <w:szCs w:val="24"/>
        </w:rPr>
        <w:t>（一）</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基金托管人简况</w:t>
      </w:r>
      <w:bookmarkEnd w:id="148"/>
    </w:p>
    <w:p w14:paraId="1AB4482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49" w:name="_Toc15118240"/>
      <w:r>
        <w:rPr>
          <w:rFonts w:hint="eastAsia" w:asciiTheme="minorEastAsia" w:hAnsiTheme="minorEastAsia" w:eastAsiaTheme="minorEastAsia"/>
          <w:color w:val="0C0C0C" w:themeColor="text1" w:themeTint="F2"/>
          <w:sz w:val="24"/>
          <w:szCs w:val="24"/>
        </w:rPr>
        <w:t>名称：国泰海通证券股份有限公司</w:t>
      </w:r>
    </w:p>
    <w:p w14:paraId="29A7588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注册地址：中国（上海）自由贸易试验区商城路618号</w:t>
      </w:r>
    </w:p>
    <w:p w14:paraId="0875034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法定代表人：朱健</w:t>
      </w:r>
    </w:p>
    <w:p w14:paraId="70282F7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成立时间：1999年8月18日</w:t>
      </w:r>
    </w:p>
    <w:p w14:paraId="5645D46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批准设立机关及批准设立文号：中国证监会证监机构字[1999]77号</w:t>
      </w:r>
    </w:p>
    <w:p w14:paraId="042DB86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组织形式：其他股份有限公司（上市）</w:t>
      </w:r>
    </w:p>
    <w:p w14:paraId="0456CA6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注册资本：人民币17,629,708,696元整</w:t>
      </w:r>
    </w:p>
    <w:p w14:paraId="68B668F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存续期间：持续经营</w:t>
      </w:r>
    </w:p>
    <w:p w14:paraId="197553A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基金托管业务批准文号：证监许可[2014]511号</w:t>
      </w:r>
    </w:p>
    <w:p w14:paraId="0D9DA81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联系电话：</w:t>
      </w:r>
      <w:r>
        <w:rPr>
          <w:rFonts w:asciiTheme="minorEastAsia" w:hAnsiTheme="minorEastAsia" w:eastAsiaTheme="minorEastAsia"/>
          <w:color w:val="0C0C0C" w:themeColor="text1" w:themeTint="F2"/>
          <w:sz w:val="24"/>
          <w:szCs w:val="24"/>
        </w:rPr>
        <w:t>021-38677336</w:t>
      </w:r>
    </w:p>
    <w:p w14:paraId="5739BE1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基金托管人的权利与义务</w:t>
      </w:r>
      <w:bookmarkEnd w:id="149"/>
    </w:p>
    <w:p w14:paraId="3825BA3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、根据《基金法》、《运作办法》及其他有关规定，基金托管人的权利包括但不限于：</w:t>
      </w:r>
    </w:p>
    <w:p w14:paraId="45D12A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）自《基金合同》生效之日起，依法律法规和《基金合同》的规定安全保管基金财产；</w:t>
      </w:r>
    </w:p>
    <w:p w14:paraId="6DD93A2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）依《基金合同》约定获得基金托管费以及法律法规规定或监管部门批准的其他费用；</w:t>
      </w:r>
    </w:p>
    <w:p w14:paraId="7295DBC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BE09FA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）根据相关市场规则，为基金开设</w:t>
      </w:r>
      <w:r>
        <w:rPr>
          <w:rFonts w:hint="eastAsia" w:cs="Arial" w:asciiTheme="minorEastAsia" w:hAnsiTheme="minorEastAsia" w:eastAsiaTheme="minorEastAsia"/>
          <w:color w:val="0C0C0C" w:themeColor="text1" w:themeTint="F2"/>
          <w:sz w:val="24"/>
          <w:szCs w:val="24"/>
        </w:rPr>
        <w:t>资金账户、</w:t>
      </w:r>
      <w:r>
        <w:rPr>
          <w:rFonts w:hint="eastAsia" w:asciiTheme="minorEastAsia" w:hAnsiTheme="minorEastAsia" w:eastAsiaTheme="minorEastAsia"/>
          <w:color w:val="0C0C0C" w:themeColor="text1" w:themeTint="F2"/>
          <w:sz w:val="24"/>
          <w:szCs w:val="24"/>
        </w:rPr>
        <w:t>证券账户</w:t>
      </w:r>
      <w:r>
        <w:rPr>
          <w:rFonts w:hint="eastAsia" w:cs="Arial" w:asciiTheme="minorEastAsia" w:hAnsiTheme="minorEastAsia" w:eastAsiaTheme="minorEastAsia"/>
          <w:color w:val="0C0C0C" w:themeColor="text1" w:themeTint="F2"/>
          <w:sz w:val="24"/>
          <w:szCs w:val="24"/>
        </w:rPr>
        <w:t>等投资所需账户，</w:t>
      </w:r>
      <w:r>
        <w:rPr>
          <w:rFonts w:hint="eastAsia" w:asciiTheme="minorEastAsia" w:hAnsiTheme="minorEastAsia" w:eastAsiaTheme="minorEastAsia"/>
          <w:color w:val="0C0C0C" w:themeColor="text1" w:themeTint="F2"/>
          <w:sz w:val="24"/>
          <w:szCs w:val="24"/>
        </w:rPr>
        <w:t>为基金办理证券交易资金清算</w:t>
      </w:r>
      <w:r>
        <w:rPr>
          <w:rFonts w:hint="eastAsia" w:cs="Arial" w:asciiTheme="minorEastAsia" w:hAnsiTheme="minorEastAsia" w:eastAsiaTheme="minorEastAsia"/>
          <w:color w:val="0C0C0C" w:themeColor="text1" w:themeTint="F2"/>
          <w:sz w:val="24"/>
          <w:szCs w:val="24"/>
        </w:rPr>
        <w:t>；</w:t>
      </w:r>
    </w:p>
    <w:p w14:paraId="777E225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）提议召开或召集基金份额持有人大会；</w:t>
      </w:r>
    </w:p>
    <w:p w14:paraId="510693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）在基金管理人更换时，提名新的基金管理人；</w:t>
      </w:r>
    </w:p>
    <w:p w14:paraId="13948BF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745AC49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、根据《基金法》、《运作办法》及其他有关规定，基金托管人的义务包括但不限于：</w:t>
      </w:r>
    </w:p>
    <w:p w14:paraId="5F9141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）以诚实信用、勤勉尽责的原则持有并安全保管基金财产；</w:t>
      </w:r>
    </w:p>
    <w:p w14:paraId="71EAFB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）设立专门的基金托管部门，具有符合要求的营业场所，配备足够的、合格的熟悉基金托管业务的专职人员，负责基金财产托管事宜；</w:t>
      </w:r>
    </w:p>
    <w:p w14:paraId="391427B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5E66F0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）除依据《基金法》、《基金合同》及其他有关规定外，不得利用基金财产为自己及任何第三人谋取利益，不得委托第三人托管基金财产；</w:t>
      </w:r>
    </w:p>
    <w:p w14:paraId="4557A8A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）保管由基金管理人代表基金签订的与基金有关的重大合同及有关凭证；</w:t>
      </w:r>
    </w:p>
    <w:p w14:paraId="7137D4A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）按规定开设基金财产的资金账户</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证券账户</w:t>
      </w:r>
      <w:r>
        <w:rPr>
          <w:rFonts w:hint="eastAsia" w:cs="Arial" w:asciiTheme="minorEastAsia" w:hAnsiTheme="minorEastAsia" w:eastAsiaTheme="minorEastAsia"/>
          <w:color w:val="0C0C0C" w:themeColor="text1" w:themeTint="F2"/>
          <w:sz w:val="24"/>
          <w:szCs w:val="24"/>
        </w:rPr>
        <w:t>等投资所需账户，</w:t>
      </w:r>
      <w:r>
        <w:rPr>
          <w:rFonts w:hint="eastAsia" w:asciiTheme="minorEastAsia" w:hAnsiTheme="minorEastAsia" w:eastAsiaTheme="minorEastAsia"/>
          <w:color w:val="0C0C0C" w:themeColor="text1" w:themeTint="F2"/>
          <w:sz w:val="24"/>
          <w:szCs w:val="24"/>
        </w:rPr>
        <w:t>按照《基金合同》的约定，根据基金管理人的投资指令，及时办理清算、交割事宜；</w:t>
      </w:r>
    </w:p>
    <w:p w14:paraId="47FFAF2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）保守基金商业秘密，除《基金法》、《基金合同》及其他有关规定另有规定外，在基金信息公开披露前予以保密，不得向他人泄露，法律、法规另有规定的以及审计需要的除外；</w:t>
      </w:r>
    </w:p>
    <w:p w14:paraId="51BD8BC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）复核、审查基金管理人计算的基金资产净值、基金份额净值、基金份额申购、赎回</w:t>
      </w:r>
      <w:r>
        <w:rPr>
          <w:rFonts w:hint="eastAsia" w:cs="Arial" w:asciiTheme="minorEastAsia" w:hAnsiTheme="minorEastAsia" w:eastAsiaTheme="minorEastAsia"/>
          <w:color w:val="0C0C0C" w:themeColor="text1" w:themeTint="F2"/>
          <w:sz w:val="24"/>
          <w:szCs w:val="24"/>
        </w:rPr>
        <w:t>对价</w:t>
      </w:r>
      <w:r>
        <w:rPr>
          <w:rFonts w:hint="eastAsia" w:asciiTheme="minorEastAsia" w:hAnsiTheme="minorEastAsia" w:eastAsiaTheme="minorEastAsia"/>
          <w:color w:val="0C0C0C" w:themeColor="text1" w:themeTint="F2"/>
          <w:sz w:val="24"/>
          <w:szCs w:val="24"/>
        </w:rPr>
        <w:t>；</w:t>
      </w:r>
    </w:p>
    <w:p w14:paraId="22A48C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）办理与基金托管业务活动有关的信息披露事项；</w:t>
      </w:r>
    </w:p>
    <w:p w14:paraId="277FD7D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222D14F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）保存基金托管业务活动的记录、账册、报表和其他相关资料，保存期限不低于法定最低期限；</w:t>
      </w:r>
    </w:p>
    <w:p w14:paraId="256674B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）从基金管理人或其委托的登记机构处接收并保存基金份额持有人名册；</w:t>
      </w:r>
    </w:p>
    <w:p w14:paraId="2E91BAB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）按规定制作相关账册并与基金管理人核对；</w:t>
      </w:r>
    </w:p>
    <w:p w14:paraId="3440DF3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14</w:t>
      </w:r>
      <w:r>
        <w:rPr>
          <w:rFonts w:hint="eastAsia" w:asciiTheme="minorEastAsia" w:hAnsiTheme="minorEastAsia" w:eastAsiaTheme="minorEastAsia"/>
          <w:color w:val="0C0C0C" w:themeColor="text1" w:themeTint="F2"/>
          <w:sz w:val="24"/>
          <w:szCs w:val="24"/>
        </w:rPr>
        <w:t>）依据基金管理人的指令或有关规定向基金份额持有人支付基金收益和赎回</w:t>
      </w:r>
      <w:r>
        <w:rPr>
          <w:rFonts w:hint="eastAsia" w:cs="Arial" w:asciiTheme="minorEastAsia" w:hAnsiTheme="minorEastAsia" w:eastAsiaTheme="minorEastAsia"/>
          <w:color w:val="0C0C0C" w:themeColor="text1" w:themeTint="F2"/>
          <w:sz w:val="24"/>
          <w:szCs w:val="24"/>
        </w:rPr>
        <w:t>对价的现金部分</w:t>
      </w:r>
      <w:r>
        <w:rPr>
          <w:rFonts w:hint="eastAsia" w:asciiTheme="minorEastAsia" w:hAnsiTheme="minorEastAsia" w:eastAsiaTheme="minorEastAsia"/>
          <w:color w:val="0C0C0C" w:themeColor="text1" w:themeTint="F2"/>
          <w:sz w:val="24"/>
          <w:szCs w:val="24"/>
        </w:rPr>
        <w:t>；</w:t>
      </w:r>
    </w:p>
    <w:p w14:paraId="76CCEA1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）依据《基金法》、《基金合同》及其他有关规定，召集基金份额持有人大会或配合基金</w:t>
      </w:r>
      <w:r>
        <w:rPr>
          <w:rFonts w:hint="eastAsia" w:cs="Arial" w:asciiTheme="minorEastAsia" w:hAnsiTheme="minorEastAsia" w:eastAsiaTheme="minorEastAsia"/>
          <w:color w:val="0C0C0C" w:themeColor="text1" w:themeTint="F2"/>
          <w:sz w:val="24"/>
          <w:szCs w:val="24"/>
        </w:rPr>
        <w:t>管理人、</w:t>
      </w:r>
      <w:r>
        <w:rPr>
          <w:rFonts w:hint="eastAsia" w:asciiTheme="minorEastAsia" w:hAnsiTheme="minorEastAsia" w:eastAsiaTheme="minorEastAsia"/>
          <w:color w:val="0C0C0C" w:themeColor="text1" w:themeTint="F2"/>
          <w:sz w:val="24"/>
          <w:szCs w:val="24"/>
        </w:rPr>
        <w:t>基金份额持有人依法召集基金份额持有人大会；</w:t>
      </w:r>
    </w:p>
    <w:p w14:paraId="4796F59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）按照法律法规和《基金合同》的规定监督基金管理人的投资运作；</w:t>
      </w:r>
    </w:p>
    <w:p w14:paraId="0B7B0F0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）参加基金财产清算小组，参与基金财产的保管、清理、估价、变现和分配；</w:t>
      </w:r>
    </w:p>
    <w:p w14:paraId="3243E91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18</w:t>
      </w:r>
      <w:r>
        <w:rPr>
          <w:rFonts w:hint="eastAsia" w:asciiTheme="minorEastAsia" w:hAnsiTheme="minorEastAsia" w:eastAsiaTheme="minorEastAsia"/>
          <w:color w:val="0C0C0C" w:themeColor="text1" w:themeTint="F2"/>
          <w:sz w:val="24"/>
          <w:szCs w:val="24"/>
        </w:rPr>
        <w:t>）面临解散、依法被撤销或者被依法宣告破产时，及时报告中国证监会，并通知基金管理人；</w:t>
      </w:r>
    </w:p>
    <w:p w14:paraId="40AADA4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19</w:t>
      </w:r>
      <w:r>
        <w:rPr>
          <w:rFonts w:hint="eastAsia" w:asciiTheme="minorEastAsia" w:hAnsiTheme="minorEastAsia" w:eastAsiaTheme="minorEastAsia"/>
          <w:color w:val="0C0C0C" w:themeColor="text1" w:themeTint="F2"/>
          <w:sz w:val="24"/>
          <w:szCs w:val="24"/>
        </w:rPr>
        <w:t>）因违反《基金合同》导致基金财产损失时，应承担赔偿责任，其赔偿责任不因其退任而免除；</w:t>
      </w:r>
    </w:p>
    <w:p w14:paraId="092B872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）按规定监督基金管理人按法律法规和《基金合同》规定履行自己的义务，基金管理人因违反《基金合同》造成基金财产损失时，应为基金份额持有人利益向基金管理人追偿</w:t>
      </w:r>
      <w:bookmarkStart w:id="150" w:name="_Hlt88825668"/>
      <w:bookmarkEnd w:id="150"/>
      <w:r>
        <w:rPr>
          <w:rFonts w:hint="eastAsia" w:asciiTheme="minorEastAsia" w:hAnsiTheme="minorEastAsia" w:eastAsiaTheme="minorEastAsia"/>
          <w:color w:val="0C0C0C" w:themeColor="text1" w:themeTint="F2"/>
          <w:sz w:val="24"/>
          <w:szCs w:val="24"/>
        </w:rPr>
        <w:t>；</w:t>
      </w:r>
    </w:p>
    <w:p w14:paraId="66D0C72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21</w:t>
      </w:r>
      <w:r>
        <w:rPr>
          <w:rFonts w:hint="eastAsia" w:asciiTheme="minorEastAsia" w:hAnsiTheme="minorEastAsia" w:eastAsiaTheme="minorEastAsia"/>
          <w:color w:val="0C0C0C" w:themeColor="text1" w:themeTint="F2"/>
          <w:sz w:val="24"/>
          <w:szCs w:val="24"/>
        </w:rPr>
        <w:t>）执行生效的基金份额持有人大会的</w:t>
      </w:r>
      <w:r>
        <w:rPr>
          <w:rFonts w:hint="eastAsia" w:cs="Arial" w:asciiTheme="minorEastAsia" w:hAnsiTheme="minorEastAsia" w:eastAsiaTheme="minorEastAsia"/>
          <w:color w:val="0C0C0C" w:themeColor="text1" w:themeTint="F2"/>
          <w:sz w:val="24"/>
          <w:szCs w:val="24"/>
        </w:rPr>
        <w:t>决议</w:t>
      </w:r>
      <w:r>
        <w:rPr>
          <w:rFonts w:hint="eastAsia" w:asciiTheme="minorEastAsia" w:hAnsiTheme="minorEastAsia" w:eastAsiaTheme="minorEastAsia"/>
          <w:color w:val="0C0C0C" w:themeColor="text1" w:themeTint="F2"/>
          <w:sz w:val="24"/>
          <w:szCs w:val="24"/>
        </w:rPr>
        <w:t>；</w:t>
      </w:r>
    </w:p>
    <w:p w14:paraId="3B79D2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22</w:t>
      </w:r>
      <w:r>
        <w:rPr>
          <w:rFonts w:hint="eastAsia" w:asciiTheme="minorEastAsia" w:hAnsiTheme="minorEastAsia" w:eastAsiaTheme="minorEastAsia"/>
          <w:color w:val="0C0C0C" w:themeColor="text1" w:themeTint="F2"/>
          <w:sz w:val="24"/>
          <w:szCs w:val="24"/>
        </w:rPr>
        <w:t>）</w:t>
      </w:r>
      <w:bookmarkStart w:id="151" w:name="_Toc523711670"/>
      <w:r>
        <w:rPr>
          <w:rFonts w:hint="eastAsia" w:asciiTheme="minorEastAsia" w:hAnsiTheme="minorEastAsia" w:eastAsiaTheme="minorEastAsia"/>
          <w:color w:val="0C0C0C" w:themeColor="text1" w:themeTint="F2"/>
          <w:sz w:val="24"/>
          <w:szCs w:val="24"/>
        </w:rPr>
        <w:t>法律法规及中国证监会规定的和《基金合同》约定的其他义务。</w:t>
      </w:r>
    </w:p>
    <w:bookmarkEnd w:id="151"/>
    <w:p w14:paraId="3056F00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52" w:name="_Toc79392582"/>
      <w:r>
        <w:rPr>
          <w:rFonts w:hint="eastAsia" w:asciiTheme="minorEastAsia" w:hAnsiTheme="minorEastAsia" w:eastAsiaTheme="minorEastAsia"/>
          <w:color w:val="0C0C0C" w:themeColor="text1" w:themeTint="F2"/>
          <w:sz w:val="24"/>
          <w:szCs w:val="24"/>
        </w:rPr>
        <w:t>三、基金份额持有人</w:t>
      </w:r>
      <w:bookmarkEnd w:id="152"/>
    </w:p>
    <w:p w14:paraId="12557AF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基金投资者持有本基金</w:t>
      </w:r>
      <w:bookmarkStart w:id="153" w:name="_Hlt88899909"/>
      <w:bookmarkEnd w:id="153"/>
      <w:r>
        <w:rPr>
          <w:rFonts w:hint="eastAsia" w:asciiTheme="minorEastAsia" w:hAnsiTheme="minorEastAsia" w:eastAsiaTheme="minorEastAsia"/>
          <w:color w:val="0C0C0C" w:themeColor="text1" w:themeTint="F2"/>
          <w:sz w:val="24"/>
          <w:szCs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8CFD2A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每份基金份额具有同等的合法权益。</w:t>
      </w:r>
    </w:p>
    <w:p w14:paraId="357E50A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、根据《基金法》、《运作办法》及其他有关规定，基金份额持有人的权利包括但不限于：</w:t>
      </w:r>
    </w:p>
    <w:p w14:paraId="5B8999B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）分享基金财产收益；</w:t>
      </w:r>
    </w:p>
    <w:p w14:paraId="6D4B8D7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）参与分配清算后的剩余基金财产；</w:t>
      </w:r>
      <w:bookmarkStart w:id="154" w:name="_Hlt88825574"/>
      <w:bookmarkEnd w:id="154"/>
    </w:p>
    <w:p w14:paraId="1A2CD75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）依法转让或者申请赎回其持有的基金份额；</w:t>
      </w:r>
    </w:p>
    <w:p w14:paraId="603BC18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）按照规定要求召开基金份额持有人大会或者召集基金份额持有人大会；</w:t>
      </w:r>
    </w:p>
    <w:p w14:paraId="1E43E32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）出席或者委派代表出席基金份额持有人大会，对基金份额持有人大会审议事项行使表决权；</w:t>
      </w:r>
    </w:p>
    <w:p w14:paraId="5F0DB17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）查阅或者复制公开披露的基金信息资料；</w:t>
      </w:r>
    </w:p>
    <w:p w14:paraId="7889251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）监督基金管理人的投资运作；</w:t>
      </w:r>
    </w:p>
    <w:p w14:paraId="7418929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）对基金管理人、基金托管人、基金</w:t>
      </w:r>
      <w:r>
        <w:rPr>
          <w:rFonts w:hint="eastAsia" w:cs="Arial" w:asciiTheme="minorEastAsia" w:hAnsiTheme="minorEastAsia" w:eastAsiaTheme="minorEastAsia"/>
          <w:color w:val="0C0C0C" w:themeColor="text1" w:themeTint="F2"/>
          <w:sz w:val="24"/>
          <w:szCs w:val="24"/>
        </w:rPr>
        <w:t>服务</w:t>
      </w:r>
      <w:r>
        <w:rPr>
          <w:rFonts w:hint="eastAsia" w:asciiTheme="minorEastAsia" w:hAnsiTheme="minorEastAsia" w:eastAsiaTheme="minorEastAsia"/>
          <w:color w:val="0C0C0C" w:themeColor="text1" w:themeTint="F2"/>
          <w:sz w:val="24"/>
          <w:szCs w:val="24"/>
        </w:rPr>
        <w:t>机构损害其合法权益的行为依法提起诉讼或仲裁；</w:t>
      </w:r>
    </w:p>
    <w:p w14:paraId="610853F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511DBAA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、根据《基金法》、《运作办法》及其他有关规定，基金份额持有人的义务包括但不限于：</w:t>
      </w:r>
    </w:p>
    <w:p w14:paraId="317CF2A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）认真阅读并遵守《基金合同》、</w:t>
      </w:r>
      <w:r>
        <w:rPr>
          <w:rFonts w:hint="eastAsia" w:cs="Arial" w:asciiTheme="minorEastAsia" w:hAnsiTheme="minorEastAsia" w:eastAsiaTheme="minorEastAsia"/>
          <w:color w:val="0C0C0C" w:themeColor="text1" w:themeTint="F2"/>
          <w:sz w:val="24"/>
          <w:szCs w:val="24"/>
        </w:rPr>
        <w:t>招募说明书及基金产品资料概要等信息披露文件</w:t>
      </w:r>
      <w:r>
        <w:rPr>
          <w:rFonts w:hint="eastAsia" w:asciiTheme="minorEastAsia" w:hAnsiTheme="minorEastAsia" w:eastAsiaTheme="minorEastAsia"/>
          <w:color w:val="0C0C0C" w:themeColor="text1" w:themeTint="F2"/>
          <w:sz w:val="24"/>
          <w:szCs w:val="24"/>
        </w:rPr>
        <w:t>；</w:t>
      </w:r>
    </w:p>
    <w:p w14:paraId="3277F29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）了解所投资基金产品，了解自身风险承受能力，自主判断基金的投资价值，自主做出投资决策，自行承担投资风险；</w:t>
      </w:r>
    </w:p>
    <w:p w14:paraId="3D25E74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）关注基金信息披露，及时行使权利和履行义务；</w:t>
      </w:r>
    </w:p>
    <w:p w14:paraId="4B1BECF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）交纳基金认购款项和认购股票、申购对价及法律法规和《基金合同》所规定的费用；</w:t>
      </w:r>
    </w:p>
    <w:p w14:paraId="5AF0FD7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）在其持有的基金份额范围内，承担基金亏损或者《基金合同》终止的有限责任；</w:t>
      </w:r>
    </w:p>
    <w:p w14:paraId="51047C3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）不从事任何有损基金及其他《基金合同》当事人合法权益的活动；</w:t>
      </w:r>
    </w:p>
    <w:p w14:paraId="74DCD88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）执行生效的基金份额持有人大会的</w:t>
      </w:r>
      <w:r>
        <w:rPr>
          <w:rFonts w:hint="eastAsia" w:cs="Arial" w:asciiTheme="minorEastAsia" w:hAnsiTheme="minorEastAsia" w:eastAsiaTheme="minorEastAsia"/>
          <w:color w:val="0C0C0C" w:themeColor="text1" w:themeTint="F2"/>
          <w:sz w:val="24"/>
          <w:szCs w:val="24"/>
        </w:rPr>
        <w:t>决议</w:t>
      </w:r>
      <w:r>
        <w:rPr>
          <w:rFonts w:hint="eastAsia" w:asciiTheme="minorEastAsia" w:hAnsiTheme="minorEastAsia" w:eastAsiaTheme="minorEastAsia"/>
          <w:color w:val="0C0C0C" w:themeColor="text1" w:themeTint="F2"/>
          <w:sz w:val="24"/>
          <w:szCs w:val="24"/>
        </w:rPr>
        <w:t>；</w:t>
      </w:r>
    </w:p>
    <w:p w14:paraId="1C3A292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）返还在基金交易过程中因任何原因获得的不当得利；</w:t>
      </w:r>
    </w:p>
    <w:p w14:paraId="7BD1BE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）法律法规及中国证监会规定的和《基金合同》约定的其他义务。</w:t>
      </w:r>
    </w:p>
    <w:p w14:paraId="47451700">
      <w:pPr>
        <w:adjustRightInd w:val="0"/>
        <w:snapToGrid w:val="0"/>
        <w:spacing w:line="360" w:lineRule="auto"/>
        <w:rPr>
          <w:rFonts w:cs="Arial" w:asciiTheme="minorEastAsia" w:hAnsiTheme="minorEastAsia" w:eastAsiaTheme="minorEastAsia"/>
          <w:color w:val="0C0C0C" w:themeColor="text1" w:themeTint="F2"/>
          <w:sz w:val="24"/>
          <w:szCs w:val="24"/>
        </w:rPr>
      </w:pPr>
      <w:bookmarkStart w:id="155" w:name="_Toc10650"/>
      <w:bookmarkStart w:id="156" w:name="_Toc139991738"/>
      <w:bookmarkStart w:id="157" w:name="_Toc6447"/>
      <w:bookmarkStart w:id="158" w:name="_Toc3771"/>
      <w:bookmarkStart w:id="159" w:name="_Toc79392583"/>
      <w:bookmarkStart w:id="160" w:name="_Toc11030"/>
      <w:bookmarkStart w:id="161" w:name="_Toc123051454"/>
      <w:bookmarkStart w:id="162" w:name="_Toc20768"/>
      <w:bookmarkStart w:id="163" w:name="_Toc98560354"/>
      <w:bookmarkStart w:id="164" w:name="_Toc7058"/>
      <w:bookmarkStart w:id="165" w:name="_Toc4559"/>
      <w:bookmarkStart w:id="166" w:name="_Toc18567"/>
      <w:bookmarkStart w:id="167" w:name="_Toc3321"/>
      <w:bookmarkStart w:id="168" w:name="_Toc9706"/>
      <w:bookmarkStart w:id="169" w:name="_Toc25783"/>
      <w:bookmarkStart w:id="170" w:name="_Toc123102455"/>
      <w:bookmarkStart w:id="171" w:name="_Toc141703888"/>
      <w:bookmarkStart w:id="172" w:name="_Toc123112236"/>
    </w:p>
    <w:p w14:paraId="56CA871A">
      <w:pPr>
        <w:pStyle w:val="2"/>
        <w:rPr>
          <w:szCs w:val="24"/>
        </w:rPr>
        <w:sectPr>
          <w:footerReference r:id="rId18" w:type="default"/>
          <w:pgSz w:w="11906" w:h="16838"/>
          <w:pgMar w:top="1440" w:right="1800" w:bottom="1440" w:left="1800" w:header="851" w:footer="992" w:gutter="0"/>
          <w:pgNumType w:start="1"/>
          <w:cols w:space="425" w:num="1"/>
          <w:docGrid w:type="lines" w:linePitch="312" w:charSpace="0"/>
        </w:sectPr>
      </w:pPr>
      <w:bookmarkStart w:id="173" w:name="_Hlt130956763"/>
      <w:bookmarkStart w:id="174" w:name="_Toc90742692"/>
      <w:bookmarkStart w:id="175" w:name="_Toc90742394"/>
      <w:bookmarkStart w:id="176" w:name="_Toc90742325"/>
    </w:p>
    <w:bookmarkEnd w:id="132"/>
    <w:bookmarkEnd w:id="173"/>
    <w:p w14:paraId="494B5251">
      <w:pPr>
        <w:pStyle w:val="2"/>
        <w:rPr>
          <w:szCs w:val="24"/>
        </w:rPr>
      </w:pPr>
      <w:bookmarkStart w:id="177" w:name="CTS_396dce3acb8e42dbb1f5b80666a7a5a0"/>
      <w:bookmarkEnd w:id="177"/>
      <w:bookmarkStart w:id="178" w:name="_Toc86655084"/>
      <w:bookmarkStart w:id="179" w:name="CLAUSE_396dce3acb8e42dbb1f5b80666a7a5a0"/>
      <w:r>
        <w:rPr>
          <w:rFonts w:hint="eastAsia" w:cs="Arial"/>
          <w:szCs w:val="24"/>
        </w:rPr>
        <w:t xml:space="preserve">第十部分 </w:t>
      </w:r>
      <w:r>
        <w:rPr>
          <w:szCs w:val="24"/>
        </w:rPr>
        <w:t>基金份额持有人大会</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4"/>
      <w:bookmarkEnd w:id="175"/>
      <w:bookmarkEnd w:id="176"/>
      <w:bookmarkEnd w:id="178"/>
    </w:p>
    <w:p w14:paraId="2AF0A581">
      <w:pPr>
        <w:tabs>
          <w:tab w:val="left" w:pos="1080"/>
        </w:tabs>
        <w:adjustRightInd w:val="0"/>
        <w:snapToGrid w:val="0"/>
        <w:spacing w:line="360" w:lineRule="auto"/>
        <w:ind w:left="1075" w:leftChars="199" w:hanging="657" w:hangingChars="274"/>
        <w:rPr>
          <w:rFonts w:asciiTheme="minorEastAsia" w:hAnsiTheme="minorEastAsia" w:eastAsiaTheme="minorEastAsia"/>
          <w:color w:val="0C0C0C" w:themeColor="text1" w:themeTint="F2"/>
          <w:sz w:val="24"/>
          <w:szCs w:val="24"/>
        </w:rPr>
      </w:pPr>
    </w:p>
    <w:p w14:paraId="5A5AA43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基金份额持有人大会由基金份额持有人组成，基金份额持有人的合法授权代表有权代表基金份额持有人出席会议并表决。基金份额持有人持有的每一基金份额拥有平等的投票权。</w:t>
      </w:r>
    </w:p>
    <w:p w14:paraId="46054BF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80" w:name="_Toc79392584"/>
      <w:bookmarkStart w:id="181" w:name="_Toc57530243"/>
      <w:bookmarkStart w:id="182" w:name="_Toc15641220"/>
      <w:r>
        <w:rPr>
          <w:rFonts w:hint="eastAsia" w:asciiTheme="minorEastAsia" w:hAnsiTheme="minorEastAsia" w:eastAsiaTheme="minorEastAsia"/>
          <w:color w:val="0C0C0C" w:themeColor="text1" w:themeTint="F2"/>
          <w:sz w:val="24"/>
          <w:szCs w:val="24"/>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614FC9B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1DE570C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A4D2B6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法律法规或监管机构对基金份额持有人大会另有规定的，从其规定。</w:t>
      </w:r>
    </w:p>
    <w:p w14:paraId="45B163B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本基金份额持有人大会不设日常机构。</w:t>
      </w:r>
    </w:p>
    <w:p w14:paraId="182DEBE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一、召开事由</w:t>
      </w:r>
      <w:bookmarkEnd w:id="180"/>
      <w:bookmarkEnd w:id="181"/>
      <w:bookmarkEnd w:id="182"/>
    </w:p>
    <w:p w14:paraId="3238773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、除法律法规、中国证监会和基金合同另有规定外，当出现或需要决定下列事由之一的，应当召开基金份额持有人大会：</w:t>
      </w:r>
    </w:p>
    <w:p w14:paraId="7D72DB1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）终止《基金合同》；</w:t>
      </w:r>
    </w:p>
    <w:p w14:paraId="2E7DCDD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）更换基金管理人；</w:t>
      </w:r>
    </w:p>
    <w:p w14:paraId="2449C66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）更换基金托管人；</w:t>
      </w:r>
    </w:p>
    <w:p w14:paraId="6D2A13A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）转换基金运作方式；</w:t>
      </w:r>
    </w:p>
    <w:p w14:paraId="3458BFF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）调整基金管理人、基金托管人的报酬标准；</w:t>
      </w:r>
    </w:p>
    <w:p w14:paraId="39B67B0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）变更基金类别；</w:t>
      </w:r>
    </w:p>
    <w:p w14:paraId="7764C31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）本基金与其他基金的合并；</w:t>
      </w:r>
    </w:p>
    <w:p w14:paraId="2E9B2A2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）变更基金投资目标、范围或策略；</w:t>
      </w:r>
    </w:p>
    <w:p w14:paraId="72C8F30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）变更基金份额持有人大会程序；</w:t>
      </w:r>
    </w:p>
    <w:p w14:paraId="14C3141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）基金管理人或基金托管人要求召开基金份额持有人大会；</w:t>
      </w:r>
    </w:p>
    <w:p w14:paraId="6367CF2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）单独或合计持有本基金总份额</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以上（含</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）基金份额的基金份额持有人（以基金管理人收到提议当日的基金份额计算，下同）就同一事项书面要求召开基金份额持有人大会；</w:t>
      </w:r>
    </w:p>
    <w:p w14:paraId="364CCED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）对基金合同当事人权利和义务产生重大影响的其他事项；</w:t>
      </w:r>
    </w:p>
    <w:p w14:paraId="68408E2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（13）终止基金上市，但因基金不再具备上市条件而被深圳证券交易所终止上市的情形除外；</w:t>
      </w:r>
    </w:p>
    <w:p w14:paraId="258591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（14）法律法规、《基金合同》或中国证监会规定的其他应当召开基金份额持有人大会的事项。</w:t>
      </w:r>
    </w:p>
    <w:p w14:paraId="54C4FEC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、在法律法规规定和《基金合同》约定的范围内且对基金份额持有人利益无实质性不利影响的前提下，以下情况可由基金管理人和基金托管人协商后修改，不需召开基金份额持有人大会：</w:t>
      </w:r>
    </w:p>
    <w:p w14:paraId="17DCAF7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（1）法律法规要求增加的基金费用的收取；</w:t>
      </w:r>
    </w:p>
    <w:p w14:paraId="58DD710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（2）调整本基金的申购费率、调低赎回费率或变更收费方式或调整基金份额类别设置、对基金份额分类办法及规则进行调整；</w:t>
      </w:r>
    </w:p>
    <w:p w14:paraId="00A62C1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（3）因相应的法律法规、深圳证券交易所或者登记机构的相关业务规则发生变动而应当对《基金合同》进行修改；</w:t>
      </w:r>
    </w:p>
    <w:p w14:paraId="044A559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（4）对《基金合同》的修改对基金份额持有人利益无实质性不利影响或修改不涉及《基金合同》当事人权利义务关系发生重大变化；</w:t>
      </w:r>
    </w:p>
    <w:p w14:paraId="6EAA6EF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（5）基金管理人、相关证券交易所和登记机构等调整有关基金申购、赎回、交易、转托管、非交易过户等业务的规则（包括申购赎回清单的调整、开放时间的调整等）；</w:t>
      </w:r>
    </w:p>
    <w:p w14:paraId="377879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（6）经履行相关程序后，基金推出新业务或服务；</w:t>
      </w:r>
    </w:p>
    <w:p w14:paraId="287B613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）本基金的联接基金采取其他方式参与本基金的申购赎回；</w:t>
      </w:r>
    </w:p>
    <w:p w14:paraId="689C10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）调整基金的申购赎回方式及申购对价、赎回对价组成；调整申购赎回清单的内容，调整申购赎回清单计算和公告时间或频率；</w:t>
      </w:r>
    </w:p>
    <w:p w14:paraId="3F537D5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）进行基金份额的拆分与合并；</w:t>
      </w:r>
    </w:p>
    <w:p w14:paraId="2C3E4EE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）按照法律法规和《基金合同》规定不需召开基金份额持有人大会的其他情形。</w:t>
      </w:r>
    </w:p>
    <w:p w14:paraId="675287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83" w:name="_Toc79392585"/>
      <w:bookmarkStart w:id="184" w:name="_Toc15641221"/>
      <w:bookmarkStart w:id="185" w:name="_Toc57530244"/>
      <w:r>
        <w:rPr>
          <w:rFonts w:hint="eastAsia" w:asciiTheme="minorEastAsia" w:hAnsiTheme="minorEastAsia" w:eastAsiaTheme="minorEastAsia"/>
          <w:color w:val="0C0C0C" w:themeColor="text1" w:themeTint="F2"/>
          <w:sz w:val="24"/>
          <w:szCs w:val="24"/>
        </w:rPr>
        <w:t>二、会议召集人及召集方式</w:t>
      </w:r>
      <w:bookmarkEnd w:id="183"/>
      <w:bookmarkEnd w:id="184"/>
      <w:bookmarkEnd w:id="185"/>
    </w:p>
    <w:p w14:paraId="221E962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86" w:name="_Toc57530245"/>
      <w:bookmarkStart w:id="187" w:name="_Toc15641222"/>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、除法律法规规定或《基金合同》另有约定外，基金份额持有人大会由基金管理人召集。</w:t>
      </w:r>
    </w:p>
    <w:p w14:paraId="737CE02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、基金管理人未按规定召集或不能召集时，由基金托管人召集。</w:t>
      </w:r>
    </w:p>
    <w:p w14:paraId="6C73D1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347524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eastAsiaTheme="minorEastAsia"/>
          <w:color w:val="0C0C0C" w:themeColor="text1" w:themeTint="F2"/>
          <w:sz w:val="24"/>
          <w:szCs w:val="24"/>
        </w:rPr>
        <w:t>60</w:t>
      </w:r>
      <w:r>
        <w:rPr>
          <w:rFonts w:hint="eastAsia" w:asciiTheme="minorEastAsia" w:hAnsiTheme="minorEastAsia" w:eastAsiaTheme="minorEastAsia"/>
          <w:color w:val="0C0C0C" w:themeColor="text1" w:themeTint="F2"/>
          <w:sz w:val="24"/>
          <w:szCs w:val="24"/>
        </w:rPr>
        <w:t>日内召开并告知基金管理人，基金管理人应当配合。</w:t>
      </w:r>
    </w:p>
    <w:p w14:paraId="176D853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eastAsiaTheme="minorEastAsia"/>
          <w:color w:val="0C0C0C" w:themeColor="text1" w:themeTint="F2"/>
          <w:sz w:val="24"/>
          <w:szCs w:val="24"/>
        </w:rPr>
        <w:t>30</w:t>
      </w:r>
      <w:r>
        <w:rPr>
          <w:rFonts w:hint="eastAsia" w:asciiTheme="minorEastAsia" w:hAnsiTheme="minorEastAsia" w:eastAsiaTheme="minorEastAsia"/>
          <w:color w:val="0C0C0C" w:themeColor="text1" w:themeTint="F2"/>
          <w:sz w:val="24"/>
          <w:szCs w:val="24"/>
        </w:rPr>
        <w:t>日报中国证监会备案。基金份额持有人依法自行召集基金份额持有人大会的，基金管理人、基金托管人应当配合，不得阻碍、干扰。</w:t>
      </w:r>
    </w:p>
    <w:p w14:paraId="0210F05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、基金份额持有人会议的召集人负责选择确定开会时间、地点、方式和权益登记日。</w:t>
      </w:r>
    </w:p>
    <w:p w14:paraId="25B6654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88" w:name="_Toc79392586"/>
      <w:r>
        <w:rPr>
          <w:rFonts w:hint="eastAsia" w:asciiTheme="minorEastAsia" w:hAnsiTheme="minorEastAsia" w:eastAsiaTheme="minorEastAsia"/>
          <w:color w:val="0C0C0C" w:themeColor="text1" w:themeTint="F2"/>
          <w:sz w:val="24"/>
          <w:szCs w:val="24"/>
        </w:rPr>
        <w:t>三、召开基金份额持有人大会的通知时间、通知内容、通知方式</w:t>
      </w:r>
      <w:bookmarkEnd w:id="186"/>
      <w:bookmarkEnd w:id="187"/>
      <w:bookmarkEnd w:id="188"/>
    </w:p>
    <w:p w14:paraId="0AEE3C2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、召开基金份额持有人大会，召集人应于会议召开前30日，在规定媒介公告。基金份额持有人大会通知应至少载明以下内容：</w:t>
      </w:r>
    </w:p>
    <w:p w14:paraId="1589C3B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）会议召开的时间、地点和会议形式；</w:t>
      </w:r>
    </w:p>
    <w:p w14:paraId="5674C13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）会议拟审议的事项、议事程序和表决方式；</w:t>
      </w:r>
    </w:p>
    <w:p w14:paraId="5D7F633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）有权出席基金份额持有人大会的基金份额持有人的权益登记日；</w:t>
      </w:r>
    </w:p>
    <w:p w14:paraId="2E9976C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）授权委托证明的内容要求（包括但不限于代理人身份，代理权限和代理有效期限等）、送达时间和地点；</w:t>
      </w:r>
    </w:p>
    <w:p w14:paraId="48D020A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）会务常设联系人姓名及联系电话；</w:t>
      </w:r>
    </w:p>
    <w:p w14:paraId="7FD1E8F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）出席会议者必须准备的文件和必须履行的手续；</w:t>
      </w:r>
    </w:p>
    <w:p w14:paraId="49D22B0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）召集人需要通知的其他事项。</w:t>
      </w:r>
    </w:p>
    <w:p w14:paraId="048A103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DA86E6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73DD2F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89" w:name="_Toc15641223"/>
      <w:bookmarkStart w:id="190" w:name="_Toc57530246"/>
      <w:bookmarkStart w:id="191" w:name="_Toc79392587"/>
      <w:r>
        <w:rPr>
          <w:rFonts w:hint="eastAsia" w:asciiTheme="minorEastAsia" w:hAnsiTheme="minorEastAsia" w:eastAsiaTheme="minorEastAsia"/>
          <w:color w:val="0C0C0C" w:themeColor="text1" w:themeTint="F2"/>
          <w:sz w:val="24"/>
          <w:szCs w:val="24"/>
        </w:rPr>
        <w:t>四、基金份额持有人出席会议的方式</w:t>
      </w:r>
      <w:bookmarkEnd w:id="189"/>
      <w:bookmarkEnd w:id="190"/>
      <w:bookmarkEnd w:id="191"/>
    </w:p>
    <w:p w14:paraId="58D50B2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基金份额持有人大会可通过现场开会方式、通讯开会方式或法律法规、监管机构允许的其他方式召开，会议的召开方式由会议召集人确定。</w:t>
      </w:r>
    </w:p>
    <w:p w14:paraId="30C482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65B223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5A4A4B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79C94D2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642BFF6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在同时符合以下条件时，通讯开会的方式视为有效：</w:t>
      </w:r>
    </w:p>
    <w:p w14:paraId="574352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）会议召集人按《基金合同》约定公布会议通知后，在2个工作日内连续公布相关提示性公告；</w:t>
      </w:r>
    </w:p>
    <w:p w14:paraId="52C20E3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28DB52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）本人直接出具表决意见或授权他人代表出具表决意见的，基金份额持有人所持有的基金份额不小于在权益登记日基金总份额的二分之一（含二分之一）；</w:t>
      </w:r>
    </w:p>
    <w:p w14:paraId="70FB40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5EC0318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）上述第（</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CF2794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05C0517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92" w:name="_Toc15641224"/>
      <w:bookmarkStart w:id="193" w:name="_Toc79392588"/>
      <w:bookmarkStart w:id="194" w:name="_Toc57530247"/>
      <w:r>
        <w:rPr>
          <w:rFonts w:hint="eastAsia" w:asciiTheme="minorEastAsia" w:hAnsiTheme="minorEastAsia" w:eastAsiaTheme="minorEastAsia"/>
          <w:color w:val="0C0C0C" w:themeColor="text1" w:themeTint="F2"/>
          <w:sz w:val="24"/>
          <w:szCs w:val="24"/>
        </w:rPr>
        <w:t>五、议事内容与程序</w:t>
      </w:r>
      <w:bookmarkEnd w:id="192"/>
      <w:bookmarkEnd w:id="193"/>
      <w:bookmarkEnd w:id="194"/>
    </w:p>
    <w:p w14:paraId="3246141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、议事内容及提案权</w:t>
      </w:r>
    </w:p>
    <w:p w14:paraId="0763F73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04AC3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基金份额持有人大会的召集人发出召集会议的通知后，对原有提案的修改应当在基金份额持有人大会召开前及时公告。</w:t>
      </w:r>
    </w:p>
    <w:p w14:paraId="29D0227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基金份额持有人大会不得对未事先公告的议事内容进行表决。</w:t>
      </w:r>
    </w:p>
    <w:p w14:paraId="05B94E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、议事程序</w:t>
      </w:r>
    </w:p>
    <w:p w14:paraId="49665EB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w:t>
      </w:r>
    </w:p>
    <w:p w14:paraId="5C191D5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166C51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5D7C61C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w:t>
      </w:r>
    </w:p>
    <w:p w14:paraId="1A0C781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在通讯开会的情况下，首先由召集人提前30日公布提案，在所通知的表决截止日期后2个工作日内在公证机关监督下由召集人统计全部有效表决，在公证机关监督下形成决议。</w:t>
      </w:r>
    </w:p>
    <w:p w14:paraId="20B82CB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95" w:name="_Toc15641225"/>
      <w:bookmarkStart w:id="196" w:name="_Toc57530248"/>
      <w:bookmarkStart w:id="197" w:name="_Toc79392589"/>
      <w:r>
        <w:rPr>
          <w:rFonts w:hint="eastAsia" w:asciiTheme="minorEastAsia" w:hAnsiTheme="minorEastAsia" w:eastAsiaTheme="minorEastAsia"/>
          <w:color w:val="0C0C0C" w:themeColor="text1" w:themeTint="F2"/>
          <w:sz w:val="24"/>
          <w:szCs w:val="24"/>
        </w:rPr>
        <w:t>六、表决</w:t>
      </w:r>
      <w:bookmarkEnd w:id="195"/>
      <w:bookmarkEnd w:id="196"/>
      <w:bookmarkEnd w:id="197"/>
    </w:p>
    <w:p w14:paraId="692A98B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基金份额持有人所持每份基金份额有一票表决权。</w:t>
      </w:r>
    </w:p>
    <w:p w14:paraId="2F12E63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基金份额持有人大会决议分为一般决议和特别决议：</w:t>
      </w:r>
    </w:p>
    <w:p w14:paraId="7B4B629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、一般决议，一般决议须经参加大会的基金份额持有人或其代理人所持表决权的二分之一以上（含二分之一）通过方为有效；除下列第</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项所规定的须以特别决议通过事项以外的其他事项均以一般决议的方式通过。</w:t>
      </w:r>
    </w:p>
    <w:p w14:paraId="4B50F7B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03B79E6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基金份额持有人大会采取记名方式进行投票表决。</w:t>
      </w:r>
    </w:p>
    <w:p w14:paraId="50EAED6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16013C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基金份额持有人大会的各项提案或同一项提案内并列的各项议题应当分开审议、逐项表决。</w:t>
      </w:r>
    </w:p>
    <w:p w14:paraId="1930A8C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在上述规则的前提下，具体规则以召集人发布的基金份额持有人大会通知为准。</w:t>
      </w:r>
    </w:p>
    <w:p w14:paraId="5CDD58D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198" w:name="_Toc57530249"/>
      <w:bookmarkStart w:id="199" w:name="_Toc79392590"/>
      <w:bookmarkStart w:id="200" w:name="_Toc15641226"/>
      <w:r>
        <w:rPr>
          <w:rFonts w:hint="eastAsia" w:asciiTheme="minorEastAsia" w:hAnsiTheme="minorEastAsia" w:eastAsiaTheme="minorEastAsia"/>
          <w:color w:val="0C0C0C" w:themeColor="text1" w:themeTint="F2"/>
          <w:sz w:val="24"/>
          <w:szCs w:val="24"/>
        </w:rPr>
        <w:t>七、计票</w:t>
      </w:r>
      <w:bookmarkEnd w:id="198"/>
      <w:bookmarkEnd w:id="199"/>
      <w:bookmarkEnd w:id="200"/>
    </w:p>
    <w:p w14:paraId="0B31A5B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w:t>
      </w:r>
    </w:p>
    <w:p w14:paraId="193D9A8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BBF302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）监票人应当在基金份额持有人表决后立即进行清点并由大会主持人当场公布计票结果。</w:t>
      </w:r>
    </w:p>
    <w:p w14:paraId="61BFA16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03C2EE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）计票过程应由公证机关予以公证，基金管理人或基金托管人拒不出席大会的，不影响计票的效力。</w:t>
      </w:r>
    </w:p>
    <w:p w14:paraId="56E8ADF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w:t>
      </w:r>
    </w:p>
    <w:p w14:paraId="6747618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1" w:name="_Toc79392591"/>
      <w:bookmarkStart w:id="202" w:name="_Toc57530250"/>
      <w:bookmarkStart w:id="203" w:name="_Toc15641227"/>
      <w:r>
        <w:rPr>
          <w:rFonts w:hint="eastAsia" w:asciiTheme="minorEastAsia" w:hAnsiTheme="minorEastAsia" w:eastAsiaTheme="minorEastAsia"/>
          <w:color w:val="0C0C0C" w:themeColor="text1" w:themeTint="F2"/>
          <w:sz w:val="24"/>
          <w:szCs w:val="24"/>
        </w:rPr>
        <w:t>。基金管理人或基金托管人拒派代表对表决意见的计票进行监督的，不影响计票和表决结果。</w:t>
      </w:r>
    </w:p>
    <w:p w14:paraId="1A66237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八、生效与公告</w:t>
      </w:r>
      <w:bookmarkEnd w:id="201"/>
      <w:bookmarkEnd w:id="202"/>
      <w:bookmarkEnd w:id="203"/>
    </w:p>
    <w:p w14:paraId="5D7B3FE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基金份额持有人大会的决议，召集人应当自通过之日起5日内报中国证监会备案。</w:t>
      </w:r>
    </w:p>
    <w:p w14:paraId="36CA76B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基金份额持有人大会的决议自表决通过之日起生效。</w:t>
      </w:r>
    </w:p>
    <w:p w14:paraId="4E78B95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基金份额持有人大会决议自生效之日起按规定在规定媒介上公告。</w:t>
      </w:r>
      <w:bookmarkStart w:id="204" w:name="_Hlt88820702"/>
      <w:bookmarkEnd w:id="204"/>
      <w:r>
        <w:rPr>
          <w:rFonts w:hint="eastAsia" w:asciiTheme="minorEastAsia" w:hAnsiTheme="minorEastAsia" w:eastAsiaTheme="minorEastAsia"/>
          <w:color w:val="0C0C0C" w:themeColor="text1" w:themeTint="F2"/>
          <w:sz w:val="24"/>
          <w:szCs w:val="24"/>
        </w:rPr>
        <w:t>如果采用通讯方式进行表决，在公告基金份额持有人大会决议时，必须将公证书全文、公证机构、公证员姓名等一同公告。</w:t>
      </w:r>
    </w:p>
    <w:p w14:paraId="34EDBE1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26F2BC3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05" w:name="_Toc123112237"/>
      <w:bookmarkStart w:id="206" w:name="_Toc141703889"/>
      <w:bookmarkStart w:id="207" w:name="_Toc21735"/>
      <w:bookmarkStart w:id="208" w:name="_Toc123051455"/>
      <w:bookmarkStart w:id="209" w:name="_Toc3080"/>
      <w:bookmarkStart w:id="210" w:name="_Toc16164"/>
      <w:bookmarkStart w:id="211" w:name="_Toc18769"/>
      <w:bookmarkStart w:id="212" w:name="_Toc10398"/>
      <w:bookmarkStart w:id="213" w:name="_Toc18206"/>
      <w:bookmarkStart w:id="214" w:name="_Toc1745"/>
      <w:bookmarkStart w:id="215" w:name="_Toc98560355"/>
      <w:bookmarkStart w:id="216" w:name="_Toc3572"/>
      <w:bookmarkStart w:id="217" w:name="_Toc139991739"/>
      <w:bookmarkStart w:id="218" w:name="_Toc123102456"/>
      <w:bookmarkStart w:id="219" w:name="_Toc725"/>
      <w:bookmarkStart w:id="220" w:name="_Toc31821"/>
      <w:bookmarkStart w:id="221" w:name="_Toc3963"/>
      <w:r>
        <w:rPr>
          <w:rFonts w:hint="eastAsia" w:asciiTheme="minorEastAsia" w:hAnsiTheme="minorEastAsia" w:eastAsiaTheme="minorEastAsia"/>
          <w:color w:val="0C0C0C" w:themeColor="text1" w:themeTint="F2"/>
          <w:sz w:val="24"/>
          <w:szCs w:val="24"/>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bookmarkStart w:id="222" w:name="_Hlt70479195"/>
      <w:bookmarkEnd w:id="222"/>
    </w:p>
    <w:p w14:paraId="2F7913FD">
      <w:pPr>
        <w:pStyle w:val="2"/>
        <w:rPr>
          <w:szCs w:val="24"/>
        </w:rPr>
        <w:sectPr>
          <w:footerReference r:id="rId19" w:type="default"/>
          <w:pgSz w:w="11906" w:h="16838"/>
          <w:pgMar w:top="1440" w:right="1800" w:bottom="1440" w:left="1800" w:header="851" w:footer="992" w:gutter="0"/>
          <w:pgNumType w:start="1"/>
          <w:cols w:space="425" w:num="1"/>
          <w:docGrid w:type="lines" w:linePitch="312" w:charSpace="0"/>
        </w:sectPr>
      </w:pPr>
      <w:bookmarkStart w:id="223" w:name="_Toc90742326"/>
      <w:bookmarkStart w:id="224" w:name="_Toc90742395"/>
      <w:bookmarkStart w:id="225" w:name="_Toc90742693"/>
    </w:p>
    <w:bookmarkEnd w:id="179"/>
    <w:p w14:paraId="34E97A79">
      <w:pPr>
        <w:pStyle w:val="2"/>
        <w:rPr>
          <w:szCs w:val="24"/>
        </w:rPr>
      </w:pPr>
      <w:bookmarkStart w:id="226" w:name="CTS_823dc9468bc849cbaecf69069b7a07df"/>
      <w:bookmarkEnd w:id="226"/>
      <w:bookmarkStart w:id="227" w:name="_Toc86655085"/>
      <w:bookmarkStart w:id="228" w:name="CLAUSE_823dc9468bc849cbaecf69069b7a07df"/>
      <w:r>
        <w:rPr>
          <w:rFonts w:hint="eastAsia" w:cs="Arial"/>
          <w:szCs w:val="24"/>
        </w:rPr>
        <w:t xml:space="preserve">第十一部分 </w:t>
      </w:r>
      <w:r>
        <w:rPr>
          <w:szCs w:val="24"/>
        </w:rPr>
        <w:t>基金管理人、基金托管人的更换条件和程序</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3"/>
      <w:bookmarkEnd w:id="224"/>
      <w:bookmarkEnd w:id="225"/>
      <w:bookmarkEnd w:id="227"/>
    </w:p>
    <w:p w14:paraId="67B54253">
      <w:pPr>
        <w:autoSpaceDE w:val="0"/>
        <w:autoSpaceDN w:val="0"/>
        <w:spacing w:line="360" w:lineRule="auto"/>
        <w:textAlignment w:val="bottom"/>
        <w:rPr>
          <w:rFonts w:asciiTheme="minorEastAsia" w:hAnsiTheme="minorEastAsia" w:eastAsiaTheme="minorEastAsia"/>
          <w:bCs/>
          <w:sz w:val="24"/>
          <w:szCs w:val="24"/>
        </w:rPr>
      </w:pPr>
      <w:bookmarkStart w:id="229" w:name="_Toc79392593"/>
      <w:bookmarkStart w:id="230" w:name="_Toc57530252"/>
      <w:bookmarkStart w:id="231" w:name="_Toc15118245"/>
    </w:p>
    <w:p w14:paraId="198B4F1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一、基金管理人和基金托管人职责终止的情形</w:t>
      </w:r>
      <w:bookmarkEnd w:id="229"/>
      <w:bookmarkEnd w:id="230"/>
      <w:bookmarkEnd w:id="231"/>
    </w:p>
    <w:p w14:paraId="6AE01B3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32" w:name="_Toc22005971"/>
      <w:r>
        <w:rPr>
          <w:rFonts w:hint="eastAsia" w:asciiTheme="minorEastAsia" w:hAnsiTheme="minorEastAsia" w:eastAsiaTheme="minorEastAsia"/>
          <w:color w:val="0C0C0C" w:themeColor="text1" w:themeTint="F2"/>
          <w:sz w:val="24"/>
          <w:szCs w:val="24"/>
        </w:rPr>
        <w:t>（一）</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基金管理人职责终止的情形</w:t>
      </w:r>
      <w:bookmarkEnd w:id="232"/>
    </w:p>
    <w:p w14:paraId="7C52AAD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有下列情形之一的，基金管理人职责终止：</w:t>
      </w:r>
    </w:p>
    <w:p w14:paraId="209288F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、被依法取消基金管理资格；</w:t>
      </w:r>
    </w:p>
    <w:p w14:paraId="60829E8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、被基金份额持有人大会解任；</w:t>
      </w:r>
    </w:p>
    <w:p w14:paraId="10FB2AB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、依法解散、被依法撤销或被依法宣告破产；</w:t>
      </w:r>
    </w:p>
    <w:p w14:paraId="5A1B113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、法律法规及中国证监会规定的和《基金合同》约定的其他情形。</w:t>
      </w:r>
    </w:p>
    <w:p w14:paraId="7D1FD9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33" w:name="_Toc22005972"/>
      <w:r>
        <w:rPr>
          <w:rFonts w:hint="eastAsia" w:asciiTheme="minorEastAsia" w:hAnsiTheme="minorEastAsia" w:eastAsiaTheme="minorEastAsia"/>
          <w:color w:val="0C0C0C" w:themeColor="text1" w:themeTint="F2"/>
          <w:sz w:val="24"/>
          <w:szCs w:val="24"/>
        </w:rPr>
        <w:t>（二）</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基金托管人职责终止的情形</w:t>
      </w:r>
      <w:bookmarkEnd w:id="233"/>
    </w:p>
    <w:p w14:paraId="48E47E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有下列情形之一的，基金托管人职责终止：</w:t>
      </w:r>
    </w:p>
    <w:p w14:paraId="6B8D224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、被依法取消基金托管资格；</w:t>
      </w:r>
    </w:p>
    <w:p w14:paraId="2F413C1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、被基金份额持有人大会解任；</w:t>
      </w:r>
    </w:p>
    <w:p w14:paraId="5FA36FF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、依法解散、被依法撤销或被依法宣告破产；</w:t>
      </w:r>
    </w:p>
    <w:p w14:paraId="18B153C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、法律法规及中国证监会规定的和《基金合同》约定的其他情形。</w:t>
      </w:r>
    </w:p>
    <w:p w14:paraId="03BDF2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34" w:name="_Toc57530253"/>
      <w:bookmarkStart w:id="235" w:name="_Toc79392594"/>
      <w:bookmarkStart w:id="236" w:name="_Toc15118246"/>
      <w:r>
        <w:rPr>
          <w:rFonts w:hint="eastAsia" w:asciiTheme="minorEastAsia" w:hAnsiTheme="minorEastAsia" w:eastAsiaTheme="minorEastAsia"/>
          <w:color w:val="0C0C0C" w:themeColor="text1" w:themeTint="F2"/>
          <w:sz w:val="24"/>
          <w:szCs w:val="24"/>
        </w:rPr>
        <w:t>二、基金管理人和基金托管人的更换程序</w:t>
      </w:r>
      <w:bookmarkEnd w:id="234"/>
      <w:bookmarkEnd w:id="235"/>
      <w:bookmarkEnd w:id="236"/>
    </w:p>
    <w:p w14:paraId="335C1D6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37" w:name="_Toc22005974"/>
      <w:r>
        <w:rPr>
          <w:rFonts w:hint="eastAsia" w:asciiTheme="minorEastAsia" w:hAnsiTheme="minorEastAsia" w:eastAsiaTheme="minorEastAsia"/>
          <w:color w:val="0C0C0C" w:themeColor="text1" w:themeTint="F2"/>
          <w:sz w:val="24"/>
          <w:szCs w:val="24"/>
        </w:rPr>
        <w:t>（一）</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基金管理人的更换程序</w:t>
      </w:r>
      <w:bookmarkEnd w:id="237"/>
    </w:p>
    <w:p w14:paraId="7531015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、提名：新任基金管理人由基金托管人或由单独或合计持有</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以上（含</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）基金份额的基金份额持有人提名；</w:t>
      </w:r>
    </w:p>
    <w:p w14:paraId="5D029AE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、决议：基金份额持有人大会在基金管理人职责终止后</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个月内对被提名的基金管理人形成决议，该决议需经参加大会的基金份额持有人所持表决权的三分之二以上（含三分之二）表决通过，决议自表决通过之日起生效；</w:t>
      </w:r>
    </w:p>
    <w:p w14:paraId="57D765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、临时基金管理人：新任基金管理人产生之前，由中国证监会指定临时基金管理人；</w:t>
      </w:r>
    </w:p>
    <w:p w14:paraId="66EB81F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、备案：基金份额持有人大会更换基金管理人的决议须报中国证监会备案；</w:t>
      </w:r>
    </w:p>
    <w:p w14:paraId="20AA2FC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、公告：基金管理人更换后，由基金托管人在更换基金管理人的基金份额持有人大会决议生效后依照《信息披露办法》在规定媒介公告；</w:t>
      </w:r>
    </w:p>
    <w:p w14:paraId="1D47D18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4E2CBB7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、审计：基金管理人职责终止的，应当按照法律法规规定聘请会计师事务所对基金财产进行审计，并将审计结果予以公告，同时报中国证监会备案，审计费用从基金财产中列支；</w:t>
      </w:r>
    </w:p>
    <w:p w14:paraId="1943F0E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、基金名称变更：基金管理人更换后，如果原任或新任基金管理人要求，应按其要求替换或删除基金名称中与原基金管理人有关的名称字样。</w:t>
      </w:r>
    </w:p>
    <w:p w14:paraId="36A14DC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38" w:name="_Toc22005975"/>
      <w:r>
        <w:rPr>
          <w:rFonts w:hint="eastAsia" w:asciiTheme="minorEastAsia" w:hAnsiTheme="minorEastAsia" w:eastAsiaTheme="minorEastAsia"/>
          <w:color w:val="0C0C0C" w:themeColor="text1" w:themeTint="F2"/>
          <w:sz w:val="24"/>
          <w:szCs w:val="24"/>
        </w:rPr>
        <w:t>（二）</w:t>
      </w:r>
      <w:r>
        <w:rPr>
          <w:rFonts w:asciiTheme="minorEastAsia" w:hAnsiTheme="minorEastAsia" w:eastAsiaTheme="minorEastAsia"/>
          <w:color w:val="0C0C0C" w:themeColor="text1" w:themeTint="F2"/>
          <w:sz w:val="24"/>
          <w:szCs w:val="24"/>
        </w:rPr>
        <w:tab/>
      </w:r>
      <w:r>
        <w:rPr>
          <w:rFonts w:hint="eastAsia" w:asciiTheme="minorEastAsia" w:hAnsiTheme="minorEastAsia" w:eastAsiaTheme="minorEastAsia"/>
          <w:color w:val="0C0C0C" w:themeColor="text1" w:themeTint="F2"/>
          <w:sz w:val="24"/>
          <w:szCs w:val="24"/>
        </w:rPr>
        <w:t>基金托管人的更换程序</w:t>
      </w:r>
      <w:bookmarkEnd w:id="238"/>
    </w:p>
    <w:p w14:paraId="6EB3523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、提名：新任基金托管人由基金管理人或由单独或合计持有</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以上（含</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）基金份额的基金份额持有人提名；</w:t>
      </w:r>
    </w:p>
    <w:p w14:paraId="3B40BC1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、决议：基金份额持有人大会在基金托管人职责终止后</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个月内对被提名的基金托管人形成决议，该决议需经参加大会的基金份额持有人所持表决权的三分之二以上（含三分之二）表决通过，决议自表决通过之日起生效；</w:t>
      </w:r>
    </w:p>
    <w:p w14:paraId="449E7E6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、临时基金托管人：新任基金托管人产生之前，由中国证监会指定临时基金托管人；</w:t>
      </w:r>
    </w:p>
    <w:p w14:paraId="08FB557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、备案：基金份额持有人大会更换基金托管人的决议须报中国证监会备案；</w:t>
      </w:r>
    </w:p>
    <w:p w14:paraId="652F161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、公告：基金托管人更换后，由基金管理人在更换基金托管人的基金份额持有人大会决议生效后依照《信息披露办法》在规定媒介公告；</w:t>
      </w:r>
    </w:p>
    <w:p w14:paraId="73F6863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交接：基金托管人职责终止的，应当妥善保管基金财产和基金托管业务资料，及时办理基金财产和基金托管业务的移交手续，新任基金托管人或者临时基金托管人应当及时接收。新任基金托管人或者临时基金托管人应与基金管理人核对基金资产总值和净值；</w:t>
      </w:r>
    </w:p>
    <w:p w14:paraId="0DAD359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、审计：基金托管人职责终止的，应当按照法律法规规定聘请会计师事务所对基金财产进行审计，并将审计结果予以公告，同时报中国证监会备案，审计费</w:t>
      </w:r>
      <w:bookmarkStart w:id="239" w:name="_Hlk181716702"/>
      <w:r>
        <w:rPr>
          <w:rFonts w:hint="eastAsia" w:asciiTheme="minorEastAsia" w:hAnsiTheme="minorEastAsia" w:eastAsiaTheme="minorEastAsia"/>
          <w:color w:val="0C0C0C" w:themeColor="text1" w:themeTint="F2"/>
          <w:sz w:val="24"/>
          <w:szCs w:val="24"/>
        </w:rPr>
        <w:t>用从基金财产中列支</w:t>
      </w:r>
      <w:bookmarkEnd w:id="239"/>
      <w:r>
        <w:rPr>
          <w:rFonts w:hint="eastAsia" w:asciiTheme="minorEastAsia" w:hAnsiTheme="minorEastAsia" w:eastAsiaTheme="minorEastAsia"/>
          <w:color w:val="0C0C0C" w:themeColor="text1" w:themeTint="F2"/>
          <w:sz w:val="24"/>
          <w:szCs w:val="24"/>
        </w:rPr>
        <w:t>。</w:t>
      </w:r>
    </w:p>
    <w:p w14:paraId="3272C9F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240" w:name="_Toc1357"/>
      <w:r>
        <w:rPr>
          <w:rFonts w:hint="eastAsia" w:asciiTheme="minorEastAsia" w:hAnsiTheme="minorEastAsia" w:eastAsiaTheme="minorEastAsia"/>
          <w:color w:val="0C0C0C" w:themeColor="text1" w:themeTint="F2"/>
          <w:sz w:val="24"/>
          <w:szCs w:val="24"/>
        </w:rPr>
        <w:t>（三）基金管理人与基金托管人同时更换的条件和程序</w:t>
      </w:r>
      <w:bookmarkEnd w:id="240"/>
    </w:p>
    <w:p w14:paraId="6B1E0BE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、提名：如果基金管理人和基金托管人同时更换，由单独或合计持有基金总份额</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以上（含</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）的基金份额持有人提名新的基金管理人和基金托管人；</w:t>
      </w:r>
    </w:p>
    <w:p w14:paraId="6283A04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、基金管理人和基金托管人的更换分别按上述程序进行；</w:t>
      </w:r>
    </w:p>
    <w:p w14:paraId="46F37C9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、公告：新任基金管理人和新任基金托管人应在更换基金管理人和基金托管人的基金份额持有人大会决议生效后依照《信息披露办法》在规定媒介上联合公告。</w:t>
      </w:r>
    </w:p>
    <w:p w14:paraId="6C0AC2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新任或临时基金管理人接收基金管理业务或新任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基金合同的规定收取基金管理费或基金托管费。</w:t>
      </w:r>
    </w:p>
    <w:p w14:paraId="5B15596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本部分关于基金管理人、基金托管人更换条件和程序的约定，凡是直接引用法律法规的部分，如将来法律法规修改导致相关内容被取消或变更的，基金管理人与基金托管人协商一致并提前公告后，可直接对相应内容进行修改和调整，无需召开基金份额持有人大会审议。</w:t>
      </w:r>
    </w:p>
    <w:p w14:paraId="0392EE1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sectPr>
          <w:footerReference r:id="rId20" w:type="default"/>
          <w:pgSz w:w="11906" w:h="16838"/>
          <w:pgMar w:top="1440" w:right="1800" w:bottom="1440" w:left="1800" w:header="851" w:footer="992" w:gutter="0"/>
          <w:pgNumType w:start="1"/>
          <w:cols w:space="425" w:num="1"/>
          <w:docGrid w:type="lines" w:linePitch="312" w:charSpace="0"/>
        </w:sectPr>
      </w:pPr>
    </w:p>
    <w:p w14:paraId="009A19E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p>
    <w:bookmarkEnd w:id="228"/>
    <w:p w14:paraId="532DB284">
      <w:pPr>
        <w:pStyle w:val="2"/>
        <w:rPr>
          <w:szCs w:val="24"/>
        </w:rPr>
      </w:pPr>
      <w:bookmarkStart w:id="241" w:name="CTS_cf06234a2fbe4900a7a3eadf36be3887"/>
      <w:bookmarkEnd w:id="241"/>
      <w:bookmarkStart w:id="242" w:name="_Toc20976"/>
      <w:bookmarkStart w:id="243" w:name="_Toc90742396"/>
      <w:bookmarkStart w:id="244" w:name="_Toc29408"/>
      <w:bookmarkStart w:id="245" w:name="_Toc98560356"/>
      <w:bookmarkStart w:id="246" w:name="_Toc739"/>
      <w:bookmarkStart w:id="247" w:name="_Toc3329"/>
      <w:bookmarkStart w:id="248" w:name="_Toc139991740"/>
      <w:bookmarkStart w:id="249" w:name="_Toc123102457"/>
      <w:bookmarkStart w:id="250" w:name="_Toc32584"/>
      <w:bookmarkStart w:id="251" w:name="_Toc79392622"/>
      <w:bookmarkStart w:id="252" w:name="_Toc8791"/>
      <w:bookmarkStart w:id="253" w:name="_Toc123051456"/>
      <w:bookmarkStart w:id="254" w:name="_Toc123112238"/>
      <w:bookmarkStart w:id="255" w:name="_Toc48649708"/>
      <w:bookmarkStart w:id="256" w:name="_Toc21237"/>
      <w:bookmarkStart w:id="257" w:name="_Toc90742694"/>
      <w:bookmarkStart w:id="258" w:name="_Toc17920"/>
      <w:bookmarkStart w:id="259" w:name="_Toc17198"/>
      <w:bookmarkStart w:id="260" w:name="_Toc141703890"/>
      <w:bookmarkStart w:id="261" w:name="_Toc90742327"/>
      <w:bookmarkStart w:id="262" w:name="_Toc86655086"/>
      <w:bookmarkStart w:id="263" w:name="_Toc5170"/>
      <w:bookmarkStart w:id="264" w:name="_Toc32092"/>
      <w:bookmarkStart w:id="265" w:name="CLAUSE_cf06234a2fbe4900a7a3eadf36be3887"/>
      <w:r>
        <w:rPr>
          <w:rFonts w:hint="eastAsia" w:cs="Arial"/>
          <w:szCs w:val="24"/>
        </w:rPr>
        <w:t xml:space="preserve">第十二部分 </w:t>
      </w:r>
      <w:r>
        <w:rPr>
          <w:szCs w:val="24"/>
        </w:rPr>
        <w:t>基金的托管</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3DC7098F">
      <w:pPr>
        <w:autoSpaceDE w:val="0"/>
        <w:autoSpaceDN w:val="0"/>
        <w:spacing w:line="360" w:lineRule="auto"/>
        <w:textAlignment w:val="bottom"/>
        <w:rPr>
          <w:rFonts w:asciiTheme="minorEastAsia" w:hAnsiTheme="minorEastAsia" w:eastAsiaTheme="minorEastAsia"/>
          <w:color w:val="0C0C0C" w:themeColor="text1" w:themeTint="F2"/>
          <w:sz w:val="24"/>
          <w:szCs w:val="24"/>
        </w:rPr>
      </w:pPr>
    </w:p>
    <w:p w14:paraId="02844FD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基金托管人和基金管理人按照《基金法》、《基金合同》及其他有关规定订立托管协议。</w:t>
      </w:r>
    </w:p>
    <w:p w14:paraId="0095133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651FC74D">
      <w:pPr>
        <w:adjustRightInd w:val="0"/>
        <w:snapToGrid w:val="0"/>
        <w:spacing w:line="360" w:lineRule="auto"/>
        <w:rPr>
          <w:rFonts w:cs="Arial" w:asciiTheme="minorEastAsia" w:hAnsiTheme="minorEastAsia" w:eastAsiaTheme="minorEastAsia"/>
          <w:color w:val="0C0C0C" w:themeColor="text1" w:themeTint="F2"/>
          <w:sz w:val="24"/>
          <w:szCs w:val="24"/>
        </w:rPr>
      </w:pPr>
      <w:bookmarkStart w:id="266" w:name="_Toc123112239"/>
      <w:bookmarkStart w:id="267" w:name="_Toc123051457"/>
      <w:bookmarkStart w:id="268" w:name="_Toc26084"/>
      <w:bookmarkStart w:id="269" w:name="_Toc21886"/>
      <w:bookmarkStart w:id="270" w:name="_Toc98560357"/>
      <w:bookmarkStart w:id="271" w:name="_Toc139991741"/>
      <w:bookmarkStart w:id="272" w:name="_Toc79392624"/>
      <w:bookmarkStart w:id="273" w:name="_Toc26152"/>
      <w:bookmarkStart w:id="274" w:name="_Toc22674"/>
      <w:bookmarkStart w:id="275" w:name="_Toc14725"/>
      <w:bookmarkStart w:id="276" w:name="_Toc2255"/>
      <w:bookmarkStart w:id="277" w:name="_Toc26383"/>
      <w:bookmarkStart w:id="278" w:name="_Toc3244"/>
      <w:bookmarkStart w:id="279" w:name="_Toc123102458"/>
      <w:bookmarkStart w:id="280" w:name="_Toc48649710"/>
      <w:bookmarkStart w:id="281" w:name="_Toc19520"/>
      <w:bookmarkStart w:id="282" w:name="_Toc141703891"/>
      <w:bookmarkStart w:id="283" w:name="_Toc31469"/>
      <w:bookmarkStart w:id="284" w:name="_Toc16789"/>
    </w:p>
    <w:bookmarkEnd w:id="265"/>
    <w:p w14:paraId="7BEA2B68">
      <w:pPr>
        <w:pStyle w:val="2"/>
        <w:rPr>
          <w:szCs w:val="24"/>
        </w:rPr>
        <w:sectPr>
          <w:footerReference r:id="rId21" w:type="default"/>
          <w:pgSz w:w="11906" w:h="16838"/>
          <w:pgMar w:top="1440" w:right="1800" w:bottom="1440" w:left="1800" w:header="851" w:footer="992" w:gutter="0"/>
          <w:pgNumType w:start="1"/>
          <w:cols w:space="425" w:num="1"/>
          <w:docGrid w:type="lines" w:linePitch="312" w:charSpace="0"/>
        </w:sectPr>
      </w:pPr>
    </w:p>
    <w:p w14:paraId="7F9DED5B">
      <w:pPr>
        <w:pStyle w:val="2"/>
        <w:rPr>
          <w:szCs w:val="24"/>
        </w:rPr>
      </w:pPr>
      <w:bookmarkStart w:id="285" w:name="CTS_bfa81950e3c644629507a2e36591d953"/>
      <w:bookmarkEnd w:id="285"/>
      <w:bookmarkStart w:id="286" w:name="_Toc86655087"/>
      <w:bookmarkStart w:id="287" w:name="CLAUSE_bfa81950e3c644629507a2e36591d953"/>
      <w:r>
        <w:rPr>
          <w:rFonts w:hint="eastAsia" w:cs="Arial"/>
          <w:szCs w:val="24"/>
        </w:rPr>
        <w:t xml:space="preserve">第十三部分 </w:t>
      </w:r>
      <w:r>
        <w:rPr>
          <w:szCs w:val="24"/>
        </w:rPr>
        <w:t>基金份额的登记</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6"/>
    </w:p>
    <w:p w14:paraId="2AD75489">
      <w:pPr>
        <w:autoSpaceDE w:val="0"/>
        <w:autoSpaceDN w:val="0"/>
        <w:spacing w:line="360" w:lineRule="auto"/>
        <w:textAlignment w:val="bottom"/>
        <w:rPr>
          <w:rFonts w:asciiTheme="minorEastAsia" w:hAnsiTheme="minorEastAsia" w:eastAsiaTheme="minorEastAsia"/>
          <w:bCs/>
          <w:sz w:val="24"/>
          <w:szCs w:val="24"/>
        </w:rPr>
      </w:pPr>
    </w:p>
    <w:p w14:paraId="65D7324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一、基金份额的登记业务</w:t>
      </w:r>
    </w:p>
    <w:p w14:paraId="0EBD814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本基金的登记业务指《中国证券登记结算有限责任公司关于交易所交易型开放式证券投资基金登记结算业务实施细则》定义的基金份额的登记、存管、结算及相关业务。</w:t>
      </w:r>
    </w:p>
    <w:p w14:paraId="0ADB87A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二、基金登记业务办理机构</w:t>
      </w:r>
    </w:p>
    <w:p w14:paraId="1660C60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登记业务由基金管理人或基金管理人委托的其他符合条件的机构办理，但基金管理人依法应当承担的责任不因委托而免除。基金管理人委托其他机构办理本基金登记业务的，应与有关机构签订委托代理协议，以明确基金管理人和代理机构在登记业务中的权利和义务，保护基金份额持有人的合法权益。本基金的登记业务由中国证券登记结算有限责任公司负责办理。</w:t>
      </w:r>
    </w:p>
    <w:p w14:paraId="46ABB84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三、基金登记机构的权利</w:t>
      </w:r>
      <w:bookmarkStart w:id="288" w:name="_Hlt88820748"/>
      <w:bookmarkEnd w:id="288"/>
    </w:p>
    <w:p w14:paraId="4C14E77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基金登记机构享有以下权利：</w:t>
      </w:r>
    </w:p>
    <w:p w14:paraId="1BB1C58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、取得登记费；</w:t>
      </w:r>
    </w:p>
    <w:p w14:paraId="1EFECD6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、建立和管理投资者相关账户；</w:t>
      </w:r>
    </w:p>
    <w:p w14:paraId="67D2D1F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、保管基金份额持有人开户资料、交易资料、基金份额持有人名册等；</w:t>
      </w:r>
    </w:p>
    <w:p w14:paraId="13C29AE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、在法律法规允许的范围内，对登记业务的办理时间进行调整，并依照有关规定于开始实施前在规定媒介上公告；</w:t>
      </w:r>
    </w:p>
    <w:p w14:paraId="0C8E007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1CECD5F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四、基金登记机构的义务</w:t>
      </w:r>
    </w:p>
    <w:p w14:paraId="5F90D6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基金登记机构承担以下义务：</w:t>
      </w:r>
    </w:p>
    <w:p w14:paraId="459C43B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、配备足够的专业人员办理本基金份额的登记业务；</w:t>
      </w:r>
    </w:p>
    <w:p w14:paraId="1C836BF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、严格按照法律法规和《基金合同》规定的条件办理本基金份额的登记业务；</w:t>
      </w:r>
    </w:p>
    <w:p w14:paraId="46D1784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、妥善保存登记数据，并将基金份额持有人名称、身份信息及基金份额明细等数据备份至中国证监会认定的机构。其保存期限自相关账户销户之日起不得少于20年；</w:t>
      </w:r>
    </w:p>
    <w:p w14:paraId="0A9F7E5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对基金份额持有人的相关账户信息负有保密义务，因违反该保密义务对投资者或基金带来的损失，须承担相应的赔偿责任，但司法强制检查情形及法律法规及中国证监会规定的和《基金合同》约定的其他情形除外；</w:t>
      </w:r>
    </w:p>
    <w:p w14:paraId="2E22F95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、按《基金合同》及招募说明书规定为投资者办理非交易过户业务、提供其他必要的服务；</w:t>
      </w:r>
    </w:p>
    <w:p w14:paraId="794A3C6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、接受基金管理人的监督；</w:t>
      </w:r>
    </w:p>
    <w:p w14:paraId="37B2600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、法律法规及中国证监会规定的和《基金合同》约定的其他义务。</w:t>
      </w:r>
    </w:p>
    <w:p w14:paraId="11E64271">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289" w:name="_Toc22538"/>
      <w:bookmarkStart w:id="290" w:name="_Toc13343"/>
      <w:bookmarkStart w:id="291" w:name="_Toc5477"/>
      <w:bookmarkStart w:id="292" w:name="_Toc2981"/>
      <w:bookmarkStart w:id="293" w:name="_Toc3872"/>
      <w:bookmarkStart w:id="294" w:name="_Toc11395"/>
      <w:bookmarkStart w:id="295" w:name="_Toc16437"/>
      <w:bookmarkStart w:id="296" w:name="_Toc11351"/>
      <w:bookmarkStart w:id="297" w:name="_Toc21917"/>
      <w:bookmarkStart w:id="298" w:name="_Toc801"/>
      <w:bookmarkStart w:id="299" w:name="_Toc578"/>
    </w:p>
    <w:p w14:paraId="29E340BE">
      <w:pPr>
        <w:pStyle w:val="2"/>
        <w:rPr>
          <w:szCs w:val="24"/>
        </w:rPr>
        <w:sectPr>
          <w:footerReference r:id="rId22" w:type="default"/>
          <w:pgSz w:w="11906" w:h="16838"/>
          <w:pgMar w:top="1440" w:right="1800" w:bottom="1440" w:left="1800" w:header="851" w:footer="992" w:gutter="0"/>
          <w:pgNumType w:start="1"/>
          <w:cols w:space="425" w:num="1"/>
          <w:docGrid w:type="lines" w:linePitch="312" w:charSpace="0"/>
        </w:sectPr>
      </w:pPr>
      <w:bookmarkStart w:id="300" w:name="_Toc90742398"/>
      <w:bookmarkStart w:id="301" w:name="_Toc90742696"/>
      <w:bookmarkStart w:id="302" w:name="_Toc90742329"/>
    </w:p>
    <w:bookmarkEnd w:id="287"/>
    <w:p w14:paraId="57ACD633">
      <w:pPr>
        <w:pStyle w:val="2"/>
        <w:rPr>
          <w:szCs w:val="24"/>
        </w:rPr>
      </w:pPr>
      <w:bookmarkStart w:id="303" w:name="CTS_f31ad7d3cb5c4cbe853348e241930cf5"/>
      <w:bookmarkEnd w:id="303"/>
      <w:bookmarkStart w:id="304" w:name="_Toc86655088"/>
      <w:bookmarkStart w:id="305" w:name="CLAUSE_f31ad7d3cb5c4cbe853348e241930cf5"/>
      <w:r>
        <w:rPr>
          <w:rFonts w:hint="eastAsia" w:cs="Arial"/>
          <w:szCs w:val="24"/>
        </w:rPr>
        <w:t xml:space="preserve">第十四部分 </w:t>
      </w:r>
      <w:r>
        <w:rPr>
          <w:szCs w:val="24"/>
        </w:rPr>
        <w:t>基金的投资</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4"/>
    </w:p>
    <w:p w14:paraId="6910CF45">
      <w:pPr>
        <w:spacing w:line="360" w:lineRule="auto"/>
        <w:ind w:firstLine="480" w:firstLineChars="200"/>
        <w:rPr>
          <w:rFonts w:asciiTheme="minorEastAsia" w:hAnsiTheme="minorEastAsia" w:eastAsiaTheme="minorEastAsia"/>
          <w:bCs/>
          <w:sz w:val="24"/>
          <w:szCs w:val="24"/>
        </w:rPr>
      </w:pPr>
    </w:p>
    <w:p w14:paraId="7375EEB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一、投资目标</w:t>
      </w:r>
    </w:p>
    <w:p w14:paraId="7A6ABCE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紧密跟踪标的指数，追求跟踪偏离度和跟踪误差的最小化。</w:t>
      </w:r>
    </w:p>
    <w:p w14:paraId="43C129C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二、投资范围</w:t>
      </w:r>
    </w:p>
    <w:p w14:paraId="4EB8E00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kern w:val="0"/>
          <w:sz w:val="24"/>
          <w:szCs w:val="24"/>
        </w:rPr>
        <w:t>本基金主要投资于标的指数成份股和备选成份股(含存托凭证)。</w:t>
      </w:r>
    </w:p>
    <w:p w14:paraId="05B17C4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63334A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本基金可根据法律法规的规定参与融资和转融通证券出借业务。未来在法律法规允许的前提下，本基金可根据相关法律法规规定参与融券业务。</w:t>
      </w:r>
    </w:p>
    <w:p w14:paraId="21B13212">
      <w:pPr>
        <w:spacing w:line="360" w:lineRule="auto"/>
        <w:ind w:firstLine="480" w:firstLineChars="200"/>
        <w:rPr>
          <w:bCs/>
          <w:sz w:val="24"/>
        </w:rPr>
      </w:pPr>
      <w:r>
        <w:rPr>
          <w:rFonts w:hint="eastAsia"/>
          <w:bCs/>
          <w:sz w:val="24"/>
        </w:rPr>
        <w:t>如法律法规或中国证监会以后允许基金投资其他品种，本基金管理人在履行适当程序后，可以将其纳入本基金的投资范围。</w:t>
      </w:r>
    </w:p>
    <w:p w14:paraId="7F8B558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本基金投资于标的指数成份股和备选成份股（含存托凭证）的资产比例不低于基金资产净值的90%，</w:t>
      </w:r>
      <w:r>
        <w:rPr>
          <w:rFonts w:hint="eastAsia" w:asciiTheme="minorEastAsia" w:hAnsiTheme="minorEastAsia" w:eastAsiaTheme="minorEastAsia"/>
          <w:sz w:val="24"/>
        </w:rPr>
        <w:t>且不低于非现金基金资产的80%</w:t>
      </w:r>
      <w:r>
        <w:rPr>
          <w:rFonts w:hint="eastAsia" w:asciiTheme="minorEastAsia" w:hAnsiTheme="minorEastAsia" w:eastAsiaTheme="minorEastAsia"/>
          <w:color w:val="0C0C0C" w:themeColor="text1" w:themeTint="F2"/>
          <w:sz w:val="24"/>
          <w:szCs w:val="24"/>
        </w:rPr>
        <w:t>；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47BC5642">
      <w:pPr>
        <w:spacing w:line="360" w:lineRule="auto"/>
        <w:ind w:firstLine="480" w:firstLineChars="200"/>
        <w:rPr>
          <w:bCs/>
          <w:sz w:val="24"/>
        </w:rPr>
      </w:pPr>
      <w:r>
        <w:rPr>
          <w:rFonts w:hint="eastAsia"/>
          <w:bCs/>
          <w:sz w:val="24"/>
        </w:rPr>
        <w:t>若法律法规的相关规定发生变更或监管机构允许，本基金管理人在履行适当程序后，可对上述资产配置比例进行调整。</w:t>
      </w:r>
    </w:p>
    <w:p w14:paraId="5F465F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三、投资策略</w:t>
      </w:r>
    </w:p>
    <w:p w14:paraId="699C1D6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1、组合复制策略</w:t>
      </w:r>
    </w:p>
    <w:p w14:paraId="55E5E23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w:t>
      </w:r>
      <w:r>
        <w:rPr>
          <w:rFonts w:asciiTheme="minorEastAsia" w:hAnsiTheme="minorEastAsia" w:eastAsiaTheme="minorEastAsia"/>
          <w:color w:val="0C0C0C" w:themeColor="text1" w:themeTint="F2"/>
          <w:sz w:val="24"/>
          <w:szCs w:val="24"/>
        </w:rPr>
        <w:t>1）法律法规的限制；（2）标的指数成份股流动性严重不足；（3）标的指数的成份股长期停牌；（4）其它合理原因导致本基金管理人对标的指数的跟踪构成严重制约等</w:t>
      </w:r>
      <w:r>
        <w:rPr>
          <w:rFonts w:hint="eastAsia" w:asciiTheme="minorEastAsia" w:hAnsiTheme="minorEastAsia" w:eastAsiaTheme="minorEastAsia"/>
          <w:color w:val="0C0C0C" w:themeColor="text1" w:themeTint="F2"/>
          <w:sz w:val="24"/>
          <w:szCs w:val="24"/>
        </w:rPr>
        <w:t>。</w:t>
      </w:r>
    </w:p>
    <w:p w14:paraId="3761C57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如果标的指数成份股发生明显负面事件面临退市或违约风险，且指数编制机构暂未作出调整的，基金管理人应当按照基金份额持有人利益优先原则，履行内部决策程序后及时对相关成份股进行调整。</w:t>
      </w:r>
    </w:p>
    <w:p w14:paraId="2D73148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w:t>
      </w:r>
    </w:p>
    <w:p w14:paraId="437D5E3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4270A68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、债券（除可转换债券、可交换债券）投资策略</w:t>
      </w:r>
    </w:p>
    <w:p w14:paraId="2DA0475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本基金债券投资组合将着重考虑基金的流动性管理及策略性投资的需要进行配置。债券投资的目的是保证基金资产流动性，有效利用基金资产，提高基金资产的投资收益。</w:t>
      </w:r>
    </w:p>
    <w:p w14:paraId="3C107A4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、资产支持证券投资策略</w:t>
      </w:r>
    </w:p>
    <w:p w14:paraId="1F229B2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7189CF2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4、可转换债券、可交换债券投资策略</w:t>
      </w:r>
    </w:p>
    <w:p w14:paraId="41B8F44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5072451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D119E5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5、金融衍生品投资策略</w:t>
      </w:r>
    </w:p>
    <w:p w14:paraId="7C3D77A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（1）股指期货交易策略</w:t>
      </w:r>
    </w:p>
    <w:p w14:paraId="64B8C9E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将在风险可控的前提下，根据风险管理原则，以套期保值为目的，适度参与股指期货交易。本基金将根据对现货和期货市场的分析，充分考虑股指期货的风险收益特征进行股指期货交易，以改善交易组合的交易效果。</w:t>
      </w:r>
    </w:p>
    <w:p w14:paraId="2D79454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（2）股票期权投资策略</w:t>
      </w:r>
    </w:p>
    <w:p w14:paraId="405B4D1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3A7CB08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（3）国债期货交易策略</w:t>
      </w:r>
    </w:p>
    <w:p w14:paraId="56FC8D2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本基金参与国债期货交易，以套期保值为目的，将根据风险管理的原则，充分考虑国债期货的流动性和风险收益特征，在风险可控的前提下，适度参与国债期货交易。</w:t>
      </w:r>
    </w:p>
    <w:p w14:paraId="391DF18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6、融资和转融通证券出借业务投资策略</w:t>
      </w:r>
    </w:p>
    <w:p w14:paraId="0E01978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6574608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7、存托凭证投资策略</w:t>
      </w:r>
    </w:p>
    <w:p w14:paraId="67D5ED4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本基金将根据本基金的投资目标和股票投资策略，基于对基础证券投资价值的深入研究判断，进行存托凭证的投资。</w:t>
      </w:r>
    </w:p>
    <w:p w14:paraId="014BAB5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未来，随着投资工具的发展和丰富，本基金可在不改变投资目标的前提下，在履行适当程序后，相应调整和更新相关投资策略，并在招募说明书更新中公告。</w:t>
      </w:r>
    </w:p>
    <w:p w14:paraId="6FBC315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w:t>
      </w:r>
      <w:r>
        <w:rPr>
          <w:rFonts w:asciiTheme="minorEastAsia" w:hAnsiTheme="minorEastAsia" w:eastAsiaTheme="minorEastAsia"/>
          <w:color w:val="0C0C0C" w:themeColor="text1" w:themeTint="F2"/>
          <w:sz w:val="24"/>
          <w:szCs w:val="24"/>
        </w:rPr>
        <w:t>投资组合</w:t>
      </w:r>
      <w:r>
        <w:rPr>
          <w:rFonts w:hint="eastAsia" w:asciiTheme="minorEastAsia" w:hAnsiTheme="minorEastAsia" w:eastAsiaTheme="minorEastAsia"/>
          <w:color w:val="0C0C0C" w:themeColor="text1" w:themeTint="F2"/>
          <w:sz w:val="24"/>
          <w:szCs w:val="24"/>
        </w:rPr>
        <w:t>限制</w:t>
      </w:r>
    </w:p>
    <w:p w14:paraId="6C6B2D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、组合限制</w:t>
      </w:r>
    </w:p>
    <w:p w14:paraId="3BED4BF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基金的投资组合应遵循以下限制：</w:t>
      </w:r>
    </w:p>
    <w:p w14:paraId="3EEDC0E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）本基金投资于标的指数成份股和备选成份股（含存托凭证）的资产比例不低于基金资产净值的90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w:t>
      </w:r>
      <w:r>
        <w:rPr>
          <w:rFonts w:hint="eastAsia" w:asciiTheme="minorEastAsia" w:hAnsiTheme="minorEastAsia" w:eastAsiaTheme="minorEastAsia"/>
          <w:sz w:val="24"/>
        </w:rPr>
        <w:t>且不低于非现金基金资产的80%</w:t>
      </w:r>
      <w:r>
        <w:rPr>
          <w:rFonts w:hint="eastAsia" w:asciiTheme="minorEastAsia" w:hAnsiTheme="minorEastAsia" w:eastAsiaTheme="minorEastAsia"/>
          <w:color w:val="0C0C0C" w:themeColor="text1" w:themeTint="F2"/>
          <w:sz w:val="24"/>
          <w:szCs w:val="24"/>
        </w:rPr>
        <w:t>；</w:t>
      </w:r>
    </w:p>
    <w:p w14:paraId="1603717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）本基金每个交易日日终在扣除股指期货、股票期权和国债期货合约需缴纳的交易保证金后，应当保持不低于交易保证金一倍的现金，其中现金不包括结算备付金、存出保证金和应收申购款等；</w:t>
      </w:r>
    </w:p>
    <w:p w14:paraId="4037003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（3）本基金参与股指期货和国债期货交易，需遵守下列投资比例限制：</w:t>
      </w:r>
    </w:p>
    <w:p w14:paraId="32F130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1）本基金在任何交易日日终，持有的买入股指期货合约价值，不得超过基金资产净值的10%；在任何交易日日终，持有的买入国债期货合约价值，不得超过基金资产净值的15%；</w:t>
      </w:r>
    </w:p>
    <w:p w14:paraId="7AB5702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00AD792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 xml:space="preserve">3）本基金在任何交易日日终，持有的卖出股指期货合约价值不得超过基金持有的股票总市值的20%；在任何交易日日终，持有的卖出国债期货合约价值不得超过基金持有的债券总市值的30%； </w:t>
      </w:r>
    </w:p>
    <w:p w14:paraId="3262890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02A1761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32C297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（4）本基金投资于同一原始权益人的各类资产支持证券的比例，不得超过基金资产净值的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6BBEB4B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（5）本基金持有的全部资产支持证券，其市值不得超过基金资产净值的</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w:t>
      </w:r>
    </w:p>
    <w:p w14:paraId="620C7A8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（6）本基金持有的同一</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指同一信用级别</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资产支持证券的比例，不得超过该资产支持证券规模的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3D14903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（7）本基金管理人管理的全部基金投资于同一原始权益人的各类资产支持证券，不得超过其各类资产支持证券合计规模的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44FB6F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（8）本基金应投资于信用级别评级为</w:t>
      </w:r>
      <w:r>
        <w:rPr>
          <w:rFonts w:asciiTheme="minorEastAsia" w:hAnsiTheme="minorEastAsia" w:eastAsiaTheme="minorEastAsia"/>
          <w:color w:val="0C0C0C" w:themeColor="text1" w:themeTint="F2"/>
          <w:sz w:val="24"/>
          <w:szCs w:val="24"/>
        </w:rPr>
        <w:t>BBB</w:t>
      </w:r>
      <w:r>
        <w:rPr>
          <w:rFonts w:hint="eastAsia" w:asciiTheme="minorEastAsia" w:hAnsiTheme="minorEastAsia" w:eastAsiaTheme="minorEastAsia"/>
          <w:color w:val="0C0C0C" w:themeColor="text1" w:themeTint="F2"/>
          <w:sz w:val="24"/>
          <w:szCs w:val="24"/>
        </w:rPr>
        <w:t>以上</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含</w:t>
      </w:r>
      <w:r>
        <w:rPr>
          <w:rFonts w:asciiTheme="minorEastAsia" w:hAnsiTheme="minorEastAsia" w:eastAsiaTheme="minorEastAsia"/>
          <w:color w:val="0C0C0C" w:themeColor="text1" w:themeTint="F2"/>
          <w:sz w:val="24"/>
          <w:szCs w:val="24"/>
        </w:rPr>
        <w:t>BBB)</w:t>
      </w:r>
      <w:r>
        <w:rPr>
          <w:rFonts w:hint="eastAsia" w:asciiTheme="minorEastAsia" w:hAnsiTheme="minorEastAsia" w:eastAsiaTheme="minorEastAsia"/>
          <w:color w:val="0C0C0C" w:themeColor="text1" w:themeTint="F2"/>
          <w:sz w:val="24"/>
          <w:szCs w:val="24"/>
        </w:rPr>
        <w:t>的资产支持证券。基金持有资产支持证券期间，如果其信用等级下降、不再符合投资标准，应在评级报告发布之日起</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个月内予以全部卖出；</w:t>
      </w:r>
    </w:p>
    <w:p w14:paraId="43C6544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（9）基金财产参与股票发行申购，本基金所申报的金额不超过本基金的总资产，本基金所申报的股票数量不超过拟发行股票公司本次发行股票的总量；</w:t>
      </w:r>
    </w:p>
    <w:p w14:paraId="0CDCFAE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（10）本基金参与融资的，在任何交易日日终，本基金持有的融资买入股票与其他有价证券市值之和，不得超过基金资产净值的</w:t>
      </w:r>
      <w:r>
        <w:rPr>
          <w:rFonts w:asciiTheme="minorEastAsia" w:hAnsiTheme="minorEastAsia" w:eastAsiaTheme="minorEastAsia"/>
          <w:color w:val="0C0C0C" w:themeColor="text1" w:themeTint="F2"/>
          <w:sz w:val="24"/>
          <w:szCs w:val="24"/>
        </w:rPr>
        <w:t>95%</w:t>
      </w:r>
      <w:r>
        <w:rPr>
          <w:rFonts w:hint="eastAsia" w:asciiTheme="minorEastAsia" w:hAnsiTheme="minorEastAsia" w:eastAsiaTheme="minorEastAsia"/>
          <w:color w:val="0C0C0C" w:themeColor="text1" w:themeTint="F2"/>
          <w:sz w:val="24"/>
          <w:szCs w:val="24"/>
        </w:rPr>
        <w:t>；</w:t>
      </w:r>
    </w:p>
    <w:p w14:paraId="4BE0349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（11）本基金参与转融通证券出借业务，需遵守下列投资限制：</w:t>
      </w:r>
    </w:p>
    <w:p w14:paraId="7BBE71E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1）出借证券资产不得超过基金资产净值的30%，出借期限在10个交易日以上的出借证券应纳入《流动性风险管理规定》所述流动性受限证券的范围；</w:t>
      </w:r>
    </w:p>
    <w:p w14:paraId="46ADAD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2）参与出借业务的单只证券不得超过本基金持有该证券总量的30%；</w:t>
      </w:r>
    </w:p>
    <w:p w14:paraId="13F8D77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3）最近6个月内日均基金资产净值不得低于2亿元；</w:t>
      </w:r>
    </w:p>
    <w:p w14:paraId="55851F2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4）证券出借的平均剩余期限不得超过30天，平均剩余期限按照市值加权平均计算；</w:t>
      </w:r>
    </w:p>
    <w:p w14:paraId="51EF9ED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因证券、期货市场波动、证券发行人合并、基金规模变动等基金管理人之外的因素致使基金投资不符合上述规定的，基金管理人不得新增出借业务；</w:t>
      </w:r>
    </w:p>
    <w:p w14:paraId="1D06F7D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（12）基金因未平仓的股票期权合约支付和收取的权利金总额不得超过基金资产净值的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开仓卖出认购股票期权的，应持有足额标的证券；开仓卖出认沽股票期权的，应持有合约行权所需的全额现金或交易所规则认可的可冲抵股票期权保证金的现金等价物；未平仓的股票期权合约面值不得超过基金资产净值的</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 xml:space="preserve">，其中，合约面值按照行权价乘以合约乘数计算； </w:t>
      </w:r>
    </w:p>
    <w:p w14:paraId="14D66F7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306" w:name="_Hlk129683102"/>
      <w:r>
        <w:rPr>
          <w:rFonts w:hint="eastAsia" w:asciiTheme="minorEastAsia" w:hAnsiTheme="minorEastAsia" w:eastAsiaTheme="minorEastAsia"/>
          <w:color w:val="0C0C0C" w:themeColor="text1" w:themeTint="F2"/>
          <w:sz w:val="24"/>
          <w:szCs w:val="24"/>
        </w:rPr>
        <w:t>（13）</w:t>
      </w:r>
      <w:bookmarkEnd w:id="306"/>
      <w:r>
        <w:rPr>
          <w:rFonts w:hint="eastAsia" w:asciiTheme="minorEastAsia" w:hAnsiTheme="minorEastAsia" w:eastAsiaTheme="minorEastAsia"/>
          <w:color w:val="0C0C0C" w:themeColor="text1" w:themeTint="F2"/>
          <w:sz w:val="24"/>
          <w:szCs w:val="24"/>
        </w:rPr>
        <w:t>本基金主动投资于流动性受限资产的市值合计不得超过基金资产净值的</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；因证券/期货市场波动、上市公司股票停牌、基金规模变动等基金管理人之外的因素致使基金不符合该比例限制的，基金管理人不得主动新增流动性受限资产的投资；</w:t>
      </w:r>
    </w:p>
    <w:p w14:paraId="12B59D3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（14）本基金与私募类证券资管产品及中国证监会认定的其他主体为交易对手开展逆回购交易的，可接受质押品的资质要求应当与本基金合同约定的投资范围保持一致；</w:t>
      </w:r>
    </w:p>
    <w:p w14:paraId="073561F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（15）本基金资产总值不得超过基金资产净值的</w:t>
      </w:r>
      <w:r>
        <w:rPr>
          <w:rFonts w:asciiTheme="minorEastAsia" w:hAnsiTheme="minorEastAsia" w:eastAsiaTheme="minorEastAsia"/>
          <w:color w:val="0C0C0C" w:themeColor="text1" w:themeTint="F2"/>
          <w:sz w:val="24"/>
          <w:szCs w:val="24"/>
        </w:rPr>
        <w:t>140%</w:t>
      </w:r>
      <w:r>
        <w:rPr>
          <w:rFonts w:hint="eastAsia" w:asciiTheme="minorEastAsia" w:hAnsiTheme="minorEastAsia" w:eastAsiaTheme="minorEastAsia"/>
          <w:color w:val="0C0C0C" w:themeColor="text1" w:themeTint="F2"/>
          <w:sz w:val="24"/>
          <w:szCs w:val="24"/>
        </w:rPr>
        <w:t>；</w:t>
      </w:r>
    </w:p>
    <w:p w14:paraId="6C5D59C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（16）本基金投资存托凭证的比例限制依照境内上市交易的股票执行；</w:t>
      </w:r>
    </w:p>
    <w:p w14:paraId="33205FC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（17）法律法规及中国证监会规定的和《基金合同》约定的其他投资限制。</w:t>
      </w:r>
    </w:p>
    <w:p w14:paraId="0B10827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除上述（2）、（8</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（11）、</w:t>
      </w:r>
      <w:bookmarkStart w:id="307" w:name="_Hlk129683125"/>
      <w:r>
        <w:rPr>
          <w:rFonts w:hint="eastAsia" w:asciiTheme="minorEastAsia" w:hAnsiTheme="minorEastAsia" w:eastAsiaTheme="minorEastAsia"/>
          <w:color w:val="0C0C0C" w:themeColor="text1" w:themeTint="F2"/>
          <w:sz w:val="24"/>
          <w:szCs w:val="24"/>
        </w:rPr>
        <w:t>（13）、（14）</w:t>
      </w:r>
      <w:bookmarkEnd w:id="307"/>
      <w:r>
        <w:rPr>
          <w:rFonts w:hint="eastAsia" w:asciiTheme="minorEastAsia" w:hAnsiTheme="minorEastAsia" w:eastAsiaTheme="minorEastAsia"/>
          <w:color w:val="0C0C0C" w:themeColor="text1" w:themeTint="F2"/>
          <w:sz w:val="24"/>
          <w:szCs w:val="24"/>
        </w:rPr>
        <w:t>情形</w:t>
      </w:r>
      <w:r>
        <w:rPr>
          <w:rFonts w:asciiTheme="minorEastAsia" w:hAnsiTheme="minorEastAsia" w:eastAsiaTheme="minorEastAsia"/>
          <w:color w:val="0C0C0C" w:themeColor="text1" w:themeTint="F2"/>
          <w:sz w:val="24"/>
          <w:szCs w:val="24"/>
        </w:rPr>
        <w:t>之</w:t>
      </w:r>
      <w:r>
        <w:rPr>
          <w:rFonts w:hint="eastAsia" w:asciiTheme="minorEastAsia" w:hAnsiTheme="minorEastAsia" w:eastAsiaTheme="minorEastAsia"/>
          <w:color w:val="0C0C0C" w:themeColor="text1" w:themeTint="F2"/>
          <w:sz w:val="24"/>
          <w:szCs w:val="24"/>
        </w:rPr>
        <w:t>外，因</w:t>
      </w:r>
      <w:r>
        <w:rPr>
          <w:rFonts w:asciiTheme="minorEastAsia" w:hAnsiTheme="minorEastAsia" w:eastAsiaTheme="minorEastAsia"/>
          <w:color w:val="0C0C0C" w:themeColor="text1" w:themeTint="F2"/>
          <w:sz w:val="24"/>
          <w:szCs w:val="24"/>
        </w:rPr>
        <w:t>证券/期货市场</w:t>
      </w:r>
      <w:r>
        <w:rPr>
          <w:rFonts w:hint="eastAsia" w:asciiTheme="minorEastAsia" w:hAnsiTheme="minorEastAsia" w:eastAsiaTheme="minorEastAsia"/>
          <w:color w:val="0C0C0C" w:themeColor="text1" w:themeTint="F2"/>
          <w:sz w:val="24"/>
          <w:szCs w:val="24"/>
        </w:rPr>
        <w:t>波动、证券发行人合并、基金规模变动、标的指数成份股调整、标的指数成份股流动性限制等基金管理人之外的因素致使基金投资比例不符合上述规定投资比例的，基金管理人应当在</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个交易日内进行调整，但中国证监会规定的特殊情形除外。</w:t>
      </w:r>
    </w:p>
    <w:p w14:paraId="1E28574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基金管理人应当自基金合同生效之日起</w:t>
      </w:r>
      <w:r>
        <w:rPr>
          <w:rFonts w:asciiTheme="minorEastAsia" w:hAnsiTheme="minorEastAsia" w:eastAsiaTheme="minorEastAsia"/>
          <w:color w:val="0C0C0C" w:themeColor="text1" w:themeTint="F2"/>
          <w:sz w:val="24"/>
          <w:szCs w:val="24"/>
        </w:rPr>
        <w:t>6个月内使基金的投资组合比例符合基金合同的有关约定。</w:t>
      </w:r>
      <w:r>
        <w:rPr>
          <w:rFonts w:hint="eastAsia" w:asciiTheme="minorEastAsia" w:hAnsiTheme="minorEastAsia" w:eastAsiaTheme="minorEastAsia"/>
          <w:color w:val="0C0C0C" w:themeColor="text1" w:themeTint="F2"/>
          <w:sz w:val="24"/>
          <w:szCs w:val="24"/>
        </w:rPr>
        <w:t>在上述</w:t>
      </w:r>
      <w:r>
        <w:rPr>
          <w:rFonts w:asciiTheme="minorEastAsia" w:hAnsiTheme="minorEastAsia" w:eastAsiaTheme="minorEastAsia"/>
          <w:color w:val="0C0C0C" w:themeColor="text1" w:themeTint="F2"/>
          <w:sz w:val="24"/>
          <w:szCs w:val="24"/>
        </w:rPr>
        <w:t>期间</w:t>
      </w:r>
      <w:r>
        <w:rPr>
          <w:rFonts w:hint="eastAsia" w:asciiTheme="minorEastAsia" w:hAnsiTheme="minorEastAsia" w:eastAsiaTheme="minorEastAsia"/>
          <w:color w:val="0C0C0C" w:themeColor="text1" w:themeTint="F2"/>
          <w:sz w:val="24"/>
          <w:szCs w:val="24"/>
        </w:rPr>
        <w:t>内</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本</w:t>
      </w:r>
      <w:r>
        <w:rPr>
          <w:rFonts w:asciiTheme="minorEastAsia" w:hAnsiTheme="minorEastAsia" w:eastAsiaTheme="minorEastAsia"/>
          <w:color w:val="0C0C0C" w:themeColor="text1" w:themeTint="F2"/>
          <w:sz w:val="24"/>
          <w:szCs w:val="24"/>
        </w:rPr>
        <w:t>基金的投资范围、投资策略应当符合基金合同的约定。</w:t>
      </w:r>
      <w:r>
        <w:rPr>
          <w:rFonts w:hint="eastAsia" w:asciiTheme="minorEastAsia" w:hAnsiTheme="minorEastAsia" w:eastAsiaTheme="minorEastAsia"/>
          <w:color w:val="0C0C0C" w:themeColor="text1" w:themeTint="F2"/>
          <w:sz w:val="24"/>
          <w:szCs w:val="24"/>
        </w:rPr>
        <w:t>基金托管人对基金的投资的监督与检查自本基金合同生效之日起开始。</w:t>
      </w:r>
    </w:p>
    <w:p w14:paraId="646AAC18">
      <w:pPr>
        <w:spacing w:line="360" w:lineRule="auto"/>
        <w:ind w:firstLine="480" w:firstLineChars="200"/>
        <w:rPr>
          <w:bCs/>
          <w:sz w:val="24"/>
        </w:rPr>
      </w:pPr>
      <w:r>
        <w:rPr>
          <w:rFonts w:hint="eastAsia"/>
          <w:bCs/>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6748D5C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、禁止行为</w:t>
      </w:r>
    </w:p>
    <w:p w14:paraId="3F1DBEF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为维护基金份额持有人的合法权益，基金财产不得用于下列投资或者活动：</w:t>
      </w:r>
    </w:p>
    <w:p w14:paraId="31EA0E0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）承销证券；</w:t>
      </w:r>
    </w:p>
    <w:p w14:paraId="44E09CA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违反规定</w:t>
      </w:r>
      <w:r>
        <w:rPr>
          <w:rFonts w:asciiTheme="minorEastAsia" w:hAnsiTheme="minorEastAsia" w:eastAsiaTheme="minorEastAsia"/>
          <w:color w:val="0C0C0C" w:themeColor="text1" w:themeTint="F2"/>
          <w:sz w:val="24"/>
          <w:szCs w:val="24"/>
        </w:rPr>
        <w:t>向他人贷款或者提供担保；</w:t>
      </w:r>
    </w:p>
    <w:p w14:paraId="49A0CFE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（3）从事承担无限责任的投资；</w:t>
      </w:r>
    </w:p>
    <w:p w14:paraId="346EDF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（4）买卖其他基金份额，但是</w:t>
      </w:r>
      <w:r>
        <w:rPr>
          <w:rFonts w:hint="eastAsia" w:asciiTheme="minorEastAsia" w:hAnsiTheme="minorEastAsia" w:eastAsiaTheme="minorEastAsia"/>
          <w:color w:val="0C0C0C" w:themeColor="text1" w:themeTint="F2"/>
          <w:sz w:val="24"/>
          <w:szCs w:val="24"/>
        </w:rPr>
        <w:t>中国证监会</w:t>
      </w:r>
      <w:r>
        <w:rPr>
          <w:rFonts w:asciiTheme="minorEastAsia" w:hAnsiTheme="minorEastAsia" w:eastAsiaTheme="minorEastAsia"/>
          <w:color w:val="0C0C0C" w:themeColor="text1" w:themeTint="F2"/>
          <w:sz w:val="24"/>
          <w:szCs w:val="24"/>
        </w:rPr>
        <w:t>另有规定的除外；</w:t>
      </w:r>
    </w:p>
    <w:p w14:paraId="7CD651E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（5）向</w:t>
      </w:r>
      <w:r>
        <w:rPr>
          <w:rFonts w:hint="eastAsia" w:asciiTheme="minorEastAsia" w:hAnsiTheme="minorEastAsia" w:eastAsiaTheme="minorEastAsia"/>
          <w:color w:val="0C0C0C" w:themeColor="text1" w:themeTint="F2"/>
          <w:sz w:val="24"/>
          <w:szCs w:val="24"/>
        </w:rPr>
        <w:t>其基金管理人、基金托管人</w:t>
      </w:r>
      <w:r>
        <w:rPr>
          <w:rFonts w:asciiTheme="minorEastAsia" w:hAnsiTheme="minorEastAsia" w:eastAsiaTheme="minorEastAsia"/>
          <w:color w:val="0C0C0C" w:themeColor="text1" w:themeTint="F2"/>
          <w:sz w:val="24"/>
          <w:szCs w:val="24"/>
        </w:rPr>
        <w:t>出资</w:t>
      </w:r>
      <w:r>
        <w:rPr>
          <w:rFonts w:hint="eastAsia" w:asciiTheme="minorEastAsia" w:hAnsiTheme="minorEastAsia" w:eastAsiaTheme="minorEastAsia"/>
          <w:color w:val="0C0C0C" w:themeColor="text1" w:themeTint="F2"/>
          <w:sz w:val="24"/>
          <w:szCs w:val="24"/>
        </w:rPr>
        <w:t>；</w:t>
      </w:r>
    </w:p>
    <w:p w14:paraId="35A6ACC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6）从事内幕交易、操纵证券交易价格及其他不正当的证券交易活动；</w:t>
      </w:r>
    </w:p>
    <w:p w14:paraId="184BE99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法律、行政法规和中国证监会规定禁止的其他活动。</w:t>
      </w:r>
    </w:p>
    <w:p w14:paraId="4C34594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C5FDF6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308" w:name="_Hlk181707531"/>
      <w:r>
        <w:rPr>
          <w:rFonts w:asciiTheme="minorEastAsia" w:hAnsiTheme="minorEastAsia" w:eastAsiaTheme="minorEastAsia"/>
          <w:color w:val="0C0C0C" w:themeColor="text1" w:themeTint="F2"/>
          <w:sz w:val="24"/>
          <w:szCs w:val="24"/>
        </w:rPr>
        <w:t>法律</w:t>
      </w:r>
      <w:r>
        <w:rPr>
          <w:rFonts w:hint="eastAsia" w:asciiTheme="minorEastAsia" w:hAnsiTheme="minorEastAsia" w:eastAsiaTheme="minorEastAsia"/>
          <w:color w:val="0C0C0C" w:themeColor="text1" w:themeTint="F2"/>
          <w:sz w:val="24"/>
          <w:szCs w:val="24"/>
        </w:rPr>
        <w:t>、行政</w:t>
      </w:r>
      <w:r>
        <w:rPr>
          <w:rFonts w:asciiTheme="minorEastAsia" w:hAnsiTheme="minorEastAsia" w:eastAsiaTheme="minorEastAsia"/>
          <w:color w:val="0C0C0C" w:themeColor="text1" w:themeTint="F2"/>
          <w:sz w:val="24"/>
          <w:szCs w:val="24"/>
        </w:rPr>
        <w:t>法规或监管部门取消</w:t>
      </w:r>
      <w:r>
        <w:rPr>
          <w:rFonts w:hint="eastAsia" w:asciiTheme="minorEastAsia" w:hAnsiTheme="minorEastAsia" w:eastAsiaTheme="minorEastAsia"/>
          <w:color w:val="0C0C0C" w:themeColor="text1" w:themeTint="F2"/>
          <w:sz w:val="24"/>
          <w:szCs w:val="24"/>
        </w:rPr>
        <w:t>或调整</w:t>
      </w:r>
      <w:r>
        <w:rPr>
          <w:rFonts w:asciiTheme="minorEastAsia" w:hAnsiTheme="minorEastAsia" w:eastAsiaTheme="minorEastAsia"/>
          <w:color w:val="0C0C0C" w:themeColor="text1" w:themeTint="F2"/>
          <w:sz w:val="24"/>
          <w:szCs w:val="24"/>
        </w:rPr>
        <w:t>上述限制，如适用于本基金，</w:t>
      </w:r>
      <w:r>
        <w:rPr>
          <w:rFonts w:hint="eastAsia" w:asciiTheme="minorEastAsia" w:hAnsiTheme="minorEastAsia" w:eastAsiaTheme="minorEastAsia"/>
          <w:color w:val="0C0C0C" w:themeColor="text1" w:themeTint="F2"/>
          <w:sz w:val="24"/>
          <w:szCs w:val="24"/>
        </w:rPr>
        <w:t>基金管理人在履行适当程序后，</w:t>
      </w:r>
      <w:r>
        <w:rPr>
          <w:rFonts w:asciiTheme="minorEastAsia" w:hAnsiTheme="minorEastAsia" w:eastAsiaTheme="minorEastAsia"/>
          <w:color w:val="0C0C0C" w:themeColor="text1" w:themeTint="F2"/>
          <w:sz w:val="24"/>
          <w:szCs w:val="24"/>
        </w:rPr>
        <w:t>则本基金投资不再受相关限制</w:t>
      </w:r>
      <w:r>
        <w:rPr>
          <w:rFonts w:hint="eastAsia" w:asciiTheme="minorEastAsia" w:hAnsiTheme="minorEastAsia" w:eastAsiaTheme="minorEastAsia"/>
          <w:color w:val="0C0C0C" w:themeColor="text1" w:themeTint="F2"/>
          <w:sz w:val="24"/>
          <w:szCs w:val="24"/>
        </w:rPr>
        <w:t>或按照调整后的规定执行</w:t>
      </w:r>
      <w:r>
        <w:rPr>
          <w:rFonts w:asciiTheme="minorEastAsia" w:hAnsiTheme="minorEastAsia" w:eastAsiaTheme="minorEastAsia"/>
          <w:color w:val="0C0C0C" w:themeColor="text1" w:themeTint="F2"/>
          <w:sz w:val="24"/>
          <w:szCs w:val="24"/>
        </w:rPr>
        <w:t>。</w:t>
      </w:r>
    </w:p>
    <w:bookmarkEnd w:id="308"/>
    <w:p w14:paraId="03BEA3F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五、标的指数与业绩比较基准</w:t>
      </w:r>
    </w:p>
    <w:p w14:paraId="18921C9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本基金的标的指数：国证大盘成长指数。</w:t>
      </w:r>
    </w:p>
    <w:p w14:paraId="1778B0D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本基金的业绩比较基准为标的指数收益率，即国证大盘成长指数收益率。</w:t>
      </w:r>
    </w:p>
    <w:p w14:paraId="3E36E73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w:t>
      </w:r>
      <w:bookmarkStart w:id="309" w:name="OLE_LINK1"/>
      <w:r>
        <w:rPr>
          <w:rFonts w:hint="eastAsia" w:asciiTheme="minorEastAsia" w:hAnsiTheme="minorEastAsia" w:eastAsiaTheme="minorEastAsia"/>
          <w:color w:val="0C0C0C" w:themeColor="text1" w:themeTint="F2"/>
          <w:sz w:val="24"/>
          <w:szCs w:val="24"/>
        </w:rPr>
        <w:t>更换基金标的指数</w:t>
      </w:r>
      <w:bookmarkEnd w:id="309"/>
      <w:r>
        <w:rPr>
          <w:rFonts w:hint="eastAsia" w:asciiTheme="minorEastAsia" w:hAnsiTheme="minorEastAsia" w:eastAsiaTheme="minorEastAsia"/>
          <w:color w:val="0C0C0C" w:themeColor="text1" w:themeTint="F2"/>
          <w:sz w:val="24"/>
          <w:szCs w:val="24"/>
        </w:rPr>
        <w:t>、转换运作方式、与其他基金合并或者终止基金合同等，并在6个月内召集基金份额持有人大会进行表决。</w:t>
      </w:r>
    </w:p>
    <w:p w14:paraId="06828B6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14:paraId="758188E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若标的指数、业绩比较基准变更对基金投资无实质性影响（包括但不限于编制机构变更、指数更名等），则无需召开基金份额持有人大会，可经基金管理人和基金托管人协商一致后变更标的指数、基金名称和业绩比较基准，并及时公告。</w:t>
      </w:r>
    </w:p>
    <w:p w14:paraId="36E83C4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六、风险收益特征</w:t>
      </w:r>
    </w:p>
    <w:p w14:paraId="414A81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310" w:name="_Toc92662704"/>
      <w:bookmarkStart w:id="311" w:name="_Toc93226145"/>
      <w:bookmarkStart w:id="312" w:name="_Toc3054"/>
      <w:bookmarkStart w:id="313" w:name="_Toc29561"/>
      <w:bookmarkStart w:id="314" w:name="_Toc26114"/>
      <w:bookmarkStart w:id="315" w:name="_Toc128310496"/>
      <w:bookmarkStart w:id="316" w:name="_Toc139991743"/>
      <w:bookmarkStart w:id="317" w:name="_Toc18000"/>
      <w:bookmarkStart w:id="318" w:name="_Toc32030"/>
      <w:bookmarkStart w:id="319" w:name="_Toc13819"/>
      <w:bookmarkStart w:id="320" w:name="_Toc20102"/>
      <w:bookmarkStart w:id="321" w:name="_Toc20782"/>
      <w:bookmarkStart w:id="322" w:name="_Toc141703893"/>
      <w:bookmarkStart w:id="323" w:name="_Toc24474"/>
      <w:bookmarkStart w:id="324" w:name="_Toc21642"/>
      <w:bookmarkStart w:id="325" w:name="_Toc31611"/>
      <w:r>
        <w:rPr>
          <w:rFonts w:asciiTheme="minorEastAsia" w:hAnsiTheme="minorEastAsia" w:eastAsiaTheme="minorEastAsia"/>
          <w:color w:val="0C0C0C" w:themeColor="text1" w:themeTint="F2"/>
          <w:sz w:val="24"/>
          <w:szCs w:val="24"/>
        </w:rPr>
        <w:t>本基金属于股票型基金，其预期收益及</w:t>
      </w:r>
      <w:r>
        <w:rPr>
          <w:rFonts w:hint="eastAsia" w:asciiTheme="minorEastAsia" w:hAnsiTheme="minorEastAsia" w:eastAsiaTheme="minorEastAsia"/>
          <w:color w:val="0C0C0C" w:themeColor="text1" w:themeTint="F2"/>
          <w:sz w:val="24"/>
          <w:szCs w:val="24"/>
        </w:rPr>
        <w:t>预期</w:t>
      </w:r>
      <w:r>
        <w:rPr>
          <w:rFonts w:asciiTheme="minorEastAsia" w:hAnsiTheme="minorEastAsia" w:eastAsiaTheme="minorEastAsia"/>
          <w:color w:val="0C0C0C" w:themeColor="text1" w:themeTint="F2"/>
          <w:sz w:val="24"/>
          <w:szCs w:val="24"/>
        </w:rPr>
        <w:t>风险水平高于混合</w:t>
      </w:r>
      <w:r>
        <w:rPr>
          <w:rFonts w:hint="eastAsia" w:asciiTheme="minorEastAsia" w:hAnsiTheme="minorEastAsia" w:eastAsiaTheme="minorEastAsia"/>
          <w:color w:val="0C0C0C" w:themeColor="text1" w:themeTint="F2"/>
          <w:sz w:val="24"/>
          <w:szCs w:val="24"/>
        </w:rPr>
        <w:t>型</w:t>
      </w:r>
      <w:r>
        <w:rPr>
          <w:rFonts w:asciiTheme="minorEastAsia" w:hAnsiTheme="minorEastAsia" w:eastAsiaTheme="minorEastAsia"/>
          <w:color w:val="0C0C0C" w:themeColor="text1" w:themeTint="F2"/>
          <w:sz w:val="24"/>
          <w:szCs w:val="24"/>
        </w:rPr>
        <w:t>基金、债券</w:t>
      </w:r>
      <w:r>
        <w:rPr>
          <w:rFonts w:hint="eastAsia" w:asciiTheme="minorEastAsia" w:hAnsiTheme="minorEastAsia" w:eastAsiaTheme="minorEastAsia"/>
          <w:color w:val="0C0C0C" w:themeColor="text1" w:themeTint="F2"/>
          <w:sz w:val="24"/>
          <w:szCs w:val="24"/>
        </w:rPr>
        <w:t>型</w:t>
      </w:r>
      <w:r>
        <w:rPr>
          <w:rFonts w:asciiTheme="minorEastAsia" w:hAnsiTheme="minorEastAsia" w:eastAsiaTheme="minorEastAsia"/>
          <w:color w:val="0C0C0C" w:themeColor="text1" w:themeTint="F2"/>
          <w:sz w:val="24"/>
          <w:szCs w:val="24"/>
        </w:rPr>
        <w:t>基金与货币市场基金。</w:t>
      </w:r>
    </w:p>
    <w:p w14:paraId="1543DC9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本基金为被动式投资的股票型指数基金，跟踪</w:t>
      </w:r>
      <w:r>
        <w:rPr>
          <w:rFonts w:hint="eastAsia" w:asciiTheme="minorEastAsia" w:hAnsiTheme="minorEastAsia" w:eastAsiaTheme="minorEastAsia"/>
          <w:color w:val="0C0C0C" w:themeColor="text1" w:themeTint="F2"/>
          <w:sz w:val="24"/>
          <w:szCs w:val="24"/>
        </w:rPr>
        <w:t>国证大盘成长指数</w:t>
      </w:r>
      <w:r>
        <w:rPr>
          <w:rFonts w:asciiTheme="minorEastAsia" w:hAnsiTheme="minorEastAsia" w:eastAsiaTheme="minorEastAsia"/>
          <w:color w:val="0C0C0C" w:themeColor="text1" w:themeTint="F2"/>
          <w:sz w:val="24"/>
          <w:szCs w:val="24"/>
        </w:rPr>
        <w:t>，其风险收益特征与标的指数所表征的市场组合的风险收益特征相似。</w:t>
      </w:r>
    </w:p>
    <w:p w14:paraId="6DC1BFC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七、基金管理人代表基金行使股东或债权人权利的处理原则及方法</w:t>
      </w:r>
    </w:p>
    <w:p w14:paraId="226FA6E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 xml:space="preserve">1、基金管理人按照国家有关规定代表基金独立行使股东或债权人权利，保护基金份额持有人的利益； </w:t>
      </w:r>
    </w:p>
    <w:p w14:paraId="3EC9A84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 xml:space="preserve">2、不谋求对上市公司的控股； </w:t>
      </w:r>
    </w:p>
    <w:p w14:paraId="4ED617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 xml:space="preserve">3、有利于基金财产的安全与增值； </w:t>
      </w:r>
    </w:p>
    <w:p w14:paraId="0BA1D19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4、不通过关联交易为自身、雇员、授权代理人或任何存在利害关系的第三人牟取任何不当利益。</w:t>
      </w:r>
    </w:p>
    <w:p w14:paraId="4C128B81">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326" w:name="_Hlt70058259"/>
      <w:bookmarkEnd w:id="326"/>
    </w:p>
    <w:p w14:paraId="5B81BAEE">
      <w:pPr>
        <w:pStyle w:val="2"/>
        <w:rPr>
          <w:szCs w:val="24"/>
        </w:rPr>
        <w:sectPr>
          <w:footerReference r:id="rId23" w:type="default"/>
          <w:pgSz w:w="11906" w:h="16838"/>
          <w:pgMar w:top="1440" w:right="1800" w:bottom="1440" w:left="1800" w:header="851" w:footer="992" w:gutter="0"/>
          <w:pgNumType w:start="1"/>
          <w:cols w:space="425" w:num="1"/>
          <w:docGrid w:type="lines" w:linePitch="312" w:charSpace="0"/>
        </w:sectPr>
      </w:pPr>
      <w:bookmarkStart w:id="327" w:name="_Toc90742697"/>
      <w:bookmarkStart w:id="328" w:name="_Toc90742330"/>
      <w:bookmarkStart w:id="329" w:name="_Toc90742399"/>
    </w:p>
    <w:bookmarkEnd w:id="305"/>
    <w:p w14:paraId="5FF29369">
      <w:pPr>
        <w:pStyle w:val="2"/>
        <w:rPr>
          <w:szCs w:val="24"/>
        </w:rPr>
      </w:pPr>
      <w:bookmarkStart w:id="330" w:name="CTS_cdb3939cfcec4330a25cfcb4ecc653e8"/>
      <w:bookmarkEnd w:id="330"/>
      <w:bookmarkStart w:id="331" w:name="_Toc86655089"/>
      <w:bookmarkStart w:id="332" w:name="CLAUSE_cdb3939cfcec4330a25cfcb4ecc653e8"/>
      <w:r>
        <w:rPr>
          <w:rFonts w:hint="eastAsia" w:cs="Arial"/>
          <w:szCs w:val="24"/>
        </w:rPr>
        <w:t xml:space="preserve">第十五部分 </w:t>
      </w:r>
      <w:r>
        <w:rPr>
          <w:szCs w:val="24"/>
        </w:rPr>
        <w:t>基金</w:t>
      </w:r>
      <w:bookmarkEnd w:id="310"/>
      <w:bookmarkEnd w:id="311"/>
      <w:r>
        <w:rPr>
          <w:szCs w:val="24"/>
        </w:rPr>
        <w:t>的财产</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7"/>
      <w:bookmarkEnd w:id="328"/>
      <w:bookmarkEnd w:id="329"/>
      <w:bookmarkEnd w:id="331"/>
    </w:p>
    <w:p w14:paraId="2725E373">
      <w:pPr>
        <w:spacing w:line="360" w:lineRule="auto"/>
        <w:ind w:firstLine="480" w:firstLineChars="200"/>
        <w:rPr>
          <w:rFonts w:asciiTheme="minorEastAsia" w:hAnsiTheme="minorEastAsia" w:eastAsiaTheme="minorEastAsia"/>
          <w:bCs/>
          <w:sz w:val="24"/>
          <w:szCs w:val="24"/>
        </w:rPr>
      </w:pPr>
    </w:p>
    <w:p w14:paraId="01D9499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一、基金资产总值</w:t>
      </w:r>
    </w:p>
    <w:p w14:paraId="7C6BDF9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基金资产总值是指基金拥有的各类有价证券、银行存款本息、基金应收款项及其他资产的价值总和。</w:t>
      </w:r>
    </w:p>
    <w:p w14:paraId="345FC06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二、基金资产净值</w:t>
      </w:r>
    </w:p>
    <w:p w14:paraId="493695D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基金资产净值是指基金资产总值减去基金负债后的价值。</w:t>
      </w:r>
    </w:p>
    <w:p w14:paraId="55F6585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三、基金财产的账户</w:t>
      </w:r>
    </w:p>
    <w:p w14:paraId="0F0BCE6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33" w:name="_Hlt88841837"/>
      <w:bookmarkEnd w:id="333"/>
    </w:p>
    <w:p w14:paraId="27EDD19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四、基金财产的保管和处分</w:t>
      </w:r>
      <w:bookmarkStart w:id="334" w:name="_Hlt88900062"/>
      <w:bookmarkEnd w:id="334"/>
    </w:p>
    <w:p w14:paraId="2FE166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C4E86E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20E00169">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335" w:name="_Hlt70506067"/>
      <w:bookmarkEnd w:id="335"/>
      <w:bookmarkStart w:id="336" w:name="_Hlt70482237"/>
      <w:bookmarkEnd w:id="336"/>
      <w:bookmarkStart w:id="337" w:name="_Toc7802"/>
      <w:bookmarkStart w:id="338" w:name="_Toc31917"/>
      <w:bookmarkStart w:id="339" w:name="_Toc19714"/>
      <w:bookmarkStart w:id="340" w:name="_Toc871"/>
      <w:bookmarkStart w:id="341" w:name="_Toc17782"/>
      <w:bookmarkStart w:id="342" w:name="_Toc27832"/>
      <w:bookmarkStart w:id="343" w:name="_Toc2623"/>
      <w:bookmarkStart w:id="344" w:name="_Toc139991744"/>
      <w:bookmarkStart w:id="345" w:name="_Toc141703894"/>
    </w:p>
    <w:p w14:paraId="35AD06E4">
      <w:pPr>
        <w:pStyle w:val="2"/>
        <w:rPr>
          <w:szCs w:val="24"/>
        </w:rPr>
        <w:sectPr>
          <w:footerReference r:id="rId24" w:type="default"/>
          <w:pgSz w:w="11906" w:h="16838"/>
          <w:pgMar w:top="1440" w:right="1800" w:bottom="1440" w:left="1800" w:header="851" w:footer="992" w:gutter="0"/>
          <w:pgNumType w:start="1"/>
          <w:cols w:space="425" w:num="1"/>
          <w:docGrid w:type="lines" w:linePitch="312" w:charSpace="0"/>
        </w:sectPr>
      </w:pPr>
      <w:bookmarkStart w:id="346" w:name="_Toc90742400"/>
      <w:bookmarkStart w:id="347" w:name="_Toc90742698"/>
      <w:bookmarkStart w:id="348" w:name="_Toc90742331"/>
    </w:p>
    <w:bookmarkEnd w:id="332"/>
    <w:p w14:paraId="5E230B27">
      <w:pPr>
        <w:pStyle w:val="2"/>
        <w:rPr>
          <w:szCs w:val="24"/>
        </w:rPr>
      </w:pPr>
      <w:bookmarkStart w:id="349" w:name="CTS_61fe40d983b44dbaab7c97b19094c415"/>
      <w:bookmarkEnd w:id="349"/>
      <w:bookmarkStart w:id="350" w:name="_Toc86655090"/>
      <w:bookmarkStart w:id="351" w:name="CLAUSE_61fe40d983b44dbaab7c97b19094c415"/>
      <w:r>
        <w:rPr>
          <w:rFonts w:hint="eastAsia" w:cs="Arial"/>
          <w:szCs w:val="24"/>
        </w:rPr>
        <w:t xml:space="preserve">第十六部分 </w:t>
      </w:r>
      <w:r>
        <w:rPr>
          <w:szCs w:val="24"/>
        </w:rPr>
        <w:t>基金资产估值</w:t>
      </w:r>
      <w:bookmarkEnd w:id="337"/>
      <w:bookmarkEnd w:id="338"/>
      <w:bookmarkEnd w:id="339"/>
      <w:bookmarkEnd w:id="340"/>
      <w:bookmarkEnd w:id="341"/>
      <w:bookmarkEnd w:id="342"/>
      <w:bookmarkEnd w:id="343"/>
      <w:bookmarkEnd w:id="346"/>
      <w:bookmarkEnd w:id="347"/>
      <w:bookmarkEnd w:id="348"/>
      <w:bookmarkEnd w:id="350"/>
    </w:p>
    <w:bookmarkEnd w:id="344"/>
    <w:bookmarkEnd w:id="345"/>
    <w:p w14:paraId="69F420CB">
      <w:pPr>
        <w:spacing w:line="360" w:lineRule="auto"/>
        <w:ind w:firstLine="480" w:firstLineChars="200"/>
        <w:rPr>
          <w:rFonts w:asciiTheme="minorEastAsia" w:hAnsiTheme="minorEastAsia" w:eastAsiaTheme="minorEastAsia"/>
          <w:bCs/>
          <w:sz w:val="24"/>
          <w:szCs w:val="24"/>
        </w:rPr>
      </w:pPr>
      <w:bookmarkStart w:id="352" w:name="_Toc139991745"/>
      <w:bookmarkStart w:id="353" w:name="_Toc141703895"/>
      <w:bookmarkStart w:id="354" w:name="_Toc32046"/>
    </w:p>
    <w:p w14:paraId="2C5697F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一、估值日</w:t>
      </w:r>
    </w:p>
    <w:p w14:paraId="1174778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本基金的估值日为本基金相关的证券、期货交易场所的交易日以及国家法律法规规定需要对外披露基金净值的非交易日。</w:t>
      </w:r>
    </w:p>
    <w:p w14:paraId="796ECDD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二、估值对象</w:t>
      </w:r>
    </w:p>
    <w:p w14:paraId="6EEB826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基金所拥有的股票（含存托凭证）、债券、股指期货合约、国债期货合约、股票期权合约和银行存款本息、应收款项、资产支持证券、其它投资等资产及负债。</w:t>
      </w:r>
    </w:p>
    <w:p w14:paraId="6833F58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三、估值原则</w:t>
      </w:r>
    </w:p>
    <w:p w14:paraId="1CC7CBA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基金管理人在确定相关金融资产和金融负债的公允价值时，应符合《企业会计准则》、监管部门有关规定。</w:t>
      </w:r>
    </w:p>
    <w:p w14:paraId="7E3F8E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16480E8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C6F0B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20B5CB1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四、估值方法</w:t>
      </w:r>
    </w:p>
    <w:p w14:paraId="791C09B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879319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2、对于已上市或已挂牌转让的不含权固定收益品种，选取估值日第三方估值基准服务机构提供的相应品种当日的估值全价进行估值。</w:t>
      </w:r>
    </w:p>
    <w:p w14:paraId="0C0CD22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3、对于已上市或已挂牌转让的含权固定收益品种，选取估值日第三方估值基准服务机构提供的相应品种当日的唯一估值全价或推荐估值全价进行估值。</w:t>
      </w:r>
    </w:p>
    <w:p w14:paraId="2C3F189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018E665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6E62A16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5、对于未上市或未挂牌转让且不存在活跃市场的固定收益品种，应采用在当前情况下适用并且有足够可利用数据和其他信息支持的估值技术确定其公允价值。</w:t>
      </w:r>
    </w:p>
    <w:p w14:paraId="5335D29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、处于未上市期间的股票应区分如下情况处理：</w:t>
      </w:r>
    </w:p>
    <w:p w14:paraId="3141B2E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（1）送股、转增股、配股和公开增发的新股，按估值日在证券交易所挂牌的同一股票的估值方法估值；该日无交易的，以最近一日的市价（收盘价）估值；</w:t>
      </w:r>
    </w:p>
    <w:p w14:paraId="219BF75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）首次公开发行未上市的股票，采用估值技术确定公允价值，在估值技术难以可靠计量公允价值的情况下，按成本估值；</w:t>
      </w:r>
    </w:p>
    <w:p w14:paraId="328C2F9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112ACD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7</w:t>
      </w:r>
      <w:r>
        <w:rPr>
          <w:rFonts w:hint="eastAsia" w:cs="宋体" w:asciiTheme="minorEastAsia" w:hAnsiTheme="minorEastAsia"/>
          <w:kern w:val="0"/>
          <w:sz w:val="24"/>
          <w:szCs w:val="24"/>
        </w:rPr>
        <w:t>、本基金投资存托凭证的估值核算，依照境内上市交易的股票执行。</w:t>
      </w:r>
    </w:p>
    <w:p w14:paraId="2EB012E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、同一证券同时在两个或两个以上市场交易的，按证券所处的市场分别估值。</w:t>
      </w:r>
    </w:p>
    <w:p w14:paraId="2D67CAB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、本基金投资股指期货、</w:t>
      </w:r>
      <w:r>
        <w:rPr>
          <w:rFonts w:hint="eastAsia" w:cs="宋体" w:asciiTheme="minorEastAsia" w:hAnsiTheme="minorEastAsia"/>
          <w:kern w:val="0"/>
          <w:sz w:val="24"/>
          <w:szCs w:val="24"/>
        </w:rPr>
        <w:t>国债期货</w:t>
      </w:r>
      <w:r>
        <w:rPr>
          <w:rFonts w:hint="eastAsia" w:asciiTheme="minorEastAsia" w:hAnsiTheme="minorEastAsia" w:eastAsiaTheme="minorEastAsia"/>
          <w:color w:val="0C0C0C" w:themeColor="text1" w:themeTint="F2"/>
          <w:sz w:val="24"/>
          <w:szCs w:val="24"/>
        </w:rPr>
        <w:t>合约，一般以估值当日结算价确定公允价值，估值当日无结算价的，且最近交易日后未发生影响公允价值计量的重大事件的，采用最近交易日结算价估值。</w:t>
      </w:r>
    </w:p>
    <w:p w14:paraId="4A88772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、本基金投资股票期权，根据相关法律法规以及监管部门的规定估值。</w:t>
      </w:r>
    </w:p>
    <w:p w14:paraId="0B631F1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、本基金参与融资及转融通证券出借业务的，应参照法律法规及行业协会的相关规定进行估值。</w:t>
      </w:r>
    </w:p>
    <w:p w14:paraId="7805907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、如有确凿证据表明按上述方法进行估值不能客观反映其公允价值的，基金管理人可根据具体情况与基金托管人商定后，按最能反映公允价值的方法估值。</w:t>
      </w:r>
    </w:p>
    <w:p w14:paraId="39EA181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、相关法律法规以及监管部门有强制规定的，从其规定。如有新增事项，按国家最新规定估值。</w:t>
      </w:r>
    </w:p>
    <w:p w14:paraId="0FE4178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60187A5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BF9D4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五、估值程序</w:t>
      </w:r>
    </w:p>
    <w:p w14:paraId="16DA7E6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475BDE8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基金管理人于每个工作日计算基金资产净值及基金份额净值，并按规定公告。</w:t>
      </w:r>
    </w:p>
    <w:p w14:paraId="65298D3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按约定对外公布。</w:t>
      </w:r>
    </w:p>
    <w:p w14:paraId="0360B9B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六、估值错误的处理</w:t>
      </w:r>
    </w:p>
    <w:p w14:paraId="09776AE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基金管理人和基金托管人将采取必要、适当、合理的措施确保基金资产估值的准确性、及时性。当基金份额净值小数点后4位以内</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含第4位</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发生估值错误时，视为基金份额净值错误。</w:t>
      </w:r>
    </w:p>
    <w:p w14:paraId="30FB07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本基金合同的当事人应按照以下约定处理：</w:t>
      </w:r>
    </w:p>
    <w:p w14:paraId="73C02AD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、估值错误类型</w:t>
      </w:r>
    </w:p>
    <w:p w14:paraId="430634A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受损方</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的直接损失按下述</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估值错误处理原则</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给予赔偿，承担赔偿责任。</w:t>
      </w:r>
    </w:p>
    <w:p w14:paraId="7943C5D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上述估值错误的主要类型包括但不限于：资料申报差错、数据传输差错、数据计算差错、系统故障差错、下达指令差错等。</w:t>
      </w:r>
    </w:p>
    <w:p w14:paraId="2C1EEED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、估值错误处理原则</w:t>
      </w:r>
    </w:p>
    <w:p w14:paraId="36D6190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86A4AA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）估值错误的责任方对有关当事人的直接损失负责，不对间接损失负责，并且仅对估值错误的有关直接当事人负责，不对第三方负责。</w:t>
      </w:r>
    </w:p>
    <w:p w14:paraId="4AFCBF9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受损方</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B4042D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）估值错误调整采用尽量恢复至假设未发生估值错误的正确情形的方式。</w:t>
      </w:r>
    </w:p>
    <w:p w14:paraId="165B7B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、估值错误处理程序</w:t>
      </w:r>
    </w:p>
    <w:p w14:paraId="00D08D0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估值错误被发现后，有关的当事人应当及时进行处理，处理的程序如下：</w:t>
      </w:r>
    </w:p>
    <w:p w14:paraId="7D7E468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）查明估值错误发生的原因，列明所有的当事人，并根据估值错误发生的原因确定估值错误的责任方；</w:t>
      </w:r>
    </w:p>
    <w:p w14:paraId="1E95A3B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）根据估值错误处理原则或当事人协商的方法对因估值错误造成的损失进行评估；</w:t>
      </w:r>
    </w:p>
    <w:p w14:paraId="43FE2D8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）根据估值错误处理原则或当事人协商的方法由估值错误的责任方进行更正和赔偿损失；</w:t>
      </w:r>
    </w:p>
    <w:p w14:paraId="5426E1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）根据估值错误处理的方法，需要修改基金登记机构交易数据的，由基金登记机构进行更正，并就估值错误的更正向有关当事人进行确认。</w:t>
      </w:r>
    </w:p>
    <w:p w14:paraId="560C58C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、基金份额净值估值错误处理的方法如下：</w:t>
      </w:r>
    </w:p>
    <w:p w14:paraId="04FD22F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（1）基金份额净值计算出现错误时，基金管理人应当立即予以纠正，通报基金托管人，并采取合理的措施防止损失进一步扩大。</w:t>
      </w:r>
    </w:p>
    <w:p w14:paraId="5E76367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（2）错误偏差达到基金份额净值的0.25%时，基金管理人应当通报基金托管人并报中国证监会备案；错误偏差达到基金份额净值的0.5%时，基金管理人应当公告，并报中国证监会备案。</w:t>
      </w:r>
    </w:p>
    <w:p w14:paraId="146B5F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（3）前述内容如法律法规或者监管部门另有规定的，从其规定。如果行业另有通行做法，基金管理人和基金托管人应本着平等和保护基金份额持有人利益的原则进行协商。</w:t>
      </w:r>
    </w:p>
    <w:p w14:paraId="2B36F83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七、暂停估值的情形</w:t>
      </w:r>
    </w:p>
    <w:p w14:paraId="0F3C6AB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、基金投资所涉及的证券/期货交易市场遇法定节假日或因其他原因暂停营业时；</w:t>
      </w:r>
    </w:p>
    <w:p w14:paraId="3DD635A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、因不可抗力</w:t>
      </w:r>
      <w:bookmarkStart w:id="355" w:name="_Hlk181716102"/>
      <w:r>
        <w:rPr>
          <w:rFonts w:hint="eastAsia" w:asciiTheme="minorEastAsia" w:hAnsiTheme="minorEastAsia" w:eastAsiaTheme="minorEastAsia"/>
          <w:color w:val="0C0C0C" w:themeColor="text1" w:themeTint="F2"/>
          <w:sz w:val="24"/>
          <w:szCs w:val="24"/>
        </w:rPr>
        <w:t>或者其他情形</w:t>
      </w:r>
      <w:bookmarkEnd w:id="355"/>
      <w:r>
        <w:rPr>
          <w:rFonts w:hint="eastAsia" w:asciiTheme="minorEastAsia" w:hAnsiTheme="minorEastAsia" w:eastAsiaTheme="minorEastAsia"/>
          <w:color w:val="0C0C0C" w:themeColor="text1" w:themeTint="F2"/>
          <w:sz w:val="24"/>
          <w:szCs w:val="24"/>
        </w:rPr>
        <w:t>致使基金管理人、基金托管人无法准确评估基金资产价值时；</w:t>
      </w:r>
    </w:p>
    <w:p w14:paraId="70C5B4F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、当前一估值日基金资产净值</w:t>
      </w:r>
      <w:r>
        <w:rPr>
          <w:rFonts w:asciiTheme="minorEastAsia" w:hAnsiTheme="minorEastAsia" w:eastAsiaTheme="minorEastAsia"/>
          <w:color w:val="0C0C0C" w:themeColor="text1" w:themeTint="F2"/>
          <w:sz w:val="24"/>
          <w:szCs w:val="24"/>
        </w:rPr>
        <w:t>50%</w:t>
      </w:r>
      <w:r>
        <w:rPr>
          <w:rFonts w:hint="eastAsia" w:asciiTheme="minorEastAsia" w:hAnsiTheme="minorEastAsia" w:eastAsiaTheme="minorEastAsia"/>
          <w:color w:val="0C0C0C" w:themeColor="text1" w:themeTint="F2"/>
          <w:sz w:val="24"/>
          <w:szCs w:val="24"/>
        </w:rPr>
        <w:t>以上的资产出现无可参考的活跃市场价格且采用估值技术仍导致公允价值存在重大不确定性时，经与基金托管人协商确认后，基金管理人应当暂停估值；</w:t>
      </w:r>
    </w:p>
    <w:p w14:paraId="708C22F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、法律法规、中国证监会和基金合同认定的其它情形。</w:t>
      </w:r>
    </w:p>
    <w:p w14:paraId="6F04DAA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八、基金净值的确认</w:t>
      </w:r>
    </w:p>
    <w:p w14:paraId="244E7D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w:t>
      </w:r>
    </w:p>
    <w:p w14:paraId="467AFFA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bookmarkStart w:id="356" w:name="_Toc32227"/>
      <w:bookmarkStart w:id="357" w:name="_Toc15779"/>
      <w:bookmarkStart w:id="358" w:name="_Toc24601"/>
      <w:bookmarkStart w:id="359" w:name="_Toc19752"/>
      <w:bookmarkStart w:id="360" w:name="_Toc32041"/>
      <w:bookmarkStart w:id="361" w:name="_Toc6493"/>
      <w:bookmarkStart w:id="362" w:name="_Toc19706"/>
      <w:bookmarkStart w:id="363" w:name="_Toc13987"/>
      <w:bookmarkStart w:id="364" w:name="_Toc12105"/>
      <w:bookmarkStart w:id="365" w:name="_Toc3365"/>
      <w:r>
        <w:rPr>
          <w:rFonts w:hint="eastAsia" w:asciiTheme="minorEastAsia" w:hAnsiTheme="minorEastAsia" w:eastAsiaTheme="minorEastAsia"/>
          <w:color w:val="0C0C0C" w:themeColor="text1" w:themeTint="F2"/>
          <w:sz w:val="24"/>
          <w:szCs w:val="24"/>
        </w:rPr>
        <w:t>九、特殊情况的处理</w:t>
      </w:r>
    </w:p>
    <w:p w14:paraId="617EEF4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1、基金管理人或基金托管人按估值方法的第12项进行估值时，所造成的误差不作为基金资产估值错误处理。</w:t>
      </w:r>
    </w:p>
    <w:p w14:paraId="3983106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由于不可抗力原因，或证券/期货交易所、指数编制机构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16067CA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p>
    <w:p w14:paraId="2518C4EC">
      <w:pPr>
        <w:pStyle w:val="2"/>
        <w:rPr>
          <w:szCs w:val="24"/>
        </w:rPr>
        <w:sectPr>
          <w:footerReference r:id="rId25" w:type="default"/>
          <w:pgSz w:w="11906" w:h="16838"/>
          <w:pgMar w:top="1440" w:right="1800" w:bottom="1440" w:left="1800" w:header="851" w:footer="992" w:gutter="0"/>
          <w:pgNumType w:start="1"/>
          <w:cols w:space="425" w:num="1"/>
          <w:docGrid w:type="lines" w:linePitch="312" w:charSpace="0"/>
        </w:sectPr>
      </w:pPr>
      <w:bookmarkStart w:id="366" w:name="_Toc90742332"/>
      <w:bookmarkStart w:id="367" w:name="_Toc90742699"/>
      <w:bookmarkStart w:id="368" w:name="_Toc90742401"/>
    </w:p>
    <w:bookmarkEnd w:id="351"/>
    <w:p w14:paraId="09D57962">
      <w:pPr>
        <w:pStyle w:val="2"/>
        <w:rPr>
          <w:szCs w:val="24"/>
        </w:rPr>
      </w:pPr>
      <w:bookmarkStart w:id="369" w:name="CTS_5979ebcde86d427bbe68531bf1780126"/>
      <w:bookmarkEnd w:id="369"/>
      <w:bookmarkStart w:id="370" w:name="_Toc86655091"/>
      <w:bookmarkStart w:id="371" w:name="CLAUSE_5979ebcde86d427bbe68531bf1780126"/>
      <w:r>
        <w:rPr>
          <w:rFonts w:hint="eastAsia" w:cs="Arial"/>
          <w:szCs w:val="24"/>
        </w:rPr>
        <w:t xml:space="preserve">第十七部分 </w:t>
      </w:r>
      <w:r>
        <w:rPr>
          <w:szCs w:val="24"/>
        </w:rPr>
        <w:t>基金</w:t>
      </w:r>
      <w:r>
        <w:rPr>
          <w:rFonts w:cs="Arial"/>
          <w:szCs w:val="24"/>
        </w:rPr>
        <w:t>的</w:t>
      </w:r>
      <w:r>
        <w:rPr>
          <w:szCs w:val="24"/>
        </w:rPr>
        <w:t>费用与税收</w:t>
      </w:r>
      <w:bookmarkEnd w:id="352"/>
      <w:bookmarkEnd w:id="353"/>
      <w:bookmarkEnd w:id="354"/>
      <w:bookmarkEnd w:id="356"/>
      <w:bookmarkEnd w:id="357"/>
      <w:bookmarkEnd w:id="358"/>
      <w:bookmarkEnd w:id="359"/>
      <w:bookmarkEnd w:id="360"/>
      <w:bookmarkEnd w:id="361"/>
      <w:bookmarkEnd w:id="362"/>
      <w:bookmarkEnd w:id="363"/>
      <w:bookmarkEnd w:id="364"/>
      <w:bookmarkEnd w:id="365"/>
      <w:bookmarkEnd w:id="366"/>
      <w:bookmarkEnd w:id="367"/>
      <w:bookmarkEnd w:id="368"/>
      <w:bookmarkEnd w:id="370"/>
    </w:p>
    <w:p w14:paraId="64BE0468">
      <w:pPr>
        <w:spacing w:line="360" w:lineRule="auto"/>
        <w:ind w:firstLine="480" w:firstLineChars="200"/>
        <w:rPr>
          <w:rFonts w:asciiTheme="minorEastAsia" w:hAnsiTheme="minorEastAsia" w:eastAsiaTheme="minorEastAsia"/>
          <w:bCs/>
          <w:sz w:val="24"/>
          <w:szCs w:val="24"/>
        </w:rPr>
      </w:pPr>
    </w:p>
    <w:p w14:paraId="314ED40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一、基金费用的种类</w:t>
      </w:r>
    </w:p>
    <w:p w14:paraId="72C7B1D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、基金管理人的管理费；</w:t>
      </w:r>
    </w:p>
    <w:p w14:paraId="1F02CA7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、基金托管人的托管费；</w:t>
      </w:r>
    </w:p>
    <w:p w14:paraId="3A3B2C9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3、基金的证券、期货、期权交易费用；</w:t>
      </w:r>
    </w:p>
    <w:p w14:paraId="6C51D11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4、《基金合同》生效后与基金相关的信息披露费用，但法律法规、中国证监会另有规定的除外；</w:t>
      </w:r>
    </w:p>
    <w:p w14:paraId="647133D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5、《基金合同》生效后与基金相关的公证费、会计师费、审计费、律师费、仲裁费和诉讼费；</w:t>
      </w:r>
    </w:p>
    <w:p w14:paraId="68E9B44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6、基金份额持有人大会费用；</w:t>
      </w:r>
    </w:p>
    <w:p w14:paraId="2B903E1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7、基金银行汇划费用、账户开户及维护费用、场内注册登记费用、IOPV计算与发布费用、收益分配中发生的费用（银行转账或其他手续费用除外）；</w:t>
      </w:r>
    </w:p>
    <w:p w14:paraId="4797A16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8、基金上市费及年费；</w:t>
      </w:r>
    </w:p>
    <w:p w14:paraId="7F998D3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9、按照国家有关规定和《基金合同》约定，可以在基金财产中列支的其他费用。</w:t>
      </w:r>
    </w:p>
    <w:p w14:paraId="24A49B3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二、基金费用计提方法、计提标准和支付方式</w:t>
      </w:r>
    </w:p>
    <w:p w14:paraId="7AB1624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、基金管理人的管理费</w:t>
      </w:r>
    </w:p>
    <w:p w14:paraId="247C994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本基金的管理费按前一日基金资产净值的</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50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年费率计提。管理费的计算方法如下：</w:t>
      </w:r>
    </w:p>
    <w:p w14:paraId="0048893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＝E×0.50%÷当年天数</w:t>
      </w:r>
    </w:p>
    <w:p w14:paraId="1EBAE88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为每日应计提的基金管理费</w:t>
      </w:r>
    </w:p>
    <w:p w14:paraId="2E3EAB1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E</w:t>
      </w:r>
      <w:r>
        <w:rPr>
          <w:rFonts w:hint="eastAsia" w:asciiTheme="minorEastAsia" w:hAnsiTheme="minorEastAsia" w:eastAsiaTheme="minorEastAsia"/>
          <w:color w:val="0C0C0C" w:themeColor="text1" w:themeTint="F2"/>
          <w:sz w:val="24"/>
          <w:szCs w:val="24"/>
        </w:rPr>
        <w:t>为前一日的基金资产净值</w:t>
      </w:r>
    </w:p>
    <w:p w14:paraId="7A0EBEB9">
      <w:pPr>
        <w:spacing w:line="360" w:lineRule="auto"/>
        <w:ind w:firstLine="480" w:firstLineChars="200"/>
        <w:rPr>
          <w:bCs/>
          <w:sz w:val="24"/>
        </w:rPr>
      </w:pPr>
      <w:r>
        <w:rPr>
          <w:rFonts w:hint="eastAsia" w:asciiTheme="minorEastAsia" w:hAnsiTheme="minorEastAsia" w:eastAsiaTheme="minorEastAsia"/>
          <w:color w:val="0C0C0C" w:themeColor="text1" w:themeTint="F2"/>
          <w:sz w:val="24"/>
          <w:szCs w:val="24"/>
        </w:rPr>
        <w:t>基金管理费每日计提，按月支付。基金管理人与基金托管人双方核对无误后，基金托管人按照与基金管理人协商一致的方式于次月</w:t>
      </w:r>
      <w:r>
        <w:rPr>
          <w:rFonts w:asciiTheme="minorEastAsia" w:hAnsiTheme="minorEastAsia" w:eastAsiaTheme="minorEastAsia"/>
          <w:color w:val="0C0C0C" w:themeColor="text1" w:themeTint="F2"/>
          <w:sz w:val="24"/>
          <w:szCs w:val="24"/>
        </w:rPr>
        <w:t>首日起</w:t>
      </w:r>
      <w:r>
        <w:rPr>
          <w:rFonts w:hint="eastAsia" w:asciiTheme="minorEastAsia" w:hAnsiTheme="minorEastAsia" w:eastAsiaTheme="minorEastAsia"/>
          <w:color w:val="0C0C0C" w:themeColor="text1" w:themeTint="F2"/>
          <w:sz w:val="24"/>
          <w:szCs w:val="24"/>
        </w:rPr>
        <w:t>5个工作日内从基金财产中一次性支付给基金管理人</w:t>
      </w:r>
      <w:r>
        <w:rPr>
          <w:rFonts w:hint="eastAsia"/>
          <w:bCs/>
          <w:sz w:val="24"/>
        </w:rPr>
        <w:t>。若遇法定节假日、公休假或不可抗力等致使无法按时支付的，支付日期顺延。</w:t>
      </w:r>
    </w:p>
    <w:p w14:paraId="54404D4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、基金托管人的托管费</w:t>
      </w:r>
    </w:p>
    <w:p w14:paraId="175777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本基金的托管费按前一日基金资产净值的</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10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年费率计提。托管费的计算方法如下：</w:t>
      </w:r>
    </w:p>
    <w:p w14:paraId="4998CB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＝E×0.10%÷当年天数</w:t>
      </w:r>
    </w:p>
    <w:p w14:paraId="4BC49BF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为每日应计提的基金托管费</w:t>
      </w:r>
    </w:p>
    <w:p w14:paraId="66ACE52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E</w:t>
      </w:r>
      <w:r>
        <w:rPr>
          <w:rFonts w:hint="eastAsia" w:asciiTheme="minorEastAsia" w:hAnsiTheme="minorEastAsia" w:eastAsiaTheme="minorEastAsia"/>
          <w:color w:val="0C0C0C" w:themeColor="text1" w:themeTint="F2"/>
          <w:sz w:val="24"/>
          <w:szCs w:val="24"/>
        </w:rPr>
        <w:t>为前一日的基金资产净值</w:t>
      </w:r>
    </w:p>
    <w:p w14:paraId="01A76385">
      <w:pPr>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基金托管费每日计提，按月支付。基金管理人与基金托管人双方核对无误后，基金托管人按照与基金管理人协商一致的方式于次月首日起5个工作日内从基金财产中一次性支取</w:t>
      </w:r>
      <w:r>
        <w:rPr>
          <w:rFonts w:hint="eastAsia"/>
          <w:bCs/>
          <w:sz w:val="24"/>
        </w:rPr>
        <w:t>。若遇法定节假日、公休假或不可抗力等致使无法按时支付的，支付日期顺延。</w:t>
      </w:r>
    </w:p>
    <w:p w14:paraId="225EA60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bCs/>
          <w:sz w:val="24"/>
        </w:rPr>
        <w:t>上述</w:t>
      </w:r>
      <w:r>
        <w:rPr>
          <w:rFonts w:hint="eastAsia" w:asciiTheme="minorEastAsia" w:hAnsiTheme="minorEastAsia" w:eastAsiaTheme="minorEastAsia"/>
          <w:bCs/>
          <w:sz w:val="24"/>
        </w:rPr>
        <w:t>“</w:t>
      </w:r>
      <w:r>
        <w:rPr>
          <w:rFonts w:asciiTheme="minorEastAsia" w:hAnsiTheme="minorEastAsia" w:eastAsiaTheme="minorEastAsia"/>
          <w:bCs/>
          <w:sz w:val="24"/>
        </w:rPr>
        <w:t>一、基金费用的种类</w:t>
      </w:r>
      <w:r>
        <w:rPr>
          <w:rFonts w:hint="eastAsia" w:asciiTheme="minorEastAsia" w:hAnsiTheme="minorEastAsia" w:eastAsiaTheme="minorEastAsia"/>
          <w:bCs/>
          <w:sz w:val="24"/>
        </w:rPr>
        <w:t>”</w:t>
      </w:r>
      <w:r>
        <w:rPr>
          <w:rFonts w:asciiTheme="minorEastAsia" w:hAnsiTheme="minorEastAsia" w:eastAsiaTheme="minorEastAsia"/>
          <w:bCs/>
          <w:sz w:val="24"/>
        </w:rPr>
        <w:t>中第</w:t>
      </w:r>
      <w:r>
        <w:rPr>
          <w:rFonts w:hint="eastAsia" w:asciiTheme="minorEastAsia" w:hAnsiTheme="minorEastAsia" w:eastAsiaTheme="minorEastAsia"/>
          <w:bCs/>
          <w:sz w:val="24"/>
        </w:rPr>
        <w:t>3</w:t>
      </w:r>
      <w:r>
        <w:rPr>
          <w:rFonts w:asciiTheme="minorEastAsia" w:hAnsiTheme="minorEastAsia" w:eastAsiaTheme="minorEastAsia"/>
          <w:bCs/>
          <w:sz w:val="24"/>
        </w:rPr>
        <w:t>－</w:t>
      </w:r>
      <w:r>
        <w:rPr>
          <w:rFonts w:hint="eastAsia" w:asciiTheme="minorEastAsia" w:hAnsiTheme="minorEastAsia" w:eastAsiaTheme="minorEastAsia"/>
          <w:bCs/>
          <w:sz w:val="24"/>
        </w:rPr>
        <w:t>9</w:t>
      </w:r>
      <w:r>
        <w:rPr>
          <w:rFonts w:asciiTheme="minorEastAsia" w:hAnsiTheme="minorEastAsia" w:eastAsiaTheme="minorEastAsia"/>
          <w:bCs/>
          <w:sz w:val="24"/>
        </w:rPr>
        <w:t>项费用，根据有关法规及相应协议规定，按费用实际支出金额列入当期费用，由基金托管人从基金财产中支付。</w:t>
      </w:r>
    </w:p>
    <w:p w14:paraId="0D17CDD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三、不列入基金费用的项目</w:t>
      </w:r>
    </w:p>
    <w:p w14:paraId="502C527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下列费用不列入基金费用：</w:t>
      </w:r>
    </w:p>
    <w:p w14:paraId="649F9FD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1、基金管理人和基金托管人因未履行或未完全履行义务导致的费用支出或基金财产的损失；</w:t>
      </w:r>
    </w:p>
    <w:p w14:paraId="5AE71FE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2、基金管理人和基金托管人处理与基金运作无关的事项发生的费用；</w:t>
      </w:r>
    </w:p>
    <w:p w14:paraId="47C3275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3、《基金合同》生效前的相关费用；</w:t>
      </w:r>
    </w:p>
    <w:p w14:paraId="240FED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4、指数许可使用费；</w:t>
      </w:r>
    </w:p>
    <w:p w14:paraId="2F2FC4A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5、其他根据相关法律法规及中国证监会的有关规定不得列入基金费用的项目。</w:t>
      </w:r>
    </w:p>
    <w:p w14:paraId="76BFEA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四、基金税收</w:t>
      </w:r>
    </w:p>
    <w:p w14:paraId="4D0831CA">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bookmarkStart w:id="372" w:name="_Hlt70496289"/>
      <w:bookmarkEnd w:id="372"/>
      <w:r>
        <w:rPr>
          <w:rFonts w:hint="eastAsia" w:asciiTheme="minorEastAsia" w:hAnsiTheme="minorEastAsia" w:eastAsiaTheme="minorEastAsia"/>
          <w:color w:val="0C0C0C" w:themeColor="text1" w:themeTint="F2"/>
          <w:sz w:val="24"/>
          <w:szCs w:val="24"/>
        </w:rPr>
        <w:t>本基金运作过程中涉及的各纳税主体，其纳税义务按国家税收法律、法规执行。基金财产投资的相关税收，由基金份额持有人承担，基金管理人或者其他扣缴义务人按照国家有关税收征收的规定代扣代缴。</w:t>
      </w:r>
    </w:p>
    <w:bookmarkEnd w:id="371"/>
    <w:p w14:paraId="0957EB93">
      <w:pPr>
        <w:pStyle w:val="2"/>
        <w:rPr>
          <w:szCs w:val="24"/>
        </w:rPr>
        <w:sectPr>
          <w:footerReference r:id="rId26" w:type="default"/>
          <w:pgSz w:w="11906" w:h="16838"/>
          <w:pgMar w:top="1440" w:right="1800" w:bottom="1440" w:left="1800" w:header="851" w:footer="992" w:gutter="0"/>
          <w:pgNumType w:start="1"/>
          <w:cols w:space="425" w:num="1"/>
          <w:docGrid w:type="lines" w:linePitch="312" w:charSpace="0"/>
        </w:sectPr>
      </w:pPr>
    </w:p>
    <w:p w14:paraId="5FDC7D99">
      <w:pPr>
        <w:pStyle w:val="2"/>
        <w:rPr>
          <w:szCs w:val="24"/>
        </w:rPr>
      </w:pPr>
      <w:bookmarkStart w:id="373" w:name="CTS_4050b55c792c4bc9a6ceb5286a9a5258"/>
      <w:bookmarkEnd w:id="373"/>
      <w:bookmarkStart w:id="374" w:name="_Toc86655092"/>
      <w:bookmarkStart w:id="375" w:name="CLAUSE_4050b55c792c4bc9a6ceb5286a9a5258"/>
      <w:r>
        <w:rPr>
          <w:rFonts w:hint="eastAsia" w:cs="Arial"/>
          <w:szCs w:val="24"/>
        </w:rPr>
        <w:t xml:space="preserve">第十八部分 </w:t>
      </w:r>
      <w:r>
        <w:rPr>
          <w:szCs w:val="24"/>
        </w:rPr>
        <w:t>基金的收益与分配</w:t>
      </w:r>
      <w:bookmarkEnd w:id="374"/>
    </w:p>
    <w:p w14:paraId="3D5C9255">
      <w:pPr>
        <w:autoSpaceDE w:val="0"/>
        <w:autoSpaceDN w:val="0"/>
        <w:adjustRightInd w:val="0"/>
        <w:jc w:val="left"/>
        <w:rPr>
          <w:rFonts w:ascii="宋体" w:hAnsi="宋体" w:cs="宋体"/>
          <w:color w:val="000000"/>
          <w:kern w:val="0"/>
          <w:sz w:val="24"/>
          <w:szCs w:val="24"/>
        </w:rPr>
      </w:pPr>
    </w:p>
    <w:p w14:paraId="62E797C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一、基金收益分配原则</w:t>
      </w:r>
    </w:p>
    <w:p w14:paraId="14383D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、本基金基金份额的收益分配方式采用现金分红；</w:t>
      </w:r>
    </w:p>
    <w:p w14:paraId="102A3B4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、当收益评价日核定的基金份额净值增长率超过标的指数同期增长率达到</w:t>
      </w:r>
      <w:r>
        <w:rPr>
          <w:rFonts w:asciiTheme="minorEastAsia" w:hAnsiTheme="minorEastAsia" w:eastAsiaTheme="minorEastAsia"/>
          <w:color w:val="0C0C0C" w:themeColor="text1" w:themeTint="F2"/>
          <w:sz w:val="24"/>
          <w:szCs w:val="24"/>
        </w:rPr>
        <w:t>0.01%</w:t>
      </w:r>
      <w:r>
        <w:rPr>
          <w:rFonts w:hint="eastAsia" w:asciiTheme="minorEastAsia" w:hAnsiTheme="minorEastAsia" w:eastAsiaTheme="minorEastAsia"/>
          <w:color w:val="0C0C0C" w:themeColor="text1" w:themeTint="F2"/>
          <w:sz w:val="24"/>
          <w:szCs w:val="24"/>
        </w:rPr>
        <w:t>以上时，可进行收益分配；</w:t>
      </w:r>
    </w:p>
    <w:p w14:paraId="59C776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1F018F8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、若《基金合同》生效不满</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个月可不进行收益分配；</w:t>
      </w:r>
    </w:p>
    <w:p w14:paraId="3CC7CB0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、每一基金份额享有同等分配权；</w:t>
      </w:r>
    </w:p>
    <w:p w14:paraId="1BCFD98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6、法律法规或监管机关、证券交易所、登记机构另有规定的，从其规定。</w:t>
      </w:r>
    </w:p>
    <w:p w14:paraId="70FBD9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在不违反法律法规且对基金份额持有人利益无实质性不利影响的前提下，基金管理人经与基金托管人协商一致后可对基金收益分配原则进行调整，并及时公告。</w:t>
      </w:r>
    </w:p>
    <w:p w14:paraId="0671A36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w:t>
      </w:r>
      <w:r>
        <w:rPr>
          <w:rFonts w:asciiTheme="minorEastAsia" w:hAnsiTheme="minorEastAsia" w:eastAsiaTheme="minorEastAsia"/>
          <w:color w:val="0C0C0C" w:themeColor="text1" w:themeTint="F2"/>
          <w:sz w:val="24"/>
          <w:szCs w:val="24"/>
        </w:rPr>
        <w:t>、基金收益分配比例及金额的确定原则</w:t>
      </w:r>
    </w:p>
    <w:p w14:paraId="5D4F9B0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1、在收益评价日，基金管理人计算基金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w:t>
      </w:r>
    </w:p>
    <w:p w14:paraId="0899574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基金收益评价日本基金相对标的指数的超额收益率＝基金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w:t>
      </w:r>
    </w:p>
    <w:p w14:paraId="2A274C5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为收益评价日基金份额净值与基金上市前一</w:t>
      </w:r>
      <w:r>
        <w:rPr>
          <w:rFonts w:hint="eastAsia" w:asciiTheme="minorEastAsia" w:hAnsiTheme="minorEastAsia" w:eastAsiaTheme="minorEastAsia"/>
          <w:color w:val="0C0C0C" w:themeColor="text1" w:themeTint="F2"/>
          <w:sz w:val="24"/>
          <w:szCs w:val="24"/>
        </w:rPr>
        <w:t>交易</w:t>
      </w:r>
      <w:r>
        <w:rPr>
          <w:rFonts w:asciiTheme="minorEastAsia" w:hAnsiTheme="minorEastAsia" w:eastAsiaTheme="minorEastAsia"/>
          <w:color w:val="0C0C0C" w:themeColor="text1" w:themeTint="F2"/>
          <w:sz w:val="24"/>
          <w:szCs w:val="24"/>
        </w:rPr>
        <w:t>日基金份额净值之比减去1乘以100%；标的指数同期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为收益评价日标的指数收盘价与基金上市前一</w:t>
      </w:r>
      <w:r>
        <w:rPr>
          <w:rFonts w:hint="eastAsia" w:asciiTheme="minorEastAsia" w:hAnsiTheme="minorEastAsia" w:eastAsiaTheme="minorEastAsia"/>
          <w:color w:val="0C0C0C" w:themeColor="text1" w:themeTint="F2"/>
          <w:sz w:val="24"/>
          <w:szCs w:val="24"/>
        </w:rPr>
        <w:t>交易</w:t>
      </w:r>
      <w:r>
        <w:rPr>
          <w:rFonts w:asciiTheme="minorEastAsia" w:hAnsiTheme="minorEastAsia" w:eastAsiaTheme="minorEastAsia"/>
          <w:color w:val="0C0C0C" w:themeColor="text1" w:themeTint="F2"/>
          <w:sz w:val="24"/>
          <w:szCs w:val="24"/>
        </w:rPr>
        <w:t>日标的指数收盘价之比减去1乘以100%。</w:t>
      </w:r>
    </w:p>
    <w:p w14:paraId="4378A40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期间如发生基金份额折算</w:t>
      </w:r>
      <w:r>
        <w:rPr>
          <w:rFonts w:hint="eastAsia" w:asciiTheme="minorEastAsia" w:hAnsiTheme="minorEastAsia" w:eastAsiaTheme="minorEastAsia"/>
          <w:color w:val="0C0C0C" w:themeColor="text1" w:themeTint="F2"/>
          <w:sz w:val="24"/>
          <w:szCs w:val="24"/>
        </w:rPr>
        <w:t>、拆分或合并</w:t>
      </w:r>
      <w:r>
        <w:rPr>
          <w:rFonts w:asciiTheme="minorEastAsia" w:hAnsiTheme="minorEastAsia" w:eastAsiaTheme="minorEastAsia"/>
          <w:color w:val="0C0C0C" w:themeColor="text1" w:themeTint="F2"/>
          <w:sz w:val="24"/>
          <w:szCs w:val="24"/>
        </w:rPr>
        <w:t>，则以</w:t>
      </w:r>
      <w:r>
        <w:rPr>
          <w:rFonts w:hint="eastAsia" w:asciiTheme="minorEastAsia" w:hAnsiTheme="minorEastAsia" w:eastAsiaTheme="minorEastAsia"/>
          <w:color w:val="0C0C0C" w:themeColor="text1" w:themeTint="F2"/>
          <w:sz w:val="24"/>
          <w:szCs w:val="24"/>
        </w:rPr>
        <w:t>基金份额折算日、经拆分或合并调整后的</w:t>
      </w:r>
      <w:r>
        <w:rPr>
          <w:rFonts w:asciiTheme="minorEastAsia" w:hAnsiTheme="minorEastAsia" w:eastAsiaTheme="minorEastAsia"/>
          <w:color w:val="0C0C0C" w:themeColor="text1" w:themeTint="F2"/>
          <w:sz w:val="24"/>
          <w:szCs w:val="24"/>
        </w:rPr>
        <w:t>基金份额折算日为初始日重新计算上述指标。</w:t>
      </w:r>
    </w:p>
    <w:p w14:paraId="6747F3A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收益评价日日期以基金管理人相关公告为准。</w:t>
      </w:r>
    </w:p>
    <w:p w14:paraId="492D948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2、根据前述收益分配原则计算截至基金收益评价日本基金的份额可分配收益，并确定收益分配比例。</w:t>
      </w:r>
    </w:p>
    <w:p w14:paraId="428FC96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3、根据前述可分配利润及收益分配比例计算收益分配金额。</w:t>
      </w:r>
    </w:p>
    <w:p w14:paraId="46B93AB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三、收益分配方案</w:t>
      </w:r>
    </w:p>
    <w:p w14:paraId="756E68B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基金收益分配方案中应载明基金收益分配对象、分配时间、分配数额及比例、分配方式等内容。</w:t>
      </w:r>
    </w:p>
    <w:p w14:paraId="3529E11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四、收益分配方案的确定、公告与实施</w:t>
      </w:r>
    </w:p>
    <w:p w14:paraId="39AAF7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本基金收益分配方案由基金管理人拟定，并由基金托管人复核，依照《信息披露办法》的有关规定在规定媒介公告。</w:t>
      </w:r>
    </w:p>
    <w:p w14:paraId="18EFAC8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五、基金收益分配中发生的费用</w:t>
      </w:r>
    </w:p>
    <w:p w14:paraId="32BBEED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基金收益分配时所发生的银行转账或其他手续费用由投资者自行承担。</w:t>
      </w:r>
    </w:p>
    <w:p w14:paraId="23BBC7D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p>
    <w:p w14:paraId="2F56847E">
      <w:pPr>
        <w:pStyle w:val="2"/>
        <w:rPr>
          <w:szCs w:val="24"/>
        </w:rPr>
        <w:sectPr>
          <w:footerReference r:id="rId27" w:type="default"/>
          <w:pgSz w:w="11906" w:h="16838"/>
          <w:pgMar w:top="1440" w:right="1800" w:bottom="1440" w:left="1800" w:header="851" w:footer="992" w:gutter="0"/>
          <w:pgNumType w:start="1"/>
          <w:cols w:space="425" w:num="1"/>
          <w:docGrid w:type="lines" w:linePitch="312" w:charSpace="0"/>
        </w:sectPr>
      </w:pPr>
      <w:bookmarkStart w:id="376" w:name="_Toc92662708"/>
      <w:bookmarkStart w:id="377" w:name="_Toc93226150"/>
      <w:bookmarkStart w:id="378" w:name="_Toc23859"/>
      <w:bookmarkStart w:id="379" w:name="_Toc29695"/>
      <w:bookmarkStart w:id="380" w:name="_Toc21206"/>
      <w:bookmarkStart w:id="381" w:name="_Toc128310500"/>
      <w:bookmarkStart w:id="382" w:name="_Toc90742334"/>
      <w:bookmarkStart w:id="383" w:name="_Toc17499"/>
      <w:bookmarkStart w:id="384" w:name="_Toc28961"/>
      <w:bookmarkStart w:id="385" w:name="_Toc90742403"/>
      <w:bookmarkStart w:id="386" w:name="_Toc90742701"/>
      <w:bookmarkStart w:id="387" w:name="_Toc139991747"/>
      <w:bookmarkStart w:id="388" w:name="_Toc18747"/>
      <w:bookmarkStart w:id="389" w:name="_Toc1043"/>
      <w:bookmarkStart w:id="390" w:name="_Toc10894"/>
      <w:bookmarkStart w:id="391" w:name="_Toc31736"/>
      <w:bookmarkStart w:id="392" w:name="_Toc141703897"/>
      <w:bookmarkStart w:id="393" w:name="_Toc13255"/>
      <w:bookmarkStart w:id="394" w:name="_Toc18007"/>
    </w:p>
    <w:bookmarkEnd w:id="375"/>
    <w:p w14:paraId="7554A93B">
      <w:pPr>
        <w:pStyle w:val="2"/>
        <w:rPr>
          <w:szCs w:val="24"/>
        </w:rPr>
      </w:pPr>
      <w:bookmarkStart w:id="395" w:name="CTS_71c58533a21145f98d9d1bd34ae2666a"/>
      <w:bookmarkEnd w:id="395"/>
      <w:bookmarkStart w:id="396" w:name="_Toc86655093"/>
      <w:bookmarkStart w:id="397" w:name="CLAUSE_71c58533a21145f98d9d1bd34ae2666a"/>
      <w:r>
        <w:rPr>
          <w:rFonts w:hint="eastAsia"/>
          <w:szCs w:val="24"/>
        </w:rPr>
        <w:t xml:space="preserve">第十九部分 </w:t>
      </w:r>
      <w:r>
        <w:rPr>
          <w:szCs w:val="24"/>
        </w:rPr>
        <w:t>基金</w:t>
      </w:r>
      <w:bookmarkEnd w:id="376"/>
      <w:bookmarkEnd w:id="377"/>
      <w:r>
        <w:rPr>
          <w:szCs w:val="24"/>
        </w:rPr>
        <w:t>的会计与审计</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6"/>
    </w:p>
    <w:p w14:paraId="21E914D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一、基金会计政策</w:t>
      </w:r>
    </w:p>
    <w:p w14:paraId="0F659DA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、基金管理人为本基金的基金会计责任方；</w:t>
      </w:r>
    </w:p>
    <w:p w14:paraId="3343E520">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、基金的会计年度为公历年度的</w:t>
      </w:r>
      <w:r>
        <w:rPr>
          <w:rFonts w:asciiTheme="minorEastAsia" w:hAnsiTheme="minorEastAsia" w:eastAsiaTheme="minorEastAsia"/>
          <w:sz w:val="24"/>
          <w:szCs w:val="24"/>
        </w:rPr>
        <w:t>1</w:t>
      </w:r>
      <w:r>
        <w:rPr>
          <w:rFonts w:hint="eastAsia" w:asciiTheme="minorEastAsia" w:hAnsiTheme="minorEastAsia" w:eastAsiaTheme="minorEastAsia"/>
          <w:sz w:val="24"/>
          <w:szCs w:val="24"/>
        </w:rPr>
        <w:t>月</w:t>
      </w:r>
      <w:r>
        <w:rPr>
          <w:rFonts w:asciiTheme="minorEastAsia" w:hAnsiTheme="minorEastAsia" w:eastAsiaTheme="minorEastAsia"/>
          <w:sz w:val="24"/>
          <w:szCs w:val="24"/>
        </w:rPr>
        <w:t>1</w:t>
      </w:r>
      <w:r>
        <w:rPr>
          <w:rFonts w:hint="eastAsia" w:asciiTheme="minorEastAsia" w:hAnsiTheme="minorEastAsia" w:eastAsiaTheme="minorEastAsia"/>
          <w:sz w:val="24"/>
          <w:szCs w:val="24"/>
        </w:rPr>
        <w:t>日至</w:t>
      </w:r>
      <w:r>
        <w:rPr>
          <w:rFonts w:asciiTheme="minorEastAsia" w:hAnsiTheme="minorEastAsia" w:eastAsiaTheme="minorEastAsia"/>
          <w:sz w:val="24"/>
          <w:szCs w:val="24"/>
        </w:rPr>
        <w:t>12</w:t>
      </w:r>
      <w:r>
        <w:rPr>
          <w:rFonts w:hint="eastAsia" w:asciiTheme="minorEastAsia" w:hAnsiTheme="minorEastAsia" w:eastAsiaTheme="minorEastAsia"/>
          <w:sz w:val="24"/>
          <w:szCs w:val="24"/>
        </w:rPr>
        <w:t>月</w:t>
      </w:r>
      <w:r>
        <w:rPr>
          <w:rFonts w:asciiTheme="minorEastAsia" w:hAnsiTheme="minorEastAsia" w:eastAsiaTheme="minorEastAsia"/>
          <w:sz w:val="24"/>
          <w:szCs w:val="24"/>
        </w:rPr>
        <w:t>31</w:t>
      </w:r>
      <w:r>
        <w:rPr>
          <w:rFonts w:hint="eastAsia" w:asciiTheme="minorEastAsia" w:hAnsiTheme="minorEastAsia" w:eastAsiaTheme="minorEastAsia"/>
          <w:sz w:val="24"/>
          <w:szCs w:val="24"/>
        </w:rPr>
        <w:t>日；基金首次募集的会计年度按如下原则：如果《基金合同》生效少于2个月，可以并入下一个会计年度披露；</w:t>
      </w:r>
    </w:p>
    <w:p w14:paraId="369B3C38">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、基金核算以人民币为记账本位币，以人民币元为记账单位；</w:t>
      </w:r>
    </w:p>
    <w:p w14:paraId="597CD8CD">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、会计制度执行国家有关会计制度；</w:t>
      </w:r>
    </w:p>
    <w:p w14:paraId="7EF0469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、本基金独立建账、独立核算；</w:t>
      </w:r>
    </w:p>
    <w:p w14:paraId="6EE9ECA6">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、基金管理人及基金托管人各自保留完整的会计账目、凭证并进行日常的会计核算，按照有关规定编制基金会计报表；</w:t>
      </w:r>
    </w:p>
    <w:p w14:paraId="7FA13F1C">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7</w:t>
      </w:r>
      <w:r>
        <w:rPr>
          <w:rFonts w:hint="eastAsia" w:asciiTheme="minorEastAsia" w:hAnsiTheme="minorEastAsia" w:eastAsiaTheme="minorEastAsia"/>
          <w:sz w:val="24"/>
          <w:szCs w:val="24"/>
        </w:rPr>
        <w:t>、基金托管人每月与基金管理人就基金的会计核算、报表编制等进行核对并以书面方式确认。</w:t>
      </w:r>
    </w:p>
    <w:p w14:paraId="22F7BE5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二、基金的年度审计</w:t>
      </w:r>
    </w:p>
    <w:p w14:paraId="1E4A5C0C">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、基金管理人聘请与基金管理人、基金托管人相互独立的符合《证券法》规定的会计师事务所及其注册会计师对本基金的年度财务报表进行审计。</w:t>
      </w:r>
    </w:p>
    <w:p w14:paraId="590E6C40">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、会计师事务所更换经办注册会计师，应事先征得基金管理人同意。</w:t>
      </w:r>
    </w:p>
    <w:p w14:paraId="679E060F">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、基金管理人认为有充足理由更换会计师事务所，须通报基金托管人。更换会计师事务所需按照《信息披露办法》的有关规定在规定媒介公告。</w:t>
      </w:r>
    </w:p>
    <w:p w14:paraId="2AD8F99E">
      <w:pPr>
        <w:adjustRightInd w:val="0"/>
        <w:snapToGrid w:val="0"/>
        <w:spacing w:line="360" w:lineRule="auto"/>
        <w:rPr>
          <w:rFonts w:cs="Arial" w:asciiTheme="minorEastAsia" w:hAnsiTheme="minorEastAsia" w:eastAsiaTheme="minorEastAsia"/>
          <w:color w:val="0C0C0C" w:themeColor="text1" w:themeTint="F2"/>
          <w:sz w:val="24"/>
          <w:szCs w:val="24"/>
        </w:rPr>
      </w:pPr>
      <w:bookmarkStart w:id="398" w:name="_Toc93226151"/>
      <w:bookmarkStart w:id="399" w:name="_Toc92662709"/>
      <w:bookmarkStart w:id="400" w:name="_Toc128310501"/>
      <w:bookmarkStart w:id="401" w:name="_Toc1173"/>
      <w:bookmarkStart w:id="402" w:name="_Toc1421"/>
      <w:bookmarkStart w:id="403" w:name="_Toc3056"/>
      <w:bookmarkStart w:id="404" w:name="_Toc11049"/>
      <w:bookmarkStart w:id="405" w:name="_Toc11802"/>
      <w:bookmarkStart w:id="406" w:name="_Toc8512"/>
      <w:bookmarkStart w:id="407" w:name="_Toc29289"/>
      <w:bookmarkStart w:id="408" w:name="_Toc141703898"/>
      <w:bookmarkStart w:id="409" w:name="_Toc31866"/>
      <w:bookmarkStart w:id="410" w:name="_Toc12028"/>
      <w:bookmarkStart w:id="411" w:name="_Toc193"/>
      <w:bookmarkStart w:id="412" w:name="_Toc139991748"/>
      <w:bookmarkStart w:id="413" w:name="_Toc21351"/>
    </w:p>
    <w:p w14:paraId="5BF23ED7">
      <w:pPr>
        <w:pStyle w:val="2"/>
        <w:rPr>
          <w:szCs w:val="24"/>
        </w:rPr>
        <w:sectPr>
          <w:footerReference r:id="rId28" w:type="default"/>
          <w:pgSz w:w="11906" w:h="16838"/>
          <w:pgMar w:top="1440" w:right="1800" w:bottom="1440" w:left="1800" w:header="851" w:footer="992" w:gutter="0"/>
          <w:pgNumType w:start="1"/>
          <w:cols w:space="425" w:num="1"/>
          <w:docGrid w:type="lines" w:linePitch="312" w:charSpace="0"/>
        </w:sectPr>
      </w:pPr>
      <w:bookmarkStart w:id="414" w:name="_Hlt4221115"/>
      <w:bookmarkStart w:id="415" w:name="_Toc90742404"/>
      <w:bookmarkStart w:id="416" w:name="_Toc90742702"/>
      <w:bookmarkStart w:id="417" w:name="_Toc90742335"/>
    </w:p>
    <w:bookmarkEnd w:id="397"/>
    <w:bookmarkEnd w:id="414"/>
    <w:p w14:paraId="60BEF966">
      <w:pPr>
        <w:pStyle w:val="2"/>
        <w:rPr>
          <w:szCs w:val="24"/>
        </w:rPr>
      </w:pPr>
      <w:bookmarkStart w:id="418" w:name="CTS_b4bd628fc54940d596ac1d00d338db3a"/>
      <w:bookmarkEnd w:id="418"/>
      <w:bookmarkStart w:id="419" w:name="_Toc86655094"/>
      <w:bookmarkStart w:id="420" w:name="CLAUSE_b4bd628fc54940d596ac1d00d338db3a"/>
      <w:r>
        <w:rPr>
          <w:rFonts w:hint="eastAsia" w:cs="Arial"/>
          <w:szCs w:val="24"/>
        </w:rPr>
        <w:t xml:space="preserve">第二十部分 </w:t>
      </w:r>
      <w:r>
        <w:rPr>
          <w:szCs w:val="24"/>
        </w:rPr>
        <w:t>基金</w:t>
      </w:r>
      <w:bookmarkEnd w:id="398"/>
      <w:bookmarkEnd w:id="399"/>
      <w:r>
        <w:rPr>
          <w:szCs w:val="24"/>
        </w:rPr>
        <w:t>的信息披露</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5"/>
      <w:bookmarkEnd w:id="416"/>
      <w:bookmarkEnd w:id="417"/>
      <w:bookmarkEnd w:id="419"/>
    </w:p>
    <w:p w14:paraId="4F53F209">
      <w:pPr>
        <w:spacing w:line="360" w:lineRule="auto"/>
        <w:ind w:firstLine="480" w:firstLineChars="200"/>
        <w:rPr>
          <w:rFonts w:asciiTheme="minorEastAsia" w:hAnsiTheme="minorEastAsia" w:eastAsiaTheme="minorEastAsia"/>
          <w:bCs/>
          <w:sz w:val="24"/>
          <w:szCs w:val="24"/>
        </w:rPr>
      </w:pPr>
    </w:p>
    <w:p w14:paraId="687CCE1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一、本基金的信息披露应符合《基金法》、《运作办法》、《信息披露办法》、《流动性风险管理规定》、《</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w:t>
      </w:r>
      <w:r>
        <w:rPr>
          <w:rFonts w:asciiTheme="minorEastAsia" w:hAnsiTheme="minorEastAsia" w:eastAsiaTheme="minorEastAsia"/>
          <w:sz w:val="24"/>
          <w:szCs w:val="24"/>
        </w:rPr>
        <w:t>及其他有关规定。</w:t>
      </w:r>
      <w:r>
        <w:rPr>
          <w:rFonts w:hint="eastAsia" w:asciiTheme="minorEastAsia" w:hAnsiTheme="minorEastAsia" w:eastAsiaTheme="minorEastAsia"/>
          <w:sz w:val="24"/>
          <w:szCs w:val="24"/>
        </w:rPr>
        <w:t>相关法律法规关于信息披露的披露方式、登载媒介、报备方式等规定发生变化时，本基金从其最新规定。</w:t>
      </w:r>
    </w:p>
    <w:p w14:paraId="4FD9B9FB">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二、信息披露义务人</w:t>
      </w:r>
    </w:p>
    <w:p w14:paraId="6BD2489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本基金信息披露义务人包括基金管理人、基金托管人、召集基金份额持有人大会的基金份额持有人等法律、行政法规和中国证监会规定的自然人、法人和非法人组织。</w:t>
      </w:r>
    </w:p>
    <w:p w14:paraId="541522F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7A952D8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29187DD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三、本基金信息披露义务人承诺公开披露的基金信息，不得有下列行为：</w:t>
      </w:r>
    </w:p>
    <w:p w14:paraId="6C1C7AF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、虚假记载、误导性陈述或者重大遗漏；</w:t>
      </w:r>
    </w:p>
    <w:p w14:paraId="698B47C3">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、对证券投资业绩进行预测；</w:t>
      </w:r>
    </w:p>
    <w:p w14:paraId="3202FA88">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、违规承诺收益或者承担损失；</w:t>
      </w:r>
    </w:p>
    <w:p w14:paraId="5B925160">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、诋毁其他基金管理人、基金托管人或者基金销售机构；</w:t>
      </w:r>
    </w:p>
    <w:p w14:paraId="12EDA302">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、登载任何自然人、法人和非法人组织的祝贺性、恭维性或推荐性的文字；</w:t>
      </w:r>
    </w:p>
    <w:p w14:paraId="71336A64">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、中国证监会禁止的其他行为。</w:t>
      </w:r>
    </w:p>
    <w:p w14:paraId="1256D18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四、本基金公开披露的信息应采用中文文本。如同时采用外文文本的，基金信息披露义务人应保证不同文本的内容一致。不同文本之间发生歧义的，以中文文本为准。</w:t>
      </w:r>
    </w:p>
    <w:p w14:paraId="190FB20C">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本基金公开披露的信息采用阿拉伯数字；除特别说明外，货币单位为人民币元。</w:t>
      </w:r>
    </w:p>
    <w:p w14:paraId="2D33FB6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五、</w:t>
      </w:r>
      <w:r>
        <w:rPr>
          <w:rFonts w:asciiTheme="minorEastAsia" w:hAnsiTheme="minorEastAsia" w:eastAsiaTheme="minorEastAsia"/>
          <w:sz w:val="24"/>
          <w:szCs w:val="24"/>
        </w:rPr>
        <w:t>公开披露的基金信息</w:t>
      </w:r>
    </w:p>
    <w:p w14:paraId="6BF2334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公开披露的基金信息包括：</w:t>
      </w:r>
    </w:p>
    <w:p w14:paraId="304ED63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（一）基金招募说明书、基金</w:t>
      </w:r>
      <w:r>
        <w:rPr>
          <w:rFonts w:asciiTheme="minorEastAsia" w:hAnsiTheme="minorEastAsia" w:eastAsiaTheme="minorEastAsia"/>
          <w:sz w:val="24"/>
          <w:szCs w:val="24"/>
        </w:rPr>
        <w:t>合同、</w:t>
      </w:r>
      <w:r>
        <w:rPr>
          <w:rFonts w:hint="eastAsia" w:asciiTheme="minorEastAsia" w:hAnsiTheme="minorEastAsia" w:eastAsiaTheme="minorEastAsia"/>
          <w:sz w:val="24"/>
          <w:szCs w:val="24"/>
        </w:rPr>
        <w:t>基金托管协议、基金产品资料概要</w:t>
      </w:r>
    </w:p>
    <w:p w14:paraId="0C69DC2B">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1、基金合同是界定基金合同当事人的各项权利、义务关系，明确基金份额持有人大会召开的规则及具体程序，说明基金产品的特性等涉及基金投资者重大利益的事项的法律文件。</w:t>
      </w:r>
    </w:p>
    <w:p w14:paraId="48286D02">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asciiTheme="minorEastAsia" w:hAnsiTheme="minorEastAsia" w:eastAsiaTheme="minorEastAsia"/>
          <w:sz w:val="24"/>
          <w:szCs w:val="24"/>
        </w:rPr>
        <w:t>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r>
        <w:rPr>
          <w:rFonts w:asciiTheme="minorEastAsia" w:hAnsiTheme="minorEastAsia" w:eastAsiaTheme="minorEastAsia"/>
          <w:sz w:val="24"/>
          <w:szCs w:val="24"/>
        </w:rPr>
        <w:t>。</w:t>
      </w:r>
    </w:p>
    <w:p w14:paraId="6B5EFF21">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3、基金托管协议是界定基金托管人和基金管理人在基金财产保管及基金运作监督等活动中的权利、义务关系的法律文件。</w:t>
      </w:r>
    </w:p>
    <w:p w14:paraId="1D30629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3463083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w:t>
      </w:r>
      <w:r>
        <w:rPr>
          <w:rFonts w:asciiTheme="minorEastAsia" w:hAnsiTheme="minorEastAsia" w:eastAsiaTheme="minorEastAsia"/>
          <w:sz w:val="24"/>
          <w:szCs w:val="24"/>
        </w:rPr>
        <w:t>基金募集申请经中国证监会</w:t>
      </w:r>
      <w:r>
        <w:rPr>
          <w:rFonts w:hint="eastAsia" w:asciiTheme="minorEastAsia" w:hAnsiTheme="minorEastAsia" w:eastAsiaTheme="minorEastAsia"/>
          <w:sz w:val="24"/>
          <w:szCs w:val="24"/>
        </w:rPr>
        <w:t>注册</w:t>
      </w:r>
      <w:r>
        <w:rPr>
          <w:rFonts w:asciiTheme="minorEastAsia" w:hAnsiTheme="minorEastAsia" w:eastAsiaTheme="minorEastAsia"/>
          <w:sz w:val="24"/>
          <w:szCs w:val="24"/>
        </w:rPr>
        <w:t>后，基金管理人在基金份额发售的3日前，将</w:t>
      </w:r>
      <w:r>
        <w:rPr>
          <w:rFonts w:hint="eastAsia" w:asciiTheme="minorEastAsia" w:hAnsiTheme="minorEastAsia" w:eastAsiaTheme="minorEastAsia"/>
          <w:sz w:val="24"/>
          <w:szCs w:val="24"/>
        </w:rPr>
        <w:t>基金份额发售公告、</w:t>
      </w:r>
      <w:r>
        <w:rPr>
          <w:rFonts w:asciiTheme="minorEastAsia" w:hAnsiTheme="minorEastAsia" w:eastAsiaTheme="minorEastAsia"/>
          <w:sz w:val="24"/>
          <w:szCs w:val="24"/>
        </w:rPr>
        <w:t>基金招募说明书</w:t>
      </w:r>
      <w:r>
        <w:rPr>
          <w:rFonts w:hint="eastAsia"/>
          <w:bCs/>
          <w:sz w:val="24"/>
        </w:rPr>
        <w:t>提示性公告和</w:t>
      </w:r>
      <w:r>
        <w:rPr>
          <w:rFonts w:asciiTheme="minorEastAsia" w:hAnsiTheme="minorEastAsia" w:eastAsiaTheme="minorEastAsia"/>
          <w:sz w:val="24"/>
          <w:szCs w:val="24"/>
        </w:rPr>
        <w:t>《基金合同》</w:t>
      </w:r>
      <w:r>
        <w:rPr>
          <w:rFonts w:hint="eastAsia"/>
          <w:bCs/>
          <w:sz w:val="24"/>
        </w:rPr>
        <w:t>提示性公告</w:t>
      </w:r>
      <w:r>
        <w:rPr>
          <w:rFonts w:asciiTheme="minorEastAsia" w:hAnsiTheme="minorEastAsia" w:eastAsiaTheme="minorEastAsia"/>
          <w:sz w:val="24"/>
          <w:szCs w:val="24"/>
        </w:rPr>
        <w:t>登载在</w:t>
      </w:r>
      <w:r>
        <w:rPr>
          <w:rFonts w:hint="eastAsia" w:asciiTheme="minorEastAsia" w:hAnsiTheme="minorEastAsia" w:eastAsiaTheme="minorEastAsia"/>
          <w:sz w:val="24"/>
          <w:szCs w:val="24"/>
        </w:rPr>
        <w:t>规定报刊上，将基金份额发售公告、基金招募说明书、基金产品资料概要、《基金合同》和基金托管协议登载在规定网站上，并将基金产品资料概要登载在基金销售机构网站或营业网点</w:t>
      </w:r>
      <w:r>
        <w:rPr>
          <w:rFonts w:asciiTheme="minorEastAsia" w:hAnsiTheme="minorEastAsia" w:eastAsiaTheme="minorEastAsia"/>
          <w:sz w:val="24"/>
          <w:szCs w:val="24"/>
        </w:rPr>
        <w:t>；基金托管人应当</w:t>
      </w:r>
      <w:r>
        <w:rPr>
          <w:rFonts w:hint="eastAsia" w:asciiTheme="minorEastAsia" w:hAnsiTheme="minorEastAsia" w:eastAsiaTheme="minorEastAsia"/>
          <w:sz w:val="24"/>
          <w:szCs w:val="24"/>
        </w:rPr>
        <w:t>同时</w:t>
      </w:r>
      <w:r>
        <w:rPr>
          <w:rFonts w:asciiTheme="minorEastAsia" w:hAnsiTheme="minorEastAsia" w:eastAsiaTheme="minorEastAsia"/>
          <w:sz w:val="24"/>
          <w:szCs w:val="24"/>
        </w:rPr>
        <w:t>将《基金合同》、基金托管协议登载在</w:t>
      </w:r>
      <w:r>
        <w:rPr>
          <w:rFonts w:hint="eastAsia" w:asciiTheme="minorEastAsia" w:hAnsiTheme="minorEastAsia" w:eastAsiaTheme="minorEastAsia"/>
          <w:sz w:val="24"/>
          <w:szCs w:val="24"/>
        </w:rPr>
        <w:t>规定</w:t>
      </w:r>
      <w:r>
        <w:rPr>
          <w:rFonts w:asciiTheme="minorEastAsia" w:hAnsiTheme="minorEastAsia" w:eastAsiaTheme="minorEastAsia"/>
          <w:sz w:val="24"/>
          <w:szCs w:val="24"/>
        </w:rPr>
        <w:t>网站上。</w:t>
      </w:r>
    </w:p>
    <w:p w14:paraId="42A5FFDB">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二</w:t>
      </w:r>
      <w:r>
        <w:rPr>
          <w:rFonts w:asciiTheme="minorEastAsia" w:hAnsiTheme="minorEastAsia" w:eastAsiaTheme="minorEastAsia"/>
          <w:sz w:val="24"/>
          <w:szCs w:val="24"/>
        </w:rPr>
        <w:t>）基金份额发售公告</w:t>
      </w:r>
    </w:p>
    <w:p w14:paraId="2FCC1C9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基金管理人应当就基金份额发售的具体事宜编制基金份额发售公告。</w:t>
      </w:r>
    </w:p>
    <w:p w14:paraId="39F7529E">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三</w:t>
      </w:r>
      <w:r>
        <w:rPr>
          <w:rFonts w:asciiTheme="minorEastAsia" w:hAnsiTheme="minorEastAsia" w:eastAsiaTheme="minorEastAsia"/>
          <w:sz w:val="24"/>
          <w:szCs w:val="24"/>
        </w:rPr>
        <w:t>）《基金合同》生效公告</w:t>
      </w:r>
    </w:p>
    <w:p w14:paraId="66EA47BF">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基金管理人应当在收到中国证监会确认文件的次日在规定媒介上登载《基金合同》生效公告。</w:t>
      </w:r>
    </w:p>
    <w:p w14:paraId="02E7FAD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（四）</w:t>
      </w:r>
      <w:r>
        <w:rPr>
          <w:rFonts w:asciiTheme="minorEastAsia" w:hAnsiTheme="minorEastAsia" w:eastAsiaTheme="minorEastAsia"/>
          <w:sz w:val="24"/>
          <w:szCs w:val="24"/>
        </w:rPr>
        <w:t>基金开始申购、赎回</w:t>
      </w:r>
      <w:r>
        <w:rPr>
          <w:rFonts w:hint="eastAsia" w:asciiTheme="minorEastAsia" w:hAnsiTheme="minorEastAsia" w:eastAsiaTheme="minorEastAsia"/>
          <w:sz w:val="24"/>
          <w:szCs w:val="24"/>
        </w:rPr>
        <w:t>公告</w:t>
      </w:r>
    </w:p>
    <w:p w14:paraId="3E08B36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w:t>
      </w:r>
      <w:r>
        <w:rPr>
          <w:rFonts w:asciiTheme="minorEastAsia" w:hAnsiTheme="minorEastAsia" w:eastAsiaTheme="minorEastAsia"/>
          <w:sz w:val="24"/>
          <w:szCs w:val="24"/>
        </w:rPr>
        <w:t>应于申购开始日、赎回开始日前</w:t>
      </w:r>
      <w:r>
        <w:rPr>
          <w:rFonts w:hint="eastAsia" w:asciiTheme="minorEastAsia" w:hAnsiTheme="minorEastAsia" w:eastAsiaTheme="minorEastAsia"/>
          <w:sz w:val="24"/>
          <w:szCs w:val="24"/>
        </w:rPr>
        <w:t>按规定在规定</w:t>
      </w:r>
      <w:r>
        <w:rPr>
          <w:rFonts w:asciiTheme="minorEastAsia" w:hAnsiTheme="minorEastAsia" w:eastAsiaTheme="minorEastAsia"/>
          <w:sz w:val="24"/>
          <w:szCs w:val="24"/>
        </w:rPr>
        <w:t>报刊及网站</w:t>
      </w:r>
      <w:r>
        <w:rPr>
          <w:rFonts w:hint="eastAsia" w:asciiTheme="minorEastAsia" w:hAnsiTheme="minorEastAsia" w:eastAsiaTheme="minorEastAsia"/>
          <w:sz w:val="24"/>
          <w:szCs w:val="24"/>
        </w:rPr>
        <w:t>上公告。</w:t>
      </w:r>
    </w:p>
    <w:p w14:paraId="28F1F6C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（五）基金份额</w:t>
      </w:r>
      <w:r>
        <w:rPr>
          <w:rFonts w:asciiTheme="minorEastAsia" w:hAnsiTheme="minorEastAsia" w:eastAsiaTheme="minorEastAsia"/>
          <w:sz w:val="24"/>
          <w:szCs w:val="24"/>
        </w:rPr>
        <w:t>上市交易公告书</w:t>
      </w:r>
    </w:p>
    <w:p w14:paraId="6BAF50C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基金份额获准在证券交易所上市交易的，基金管理人应当在基金份额上市交易</w:t>
      </w:r>
      <w:r>
        <w:rPr>
          <w:rFonts w:hint="eastAsia" w:asciiTheme="minorEastAsia" w:hAnsiTheme="minorEastAsia" w:eastAsiaTheme="minorEastAsia"/>
          <w:sz w:val="24"/>
          <w:szCs w:val="24"/>
        </w:rPr>
        <w:t>三</w:t>
      </w:r>
      <w:r>
        <w:rPr>
          <w:rFonts w:asciiTheme="minorEastAsia" w:hAnsiTheme="minorEastAsia" w:eastAsiaTheme="minorEastAsia"/>
          <w:sz w:val="24"/>
          <w:szCs w:val="24"/>
        </w:rPr>
        <w:t>个工作日前</w:t>
      </w:r>
      <w:r>
        <w:rPr>
          <w:rFonts w:hint="eastAsia" w:asciiTheme="minorEastAsia" w:hAnsiTheme="minorEastAsia" w:eastAsiaTheme="minorEastAsia"/>
          <w:sz w:val="24"/>
          <w:szCs w:val="24"/>
        </w:rPr>
        <w:t>，将基金份额上市交易公告书登载在规定网站上，并将上市交易公告书提示性公告登载在规定报刊上</w:t>
      </w:r>
      <w:r>
        <w:rPr>
          <w:rFonts w:asciiTheme="minorEastAsia" w:hAnsiTheme="minorEastAsia" w:eastAsiaTheme="minorEastAsia"/>
          <w:sz w:val="24"/>
          <w:szCs w:val="24"/>
        </w:rPr>
        <w:t>。</w:t>
      </w:r>
    </w:p>
    <w:p w14:paraId="6A63BCB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（六）基金份额折算日和折算结果公告</w:t>
      </w:r>
    </w:p>
    <w:p w14:paraId="59F0DDC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基金管理人确定基金份额折算日，并依照《信息披露办法》的有关规定将基金份额折算日公告登载于规定媒介上。</w:t>
      </w:r>
    </w:p>
    <w:p w14:paraId="4C047DD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基金份额进行折算并由登记机构完成基金份额的变更登记后，基金管理人将基金份额折算结果公告登载于规定媒介上。</w:t>
      </w:r>
    </w:p>
    <w:p w14:paraId="6065BCE6">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七</w:t>
      </w:r>
      <w:r>
        <w:rPr>
          <w:rFonts w:asciiTheme="minorEastAsia" w:hAnsiTheme="minorEastAsia" w:eastAsiaTheme="minorEastAsia"/>
          <w:sz w:val="24"/>
          <w:szCs w:val="24"/>
        </w:rPr>
        <w:t>）</w:t>
      </w:r>
      <w:r>
        <w:rPr>
          <w:rFonts w:hint="eastAsia" w:asciiTheme="minorEastAsia" w:hAnsiTheme="minorEastAsia" w:eastAsiaTheme="minorEastAsia"/>
          <w:sz w:val="24"/>
          <w:szCs w:val="24"/>
        </w:rPr>
        <w:t>基金净值信息</w:t>
      </w:r>
    </w:p>
    <w:p w14:paraId="4C57CCC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《基金合同》生效后，在基金份额上市交易或者开始办理基金份额申购或者赎回前，基金管理人应当至少每周在规定网站披露一次基金份额净值和基金份额累计净值。</w:t>
      </w:r>
    </w:p>
    <w:p w14:paraId="2066813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00A4BF9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基金管理人应当在不晚于半年度和年度最后一日的次日，在规定网站披露半年度和年度最后一日的基金份额净值和基金份额累计净值。</w:t>
      </w:r>
    </w:p>
    <w:p w14:paraId="344AA3A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（八</w:t>
      </w:r>
      <w:r>
        <w:rPr>
          <w:rFonts w:asciiTheme="minorEastAsia" w:hAnsiTheme="minorEastAsia" w:eastAsiaTheme="minorEastAsia"/>
          <w:sz w:val="24"/>
          <w:szCs w:val="24"/>
        </w:rPr>
        <w:t>）申购赎回清单</w:t>
      </w:r>
    </w:p>
    <w:p w14:paraId="64D9187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在开始办理</w:t>
      </w:r>
      <w:r>
        <w:rPr>
          <w:rFonts w:hint="eastAsia" w:asciiTheme="minorEastAsia" w:hAnsiTheme="minorEastAsia" w:eastAsiaTheme="minorEastAsia"/>
          <w:sz w:val="24"/>
          <w:szCs w:val="24"/>
        </w:rPr>
        <w:t>基金份额申购</w:t>
      </w:r>
      <w:r>
        <w:rPr>
          <w:rFonts w:asciiTheme="minorEastAsia" w:hAnsiTheme="minorEastAsia" w:eastAsiaTheme="minorEastAsia"/>
          <w:sz w:val="24"/>
          <w:szCs w:val="24"/>
        </w:rPr>
        <w:t>或者</w:t>
      </w:r>
      <w:r>
        <w:rPr>
          <w:rFonts w:hint="eastAsia" w:asciiTheme="minorEastAsia" w:hAnsiTheme="minorEastAsia" w:eastAsiaTheme="minorEastAsia"/>
          <w:sz w:val="24"/>
          <w:szCs w:val="24"/>
        </w:rPr>
        <w:t>赎回</w:t>
      </w:r>
      <w:r>
        <w:rPr>
          <w:rFonts w:asciiTheme="minorEastAsia" w:hAnsiTheme="minorEastAsia" w:eastAsiaTheme="minorEastAsia"/>
          <w:sz w:val="24"/>
          <w:szCs w:val="24"/>
        </w:rPr>
        <w:t>之后，</w:t>
      </w:r>
      <w:r>
        <w:rPr>
          <w:rFonts w:hint="eastAsia" w:asciiTheme="minorEastAsia" w:hAnsiTheme="minorEastAsia" w:eastAsiaTheme="minorEastAsia"/>
          <w:sz w:val="24"/>
          <w:szCs w:val="24"/>
        </w:rPr>
        <w:t>基金管理人应当在</w:t>
      </w:r>
      <w:r>
        <w:rPr>
          <w:rFonts w:asciiTheme="minorEastAsia" w:hAnsiTheme="minorEastAsia" w:eastAsiaTheme="minorEastAsia"/>
          <w:sz w:val="24"/>
          <w:szCs w:val="24"/>
        </w:rPr>
        <w:t>每个开放日，通过</w:t>
      </w:r>
      <w:r>
        <w:rPr>
          <w:rFonts w:hint="eastAsia" w:asciiTheme="minorEastAsia" w:hAnsiTheme="minorEastAsia" w:eastAsiaTheme="minorEastAsia"/>
          <w:sz w:val="24"/>
          <w:szCs w:val="24"/>
        </w:rPr>
        <w:t>规定</w:t>
      </w:r>
      <w:r>
        <w:rPr>
          <w:rFonts w:asciiTheme="minorEastAsia" w:hAnsiTheme="minorEastAsia" w:eastAsiaTheme="minorEastAsia"/>
          <w:sz w:val="24"/>
          <w:szCs w:val="24"/>
        </w:rPr>
        <w:t>网站、</w:t>
      </w:r>
      <w:r>
        <w:rPr>
          <w:rFonts w:hint="eastAsia" w:asciiTheme="minorEastAsia" w:hAnsiTheme="minorEastAsia" w:eastAsiaTheme="minorEastAsia"/>
          <w:sz w:val="24"/>
          <w:szCs w:val="24"/>
        </w:rPr>
        <w:t>基金份额申购、赎回代理券商</w:t>
      </w:r>
      <w:r>
        <w:rPr>
          <w:rFonts w:asciiTheme="minorEastAsia" w:hAnsiTheme="minorEastAsia" w:eastAsiaTheme="minorEastAsia"/>
          <w:sz w:val="24"/>
          <w:szCs w:val="24"/>
        </w:rPr>
        <w:t>以及其他媒介公告当日</w:t>
      </w:r>
      <w:r>
        <w:rPr>
          <w:rFonts w:hint="eastAsia" w:asciiTheme="minorEastAsia" w:hAnsiTheme="minorEastAsia" w:eastAsiaTheme="minorEastAsia"/>
          <w:sz w:val="24"/>
          <w:szCs w:val="24"/>
        </w:rPr>
        <w:t>的申购赎回</w:t>
      </w:r>
      <w:r>
        <w:rPr>
          <w:rFonts w:asciiTheme="minorEastAsia" w:hAnsiTheme="minorEastAsia" w:eastAsiaTheme="minorEastAsia"/>
          <w:sz w:val="24"/>
          <w:szCs w:val="24"/>
        </w:rPr>
        <w:t>清单</w:t>
      </w:r>
      <w:r>
        <w:rPr>
          <w:rFonts w:hint="eastAsia" w:asciiTheme="minorEastAsia" w:hAnsiTheme="minorEastAsia" w:eastAsiaTheme="minorEastAsia"/>
          <w:sz w:val="24"/>
          <w:szCs w:val="24"/>
        </w:rPr>
        <w:t>。</w:t>
      </w:r>
    </w:p>
    <w:p w14:paraId="3331219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（九）基金定期报告，包括基金年度报告、基金中期报告和基金季度报告（含资产组合季度报告）</w:t>
      </w:r>
    </w:p>
    <w:p w14:paraId="4D637F8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基金管理人应当在每年结束之日起三个月内，编制完成基金年度报告，将年度报告登载在规定网站上，并将年度报告提示性公告登载在规定报刊上。基金年度报告中的财务会计报告应当经过</w:t>
      </w:r>
      <w:bookmarkStart w:id="421" w:name="_Hlk181716435"/>
      <w:r>
        <w:rPr>
          <w:rFonts w:hint="eastAsia" w:asciiTheme="minorEastAsia" w:hAnsiTheme="minorEastAsia" w:eastAsiaTheme="minorEastAsia"/>
          <w:sz w:val="24"/>
          <w:szCs w:val="24"/>
        </w:rPr>
        <w:t>符合《证券法》规定的</w:t>
      </w:r>
      <w:bookmarkEnd w:id="421"/>
      <w:r>
        <w:rPr>
          <w:rFonts w:hint="eastAsia" w:asciiTheme="minorEastAsia" w:hAnsiTheme="minorEastAsia" w:eastAsiaTheme="minorEastAsia"/>
          <w:sz w:val="24"/>
          <w:szCs w:val="24"/>
        </w:rPr>
        <w:t>会计师事务所审计。</w:t>
      </w:r>
    </w:p>
    <w:p w14:paraId="548AAB0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基金管理人应当在上半年结束之日起两个月内，编制完成基金中期报告，将中期报告登载在规定网站上，并将中期报告提示性公告登载在规定报刊上。</w:t>
      </w:r>
    </w:p>
    <w:p w14:paraId="139D286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基金管理人应当在季度结束之日起15个工作日内，编制完成基金季度报告，将季度报告登载在规定网站上，并将季度报告提示性公告登载在规定报刊上。</w:t>
      </w:r>
    </w:p>
    <w:p w14:paraId="4A8150E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基金合同生效不足</w:t>
      </w:r>
      <w:r>
        <w:rPr>
          <w:rFonts w:asciiTheme="minorEastAsia" w:hAnsiTheme="minorEastAsia" w:eastAsiaTheme="minorEastAsia"/>
          <w:sz w:val="24"/>
          <w:szCs w:val="24"/>
        </w:rPr>
        <w:t>2</w:t>
      </w:r>
      <w:r>
        <w:rPr>
          <w:rFonts w:hint="eastAsia" w:asciiTheme="minorEastAsia" w:hAnsiTheme="minorEastAsia" w:eastAsiaTheme="minorEastAsia"/>
          <w:sz w:val="24"/>
          <w:szCs w:val="24"/>
        </w:rPr>
        <w:t>个月的，</w:t>
      </w:r>
      <w:r>
        <w:rPr>
          <w:rFonts w:asciiTheme="minorEastAsia" w:hAnsiTheme="minorEastAsia" w:eastAsiaTheme="minorEastAsia"/>
          <w:sz w:val="24"/>
          <w:szCs w:val="24"/>
        </w:rPr>
        <w:t>本</w:t>
      </w:r>
      <w:r>
        <w:rPr>
          <w:rFonts w:hint="eastAsia" w:asciiTheme="minorEastAsia" w:hAnsiTheme="minorEastAsia" w:eastAsiaTheme="minorEastAsia"/>
          <w:sz w:val="24"/>
          <w:szCs w:val="24"/>
        </w:rPr>
        <w:t>基金管理人可以不编制当期季度报告、中期报告或者年度报告。</w:t>
      </w:r>
    </w:p>
    <w:p w14:paraId="59A18D7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4094232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基金管理人应当在基金年度报告和中期报告中披露基金组合资产情况及其流动性风险分析等。</w:t>
      </w:r>
    </w:p>
    <w:p w14:paraId="3147894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（十）临时报告</w:t>
      </w:r>
    </w:p>
    <w:p w14:paraId="15E49CDD">
      <w:pPr>
        <w:snapToGrid w:val="0"/>
        <w:spacing w:line="360" w:lineRule="auto"/>
        <w:ind w:firstLine="480" w:firstLineChars="200"/>
        <w:rPr>
          <w:sz w:val="24"/>
          <w:szCs w:val="24"/>
        </w:rPr>
      </w:pPr>
      <w:r>
        <w:rPr>
          <w:rFonts w:hint="eastAsia" w:asciiTheme="minorEastAsia" w:hAnsiTheme="minorEastAsia" w:eastAsiaTheme="minorEastAsia"/>
          <w:sz w:val="24"/>
          <w:szCs w:val="24"/>
        </w:rPr>
        <w:t>本基金发生重大事件，有关信息披露义务人应当依照《信息披露办法》编制临时报告书，并登载在规定报刊和规定网站上。</w:t>
      </w:r>
    </w:p>
    <w:p w14:paraId="2D47563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前款所称重大事件，是指可能对基金份额持有人权益或者基金份额的价格产生重大影响的下列事件：</w:t>
      </w:r>
    </w:p>
    <w:p w14:paraId="04CD7F8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1、基金份额持有人大会的召开及决定的事项；</w:t>
      </w:r>
    </w:p>
    <w:p w14:paraId="270519F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2、《基金合同》终止、基金清算；</w:t>
      </w:r>
    </w:p>
    <w:p w14:paraId="73FE455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3、转换基金运作方式、基金合并；</w:t>
      </w:r>
    </w:p>
    <w:p w14:paraId="578BE9C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4、更换基金管理人、基金托管人、基金份额登记机构，基金改聘会计师事务所；</w:t>
      </w:r>
    </w:p>
    <w:p w14:paraId="1AB576D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5、基金管理人委托基金服务机构代为办理基金的份额登记、核算、估值等事项，基金托管人委托基金服务机构代为办理基金的核算、估值、复核等事项；</w:t>
      </w:r>
    </w:p>
    <w:p w14:paraId="4D347C5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6、基金管理人、基金托管人的法定名称、住所发生变更；</w:t>
      </w:r>
    </w:p>
    <w:p w14:paraId="4127F17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7、基金管理人变更持有百分之五以上股权的股东、变更基金管理人的实际控制人；</w:t>
      </w:r>
    </w:p>
    <w:p w14:paraId="3B6AC24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8、基金募集期延长或提前结束募集；</w:t>
      </w:r>
    </w:p>
    <w:p w14:paraId="51646BE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9、基金管理人的高级管理人员、基金经理和基金托管人专门基金托管部门负责人发生变动；</w:t>
      </w:r>
    </w:p>
    <w:p w14:paraId="5D671D8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10、基金管理人的董事在最近12个月内变更超过百分之五十；基金管理人、基金托管人专门基金托管部门的主要业务人员在最近12个月内变动超过百分之三十；</w:t>
      </w:r>
    </w:p>
    <w:p w14:paraId="0A6D4C7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11、涉及基金财产、基金管理业务、基金托管业务的诉讼或仲裁；</w:t>
      </w:r>
    </w:p>
    <w:p w14:paraId="07882EB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3C6E869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0FDAD23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14、基金收益分配事项；</w:t>
      </w:r>
    </w:p>
    <w:p w14:paraId="1F4B26A8">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5、管理费、托管费、申购费、赎回费等费用计提标准、计提方式和费率发生变更；</w:t>
      </w:r>
    </w:p>
    <w:p w14:paraId="0E8AD7B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6、基金份额净值计价错误达基金份额净值0.5%；</w:t>
      </w:r>
    </w:p>
    <w:p w14:paraId="1B40D92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17、本基金开始办理申购、赎回；</w:t>
      </w:r>
    </w:p>
    <w:p w14:paraId="6371829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18、本基金暂停接受申购、赎回申请或重新接受申购、赎回申请；</w:t>
      </w:r>
    </w:p>
    <w:p w14:paraId="0C0ACC5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19、本基金变更标的指数；</w:t>
      </w:r>
    </w:p>
    <w:p w14:paraId="5070E33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20、基金份额停复牌、暂停上市、恢复上市或终止上市交易；</w:t>
      </w:r>
    </w:p>
    <w:p w14:paraId="3E47D2B9">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21、调整基金份额类别的设置；</w:t>
      </w:r>
    </w:p>
    <w:p w14:paraId="2C96E30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22、基金推出新业务或服务；</w:t>
      </w:r>
    </w:p>
    <w:p w14:paraId="5FE8043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23、发生涉及本基金申购、赎回事项调整或潜在影响投资者赎回等重大事项时；</w:t>
      </w:r>
    </w:p>
    <w:p w14:paraId="400FED7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24、基金信息披露义务人认为可能对基金份额持有人权益或者基金份额的价格产生重大影响的其他事项、中国证监会</w:t>
      </w:r>
      <w:r>
        <w:rPr>
          <w:rFonts w:asciiTheme="minorEastAsia" w:hAnsiTheme="minorEastAsia" w:eastAsiaTheme="minorEastAsia"/>
          <w:sz w:val="24"/>
          <w:szCs w:val="24"/>
        </w:rPr>
        <w:t>或本基金合同</w:t>
      </w:r>
      <w:r>
        <w:rPr>
          <w:rFonts w:hint="eastAsia" w:asciiTheme="minorEastAsia" w:hAnsiTheme="minorEastAsia" w:eastAsiaTheme="minorEastAsia"/>
          <w:sz w:val="24"/>
          <w:szCs w:val="24"/>
        </w:rPr>
        <w:t>规定的其他事项。</w:t>
      </w:r>
    </w:p>
    <w:p w14:paraId="019EF96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（十一）澄清公告</w:t>
      </w:r>
    </w:p>
    <w:p w14:paraId="17C5311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在</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434BD752">
      <w:pPr>
        <w:spacing w:line="360" w:lineRule="auto"/>
        <w:ind w:firstLine="480" w:firstLineChars="200"/>
        <w:rPr>
          <w:rFonts w:ascii="Times New Roman" w:hAnsi="Times New Roman"/>
          <w:bCs/>
          <w:sz w:val="24"/>
          <w:szCs w:val="20"/>
        </w:rPr>
      </w:pPr>
      <w:r>
        <w:rPr>
          <w:rFonts w:hint="eastAsia" w:ascii="Times New Roman" w:hAnsi="Times New Roman"/>
          <w:bCs/>
          <w:sz w:val="24"/>
          <w:szCs w:val="20"/>
        </w:rPr>
        <w:t>（十二）清算报告</w:t>
      </w:r>
    </w:p>
    <w:p w14:paraId="091153A1">
      <w:pPr>
        <w:spacing w:line="360" w:lineRule="auto"/>
        <w:ind w:firstLine="480" w:firstLineChars="200"/>
        <w:rPr>
          <w:rFonts w:ascii="Times New Roman" w:hAnsi="Times New Roman"/>
          <w:bCs/>
          <w:sz w:val="24"/>
          <w:szCs w:val="20"/>
        </w:rPr>
      </w:pPr>
      <w:r>
        <w:rPr>
          <w:rFonts w:hint="eastAsia" w:ascii="Times New Roman" w:hAnsi="Times New Roman"/>
          <w:bCs/>
          <w:sz w:val="24"/>
          <w:szCs w:val="20"/>
        </w:rPr>
        <w:t>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0A2922F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（十三）基金份额持有人大会决议</w:t>
      </w:r>
    </w:p>
    <w:p w14:paraId="46E71CB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基金份额持有人大会决定的事项，应当依法报中国证监会备案，并予以公告。</w:t>
      </w:r>
    </w:p>
    <w:p w14:paraId="2458D00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（十四）基金投资资产支持证券的信息披露</w:t>
      </w:r>
    </w:p>
    <w:p w14:paraId="6E69D6F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54EE3E2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（十五）基金参与股票期权交易的信息披露</w:t>
      </w:r>
    </w:p>
    <w:p w14:paraId="54E690D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w:t>
      </w:r>
    </w:p>
    <w:p w14:paraId="60CE8A3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（十六）基金参与股指期货、国债期货交易的信息披露</w:t>
      </w:r>
    </w:p>
    <w:p w14:paraId="4936657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w:t>
      </w:r>
    </w:p>
    <w:p w14:paraId="41006C8C">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（十七）基金参与融资和转融通证券出借业务的信息披露</w:t>
      </w:r>
    </w:p>
    <w:p w14:paraId="17A1461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w:t>
      </w:r>
    </w:p>
    <w:p w14:paraId="04AB687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（十八）中国证监会规定的其他信息</w:t>
      </w:r>
    </w:p>
    <w:p w14:paraId="37BE079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六、信息披露事务管理</w:t>
      </w:r>
    </w:p>
    <w:p w14:paraId="28AEF9E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基金管理人、基金托管人应当建立健全信息披露管理制度，指定专门部门及高级管理人员负责管理信息披露事务。</w:t>
      </w:r>
    </w:p>
    <w:p w14:paraId="1FA57F3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基金信息披露义务人公开披露基金信息，应当符合中国证监会相关基金信息披露内容与格式准则等法规以及证券交易所的自律管理规则的规定。</w:t>
      </w:r>
    </w:p>
    <w:p w14:paraId="023A507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67D7E7A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基金管理人、基金托管人应当在规定媒介中选择一家披露信息的媒介。基金管理人、基金托管人应当向中国证监会基金电子披露网站报送拟披露的基金信息，并保证相关报送信息的真实、准确、完整、及时。</w:t>
      </w:r>
    </w:p>
    <w:p w14:paraId="36B8C7B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508619C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为基金信息披露义务人公开披露的基金信息出具审计报告、法律意见书的专业机构，应当制作工作底稿，并将相关档案至少保存到《基金合同》终止后10年。</w:t>
      </w:r>
    </w:p>
    <w:p w14:paraId="168267C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七、信息披露文件的存放与查阅</w:t>
      </w:r>
    </w:p>
    <w:p w14:paraId="2DED2084">
      <w:pPr>
        <w:spacing w:line="360" w:lineRule="auto"/>
        <w:ind w:firstLine="480" w:firstLineChars="200"/>
        <w:rPr>
          <w:sz w:val="24"/>
        </w:rPr>
      </w:pPr>
      <w:r>
        <w:rPr>
          <w:rFonts w:hint="eastAsia"/>
          <w:bCs/>
          <w:sz w:val="24"/>
        </w:rPr>
        <w:t>依法必须披露的信息发布</w:t>
      </w:r>
      <w:r>
        <w:rPr>
          <w:rFonts w:hint="eastAsia"/>
          <w:sz w:val="24"/>
        </w:rPr>
        <w:t>后，基金管理人、基金托管</w:t>
      </w:r>
      <w:r>
        <w:rPr>
          <w:rFonts w:hint="eastAsia"/>
          <w:bCs/>
          <w:sz w:val="24"/>
        </w:rPr>
        <w:t>人应当按照相关法律法规规定将信息置备于各自住所和</w:t>
      </w:r>
      <w:r>
        <w:rPr>
          <w:rFonts w:hint="eastAsia"/>
          <w:sz w:val="24"/>
        </w:rPr>
        <w:t>基金</w:t>
      </w:r>
      <w:r>
        <w:rPr>
          <w:rFonts w:hint="eastAsia"/>
          <w:bCs/>
          <w:sz w:val="24"/>
        </w:rPr>
        <w:t>上市交易</w:t>
      </w:r>
      <w:r>
        <w:rPr>
          <w:rFonts w:hint="eastAsia"/>
          <w:sz w:val="24"/>
        </w:rPr>
        <w:t>的</w:t>
      </w:r>
      <w:r>
        <w:rPr>
          <w:rFonts w:hint="eastAsia"/>
          <w:bCs/>
          <w:sz w:val="24"/>
        </w:rPr>
        <w:t>证券交易所</w:t>
      </w:r>
      <w:r>
        <w:rPr>
          <w:rFonts w:hint="eastAsia"/>
          <w:sz w:val="24"/>
        </w:rPr>
        <w:t>，供</w:t>
      </w:r>
      <w:r>
        <w:rPr>
          <w:rFonts w:hint="eastAsia"/>
          <w:bCs/>
          <w:sz w:val="24"/>
        </w:rPr>
        <w:t>社会</w:t>
      </w:r>
      <w:r>
        <w:rPr>
          <w:rFonts w:hint="eastAsia"/>
          <w:sz w:val="24"/>
        </w:rPr>
        <w:t>公众查阅、复制。</w:t>
      </w:r>
    </w:p>
    <w:p w14:paraId="25F5D4A0">
      <w:pPr>
        <w:snapToGrid w:val="0"/>
        <w:spacing w:line="360" w:lineRule="auto"/>
        <w:ind w:firstLine="480" w:firstLineChars="200"/>
        <w:rPr>
          <w:rFonts w:asciiTheme="minorEastAsia" w:hAnsiTheme="minorEastAsia" w:eastAsiaTheme="minorEastAsia"/>
          <w:sz w:val="24"/>
          <w:szCs w:val="24"/>
        </w:rPr>
      </w:pPr>
      <w:bookmarkStart w:id="422" w:name="_Toc123112247"/>
      <w:bookmarkStart w:id="423" w:name="_Toc11113"/>
      <w:bookmarkStart w:id="424" w:name="_Toc25647"/>
      <w:bookmarkStart w:id="425" w:name="_Toc9005"/>
      <w:bookmarkStart w:id="426" w:name="_Toc22978"/>
      <w:bookmarkStart w:id="427" w:name="_Toc123102466"/>
      <w:bookmarkStart w:id="428" w:name="_Toc27464"/>
      <w:bookmarkStart w:id="429" w:name="_Toc6237"/>
      <w:bookmarkStart w:id="430" w:name="_Toc98560364"/>
      <w:bookmarkStart w:id="431" w:name="_Toc123051465"/>
      <w:bookmarkStart w:id="432" w:name="_Toc7170"/>
      <w:bookmarkStart w:id="433" w:name="_Toc141703899"/>
      <w:bookmarkStart w:id="434" w:name="_Toc29891"/>
      <w:bookmarkStart w:id="435" w:name="_Toc8059"/>
      <w:bookmarkStart w:id="436" w:name="_Toc139991749"/>
      <w:bookmarkStart w:id="437" w:name="_Toc10006"/>
      <w:bookmarkStart w:id="438" w:name="_Toc8049"/>
      <w:r>
        <w:rPr>
          <w:rFonts w:hint="eastAsia" w:asciiTheme="minorEastAsia" w:hAnsiTheme="minorEastAsia" w:eastAsiaTheme="minorEastAsia"/>
          <w:sz w:val="24"/>
          <w:szCs w:val="24"/>
        </w:rPr>
        <w:t>八、暂停或延迟披露基金相关信息的情形</w:t>
      </w:r>
    </w:p>
    <w:p w14:paraId="1A469894">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当出现下述情况时，基金管理人和基金托管人可暂停或延迟披露基金相关信息：</w:t>
      </w:r>
    </w:p>
    <w:p w14:paraId="7CACD68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、不可抗力；</w:t>
      </w:r>
    </w:p>
    <w:p w14:paraId="461DBA4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、发生暂停基金估值的情形时；</w:t>
      </w:r>
    </w:p>
    <w:p w14:paraId="713AFAC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、法律法规规定、中国证监会和基金合同认定的其它情形。</w:t>
      </w:r>
    </w:p>
    <w:p w14:paraId="42567F0D">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p>
    <w:p w14:paraId="15449448">
      <w:pPr>
        <w:pStyle w:val="2"/>
        <w:rPr>
          <w:szCs w:val="24"/>
        </w:rPr>
        <w:sectPr>
          <w:footerReference r:id="rId29" w:type="default"/>
          <w:pgSz w:w="11906" w:h="16838"/>
          <w:pgMar w:top="1440" w:right="1800" w:bottom="1440" w:left="1800" w:header="851" w:footer="992" w:gutter="0"/>
          <w:pgNumType w:start="1"/>
          <w:cols w:space="425" w:num="1"/>
          <w:docGrid w:type="lines" w:linePitch="312" w:charSpace="0"/>
        </w:sectPr>
      </w:pPr>
      <w:bookmarkStart w:id="439" w:name="_Toc90742405"/>
      <w:bookmarkStart w:id="440" w:name="_Toc90742336"/>
      <w:bookmarkStart w:id="441" w:name="_Toc90742703"/>
    </w:p>
    <w:bookmarkEnd w:id="420"/>
    <w:p w14:paraId="5862F254">
      <w:pPr>
        <w:pStyle w:val="2"/>
        <w:rPr>
          <w:szCs w:val="24"/>
        </w:rPr>
      </w:pPr>
      <w:bookmarkStart w:id="442" w:name="CTS_d8d3aba4060d44e09bfc607b026e1c17"/>
      <w:bookmarkEnd w:id="442"/>
      <w:bookmarkStart w:id="443" w:name="_Hlt88828593"/>
      <w:bookmarkStart w:id="444" w:name="_Toc86655095"/>
      <w:bookmarkStart w:id="445" w:name="CLAUSE_d8d3aba4060d44e09bfc607b026e1c17"/>
      <w:r>
        <w:rPr>
          <w:rFonts w:hint="eastAsia" w:cs="Arial"/>
          <w:szCs w:val="24"/>
        </w:rPr>
        <w:t xml:space="preserve">第二十一部分 </w:t>
      </w:r>
      <w:r>
        <w:rPr>
          <w:szCs w:val="24"/>
        </w:rPr>
        <w:t>基金合同</w:t>
      </w:r>
      <w:bookmarkEnd w:id="443"/>
      <w:r>
        <w:rPr>
          <w:szCs w:val="24"/>
        </w:rPr>
        <w:t>的变更、终止与基金财产的清算</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4"/>
    </w:p>
    <w:p w14:paraId="7ACBF1B3">
      <w:pPr>
        <w:spacing w:line="360" w:lineRule="auto"/>
        <w:ind w:firstLine="480" w:firstLineChars="200"/>
        <w:rPr>
          <w:rFonts w:asciiTheme="minorEastAsia" w:hAnsiTheme="minorEastAsia" w:eastAsiaTheme="minorEastAsia"/>
          <w:bCs/>
          <w:sz w:val="24"/>
          <w:szCs w:val="24"/>
        </w:rPr>
      </w:pPr>
      <w:bookmarkStart w:id="446" w:name="_Toc79392639"/>
    </w:p>
    <w:p w14:paraId="66E631A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一、《基金合同》的变更</w:t>
      </w:r>
      <w:bookmarkEnd w:id="446"/>
    </w:p>
    <w:p w14:paraId="6DE1BDE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1D5D8C0D">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、关于《基金合同》变更的基金份额持有人大会决议自生效后方可执行，自决议生效后按规定在规定媒介公告。</w:t>
      </w:r>
    </w:p>
    <w:p w14:paraId="625C1CF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二、《基金合同》的终止事由</w:t>
      </w:r>
    </w:p>
    <w:p w14:paraId="0569FD1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有下列情形之一的，经履行相关程序后，《基金合同》应当终止：</w:t>
      </w:r>
    </w:p>
    <w:p w14:paraId="1AC300A1">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、基金份额持有人大会决定终止的；</w:t>
      </w:r>
    </w:p>
    <w:p w14:paraId="5F1C071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、基金管理人、基金托管人职责终止，在</w:t>
      </w:r>
      <w:r>
        <w:rPr>
          <w:rFonts w:asciiTheme="minorEastAsia" w:hAnsiTheme="minorEastAsia" w:eastAsiaTheme="minorEastAsia"/>
          <w:sz w:val="24"/>
          <w:szCs w:val="24"/>
        </w:rPr>
        <w:t>6</w:t>
      </w:r>
      <w:r>
        <w:rPr>
          <w:rFonts w:hint="eastAsia" w:asciiTheme="minorEastAsia" w:hAnsiTheme="minorEastAsia" w:eastAsiaTheme="minorEastAsia"/>
          <w:sz w:val="24"/>
          <w:szCs w:val="24"/>
        </w:rPr>
        <w:t>个月内没有新基金管理人、新基金托管人承接的；</w:t>
      </w:r>
    </w:p>
    <w:p w14:paraId="57103C6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rPr>
        <w:t>3、</w:t>
      </w:r>
      <w:r>
        <w:rPr>
          <w:rFonts w:hint="eastAsia" w:asciiTheme="minorEastAsia" w:hAnsiTheme="minorEastAsia" w:eastAsiaTheme="minorEastAsia"/>
          <w:sz w:val="24"/>
          <w:szCs w:val="24"/>
        </w:rPr>
        <w:t>《基金合同》约定的其他情形；</w:t>
      </w:r>
    </w:p>
    <w:p w14:paraId="3F21C233">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、相关法律法规和中国证监会规定的其他情况。</w:t>
      </w:r>
    </w:p>
    <w:p w14:paraId="5CBE1EDC">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三、基金财产的清算</w:t>
      </w:r>
    </w:p>
    <w:p w14:paraId="16FF605D">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、基金财产清算小组：自出现《基金合同》终止事由之日起</w:t>
      </w:r>
      <w:r>
        <w:rPr>
          <w:rFonts w:asciiTheme="minorEastAsia" w:hAnsiTheme="minorEastAsia" w:eastAsiaTheme="minorEastAsia"/>
          <w:sz w:val="24"/>
          <w:szCs w:val="24"/>
        </w:rPr>
        <w:t>30</w:t>
      </w:r>
      <w:r>
        <w:rPr>
          <w:rFonts w:hint="eastAsia" w:asciiTheme="minorEastAsia" w:hAnsiTheme="minorEastAsia" w:eastAsiaTheme="minorEastAsia"/>
          <w:sz w:val="24"/>
          <w:szCs w:val="24"/>
        </w:rPr>
        <w:t>个工作日内成立基金财产清算小组，基金管理人组织基金财产清算小组并在中国证监会的监督下进行基金清算。</w:t>
      </w:r>
    </w:p>
    <w:p w14:paraId="22B8102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2、在基金财产清算小组接管基金财产之前，基金管理人和基金托管人应按照《基金合同》和托管协议的规定继续履行保护基金财产安全的职责。</w:t>
      </w:r>
    </w:p>
    <w:p w14:paraId="1042A3C8">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、基金财产清算小组组成：基金财产清算小组成员由基金管理人、基金托管人、符合《证券法》规定的注册会计师、律师以及中国证监会指定的人员组成。基金财产清算小组可以聘用必要的工作人员。</w:t>
      </w:r>
    </w:p>
    <w:p w14:paraId="0DDC076A">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、基金财产清算小组职责：基金财产清算小组负责基金财产的保管、清理、估价、变现和分配。基金财产清算小组可以依法进行必要的民事活动。</w:t>
      </w:r>
    </w:p>
    <w:p w14:paraId="1A559289">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、基金财产清算程序：</w:t>
      </w:r>
    </w:p>
    <w:p w14:paraId="5E2A2069">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）《基金合同》终止情形出现时，由基金财产清算小组统一接管基金；</w:t>
      </w:r>
    </w:p>
    <w:p w14:paraId="3D78864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）对基金财产和债权债务进行清理和确认；</w:t>
      </w:r>
    </w:p>
    <w:p w14:paraId="52746C0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）对基金财产进行估值和变现；</w:t>
      </w:r>
    </w:p>
    <w:p w14:paraId="2F06D41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）制作清算报告；</w:t>
      </w:r>
    </w:p>
    <w:p w14:paraId="52235CCC">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）聘请会计师事务所对清算报告进行外部审计，聘请律师事务所对清算报告出具法律意见书；</w:t>
      </w:r>
    </w:p>
    <w:p w14:paraId="03D0484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）将清算报告报中国证监会备案并公告；</w:t>
      </w:r>
    </w:p>
    <w:p w14:paraId="2819D868">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7</w:t>
      </w:r>
      <w:r>
        <w:rPr>
          <w:rFonts w:hint="eastAsia" w:asciiTheme="minorEastAsia" w:hAnsiTheme="minorEastAsia" w:eastAsiaTheme="minorEastAsia"/>
          <w:sz w:val="24"/>
          <w:szCs w:val="24"/>
        </w:rPr>
        <w:t>）对基金剩余财产进行分配。</w:t>
      </w:r>
    </w:p>
    <w:p w14:paraId="295EAD6F">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、基金财产清算的期限为6个月，但因本基金所持证券的流动性受到限制而不能及时变现的，清算期限相应顺延。</w:t>
      </w:r>
    </w:p>
    <w:p w14:paraId="125456A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四、清算费用</w:t>
      </w:r>
    </w:p>
    <w:p w14:paraId="2B2F4D0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清算费用是指基金财产清算小组在进行基金财产清算过程中发生的所有合理费用，清算费用由基金财产清算小组优先从基金剩余财产中支付。</w:t>
      </w:r>
    </w:p>
    <w:p w14:paraId="611EE30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五、基金财产清算剩余资产的分配</w:t>
      </w:r>
    </w:p>
    <w:p w14:paraId="547BA81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依据基金财产清算的分配方案，将基金财产清算后的全部剩余资产扣除基金财产清算费用、交纳所欠税款并清偿基金债务后，按基金份额持有人持有的基金份额比例进行分配。</w:t>
      </w:r>
    </w:p>
    <w:p w14:paraId="6824562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六、基金财产清算的公告</w:t>
      </w:r>
    </w:p>
    <w:p w14:paraId="4FA979FF">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618E70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七、基金财产清算账册及文件的保存</w:t>
      </w:r>
    </w:p>
    <w:p w14:paraId="0345EC5C">
      <w:pPr>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sz w:val="24"/>
          <w:szCs w:val="24"/>
        </w:rPr>
        <w:t>基金财产清算账册及有关文件由基金托管人保存，保存期限不低于法定最低期限。</w:t>
      </w:r>
      <w:bookmarkStart w:id="447" w:name="_Hlt130184353"/>
      <w:bookmarkEnd w:id="447"/>
    </w:p>
    <w:p w14:paraId="68C1730C">
      <w:pPr>
        <w:pStyle w:val="2"/>
        <w:rPr>
          <w:szCs w:val="24"/>
        </w:rPr>
        <w:sectPr>
          <w:footerReference r:id="rId30" w:type="default"/>
          <w:pgSz w:w="11906" w:h="16838"/>
          <w:pgMar w:top="1440" w:right="1800" w:bottom="1440" w:left="1800" w:header="851" w:footer="992" w:gutter="0"/>
          <w:pgNumType w:start="1"/>
          <w:cols w:space="425" w:num="1"/>
          <w:docGrid w:type="lines" w:linePitch="312" w:charSpace="0"/>
        </w:sectPr>
      </w:pPr>
      <w:bookmarkStart w:id="448" w:name="_Toc8710"/>
      <w:bookmarkStart w:id="449" w:name="_Toc12191"/>
      <w:bookmarkStart w:id="450" w:name="_Toc90742406"/>
      <w:bookmarkStart w:id="451" w:name="_Toc90742337"/>
      <w:bookmarkStart w:id="452" w:name="_Toc90742704"/>
      <w:bookmarkStart w:id="453" w:name="_Toc7367"/>
      <w:bookmarkStart w:id="454" w:name="_Toc28549"/>
      <w:bookmarkStart w:id="455" w:name="_Toc98560365"/>
      <w:bookmarkStart w:id="456" w:name="_Toc21240"/>
      <w:bookmarkStart w:id="457" w:name="_Toc139991750"/>
      <w:bookmarkStart w:id="458" w:name="_Toc9708"/>
      <w:bookmarkStart w:id="459" w:name="_Toc13398"/>
      <w:bookmarkStart w:id="460" w:name="_Toc123051466"/>
      <w:bookmarkStart w:id="461" w:name="_Toc123112248"/>
      <w:bookmarkStart w:id="462" w:name="_Toc23022"/>
      <w:bookmarkStart w:id="463" w:name="_Toc30645"/>
      <w:bookmarkStart w:id="464" w:name="_Toc123102467"/>
      <w:bookmarkStart w:id="465" w:name="_Toc79392641"/>
      <w:bookmarkStart w:id="466" w:name="_Toc48649720"/>
      <w:bookmarkStart w:id="467" w:name="_Toc23166"/>
      <w:bookmarkStart w:id="468" w:name="_Toc141703901"/>
      <w:bookmarkStart w:id="469" w:name="_Toc27058"/>
    </w:p>
    <w:bookmarkEnd w:id="445"/>
    <w:p w14:paraId="1794C3B1">
      <w:pPr>
        <w:pStyle w:val="2"/>
        <w:rPr>
          <w:szCs w:val="24"/>
        </w:rPr>
      </w:pPr>
      <w:bookmarkStart w:id="470" w:name="CTS_b69c6869f1eb4e2db4b0286f2444be4e"/>
      <w:bookmarkEnd w:id="470"/>
      <w:bookmarkStart w:id="471" w:name="_Toc86655096"/>
      <w:bookmarkStart w:id="472" w:name="CLAUSE_b69c6869f1eb4e2db4b0286f2444be4e"/>
      <w:r>
        <w:rPr>
          <w:rFonts w:hint="eastAsia" w:cs="Arial"/>
          <w:szCs w:val="24"/>
        </w:rPr>
        <w:t xml:space="preserve">第二十二部分 </w:t>
      </w:r>
      <w:r>
        <w:rPr>
          <w:szCs w:val="24"/>
        </w:rPr>
        <w:t>违约责任</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1"/>
    </w:p>
    <w:p w14:paraId="6427140F">
      <w:pPr>
        <w:spacing w:line="360" w:lineRule="auto"/>
        <w:ind w:firstLine="480" w:firstLineChars="200"/>
        <w:rPr>
          <w:rFonts w:asciiTheme="minorEastAsia" w:hAnsiTheme="minorEastAsia" w:eastAsiaTheme="minorEastAsia"/>
          <w:bCs/>
          <w:sz w:val="24"/>
          <w:szCs w:val="24"/>
        </w:rPr>
      </w:pPr>
    </w:p>
    <w:p w14:paraId="0C44630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但是发生下列情况的，当事人免责：</w:t>
      </w:r>
    </w:p>
    <w:p w14:paraId="5B087ADE">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、不可抗力；</w:t>
      </w:r>
    </w:p>
    <w:p w14:paraId="4E4013C1">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、基金管理人和</w:t>
      </w:r>
      <w:r>
        <w:rPr>
          <w:rFonts w:asciiTheme="minorEastAsia" w:hAnsiTheme="minorEastAsia" w:eastAsiaTheme="minorEastAsia"/>
          <w:sz w:val="24"/>
          <w:szCs w:val="24"/>
        </w:rPr>
        <w:t>/</w:t>
      </w:r>
      <w:r>
        <w:rPr>
          <w:rFonts w:hint="eastAsia" w:asciiTheme="minorEastAsia" w:hAnsiTheme="minorEastAsia" w:eastAsiaTheme="minorEastAsia"/>
          <w:sz w:val="24"/>
          <w:szCs w:val="24"/>
        </w:rPr>
        <w:t>或基金托管人按照</w:t>
      </w:r>
      <w:r>
        <w:rPr>
          <w:rFonts w:asciiTheme="minorEastAsia" w:hAnsiTheme="minorEastAsia" w:eastAsiaTheme="minorEastAsia"/>
          <w:sz w:val="24"/>
          <w:szCs w:val="24"/>
        </w:rPr>
        <w:t>届</w:t>
      </w:r>
      <w:r>
        <w:rPr>
          <w:rFonts w:hint="eastAsia" w:asciiTheme="minorEastAsia" w:hAnsiTheme="minorEastAsia" w:eastAsiaTheme="minorEastAsia"/>
          <w:sz w:val="24"/>
          <w:szCs w:val="24"/>
        </w:rPr>
        <w:t>时有效的法律法规或中国证监会的规定作为或不作为而造成的损失等；</w:t>
      </w:r>
    </w:p>
    <w:p w14:paraId="676125FC">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、基金管理人由于按照基金合同规定行使或不行使其投资权而造成的损失等。</w:t>
      </w:r>
    </w:p>
    <w:p w14:paraId="77FFB6B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07131C6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3F53946D">
      <w:pPr>
        <w:spacing w:line="360" w:lineRule="auto"/>
        <w:ind w:firstLine="480" w:firstLineChars="200"/>
        <w:rPr>
          <w:rFonts w:asciiTheme="minorEastAsia" w:hAnsiTheme="minorEastAsia" w:eastAsiaTheme="minorEastAsia"/>
          <w:bCs/>
          <w:sz w:val="24"/>
          <w:szCs w:val="24"/>
        </w:rPr>
      </w:pPr>
      <w:bookmarkStart w:id="473" w:name="_Toc90742705"/>
      <w:bookmarkStart w:id="474" w:name="_Toc90742338"/>
      <w:bookmarkStart w:id="475" w:name="_Toc90742407"/>
      <w:bookmarkStart w:id="476" w:name="_Toc8636"/>
      <w:bookmarkStart w:id="477" w:name="_Toc30350"/>
      <w:bookmarkStart w:id="478" w:name="_Toc123112249"/>
      <w:bookmarkStart w:id="479" w:name="_Toc6202"/>
      <w:bookmarkStart w:id="480" w:name="_Toc21983"/>
      <w:bookmarkStart w:id="481" w:name="_Toc1790"/>
      <w:bookmarkStart w:id="482" w:name="_Toc139991751"/>
      <w:bookmarkStart w:id="483" w:name="_Toc24923"/>
      <w:bookmarkStart w:id="484" w:name="_Toc6110"/>
      <w:bookmarkStart w:id="485" w:name="_Toc141703902"/>
      <w:bookmarkStart w:id="486" w:name="_Toc123102468"/>
      <w:bookmarkStart w:id="487" w:name="_Toc23999"/>
      <w:bookmarkStart w:id="488" w:name="_Toc123051467"/>
      <w:bookmarkStart w:id="489" w:name="_Toc7288"/>
      <w:bookmarkStart w:id="490" w:name="_Toc3319"/>
      <w:bookmarkStart w:id="491" w:name="_Toc98560366"/>
      <w:bookmarkStart w:id="492" w:name="_Toc25651"/>
    </w:p>
    <w:bookmarkEnd w:id="472"/>
    <w:p w14:paraId="163083F0">
      <w:pPr>
        <w:pStyle w:val="2"/>
        <w:rPr>
          <w:szCs w:val="24"/>
        </w:rPr>
        <w:sectPr>
          <w:footerReference r:id="rId31" w:type="default"/>
          <w:pgSz w:w="11906" w:h="16838"/>
          <w:pgMar w:top="1440" w:right="1800" w:bottom="1440" w:left="1800" w:header="851" w:footer="992" w:gutter="0"/>
          <w:pgNumType w:start="1"/>
          <w:cols w:space="425" w:num="1"/>
          <w:docGrid w:type="lines" w:linePitch="312" w:charSpace="0"/>
        </w:sectPr>
      </w:pPr>
    </w:p>
    <w:p w14:paraId="04DC5BF0">
      <w:pPr>
        <w:pStyle w:val="2"/>
        <w:rPr>
          <w:szCs w:val="24"/>
        </w:rPr>
      </w:pPr>
      <w:bookmarkStart w:id="493" w:name="CTS_ca48ed0358bf4882801c7e4af7e0c98a"/>
      <w:bookmarkEnd w:id="493"/>
      <w:bookmarkStart w:id="494" w:name="_Toc86655097"/>
      <w:bookmarkStart w:id="495" w:name="CLAUSE_ca48ed0358bf4882801c7e4af7e0c98a"/>
      <w:r>
        <w:rPr>
          <w:rFonts w:hint="eastAsia" w:cs="Arial"/>
          <w:szCs w:val="24"/>
        </w:rPr>
        <w:t xml:space="preserve">第二十三部分 </w:t>
      </w:r>
      <w:r>
        <w:rPr>
          <w:szCs w:val="24"/>
        </w:rPr>
        <w:t>争议的处理</w:t>
      </w:r>
      <w:bookmarkEnd w:id="473"/>
      <w:bookmarkEnd w:id="474"/>
      <w:bookmarkEnd w:id="475"/>
      <w:r>
        <w:rPr>
          <w:rFonts w:hint="eastAsia"/>
          <w:szCs w:val="24"/>
        </w:rPr>
        <w:t>和适用的法律</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4"/>
    </w:p>
    <w:p w14:paraId="1EE788F9">
      <w:pPr>
        <w:spacing w:line="360" w:lineRule="auto"/>
        <w:ind w:firstLine="480" w:firstLineChars="200"/>
        <w:rPr>
          <w:rFonts w:asciiTheme="minorEastAsia" w:hAnsiTheme="minorEastAsia" w:eastAsiaTheme="minorEastAsia"/>
          <w:bCs/>
          <w:sz w:val="24"/>
          <w:szCs w:val="24"/>
        </w:rPr>
      </w:pPr>
    </w:p>
    <w:p w14:paraId="62D72FC9">
      <w:pPr>
        <w:adjustRightInd w:val="0"/>
        <w:snapToGrid w:val="0"/>
        <w:spacing w:line="360" w:lineRule="auto"/>
        <w:ind w:firstLine="420"/>
        <w:rPr>
          <w:rFonts w:asciiTheme="minorEastAsia" w:hAnsiTheme="minorEastAsia" w:eastAsiaTheme="minorEastAsia"/>
          <w:b/>
          <w:i/>
          <w:sz w:val="24"/>
          <w:szCs w:val="24"/>
        </w:rPr>
      </w:pPr>
      <w:r>
        <w:rPr>
          <w:rFonts w:hint="eastAsia" w:asciiTheme="minorEastAsia" w:hAnsiTheme="minorEastAsia" w:eastAsiaTheme="minorEastAsia"/>
          <w:b/>
          <w:i/>
          <w:sz w:val="24"/>
          <w:szCs w:val="24"/>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w:t>
      </w:r>
      <w:r>
        <w:rPr>
          <w:rFonts w:asciiTheme="minorEastAsia" w:hAnsiTheme="minorEastAsia" w:eastAsiaTheme="minorEastAsia"/>
          <w:b/>
          <w:i/>
          <w:sz w:val="24"/>
          <w:szCs w:val="24"/>
        </w:rPr>
        <w:t>各</w:t>
      </w:r>
      <w:r>
        <w:rPr>
          <w:rFonts w:hint="eastAsia" w:asciiTheme="minorEastAsia" w:hAnsiTheme="minorEastAsia" w:eastAsiaTheme="minorEastAsia"/>
          <w:b/>
          <w:i/>
          <w:sz w:val="24"/>
          <w:szCs w:val="24"/>
        </w:rPr>
        <w:t>方当事人均有约束力。</w:t>
      </w:r>
      <w:bookmarkStart w:id="496" w:name="_Hlk181717165"/>
      <w:r>
        <w:rPr>
          <w:rFonts w:hint="eastAsia" w:asciiTheme="minorEastAsia" w:hAnsiTheme="minorEastAsia" w:eastAsiaTheme="minorEastAsia"/>
          <w:b/>
          <w:i/>
          <w:sz w:val="24"/>
          <w:szCs w:val="24"/>
        </w:rPr>
        <w:t>除非仲裁裁决另有规定，仲裁费用、律师费用</w:t>
      </w:r>
      <w:bookmarkEnd w:id="496"/>
      <w:r>
        <w:rPr>
          <w:rFonts w:hint="eastAsia" w:asciiTheme="minorEastAsia" w:hAnsiTheme="minorEastAsia" w:eastAsiaTheme="minorEastAsia"/>
          <w:b/>
          <w:i/>
          <w:sz w:val="24"/>
          <w:szCs w:val="24"/>
        </w:rPr>
        <w:t>由败诉方承担。</w:t>
      </w:r>
    </w:p>
    <w:p w14:paraId="277952F8">
      <w:pPr>
        <w:adjustRightInd w:val="0"/>
        <w:snapToGrid w:val="0"/>
        <w:spacing w:line="360" w:lineRule="auto"/>
        <w:ind w:firstLine="420"/>
        <w:rPr>
          <w:rFonts w:asciiTheme="minorEastAsia" w:hAnsiTheme="minorEastAsia" w:eastAsiaTheme="minorEastAsia"/>
          <w:b/>
          <w:i/>
          <w:sz w:val="24"/>
          <w:szCs w:val="24"/>
        </w:rPr>
      </w:pPr>
      <w:r>
        <w:rPr>
          <w:rFonts w:hint="eastAsia" w:asciiTheme="minorEastAsia" w:hAnsiTheme="minorEastAsia" w:eastAsiaTheme="minorEastAsia"/>
          <w:b/>
          <w:i/>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3BBEE414">
      <w:pPr>
        <w:adjustRightInd w:val="0"/>
        <w:snapToGrid w:val="0"/>
        <w:spacing w:line="360" w:lineRule="auto"/>
        <w:ind w:firstLine="420"/>
        <w:rPr>
          <w:rFonts w:asciiTheme="minorEastAsia" w:hAnsiTheme="minorEastAsia" w:eastAsiaTheme="minorEastAsia"/>
          <w:b/>
          <w:i/>
          <w:sz w:val="24"/>
          <w:szCs w:val="24"/>
        </w:rPr>
      </w:pPr>
      <w:r>
        <w:rPr>
          <w:rFonts w:hint="eastAsia" w:asciiTheme="minorEastAsia" w:hAnsiTheme="minorEastAsia" w:eastAsiaTheme="minorEastAsia"/>
          <w:b/>
          <w:i/>
          <w:sz w:val="24"/>
          <w:szCs w:val="24"/>
        </w:rPr>
        <w:t>《基金合同》受中国法律（为本基金合同之目的，在此不包括香港、澳门特别行政区和台湾地区法律）管辖并从其解释。</w:t>
      </w:r>
    </w:p>
    <w:p w14:paraId="49C6FA3E">
      <w:pPr>
        <w:adjustRightInd w:val="0"/>
        <w:snapToGrid w:val="0"/>
        <w:spacing w:line="360" w:lineRule="auto"/>
        <w:ind w:firstLine="420"/>
        <w:rPr>
          <w:rFonts w:asciiTheme="minorEastAsia" w:hAnsiTheme="minorEastAsia" w:eastAsiaTheme="minorEastAsia"/>
          <w:color w:val="0C0C0C" w:themeColor="text1" w:themeTint="F2"/>
          <w:sz w:val="24"/>
          <w:szCs w:val="24"/>
        </w:rPr>
      </w:pPr>
    </w:p>
    <w:bookmarkEnd w:id="495"/>
    <w:p w14:paraId="0111C2A6">
      <w:pPr>
        <w:pStyle w:val="2"/>
        <w:rPr>
          <w:szCs w:val="24"/>
        </w:rPr>
        <w:sectPr>
          <w:footerReference r:id="rId32" w:type="default"/>
          <w:pgSz w:w="11906" w:h="16838"/>
          <w:pgMar w:top="1440" w:right="1800" w:bottom="1440" w:left="1800" w:header="851" w:footer="992" w:gutter="0"/>
          <w:pgNumType w:start="1"/>
          <w:cols w:space="425" w:num="1"/>
          <w:docGrid w:type="lines" w:linePitch="312" w:charSpace="0"/>
        </w:sectPr>
      </w:pPr>
    </w:p>
    <w:p w14:paraId="6DA84624">
      <w:pPr>
        <w:pStyle w:val="2"/>
        <w:rPr>
          <w:szCs w:val="24"/>
        </w:rPr>
      </w:pPr>
      <w:bookmarkStart w:id="497" w:name="CTS_e0293bcfa4544bac8a39c99acec0c0b6"/>
      <w:bookmarkEnd w:id="497"/>
      <w:bookmarkStart w:id="498" w:name="_Toc86655098"/>
      <w:bookmarkStart w:id="499" w:name="CLAUSE_e0293bcfa4544bac8a39c99acec0c0b6"/>
      <w:r>
        <w:rPr>
          <w:rFonts w:hint="eastAsia" w:cs="Arial"/>
          <w:szCs w:val="24"/>
        </w:rPr>
        <w:t xml:space="preserve">第二十四部分 </w:t>
      </w:r>
      <w:r>
        <w:rPr>
          <w:szCs w:val="24"/>
        </w:rPr>
        <w:t>基金合同的效力</w:t>
      </w:r>
      <w:bookmarkEnd w:id="498"/>
    </w:p>
    <w:p w14:paraId="39DCAA32">
      <w:pPr>
        <w:snapToGrid w:val="0"/>
        <w:spacing w:line="360" w:lineRule="auto"/>
        <w:ind w:firstLine="480" w:firstLineChars="200"/>
        <w:rPr>
          <w:rFonts w:asciiTheme="minorEastAsia" w:hAnsiTheme="minorEastAsia" w:eastAsiaTheme="minorEastAsia"/>
          <w:sz w:val="24"/>
          <w:szCs w:val="24"/>
        </w:rPr>
      </w:pPr>
    </w:p>
    <w:p w14:paraId="43FA57E1">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是约定基金合同当事人之间权利义务关系的法律文件。</w:t>
      </w:r>
    </w:p>
    <w:p w14:paraId="0FDFDC0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一、《基金合同》经基金管理人、基金托管人双方盖章（公章或合同专用章）以及双方法定代表人或授权代表签章并在募集结束后经基金管理人向中国证监会办理基金备案手续，并经中国证监会书面确认后生效。</w:t>
      </w:r>
    </w:p>
    <w:p w14:paraId="041EA0F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二、《基金合同》的有效期自其生效之日起至基金财产清算结果报中国证监会备案并公告之日止。</w:t>
      </w:r>
    </w:p>
    <w:p w14:paraId="3DAA899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自生效之日起对包括基金管理人、基金托管人和基金份额持有人在内的</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各方当事人具有同等的法律约束力。</w:t>
      </w:r>
    </w:p>
    <w:p w14:paraId="0CE7813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四、《基金合同》正本一式三份，除上报有关监管机构一份外，基金管理人、基金托管人各持有一份，每份具有同等的法律效力。</w:t>
      </w:r>
    </w:p>
    <w:p w14:paraId="057FC7E9">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五、</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可印制成册，供</w:t>
      </w:r>
      <w:r>
        <w:rPr>
          <w:rFonts w:asciiTheme="minorEastAsia" w:hAnsiTheme="minorEastAsia" w:eastAsiaTheme="minorEastAsia"/>
          <w:sz w:val="24"/>
          <w:szCs w:val="24"/>
        </w:rPr>
        <w:t>投资人</w:t>
      </w:r>
      <w:r>
        <w:rPr>
          <w:rFonts w:hint="eastAsia" w:asciiTheme="minorEastAsia" w:hAnsiTheme="minorEastAsia" w:eastAsiaTheme="minorEastAsia"/>
          <w:sz w:val="24"/>
          <w:szCs w:val="24"/>
        </w:rPr>
        <w:t>在基金管理人、基金托管人、</w:t>
      </w:r>
      <w:r>
        <w:rPr>
          <w:rFonts w:asciiTheme="minorEastAsia" w:hAnsiTheme="minorEastAsia" w:eastAsiaTheme="minorEastAsia"/>
          <w:sz w:val="24"/>
          <w:szCs w:val="24"/>
        </w:rPr>
        <w:t>代销</w:t>
      </w:r>
      <w:r>
        <w:rPr>
          <w:rFonts w:hint="eastAsia" w:asciiTheme="minorEastAsia" w:hAnsiTheme="minorEastAsia" w:eastAsiaTheme="minorEastAsia"/>
          <w:sz w:val="24"/>
          <w:szCs w:val="24"/>
        </w:rPr>
        <w:t>机构的办公场所查阅。</w:t>
      </w:r>
    </w:p>
    <w:p w14:paraId="2AAC72E5">
      <w:pPr>
        <w:adjustRightInd w:val="0"/>
        <w:snapToGrid w:val="0"/>
        <w:spacing w:line="360" w:lineRule="auto"/>
        <w:rPr>
          <w:rFonts w:cs="Arial" w:asciiTheme="minorEastAsia" w:hAnsiTheme="minorEastAsia" w:eastAsiaTheme="minorEastAsia"/>
          <w:color w:val="0C0C0C" w:themeColor="text1" w:themeTint="F2"/>
          <w:sz w:val="24"/>
          <w:szCs w:val="24"/>
        </w:rPr>
      </w:pPr>
    </w:p>
    <w:bookmarkEnd w:id="499"/>
    <w:p w14:paraId="64A171EB">
      <w:pPr>
        <w:pStyle w:val="2"/>
        <w:rPr>
          <w:szCs w:val="24"/>
        </w:rPr>
        <w:sectPr>
          <w:footerReference r:id="rId33" w:type="default"/>
          <w:pgSz w:w="11906" w:h="16838"/>
          <w:pgMar w:top="1440" w:right="1800" w:bottom="1440" w:left="1800" w:header="851" w:footer="992" w:gutter="0"/>
          <w:pgNumType w:start="1"/>
          <w:cols w:space="425" w:num="1"/>
          <w:docGrid w:type="lines" w:linePitch="312" w:charSpace="0"/>
        </w:sectPr>
      </w:pPr>
    </w:p>
    <w:p w14:paraId="46A5D070">
      <w:pPr>
        <w:pStyle w:val="2"/>
        <w:rPr>
          <w:szCs w:val="24"/>
        </w:rPr>
      </w:pPr>
      <w:bookmarkStart w:id="500" w:name="CTS_0467a38cd9ce462381256d127af2578b"/>
      <w:bookmarkEnd w:id="500"/>
      <w:bookmarkStart w:id="501" w:name="_Toc86655099"/>
      <w:bookmarkStart w:id="502" w:name="CLAUSE_0467a38cd9ce462381256d127af2578b"/>
      <w:r>
        <w:rPr>
          <w:rFonts w:hint="eastAsia" w:cs="Arial"/>
          <w:szCs w:val="24"/>
        </w:rPr>
        <w:t xml:space="preserve">第二十五部分 </w:t>
      </w:r>
      <w:r>
        <w:rPr>
          <w:szCs w:val="24"/>
        </w:rPr>
        <w:t>其他事项</w:t>
      </w:r>
      <w:bookmarkEnd w:id="501"/>
    </w:p>
    <w:p w14:paraId="32BF085E">
      <w:pPr>
        <w:snapToGrid w:val="0"/>
        <w:spacing w:line="360" w:lineRule="auto"/>
        <w:ind w:firstLine="480" w:firstLineChars="200"/>
        <w:rPr>
          <w:rFonts w:asciiTheme="minorEastAsia" w:hAnsiTheme="minorEastAsia" w:eastAsiaTheme="minorEastAsia"/>
          <w:sz w:val="24"/>
          <w:szCs w:val="24"/>
        </w:rPr>
      </w:pPr>
    </w:p>
    <w:p w14:paraId="211F46F5">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本基金合同如有未尽事宜，由本基金合同当事人各方按有关法律法规和规定协商解决。</w:t>
      </w:r>
    </w:p>
    <w:p w14:paraId="6C490A5E">
      <w:pPr>
        <w:widowControl/>
        <w:adjustRightInd w:val="0"/>
        <w:snapToGrid w:val="0"/>
        <w:spacing w:line="360" w:lineRule="auto"/>
        <w:ind w:firstLine="420"/>
        <w:jc w:val="left"/>
        <w:rPr>
          <w:rFonts w:asciiTheme="minorEastAsia" w:hAnsiTheme="minorEastAsia" w:eastAsiaTheme="minorEastAsia"/>
          <w:color w:val="0C0C0C" w:themeColor="text1" w:themeTint="F2"/>
          <w:sz w:val="24"/>
          <w:szCs w:val="24"/>
        </w:rPr>
        <w:sectPr>
          <w:footerReference r:id="rId34" w:type="default"/>
          <w:pgSz w:w="11906" w:h="16838"/>
          <w:pgMar w:top="1440" w:right="1800" w:bottom="1440" w:left="1800" w:header="851" w:footer="992" w:gutter="0"/>
          <w:pgNumType w:start="1"/>
          <w:cols w:space="425" w:num="1"/>
          <w:docGrid w:type="lines" w:linePitch="312" w:charSpace="0"/>
        </w:sectPr>
      </w:pPr>
      <w:bookmarkStart w:id="503" w:name="_Hlt70506133"/>
      <w:bookmarkEnd w:id="503"/>
    </w:p>
    <w:p w14:paraId="20C485B4">
      <w:pPr>
        <w:pStyle w:val="2"/>
        <w:rPr>
          <w:szCs w:val="24"/>
        </w:rPr>
      </w:pPr>
      <w:bookmarkStart w:id="504" w:name="_Toc86655100"/>
      <w:r>
        <w:rPr>
          <w:rFonts w:hint="eastAsia"/>
          <w:szCs w:val="24"/>
        </w:rPr>
        <w:t>第二十六部分 基金合同摘要</w:t>
      </w:r>
      <w:bookmarkEnd w:id="504"/>
    </w:p>
    <w:p w14:paraId="22BAF8D0">
      <w:pPr>
        <w:adjustRightInd w:val="0"/>
        <w:snapToGrid w:val="0"/>
        <w:spacing w:line="360" w:lineRule="auto"/>
        <w:rPr>
          <w:rFonts w:asciiTheme="minorEastAsia" w:hAnsiTheme="minorEastAsia"/>
          <w:b/>
          <w:color w:val="0C0C0C" w:themeColor="text1" w:themeTint="F2"/>
          <w:sz w:val="24"/>
        </w:rPr>
      </w:pPr>
    </w:p>
    <w:p w14:paraId="55E98438">
      <w:pPr>
        <w:adjustRightInd w:val="0"/>
        <w:snapToGrid w:val="0"/>
        <w:spacing w:line="360" w:lineRule="auto"/>
        <w:rPr>
          <w:rFonts w:asciiTheme="minorEastAsia" w:hAnsiTheme="minorEastAsia"/>
          <w:b/>
          <w:color w:val="0C0C0C" w:themeColor="text1" w:themeTint="F2"/>
          <w:sz w:val="24"/>
        </w:rPr>
      </w:pPr>
      <w:r>
        <w:rPr>
          <w:rFonts w:hint="eastAsia" w:asciiTheme="minorEastAsia" w:hAnsiTheme="minorEastAsia"/>
          <w:b/>
          <w:color w:val="0C0C0C" w:themeColor="text1" w:themeTint="F2"/>
          <w:sz w:val="24"/>
        </w:rPr>
        <w:t>一、基金份额持有人、基金管理人和基金托管人的权利、义务</w:t>
      </w:r>
    </w:p>
    <w:p w14:paraId="2064C96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（一）基金份额持有人的权利与义务</w:t>
      </w:r>
    </w:p>
    <w:p w14:paraId="17783D80">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DD78A35">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每份基金份额具有同等的合法权益。</w:t>
      </w:r>
    </w:p>
    <w:p w14:paraId="453E9A1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1、根据《基金法》、《运作办法》及其他有关规定，基金份额持有人的权利包括但不限于：</w:t>
      </w:r>
    </w:p>
    <w:p w14:paraId="243AD505">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（1）分享基金财产收益；</w:t>
      </w:r>
    </w:p>
    <w:p w14:paraId="532AB37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（2）参与分配清算后的剩余基金财产；</w:t>
      </w:r>
    </w:p>
    <w:p w14:paraId="197288D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（3）依法转让或者申请赎回其持有的基金份额；</w:t>
      </w:r>
    </w:p>
    <w:p w14:paraId="1259888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（4）按照规定要求召开基金份额持有人大会或者召集基金份额持有人大会；</w:t>
      </w:r>
    </w:p>
    <w:p w14:paraId="0B17846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（5）出席或者委派代表出席基金份额持有人大会，对基金份额持有人大会审议事项行使表决权；</w:t>
      </w:r>
    </w:p>
    <w:p w14:paraId="39FC22D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（6）查阅或者复制公开披露的基金信息资料；</w:t>
      </w:r>
    </w:p>
    <w:p w14:paraId="57F8A7F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（7）监督基金管理人的投资运作；</w:t>
      </w:r>
    </w:p>
    <w:p w14:paraId="6709755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（8）对基金管理人、基金托管人、基金服务机构损害其合法权益的行为依法提起诉讼或仲裁；</w:t>
      </w:r>
    </w:p>
    <w:p w14:paraId="28E5FFE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（9）法律法规及中国证监会规定的和《基金合同》约定的其他权利。</w:t>
      </w:r>
    </w:p>
    <w:p w14:paraId="1BF3B71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2、根据《基金法》、《运作办法》及其他有关规定，基金份额持有人的义务包括但不限于：</w:t>
      </w:r>
    </w:p>
    <w:p w14:paraId="57E0F19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（1）认真阅读并遵守《基金合同》、招募说明书</w:t>
      </w:r>
      <w:r>
        <w:rPr>
          <w:rFonts w:hint="eastAsia" w:cs="Arial" w:asciiTheme="minorEastAsia" w:hAnsiTheme="minorEastAsia" w:eastAsiaTheme="minorEastAsia"/>
          <w:color w:val="0C0C0C" w:themeColor="text1" w:themeTint="F2"/>
          <w:sz w:val="24"/>
          <w:szCs w:val="24"/>
        </w:rPr>
        <w:t>及基金产品资料概要</w:t>
      </w:r>
      <w:r>
        <w:rPr>
          <w:rFonts w:hint="eastAsia" w:asciiTheme="minorEastAsia" w:hAnsiTheme="minorEastAsia" w:eastAsiaTheme="minorEastAsia"/>
          <w:sz w:val="24"/>
          <w:szCs w:val="24"/>
        </w:rPr>
        <w:t>等信息披露文件；</w:t>
      </w:r>
    </w:p>
    <w:p w14:paraId="084794C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（2）了解所投资基金产品，了解自身风险承受能力，自主判断基金的投资价值，自主做出投资决策，自行承担投资风险；</w:t>
      </w:r>
    </w:p>
    <w:p w14:paraId="1C0A5CCA">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（3）关注基金信息披露，及时行使权利和履行义务；</w:t>
      </w:r>
    </w:p>
    <w:p w14:paraId="197B606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（4）交纳基金认购款项和认购股票、申购对价及法律法规和《基金合同》所规定的费用；</w:t>
      </w:r>
    </w:p>
    <w:p w14:paraId="375EAF4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（5）在其持有的基金份额范围内，承担基金亏损或者《基金合同》终止的有限责任；</w:t>
      </w:r>
    </w:p>
    <w:p w14:paraId="5C521230">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（6）不从事任何有损基金及其他《基金合同》当事人合法权益的活动；</w:t>
      </w:r>
    </w:p>
    <w:p w14:paraId="37562F1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（7）执行生效的基金份额持有人大会的决议；</w:t>
      </w:r>
    </w:p>
    <w:p w14:paraId="5F00DA4B">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（8）返还在基金交易过程中因任何原因获得的不当得利；</w:t>
      </w:r>
    </w:p>
    <w:p w14:paraId="2342E4E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（9）法律法规及中国证监会规定的和《基金合同》约定的其他义务。</w:t>
      </w:r>
    </w:p>
    <w:p w14:paraId="49841AD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（二）基金管理人的权利与义务</w:t>
      </w:r>
    </w:p>
    <w:p w14:paraId="020DDFF4">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cs="Arial" w:asciiTheme="minorEastAsia" w:hAnsiTheme="minorEastAsia" w:eastAsiaTheme="minorEastAsia"/>
          <w:color w:val="0C0C0C" w:themeColor="text1" w:themeTint="F2"/>
          <w:sz w:val="24"/>
          <w:szCs w:val="24"/>
        </w:rPr>
        <w:t>1</w:t>
      </w:r>
      <w:r>
        <w:rPr>
          <w:rFonts w:hint="eastAsia" w:cs="Arial" w:asciiTheme="minorEastAsia" w:hAnsiTheme="minorEastAsia" w:eastAsiaTheme="minorEastAsia"/>
          <w:color w:val="0C0C0C" w:themeColor="text1" w:themeTint="F2"/>
          <w:sz w:val="24"/>
          <w:szCs w:val="24"/>
        </w:rPr>
        <w:t>、根据《基金法》、《运作办法》及其他有关规定，基金管理人的权利包括但不限于：</w:t>
      </w:r>
    </w:p>
    <w:p w14:paraId="364CE94A">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1</w:t>
      </w:r>
      <w:r>
        <w:rPr>
          <w:rFonts w:hint="eastAsia" w:cs="Arial" w:asciiTheme="minorEastAsia" w:hAnsiTheme="minorEastAsia" w:eastAsiaTheme="minorEastAsia"/>
          <w:color w:val="0C0C0C" w:themeColor="text1" w:themeTint="F2"/>
          <w:sz w:val="24"/>
          <w:szCs w:val="24"/>
        </w:rPr>
        <w:t>）依法募集资金；</w:t>
      </w:r>
    </w:p>
    <w:p w14:paraId="56378B75">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2</w:t>
      </w:r>
      <w:r>
        <w:rPr>
          <w:rFonts w:hint="eastAsia" w:cs="Arial" w:asciiTheme="minorEastAsia" w:hAnsiTheme="minorEastAsia" w:eastAsiaTheme="minorEastAsia"/>
          <w:color w:val="0C0C0C" w:themeColor="text1" w:themeTint="F2"/>
          <w:sz w:val="24"/>
          <w:szCs w:val="24"/>
        </w:rPr>
        <w:t>）自《基金合同》生效之日起，根据法律法规和《基金合同》独立运用并管理基金财产；</w:t>
      </w:r>
    </w:p>
    <w:p w14:paraId="29BFA3C0">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3</w:t>
      </w:r>
      <w:r>
        <w:rPr>
          <w:rFonts w:hint="eastAsia" w:cs="Arial" w:asciiTheme="minorEastAsia" w:hAnsiTheme="minorEastAsia" w:eastAsiaTheme="minorEastAsia"/>
          <w:color w:val="0C0C0C" w:themeColor="text1" w:themeTint="F2"/>
          <w:sz w:val="24"/>
          <w:szCs w:val="24"/>
        </w:rPr>
        <w:t>）依照《基金合同》收取基金管理费以及法律法规规定或中国证监会批准的其他费用；</w:t>
      </w:r>
    </w:p>
    <w:p w14:paraId="307B9B97">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4</w:t>
      </w:r>
      <w:r>
        <w:rPr>
          <w:rFonts w:hint="eastAsia" w:cs="Arial" w:asciiTheme="minorEastAsia" w:hAnsiTheme="minorEastAsia" w:eastAsiaTheme="minorEastAsia"/>
          <w:color w:val="0C0C0C" w:themeColor="text1" w:themeTint="F2"/>
          <w:sz w:val="24"/>
          <w:szCs w:val="24"/>
        </w:rPr>
        <w:t>）销售基金份额；</w:t>
      </w:r>
    </w:p>
    <w:p w14:paraId="50FEB667">
      <w:pPr>
        <w:adjustRightInd w:val="0"/>
        <w:snapToGrid w:val="0"/>
        <w:spacing w:line="360" w:lineRule="auto"/>
        <w:ind w:firstLine="480" w:firstLineChars="200"/>
        <w:rPr>
          <w:rFonts w:cs="Arial" w:asciiTheme="minorEastAsia" w:hAnsiTheme="minorEastAsia" w:eastAsiaTheme="minorEastAsia"/>
          <w:color w:val="0C0C0C" w:themeColor="text1" w:themeTint="F2"/>
          <w:sz w:val="24"/>
          <w:szCs w:val="24"/>
        </w:rPr>
      </w:pPr>
      <w:r>
        <w:rPr>
          <w:rFonts w:hint="eastAsia" w:cs="Arial" w:asciiTheme="minorEastAsia" w:hAnsiTheme="minorEastAsia" w:eastAsiaTheme="minorEastAsia"/>
          <w:color w:val="0C0C0C" w:themeColor="text1" w:themeTint="F2"/>
          <w:sz w:val="24"/>
          <w:szCs w:val="24"/>
        </w:rPr>
        <w:t>（</w:t>
      </w:r>
      <w:r>
        <w:rPr>
          <w:rFonts w:cs="Arial" w:asciiTheme="minorEastAsia" w:hAnsiTheme="minorEastAsia" w:eastAsiaTheme="minorEastAsia"/>
          <w:color w:val="0C0C0C" w:themeColor="text1" w:themeTint="F2"/>
          <w:sz w:val="24"/>
          <w:szCs w:val="24"/>
        </w:rPr>
        <w:t>5</w:t>
      </w:r>
      <w:r>
        <w:rPr>
          <w:rFonts w:hint="eastAsia" w:cs="Arial" w:asciiTheme="minorEastAsia" w:hAnsiTheme="minorEastAsia" w:eastAsiaTheme="minorEastAsia"/>
          <w:color w:val="0C0C0C" w:themeColor="text1" w:themeTint="F2"/>
          <w:sz w:val="24"/>
          <w:szCs w:val="24"/>
        </w:rPr>
        <w:t>）按照规定召集基金份额持有人大会；</w:t>
      </w:r>
    </w:p>
    <w:p w14:paraId="6BFC7A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5E1C70A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）在基金托管人更换时，提名新的基金托管人；</w:t>
      </w:r>
    </w:p>
    <w:p w14:paraId="03D856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）选择、更换基金销售机构，对基金销售机构的相关行为进行监督和处理；</w:t>
      </w:r>
    </w:p>
    <w:p w14:paraId="768E8EA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）担任或委托其他符合条件的机构担任基金登记机构办理基金登记业务并获得《基金合同》规定的费用；</w:t>
      </w:r>
    </w:p>
    <w:p w14:paraId="72FE8B6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）依据《基金合同》及有关法律规定决定基金收益的分配方案；</w:t>
      </w:r>
      <w:r>
        <w:rPr>
          <w:rFonts w:asciiTheme="minorEastAsia" w:hAnsiTheme="minorEastAsia" w:eastAsiaTheme="minorEastAsia"/>
          <w:color w:val="0C0C0C" w:themeColor="text1" w:themeTint="F2"/>
          <w:sz w:val="24"/>
          <w:szCs w:val="24"/>
        </w:rPr>
        <w:tab/>
      </w:r>
    </w:p>
    <w:p w14:paraId="0A93841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）在《基金合同》约定的范围内，拒绝或暂停受理申购与赎回申请；</w:t>
      </w:r>
    </w:p>
    <w:p w14:paraId="1C485AC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）依照法律法规为基金的利益对被投资公司行使股东权利，为基金的利益行使因基金财产投资于证券所产生的权利；</w:t>
      </w:r>
    </w:p>
    <w:p w14:paraId="4DBA1F7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）在法律法规允许的前提下，为基金的利益依法为基金进行融资和转融通证券出借业务；</w:t>
      </w:r>
    </w:p>
    <w:p w14:paraId="75A797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）以基金管理人的名义，代表基金份额持有人的利益行使诉讼权利或者实施其他法律行为；</w:t>
      </w:r>
      <w:r>
        <w:rPr>
          <w:rFonts w:asciiTheme="minorEastAsia" w:hAnsiTheme="minorEastAsia" w:eastAsiaTheme="minorEastAsia"/>
          <w:color w:val="0C0C0C" w:themeColor="text1" w:themeTint="F2"/>
          <w:sz w:val="24"/>
          <w:szCs w:val="24"/>
        </w:rPr>
        <w:tab/>
      </w:r>
    </w:p>
    <w:p w14:paraId="4CA1CB7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）选择、更换律师事务所、会计师事务所、证券、期货经纪商或其他为基金提供服务的外部机构；</w:t>
      </w:r>
      <w:r>
        <w:rPr>
          <w:rFonts w:asciiTheme="minorEastAsia" w:hAnsiTheme="minorEastAsia" w:eastAsiaTheme="minorEastAsia"/>
          <w:color w:val="0C0C0C" w:themeColor="text1" w:themeTint="F2"/>
          <w:sz w:val="24"/>
          <w:szCs w:val="24"/>
        </w:rPr>
        <w:tab/>
      </w:r>
    </w:p>
    <w:p w14:paraId="6E08F7C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）在符合有关法律、法规的前提下，制订和调整有关基金认购</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申购、赎回、非交易过户</w:t>
      </w:r>
      <w:r>
        <w:rPr>
          <w:rFonts w:hint="eastAsia" w:cs="Arial" w:asciiTheme="minorEastAsia" w:hAnsiTheme="minorEastAsia" w:eastAsiaTheme="minorEastAsia"/>
          <w:color w:val="0C0C0C" w:themeColor="text1" w:themeTint="F2"/>
          <w:sz w:val="24"/>
          <w:szCs w:val="24"/>
        </w:rPr>
        <w:t>等</w:t>
      </w:r>
      <w:r>
        <w:rPr>
          <w:rFonts w:hint="eastAsia" w:asciiTheme="minorEastAsia" w:hAnsiTheme="minorEastAsia" w:eastAsiaTheme="minorEastAsia"/>
          <w:color w:val="0C0C0C" w:themeColor="text1" w:themeTint="F2"/>
          <w:sz w:val="24"/>
          <w:szCs w:val="24"/>
        </w:rPr>
        <w:t>业务规则；</w:t>
      </w:r>
    </w:p>
    <w:p w14:paraId="3923BF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2E038F6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、根据《基金法》、《运作办法》及其他有关规定，基金管理人的义务包括但不限于：</w:t>
      </w:r>
    </w:p>
    <w:p w14:paraId="6C764BA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）依法募集资金，办理或者委托经中国证监会认定的其他机构代为办理基金份额的发售、申购、赎回和登记事宜；</w:t>
      </w:r>
    </w:p>
    <w:p w14:paraId="79F6B9D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）办理基金备案手续；</w:t>
      </w:r>
    </w:p>
    <w:p w14:paraId="1AC7B9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）自《基金合同》生效之日起</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以诚实信用、谨慎勤勉的原则管理和运用基金财产；</w:t>
      </w:r>
    </w:p>
    <w:p w14:paraId="55C02B4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）配备足够的具有专业资格的人员进行基金投资分析、决策，以专业化的经营方式管理和运作基金财产；</w:t>
      </w:r>
    </w:p>
    <w:p w14:paraId="28A88AA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对所管理的不同基金分别管理，分别记账，进行证券投资；</w:t>
      </w:r>
    </w:p>
    <w:p w14:paraId="130ABE6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）除依据《基金法》、《基金合同》及其他有关规定外</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不得利用基金财产为自己及任何第三人谋取利益，不得委托第三人运作基金财产；</w:t>
      </w:r>
    </w:p>
    <w:p w14:paraId="0A1E4A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）依法接受基金托管人的监督；</w:t>
      </w:r>
    </w:p>
    <w:p w14:paraId="18705BD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）采取适当合理的措施使计算基金份额认购价格、申购对价、赎回对价的方法符合《基金合同》等法律文件的规定，按有关规定计算并公告基金净值信息，确定基金份额申购、赎回对价，编制申购赎回清单；</w:t>
      </w:r>
    </w:p>
    <w:p w14:paraId="0682D1A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）进行基金会计核算并编制基金财务会计报告；</w:t>
      </w:r>
    </w:p>
    <w:p w14:paraId="1DA3793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）编制季度报告、中期报告和年度报告；</w:t>
      </w:r>
    </w:p>
    <w:p w14:paraId="7B3F684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）严格按照《基金法》、《基金合同》及其他有关规定，履行信息披露及报告义务；</w:t>
      </w:r>
    </w:p>
    <w:p w14:paraId="0346DBA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保守基金商业秘密，不泄露基金投资计划、投资意向等。除《基金法》、《基金合同》及其他有关规定另有规定外，在基金信息公开披露前应予保密，不向他人泄露，法律、法规另有规定的以及审计需要的除外；</w:t>
      </w:r>
    </w:p>
    <w:p w14:paraId="0775A6A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）按《基金合同》的约定确定基金收益分配方案，及时向基金份额持有人分配基金收益；</w:t>
      </w:r>
    </w:p>
    <w:p w14:paraId="25938FA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14</w:t>
      </w:r>
      <w:r>
        <w:rPr>
          <w:rFonts w:hint="eastAsia" w:asciiTheme="minorEastAsia" w:hAnsiTheme="minorEastAsia" w:eastAsiaTheme="minorEastAsia"/>
          <w:color w:val="0C0C0C" w:themeColor="text1" w:themeTint="F2"/>
          <w:sz w:val="24"/>
          <w:szCs w:val="24"/>
        </w:rPr>
        <w:t>）按规定受理申购与赎回申请，及时、足额支付赎回</w:t>
      </w:r>
      <w:r>
        <w:rPr>
          <w:rFonts w:hint="eastAsia" w:cs="Arial" w:asciiTheme="minorEastAsia" w:hAnsiTheme="minorEastAsia" w:eastAsiaTheme="minorEastAsia"/>
          <w:color w:val="0C0C0C" w:themeColor="text1" w:themeTint="F2"/>
          <w:sz w:val="24"/>
          <w:szCs w:val="24"/>
        </w:rPr>
        <w:t>对价</w:t>
      </w:r>
      <w:r>
        <w:rPr>
          <w:rFonts w:hint="eastAsia" w:asciiTheme="minorEastAsia" w:hAnsiTheme="minorEastAsia" w:eastAsiaTheme="minorEastAsia"/>
          <w:color w:val="0C0C0C" w:themeColor="text1" w:themeTint="F2"/>
          <w:sz w:val="24"/>
          <w:szCs w:val="24"/>
        </w:rPr>
        <w:t>；</w:t>
      </w:r>
    </w:p>
    <w:p w14:paraId="445D6A2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）依据《基金法》、《基金合同》及其他有关规定召集基金份额持有人大会或配合基金托管人、基金份额持有人依法召集基金份额持有人大会；</w:t>
      </w:r>
    </w:p>
    <w:p w14:paraId="3F48062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）按规定保存基金财产管理业务活动的会计账册、报表、记录和其他相关资料，保存期限不低于法定最低期限；</w:t>
      </w:r>
    </w:p>
    <w:p w14:paraId="08B5B44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30CDC5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18</w:t>
      </w:r>
      <w:r>
        <w:rPr>
          <w:rFonts w:hint="eastAsia" w:asciiTheme="minorEastAsia" w:hAnsiTheme="minorEastAsia" w:eastAsiaTheme="minorEastAsia"/>
          <w:color w:val="0C0C0C" w:themeColor="text1" w:themeTint="F2"/>
          <w:sz w:val="24"/>
          <w:szCs w:val="24"/>
        </w:rPr>
        <w:t>）组织并参加基金财产清算小组</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参与基金财产的保管、清理、估价、变现和分配；</w:t>
      </w:r>
    </w:p>
    <w:p w14:paraId="41C79F1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19</w:t>
      </w:r>
      <w:r>
        <w:rPr>
          <w:rFonts w:hint="eastAsia" w:asciiTheme="minorEastAsia" w:hAnsiTheme="minorEastAsia" w:eastAsiaTheme="minorEastAsia"/>
          <w:color w:val="0C0C0C" w:themeColor="text1" w:themeTint="F2"/>
          <w:sz w:val="24"/>
          <w:szCs w:val="24"/>
        </w:rPr>
        <w:t>）面临解散、依法被撤销或者被依法宣告破产时，及时报告中国证监会并通知基金托管人；</w:t>
      </w:r>
    </w:p>
    <w:p w14:paraId="26EAA12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）因违反《基金合同》导致基金财产的损失或损害基金份额持有人合法权益时，应当承担赔偿责任，其赔偿责任不因其退任而免除；</w:t>
      </w:r>
    </w:p>
    <w:p w14:paraId="02030C7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21</w:t>
      </w:r>
      <w:r>
        <w:rPr>
          <w:rFonts w:hint="eastAsia" w:asciiTheme="minorEastAsia" w:hAnsiTheme="minorEastAsia" w:eastAsiaTheme="minorEastAsia"/>
          <w:color w:val="0C0C0C" w:themeColor="text1" w:themeTint="F2"/>
          <w:sz w:val="24"/>
          <w:szCs w:val="24"/>
        </w:rPr>
        <w:t>）监督基金托管人按法律法规和《基金合同》规定履行自己的义务，基金托管人违反《基金合同》造成基金财产损失时，基金管理人应为基金份额持有人利益向基金托管人追偿；</w:t>
      </w:r>
    </w:p>
    <w:p w14:paraId="100D33A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22</w:t>
      </w:r>
      <w:r>
        <w:rPr>
          <w:rFonts w:hint="eastAsia" w:asciiTheme="minorEastAsia" w:hAnsiTheme="minorEastAsia" w:eastAsiaTheme="minorEastAsia"/>
          <w:color w:val="0C0C0C" w:themeColor="text1" w:themeTint="F2"/>
          <w:sz w:val="24"/>
          <w:szCs w:val="24"/>
        </w:rPr>
        <w:t>）当基金管理人将其义务委托第三方处理时，应当对第三方处理有关基金事务的行为承担责任；</w:t>
      </w:r>
    </w:p>
    <w:p w14:paraId="53898BE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23</w:t>
      </w:r>
      <w:r>
        <w:rPr>
          <w:rFonts w:hint="eastAsia" w:asciiTheme="minorEastAsia" w:hAnsiTheme="minorEastAsia" w:eastAsiaTheme="minorEastAsia"/>
          <w:color w:val="0C0C0C" w:themeColor="text1" w:themeTint="F2"/>
          <w:sz w:val="24"/>
          <w:szCs w:val="24"/>
        </w:rPr>
        <w:t>）以基金管理人名义，代表基金份额持有人利益行使诉讼权利或实施其他法律行为；</w:t>
      </w:r>
    </w:p>
    <w:p w14:paraId="7503FD2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（24）基金在募集期间未能达到基金的备案条件，</w:t>
      </w:r>
      <w:r>
        <w:rPr>
          <w:rFonts w:hint="eastAsia" w:asciiTheme="minorEastAsia" w:hAnsiTheme="minorEastAsia" w:eastAsiaTheme="minorEastAsia"/>
          <w:color w:val="0C0C0C" w:themeColor="text1" w:themeTint="F2"/>
          <w:sz w:val="24"/>
          <w:szCs w:val="24"/>
        </w:rPr>
        <w:t>《基金合同》</w:t>
      </w:r>
      <w:r>
        <w:rPr>
          <w:rFonts w:hint="eastAsia" w:asciiTheme="minorEastAsia" w:hAnsiTheme="minorEastAsia" w:eastAsiaTheme="minorEastAsia"/>
          <w:sz w:val="24"/>
          <w:szCs w:val="24"/>
        </w:rPr>
        <w:t>不能生效，基金管理人承担全部募集费用，将已募集资金并加计银行同期活期存款利息在基金募集期结束后</w:t>
      </w:r>
      <w:r>
        <w:rPr>
          <w:rFonts w:asciiTheme="minorEastAsia" w:hAnsiTheme="minorEastAsia" w:eastAsiaTheme="minorEastAsia"/>
          <w:sz w:val="24"/>
          <w:szCs w:val="24"/>
        </w:rPr>
        <w:t>30</w:t>
      </w:r>
      <w:r>
        <w:rPr>
          <w:rFonts w:hint="eastAsia" w:asciiTheme="minorEastAsia" w:hAnsiTheme="minorEastAsia" w:eastAsiaTheme="minorEastAsia"/>
          <w:sz w:val="24"/>
          <w:szCs w:val="24"/>
        </w:rPr>
        <w:t>日内退还基金认购人，对于基金募集期间网下股票认购所冻结的股票，发售代理机构应予以解冻；</w:t>
      </w:r>
    </w:p>
    <w:p w14:paraId="2FDEB55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25</w:t>
      </w:r>
      <w:r>
        <w:rPr>
          <w:rFonts w:hint="eastAsia" w:asciiTheme="minorEastAsia" w:hAnsiTheme="minorEastAsia" w:eastAsiaTheme="minorEastAsia"/>
          <w:color w:val="0C0C0C" w:themeColor="text1" w:themeTint="F2"/>
          <w:sz w:val="24"/>
          <w:szCs w:val="24"/>
        </w:rPr>
        <w:t>）执行生效的基金份额持有人大会的决议；</w:t>
      </w:r>
    </w:p>
    <w:p w14:paraId="5B1A2D0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26</w:t>
      </w:r>
      <w:r>
        <w:rPr>
          <w:rFonts w:hint="eastAsia" w:asciiTheme="minorEastAsia" w:hAnsiTheme="minorEastAsia" w:eastAsiaTheme="minorEastAsia"/>
          <w:color w:val="0C0C0C" w:themeColor="text1" w:themeTint="F2"/>
          <w:sz w:val="24"/>
          <w:szCs w:val="24"/>
        </w:rPr>
        <w:t>）建立并保存基金份额持有人名册；</w:t>
      </w:r>
    </w:p>
    <w:p w14:paraId="555A536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27</w:t>
      </w:r>
      <w:r>
        <w:rPr>
          <w:rFonts w:hint="eastAsia" w:asciiTheme="minorEastAsia" w:hAnsiTheme="minorEastAsia" w:eastAsiaTheme="minorEastAsia"/>
          <w:color w:val="0C0C0C" w:themeColor="text1" w:themeTint="F2"/>
          <w:sz w:val="24"/>
          <w:szCs w:val="24"/>
        </w:rPr>
        <w:t>）法律法规及中国证监会规定的和《基金合同》约定的其他义务。</w:t>
      </w:r>
    </w:p>
    <w:p w14:paraId="3D835FB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基金托管人的权利与义务</w:t>
      </w:r>
    </w:p>
    <w:p w14:paraId="5B0A324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、根据《基金法》、《运作办法》及其他有关规定，基金托管人的权利包括但不限于：</w:t>
      </w:r>
    </w:p>
    <w:p w14:paraId="419C803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）自《基金合同》生效之日起，依法律法规和《基金合同》的规定安全保管基金财产；</w:t>
      </w:r>
    </w:p>
    <w:p w14:paraId="507C6A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）依《基金合同》约定获得基金托管费以及法律法规规定或监管部门批准的其他费用；</w:t>
      </w:r>
    </w:p>
    <w:p w14:paraId="3114ED1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143A20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）根据相关市场规则，为基金开设</w:t>
      </w:r>
      <w:r>
        <w:rPr>
          <w:rFonts w:hint="eastAsia" w:cs="Arial" w:asciiTheme="minorEastAsia" w:hAnsiTheme="minorEastAsia" w:eastAsiaTheme="minorEastAsia"/>
          <w:color w:val="0C0C0C" w:themeColor="text1" w:themeTint="F2"/>
          <w:sz w:val="24"/>
          <w:szCs w:val="24"/>
        </w:rPr>
        <w:t>资金账户、</w:t>
      </w:r>
      <w:r>
        <w:rPr>
          <w:rFonts w:hint="eastAsia" w:asciiTheme="minorEastAsia" w:hAnsiTheme="minorEastAsia" w:eastAsiaTheme="minorEastAsia"/>
          <w:color w:val="0C0C0C" w:themeColor="text1" w:themeTint="F2"/>
          <w:sz w:val="24"/>
          <w:szCs w:val="24"/>
        </w:rPr>
        <w:t>证券账户</w:t>
      </w:r>
      <w:r>
        <w:rPr>
          <w:rFonts w:hint="eastAsia" w:cs="Arial" w:asciiTheme="minorEastAsia" w:hAnsiTheme="minorEastAsia" w:eastAsiaTheme="minorEastAsia"/>
          <w:color w:val="0C0C0C" w:themeColor="text1" w:themeTint="F2"/>
          <w:sz w:val="24"/>
          <w:szCs w:val="24"/>
        </w:rPr>
        <w:t>等投资所需账户，</w:t>
      </w:r>
      <w:r>
        <w:rPr>
          <w:rFonts w:hint="eastAsia" w:asciiTheme="minorEastAsia" w:hAnsiTheme="minorEastAsia" w:eastAsiaTheme="minorEastAsia"/>
          <w:color w:val="0C0C0C" w:themeColor="text1" w:themeTint="F2"/>
          <w:sz w:val="24"/>
          <w:szCs w:val="24"/>
        </w:rPr>
        <w:t>为基金办理证券交易资金清算</w:t>
      </w:r>
      <w:r>
        <w:rPr>
          <w:rFonts w:hint="eastAsia" w:cs="Arial" w:asciiTheme="minorEastAsia" w:hAnsiTheme="minorEastAsia" w:eastAsiaTheme="minorEastAsia"/>
          <w:color w:val="0C0C0C" w:themeColor="text1" w:themeTint="F2"/>
          <w:sz w:val="24"/>
          <w:szCs w:val="24"/>
        </w:rPr>
        <w:t>；</w:t>
      </w:r>
    </w:p>
    <w:p w14:paraId="6661E0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）提议召开或召集基金份额持有人大会；</w:t>
      </w:r>
    </w:p>
    <w:p w14:paraId="6ECA6F6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）在基金管理人更换时，提名新的基金管理人；</w:t>
      </w:r>
    </w:p>
    <w:p w14:paraId="6AC674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）法律法规及中国证监会规定的和《基金合同》约定的其他权利。</w:t>
      </w:r>
    </w:p>
    <w:p w14:paraId="453AEE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、根据《基金法》、《运作办法》及其他有关规定，基金托管人的义务包括但不限于：</w:t>
      </w:r>
    </w:p>
    <w:p w14:paraId="75AA8A4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）以诚实信用、勤勉尽责的原则持有并安全保管基金财产；</w:t>
      </w:r>
    </w:p>
    <w:p w14:paraId="35C2331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）设立专门的基金托管部门，具有符合要求的营业场所，配备足够的、合格的熟悉基金托管业务的专职人员，负责基金财产托管事宜；</w:t>
      </w:r>
    </w:p>
    <w:p w14:paraId="76069AC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A7F1E9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）除依据《基金法》、《基金合同》及其他有关规定外，不得利用基金财产为自己及任何第三人谋取利益，不得委托第三人托管基金财产；</w:t>
      </w:r>
    </w:p>
    <w:p w14:paraId="154813A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）保管由基金管理人代表基金签订的与基金有关的重大合同及有关凭证；</w:t>
      </w:r>
    </w:p>
    <w:p w14:paraId="5B56461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）按规定开设基金财产的资金账户</w:t>
      </w:r>
      <w:r>
        <w:rPr>
          <w:rFonts w:hint="eastAsia" w:cs="Arial"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证券账户</w:t>
      </w:r>
      <w:r>
        <w:rPr>
          <w:rFonts w:hint="eastAsia" w:cs="Arial" w:asciiTheme="minorEastAsia" w:hAnsiTheme="minorEastAsia" w:eastAsiaTheme="minorEastAsia"/>
          <w:color w:val="0C0C0C" w:themeColor="text1" w:themeTint="F2"/>
          <w:sz w:val="24"/>
          <w:szCs w:val="24"/>
        </w:rPr>
        <w:t>等投资所需账户，</w:t>
      </w:r>
      <w:r>
        <w:rPr>
          <w:rFonts w:hint="eastAsia" w:asciiTheme="minorEastAsia" w:hAnsiTheme="minorEastAsia" w:eastAsiaTheme="minorEastAsia"/>
          <w:color w:val="0C0C0C" w:themeColor="text1" w:themeTint="F2"/>
          <w:sz w:val="24"/>
          <w:szCs w:val="24"/>
        </w:rPr>
        <w:t>按照《基金合同》的约定，根据基金管理人的投资指令，及时办理清算、交割事宜；</w:t>
      </w:r>
    </w:p>
    <w:p w14:paraId="59BF2C4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）保守基金商业秘密，除《基金法》、《基金合同》及其他有关规定另有规定外，在基金信息公开披露前予以保密，不得向他人泄露，法律、法规另有规定的以及审计需要的除外；</w:t>
      </w:r>
    </w:p>
    <w:p w14:paraId="245141D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）复核、审查基金管理人计算的基金资产净值、基金份额净值、基金份额申购、赎回</w:t>
      </w:r>
      <w:r>
        <w:rPr>
          <w:rFonts w:hint="eastAsia" w:cs="Arial" w:asciiTheme="minorEastAsia" w:hAnsiTheme="minorEastAsia" w:eastAsiaTheme="minorEastAsia"/>
          <w:color w:val="0C0C0C" w:themeColor="text1" w:themeTint="F2"/>
          <w:sz w:val="24"/>
          <w:szCs w:val="24"/>
        </w:rPr>
        <w:t>对价</w:t>
      </w:r>
      <w:r>
        <w:rPr>
          <w:rFonts w:hint="eastAsia" w:asciiTheme="minorEastAsia" w:hAnsiTheme="minorEastAsia" w:eastAsiaTheme="minorEastAsia"/>
          <w:color w:val="0C0C0C" w:themeColor="text1" w:themeTint="F2"/>
          <w:sz w:val="24"/>
          <w:szCs w:val="24"/>
        </w:rPr>
        <w:t>；</w:t>
      </w:r>
    </w:p>
    <w:p w14:paraId="38EAAA1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）办理与基金托管业务活动有关的信息披露事项；</w:t>
      </w:r>
    </w:p>
    <w:p w14:paraId="232C06E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13DD28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）保存基金托管业务活动的记录、账册、报表和其他相关资料，保存期限不低于法定最低期限；</w:t>
      </w:r>
    </w:p>
    <w:p w14:paraId="44E157F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）从基金管理人或其委托的登记机构处接收并保存基金份额持有人名册；</w:t>
      </w:r>
    </w:p>
    <w:p w14:paraId="1FA9D23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）按规定制作相关账册并与基金管理人核对；</w:t>
      </w:r>
    </w:p>
    <w:p w14:paraId="734695D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14</w:t>
      </w:r>
      <w:r>
        <w:rPr>
          <w:rFonts w:hint="eastAsia" w:asciiTheme="minorEastAsia" w:hAnsiTheme="minorEastAsia" w:eastAsiaTheme="minorEastAsia"/>
          <w:color w:val="0C0C0C" w:themeColor="text1" w:themeTint="F2"/>
          <w:sz w:val="24"/>
          <w:szCs w:val="24"/>
        </w:rPr>
        <w:t>）依据基金管理人的指令或有关规定向基金份额持有人支付基金收益和赎回</w:t>
      </w:r>
      <w:r>
        <w:rPr>
          <w:rFonts w:hint="eastAsia" w:cs="Arial" w:asciiTheme="minorEastAsia" w:hAnsiTheme="minorEastAsia" w:eastAsiaTheme="minorEastAsia"/>
          <w:color w:val="0C0C0C" w:themeColor="text1" w:themeTint="F2"/>
          <w:sz w:val="24"/>
          <w:szCs w:val="24"/>
        </w:rPr>
        <w:t>对价的现金部分</w:t>
      </w:r>
      <w:r>
        <w:rPr>
          <w:rFonts w:hint="eastAsia" w:asciiTheme="minorEastAsia" w:hAnsiTheme="minorEastAsia" w:eastAsiaTheme="minorEastAsia"/>
          <w:color w:val="0C0C0C" w:themeColor="text1" w:themeTint="F2"/>
          <w:sz w:val="24"/>
          <w:szCs w:val="24"/>
        </w:rPr>
        <w:t>；</w:t>
      </w:r>
    </w:p>
    <w:p w14:paraId="08FD546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）依据《基金法》、《基金合同》及其他有关规定，召集基金份额持有人大会或配合基金</w:t>
      </w:r>
      <w:r>
        <w:rPr>
          <w:rFonts w:hint="eastAsia" w:cs="Arial" w:asciiTheme="minorEastAsia" w:hAnsiTheme="minorEastAsia" w:eastAsiaTheme="minorEastAsia"/>
          <w:color w:val="0C0C0C" w:themeColor="text1" w:themeTint="F2"/>
          <w:sz w:val="24"/>
          <w:szCs w:val="24"/>
        </w:rPr>
        <w:t>管理人、</w:t>
      </w:r>
      <w:r>
        <w:rPr>
          <w:rFonts w:hint="eastAsia" w:asciiTheme="minorEastAsia" w:hAnsiTheme="minorEastAsia" w:eastAsiaTheme="minorEastAsia"/>
          <w:color w:val="0C0C0C" w:themeColor="text1" w:themeTint="F2"/>
          <w:sz w:val="24"/>
          <w:szCs w:val="24"/>
        </w:rPr>
        <w:t>基金份额持有人依法召集基金份额持有人大会；</w:t>
      </w:r>
    </w:p>
    <w:p w14:paraId="5BA1BB5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16</w:t>
      </w:r>
      <w:r>
        <w:rPr>
          <w:rFonts w:hint="eastAsia" w:asciiTheme="minorEastAsia" w:hAnsiTheme="minorEastAsia" w:eastAsiaTheme="minorEastAsia"/>
          <w:color w:val="0C0C0C" w:themeColor="text1" w:themeTint="F2"/>
          <w:sz w:val="24"/>
          <w:szCs w:val="24"/>
        </w:rPr>
        <w:t>）按照法律法规和《基金合同》的规定监督基金管理人的投资运作；</w:t>
      </w:r>
    </w:p>
    <w:p w14:paraId="399DC9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17</w:t>
      </w:r>
      <w:r>
        <w:rPr>
          <w:rFonts w:hint="eastAsia" w:asciiTheme="minorEastAsia" w:hAnsiTheme="minorEastAsia" w:eastAsiaTheme="minorEastAsia"/>
          <w:color w:val="0C0C0C" w:themeColor="text1" w:themeTint="F2"/>
          <w:sz w:val="24"/>
          <w:szCs w:val="24"/>
        </w:rPr>
        <w:t>）参加基金财产清算小组，参与基金财产的保管、清理、估价、变现和分配；</w:t>
      </w:r>
    </w:p>
    <w:p w14:paraId="30D4D48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18</w:t>
      </w:r>
      <w:r>
        <w:rPr>
          <w:rFonts w:hint="eastAsia" w:asciiTheme="minorEastAsia" w:hAnsiTheme="minorEastAsia" w:eastAsiaTheme="minorEastAsia"/>
          <w:color w:val="0C0C0C" w:themeColor="text1" w:themeTint="F2"/>
          <w:sz w:val="24"/>
          <w:szCs w:val="24"/>
        </w:rPr>
        <w:t>）面临解散、依法被撤销或者被依法宣告破产时，及时报告中国证监会，并通知基金管理人；</w:t>
      </w:r>
    </w:p>
    <w:p w14:paraId="7EDDFED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19</w:t>
      </w:r>
      <w:r>
        <w:rPr>
          <w:rFonts w:hint="eastAsia" w:asciiTheme="minorEastAsia" w:hAnsiTheme="minorEastAsia" w:eastAsiaTheme="minorEastAsia"/>
          <w:color w:val="0C0C0C" w:themeColor="text1" w:themeTint="F2"/>
          <w:sz w:val="24"/>
          <w:szCs w:val="24"/>
        </w:rPr>
        <w:t>）因违反《基金合同》导致基金财产损失时，应承担赔偿责任，其赔偿责任不因其退任而免除；</w:t>
      </w:r>
    </w:p>
    <w:p w14:paraId="632AB3A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）按规定监督基金管理人按法律法规和《基金合同》规定履行自己的义务，基金管理人因违反《基金合同》造成基金财产损失时，应为基金份额持有人利益向基金管理人追偿；</w:t>
      </w:r>
    </w:p>
    <w:p w14:paraId="31EF048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21</w:t>
      </w:r>
      <w:r>
        <w:rPr>
          <w:rFonts w:hint="eastAsia" w:asciiTheme="minorEastAsia" w:hAnsiTheme="minorEastAsia" w:eastAsiaTheme="minorEastAsia"/>
          <w:color w:val="0C0C0C" w:themeColor="text1" w:themeTint="F2"/>
          <w:sz w:val="24"/>
          <w:szCs w:val="24"/>
        </w:rPr>
        <w:t>）执行生效的基金份额持有人大会的</w:t>
      </w:r>
      <w:r>
        <w:rPr>
          <w:rFonts w:hint="eastAsia" w:cs="Arial" w:asciiTheme="minorEastAsia" w:hAnsiTheme="minorEastAsia" w:eastAsiaTheme="minorEastAsia"/>
          <w:color w:val="0C0C0C" w:themeColor="text1" w:themeTint="F2"/>
          <w:sz w:val="24"/>
          <w:szCs w:val="24"/>
        </w:rPr>
        <w:t>决议</w:t>
      </w:r>
      <w:r>
        <w:rPr>
          <w:rFonts w:hint="eastAsia" w:asciiTheme="minorEastAsia" w:hAnsiTheme="minorEastAsia" w:eastAsiaTheme="minorEastAsia"/>
          <w:color w:val="0C0C0C" w:themeColor="text1" w:themeTint="F2"/>
          <w:sz w:val="24"/>
          <w:szCs w:val="24"/>
        </w:rPr>
        <w:t>；</w:t>
      </w:r>
    </w:p>
    <w:p w14:paraId="0F7129D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22</w:t>
      </w:r>
      <w:r>
        <w:rPr>
          <w:rFonts w:hint="eastAsia" w:asciiTheme="minorEastAsia" w:hAnsiTheme="minorEastAsia" w:eastAsiaTheme="minorEastAsia"/>
          <w:color w:val="0C0C0C" w:themeColor="text1" w:themeTint="F2"/>
          <w:sz w:val="24"/>
          <w:szCs w:val="24"/>
        </w:rPr>
        <w:t>）法律法规及中国证监会规定的和《基金合同》约定的其他义务。</w:t>
      </w:r>
    </w:p>
    <w:p w14:paraId="72EE0CAD">
      <w:pPr>
        <w:spacing w:line="360" w:lineRule="auto"/>
        <w:rPr>
          <w:rFonts w:asciiTheme="minorEastAsia" w:hAnsiTheme="minorEastAsia"/>
          <w:b/>
          <w:sz w:val="24"/>
        </w:rPr>
      </w:pPr>
      <w:r>
        <w:rPr>
          <w:rFonts w:hint="eastAsia" w:asciiTheme="minorEastAsia" w:hAnsiTheme="minorEastAsia"/>
          <w:b/>
          <w:sz w:val="24"/>
        </w:rPr>
        <w:t>二、基金份额持有人大会召集、议事及表决的程序和规则</w:t>
      </w:r>
    </w:p>
    <w:p w14:paraId="7F9106D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基金份额持有人大会由基金份额持有人组成，基金份额持有人的合法授权代表有权代表基金份额持有人出席会议并表决。基金份额持有人持有的每一基金份额拥有平等的投票权。</w:t>
      </w:r>
    </w:p>
    <w:p w14:paraId="22C136B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2B2465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25EAC46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BBF281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法律法规或监管机构对基金份额持有人大会另有规定的，从其规定。</w:t>
      </w:r>
    </w:p>
    <w:p w14:paraId="208476D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本基金份额持有人大会不设日常机构。</w:t>
      </w:r>
    </w:p>
    <w:p w14:paraId="6AA923C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（一）召开事由</w:t>
      </w:r>
    </w:p>
    <w:p w14:paraId="2E7B72E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、除法律法规、中国证监会和基金合同另有规定外，当出现或需要决定下列事由之一的，应当召开基金份额持有人大会：</w:t>
      </w:r>
    </w:p>
    <w:p w14:paraId="13AAD1E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）终止《基金合同》；</w:t>
      </w:r>
    </w:p>
    <w:p w14:paraId="1669F75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）更换基金管理人；</w:t>
      </w:r>
    </w:p>
    <w:p w14:paraId="67F5748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）更换基金托管人；</w:t>
      </w:r>
    </w:p>
    <w:p w14:paraId="0362F02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）转换基金运作方式；</w:t>
      </w:r>
    </w:p>
    <w:p w14:paraId="7228B3E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）调整基金管理人、基金托管人的报酬标准；</w:t>
      </w:r>
    </w:p>
    <w:p w14:paraId="5EBB67A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）变更基金类别；</w:t>
      </w:r>
    </w:p>
    <w:p w14:paraId="0AA952E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）本基金与其他基金的合并；</w:t>
      </w:r>
    </w:p>
    <w:p w14:paraId="7F59F51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）变更基金投资目标、范围或策略；</w:t>
      </w:r>
    </w:p>
    <w:p w14:paraId="5C9979D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）变更基金份额持有人大会程序；</w:t>
      </w:r>
    </w:p>
    <w:p w14:paraId="1D3C0A1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）基金管理人或基金托管人要求召开基金份额持有人大会；</w:t>
      </w:r>
    </w:p>
    <w:p w14:paraId="6160E35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）单独或合计持有本基金总份额</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以上（含</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）基金份额的基金份额持有人（以基金管理人收到提议当日的基金份额计算，下同）就同一事项书面要求召开基金份额持有人大会；</w:t>
      </w:r>
    </w:p>
    <w:p w14:paraId="6B3089F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12</w:t>
      </w:r>
      <w:r>
        <w:rPr>
          <w:rFonts w:hint="eastAsia" w:asciiTheme="minorEastAsia" w:hAnsiTheme="minorEastAsia" w:eastAsiaTheme="minorEastAsia"/>
          <w:color w:val="0C0C0C" w:themeColor="text1" w:themeTint="F2"/>
          <w:sz w:val="24"/>
          <w:szCs w:val="24"/>
        </w:rPr>
        <w:t>）对基金合同当事人权利和义务产生重大影响的其他事项；</w:t>
      </w:r>
    </w:p>
    <w:p w14:paraId="37356D8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（13）终止基金上市，但因基金不再具备上市条件而被深圳证券交易所终止上市的情形除外；</w:t>
      </w:r>
    </w:p>
    <w:p w14:paraId="3015CF0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（14）法律法规、《基金合同》或中国证监会规定的其他应当召开基金份额持有人大会的事项。</w:t>
      </w:r>
    </w:p>
    <w:p w14:paraId="27A563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、在法律法规规定和《基金合同》约定的范围内且对基金份额持有人利益无实质性不利影响的前提下，以下情况可由基金管理人和基金托管人协商后修改，不需召开基金份额持有人大会：</w:t>
      </w:r>
    </w:p>
    <w:p w14:paraId="424F7E7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（1）法律法规要求增加的基金费用的收取；</w:t>
      </w:r>
    </w:p>
    <w:p w14:paraId="2124F2C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（2）调整本基金的申购费率、调低赎回费率或变更收费方式或调整基金份额类别设置、对基金份额分类办法及规则进行调整；</w:t>
      </w:r>
    </w:p>
    <w:p w14:paraId="683B283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（3）因相应的法律法规、深圳证券交易所或者登记机构的相关业务规则发生变动而应当对《基金合同》进行修改；</w:t>
      </w:r>
    </w:p>
    <w:p w14:paraId="5A40E38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（4）对《基金合同》的修改对基金份额持有人利益无实质性不利影响或修改不涉及《基金合同》当事人权利义务关系发生重大变化；</w:t>
      </w:r>
    </w:p>
    <w:p w14:paraId="07835B0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（5）基金管理人、相关证券交易所和登记机构等调整有关基金申购、赎回、交易、转托管、非交易过户等业务的规则（包括申购赎回清单的调整、开放时间的调整等）；</w:t>
      </w:r>
    </w:p>
    <w:p w14:paraId="08A2170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（6）经履行相关程序后，基金推出新业务或服务；</w:t>
      </w:r>
    </w:p>
    <w:p w14:paraId="03B0E59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）本基金的联接基金采取其他方式参与本基金的申购赎回；</w:t>
      </w:r>
    </w:p>
    <w:p w14:paraId="5D1F508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）调整基金的申购赎回方式及申购对价、赎回对价组成；调整申购赎回清单的内容，调整申购赎回清单计算和公告时间或频率；</w:t>
      </w:r>
    </w:p>
    <w:p w14:paraId="576917F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）进行基金份额的拆分与合并；</w:t>
      </w:r>
    </w:p>
    <w:p w14:paraId="3F4C0BA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）按照法律法规和《基金合同》规定不需召开基金份额持有人大会的其他情形。</w:t>
      </w:r>
    </w:p>
    <w:p w14:paraId="34D6A1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（二）会议召集人及召集方式</w:t>
      </w:r>
    </w:p>
    <w:p w14:paraId="01E5494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、除法律法规规定或《基金合同》另有约定外，基金份额持有人大会由基金管理人召集。</w:t>
      </w:r>
    </w:p>
    <w:p w14:paraId="2C396E2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、基金管理人未按规定召集或不能召集时，由基金托管人召集。</w:t>
      </w:r>
    </w:p>
    <w:p w14:paraId="6F36173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6E6D3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eastAsiaTheme="minorEastAsia"/>
          <w:color w:val="0C0C0C" w:themeColor="text1" w:themeTint="F2"/>
          <w:sz w:val="24"/>
          <w:szCs w:val="24"/>
        </w:rPr>
        <w:t>60</w:t>
      </w:r>
      <w:r>
        <w:rPr>
          <w:rFonts w:hint="eastAsia" w:asciiTheme="minorEastAsia" w:hAnsiTheme="minorEastAsia" w:eastAsiaTheme="minorEastAsia"/>
          <w:color w:val="0C0C0C" w:themeColor="text1" w:themeTint="F2"/>
          <w:sz w:val="24"/>
          <w:szCs w:val="24"/>
        </w:rPr>
        <w:t>日内召开并告知基金管理人，基金管理人应当配合。</w:t>
      </w:r>
    </w:p>
    <w:p w14:paraId="72ECABE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eastAsiaTheme="minorEastAsia"/>
          <w:color w:val="0C0C0C" w:themeColor="text1" w:themeTint="F2"/>
          <w:sz w:val="24"/>
          <w:szCs w:val="24"/>
        </w:rPr>
        <w:t>30</w:t>
      </w:r>
      <w:r>
        <w:rPr>
          <w:rFonts w:hint="eastAsia" w:asciiTheme="minorEastAsia" w:hAnsiTheme="minorEastAsia" w:eastAsiaTheme="minorEastAsia"/>
          <w:color w:val="0C0C0C" w:themeColor="text1" w:themeTint="F2"/>
          <w:sz w:val="24"/>
          <w:szCs w:val="24"/>
        </w:rPr>
        <w:t>日报中国证监会备案。基金份额持有人依法自行召集基金份额持有人大会的，基金管理人、基金托管人应当配合，不得阻碍、干扰。</w:t>
      </w:r>
    </w:p>
    <w:p w14:paraId="5B70C48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、基金份额持有人会议的召集人负责选择确定开会时间、地点、方式和权益登记日。</w:t>
      </w:r>
    </w:p>
    <w:p w14:paraId="7F424AB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（三）召开基金份额持有人大会的通知时间、通知内容、通知方式</w:t>
      </w:r>
    </w:p>
    <w:p w14:paraId="571ABEA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、召开基金份额持有人大会，召集人应于会议召开前30日，在规定媒介公告。基金份额持有人大会通知应至少载明以下内容：</w:t>
      </w:r>
    </w:p>
    <w:p w14:paraId="1807956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）会议召开的时间、地点和会议形式；</w:t>
      </w:r>
    </w:p>
    <w:p w14:paraId="4389FB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）会议拟审议的事项、议事程序和表决方式；</w:t>
      </w:r>
    </w:p>
    <w:p w14:paraId="4AEB3D8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）有权出席基金份额持有人大会的基金份额持有人的权益登记日；</w:t>
      </w:r>
    </w:p>
    <w:p w14:paraId="0671A4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）授权委托证明的内容要求（包括但不限于代理人身份，代理权限和代理有效期限等）、送达时间和地点；</w:t>
      </w:r>
    </w:p>
    <w:p w14:paraId="26474BB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）会务常设联系人姓名及联系电话；</w:t>
      </w:r>
    </w:p>
    <w:p w14:paraId="4023F28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）出席会议者必须准备的文件和必须履行的手续；</w:t>
      </w:r>
    </w:p>
    <w:p w14:paraId="67B93F1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）召集人需要通知的其他事项。</w:t>
      </w:r>
    </w:p>
    <w:p w14:paraId="741F70D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253DE6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4DBC60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（四）基金份额持有人出席会议的方式</w:t>
      </w:r>
    </w:p>
    <w:p w14:paraId="4F9B970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基金份额持有人大会可通过现场开会方式、通讯开会方式或法律法规、监管机构允许的其他方式召开，会议的召开方式由会议召集人确定。</w:t>
      </w:r>
    </w:p>
    <w:p w14:paraId="4E26FAC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A448E3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017690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57982B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2185200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在同时符合以下条件时，通讯开会的方式视为有效：</w:t>
      </w:r>
    </w:p>
    <w:p w14:paraId="29ADBCD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）会议召集人按《基金合同》约定公布会议通知后，在2个工作日内连续公布相关提示性公告；</w:t>
      </w:r>
    </w:p>
    <w:p w14:paraId="13B1911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034D17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）本人直接出具表决意见或授权他人代表出具表决意见的，基金份额持有人所持有的基金份额不小于在权益登记日基金总份额的二分之一（含二分之一）；</w:t>
      </w:r>
    </w:p>
    <w:p w14:paraId="192F748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3484D14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）上述第（</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726045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02F10B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（五）议事内容与程序</w:t>
      </w:r>
    </w:p>
    <w:p w14:paraId="5E075D6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、议事内容及提案权</w:t>
      </w:r>
    </w:p>
    <w:p w14:paraId="0250A82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F76E26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基金份额持有人大会的召集人发出召集会议的通知后，对原有提案的修改应当在基金份额持有人大会召开前及时公告。</w:t>
      </w:r>
    </w:p>
    <w:p w14:paraId="37165EA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基金份额持有人大会不得对未事先公告的议事内容进行表决。</w:t>
      </w:r>
    </w:p>
    <w:p w14:paraId="0CDA310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、议事程序</w:t>
      </w:r>
    </w:p>
    <w:p w14:paraId="64D4F51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w:t>
      </w:r>
    </w:p>
    <w:p w14:paraId="23F48CB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5245FF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287E64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w:t>
      </w:r>
    </w:p>
    <w:p w14:paraId="26D3F0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在通讯开会的情况下，首先由召集人提前30日公布提案，在所通知的表决截止日期后2个工作日内在公证机关监督下由召集人统计全部有效表决，在公证机关监督下形成决议。</w:t>
      </w:r>
    </w:p>
    <w:p w14:paraId="3E1DB0A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（六）表决</w:t>
      </w:r>
    </w:p>
    <w:p w14:paraId="4288734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基金份额持有人所持每份基金份额有一票表决权。</w:t>
      </w:r>
    </w:p>
    <w:p w14:paraId="494BCD1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基金份额持有人大会决议分为一般决议和特别决议：</w:t>
      </w:r>
    </w:p>
    <w:p w14:paraId="6BC1CCA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、一般决议，一般决议须经参加大会的基金份额持有人或其代理人所持表决权的二分之一以上（含二分之一）通过方为有效；除下列第</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项所规定的须以特别决议通过事项以外的其他事项均以一般决议的方式通过。</w:t>
      </w:r>
    </w:p>
    <w:p w14:paraId="28719E3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875511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基金份额持有人大会采取记名方式进行投票表决。</w:t>
      </w:r>
    </w:p>
    <w:p w14:paraId="7E1DC7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5F080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基金份额持有人大会的各项提案或同一项提案内并列的各项议题应当分开审议、逐项表决。</w:t>
      </w:r>
    </w:p>
    <w:p w14:paraId="66E9706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在上述规则的前提下，具体规则以召集人发布的基金份额持有人大会通知为准。</w:t>
      </w:r>
    </w:p>
    <w:p w14:paraId="62CC92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（七）计票</w:t>
      </w:r>
    </w:p>
    <w:p w14:paraId="1E2CEC9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、现场开会</w:t>
      </w:r>
    </w:p>
    <w:p w14:paraId="22425B9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8ECB56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）监票人应当在基金份额持有人表决后立即进行清点并由大会主持人当场公布计票结果。</w:t>
      </w:r>
    </w:p>
    <w:p w14:paraId="3155D86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19D488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）计票过程应由公证机关予以公证，基金管理人或基金托管人拒不出席大会的，不影响计票的效力。</w:t>
      </w:r>
    </w:p>
    <w:p w14:paraId="0E1AE06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、通讯开会</w:t>
      </w:r>
    </w:p>
    <w:p w14:paraId="70175E7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C2332D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（八）生效与公告</w:t>
      </w:r>
    </w:p>
    <w:p w14:paraId="6EC679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基金份额持有人大会的决议，召集人应当自通过之日起5日内报中国证监会备案。</w:t>
      </w:r>
    </w:p>
    <w:p w14:paraId="2B3AF3A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基金份额持有人大会的决议自表决通过之日起生效。</w:t>
      </w:r>
    </w:p>
    <w:p w14:paraId="422805F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3C0077E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5DCC80C">
      <w:pPr>
        <w:spacing w:line="360" w:lineRule="auto"/>
        <w:ind w:firstLine="480" w:firstLineChars="200"/>
        <w:rPr>
          <w:rFonts w:asciiTheme="minorEastAsia" w:hAnsiTheme="minorEastAsia"/>
          <w:b/>
          <w:sz w:val="24"/>
        </w:rPr>
      </w:pPr>
      <w:r>
        <w:rPr>
          <w:rFonts w:hint="eastAsia" w:asciiTheme="minorEastAsia" w:hAnsiTheme="minorEastAsia" w:eastAsiaTheme="minorEastAsia"/>
          <w:color w:val="0C0C0C" w:themeColor="text1" w:themeTint="F2"/>
          <w:sz w:val="24"/>
          <w:szCs w:val="24"/>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165A6CB5">
      <w:pPr>
        <w:spacing w:line="360" w:lineRule="auto"/>
        <w:rPr>
          <w:rFonts w:asciiTheme="minorEastAsia" w:hAnsiTheme="minorEastAsia"/>
          <w:b/>
          <w:sz w:val="24"/>
        </w:rPr>
      </w:pPr>
      <w:r>
        <w:rPr>
          <w:rFonts w:hint="eastAsia" w:asciiTheme="minorEastAsia" w:hAnsiTheme="minorEastAsia"/>
          <w:b/>
          <w:sz w:val="24"/>
        </w:rPr>
        <w:t>三、基金收益分配原则、执行方式</w:t>
      </w:r>
    </w:p>
    <w:p w14:paraId="05E4917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（一）基金收益分配原则</w:t>
      </w:r>
    </w:p>
    <w:p w14:paraId="182673A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、本基金基金份额的收益分配方式采用现金分红；</w:t>
      </w:r>
    </w:p>
    <w:p w14:paraId="6C63D4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、当收益评价日核定的基金份额净值增长率超过标的指数同期增长率达到</w:t>
      </w:r>
      <w:r>
        <w:rPr>
          <w:rFonts w:asciiTheme="minorEastAsia" w:hAnsiTheme="minorEastAsia" w:eastAsiaTheme="minorEastAsia"/>
          <w:color w:val="0C0C0C" w:themeColor="text1" w:themeTint="F2"/>
          <w:sz w:val="24"/>
          <w:szCs w:val="24"/>
        </w:rPr>
        <w:t>0.01%</w:t>
      </w:r>
      <w:r>
        <w:rPr>
          <w:rFonts w:hint="eastAsia" w:asciiTheme="minorEastAsia" w:hAnsiTheme="minorEastAsia" w:eastAsiaTheme="minorEastAsia"/>
          <w:color w:val="0C0C0C" w:themeColor="text1" w:themeTint="F2"/>
          <w:sz w:val="24"/>
          <w:szCs w:val="24"/>
        </w:rPr>
        <w:t>以上时，可进行收益分配；</w:t>
      </w:r>
    </w:p>
    <w:p w14:paraId="59FCBFB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40A9E23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w:t>
      </w:r>
      <w:r>
        <w:rPr>
          <w:rFonts w:hint="eastAsia" w:asciiTheme="minorEastAsia" w:hAnsiTheme="minorEastAsia" w:eastAsiaTheme="minorEastAsia"/>
          <w:color w:val="0C0C0C" w:themeColor="text1" w:themeTint="F2"/>
          <w:sz w:val="24"/>
          <w:szCs w:val="24"/>
        </w:rPr>
        <w:t>、若《基金合同》生效不满</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个月可不进行收益分配；</w:t>
      </w:r>
    </w:p>
    <w:p w14:paraId="0C52CA9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w:t>
      </w:r>
      <w:r>
        <w:rPr>
          <w:rFonts w:hint="eastAsia" w:asciiTheme="minorEastAsia" w:hAnsiTheme="minorEastAsia" w:eastAsiaTheme="minorEastAsia"/>
          <w:color w:val="0C0C0C" w:themeColor="text1" w:themeTint="F2"/>
          <w:sz w:val="24"/>
          <w:szCs w:val="24"/>
        </w:rPr>
        <w:t>、每一基金份额享有同等分配权；</w:t>
      </w:r>
    </w:p>
    <w:p w14:paraId="64D47A6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6、法律法规或监管机关、证券交易所、登记机构另有规定的，从其规定。</w:t>
      </w:r>
    </w:p>
    <w:p w14:paraId="7CD27C5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在不违反法律法规且对基金份额持有人利益无实质性不利影响的前提下，基金管理人经与基金托管人协商一致后可对基金收益分配原则进行调整，并及时公告。</w:t>
      </w:r>
    </w:p>
    <w:p w14:paraId="391D50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w:t>
      </w:r>
      <w:r>
        <w:rPr>
          <w:rFonts w:asciiTheme="minorEastAsia" w:hAnsiTheme="minorEastAsia" w:eastAsiaTheme="minorEastAsia"/>
          <w:color w:val="0C0C0C" w:themeColor="text1" w:themeTint="F2"/>
          <w:sz w:val="24"/>
          <w:szCs w:val="24"/>
        </w:rPr>
        <w:t>基金收益分配比例及金额的确定原则</w:t>
      </w:r>
    </w:p>
    <w:p w14:paraId="5F6F41B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1、在收益评价日，基金管理人计算基金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w:t>
      </w:r>
    </w:p>
    <w:p w14:paraId="5794281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基金收益评价日本基金相对标的指数的超额收益率＝基金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w:t>
      </w:r>
    </w:p>
    <w:p w14:paraId="0C5E89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基金</w:t>
      </w:r>
      <w:r>
        <w:rPr>
          <w:rFonts w:hint="eastAsia" w:asciiTheme="minorEastAsia" w:hAnsiTheme="minorEastAsia" w:eastAsiaTheme="minorEastAsia"/>
          <w:color w:val="0C0C0C" w:themeColor="text1" w:themeTint="F2"/>
          <w:sz w:val="24"/>
          <w:szCs w:val="24"/>
        </w:rPr>
        <w:t>份额净值增长率</w:t>
      </w:r>
      <w:r>
        <w:rPr>
          <w:rFonts w:asciiTheme="minorEastAsia" w:hAnsiTheme="minorEastAsia" w:eastAsiaTheme="minorEastAsia"/>
          <w:color w:val="0C0C0C" w:themeColor="text1" w:themeTint="F2"/>
          <w:sz w:val="24"/>
          <w:szCs w:val="24"/>
        </w:rPr>
        <w:t>为收益评价日基金份额净值与基金上市前一</w:t>
      </w:r>
      <w:r>
        <w:rPr>
          <w:rFonts w:hint="eastAsia" w:asciiTheme="minorEastAsia" w:hAnsiTheme="minorEastAsia" w:eastAsiaTheme="minorEastAsia"/>
          <w:color w:val="0C0C0C" w:themeColor="text1" w:themeTint="F2"/>
          <w:sz w:val="24"/>
          <w:szCs w:val="24"/>
        </w:rPr>
        <w:t>交易</w:t>
      </w:r>
      <w:r>
        <w:rPr>
          <w:rFonts w:asciiTheme="minorEastAsia" w:hAnsiTheme="minorEastAsia" w:eastAsiaTheme="minorEastAsia"/>
          <w:color w:val="0C0C0C" w:themeColor="text1" w:themeTint="F2"/>
          <w:sz w:val="24"/>
          <w:szCs w:val="24"/>
        </w:rPr>
        <w:t>日基金份额净值之比减去1乘以100%；标的指数同期</w:t>
      </w:r>
      <w:r>
        <w:rPr>
          <w:rFonts w:hint="eastAsia" w:asciiTheme="minorEastAsia" w:hAnsiTheme="minorEastAsia" w:eastAsiaTheme="minorEastAsia"/>
          <w:color w:val="0C0C0C" w:themeColor="text1" w:themeTint="F2"/>
          <w:sz w:val="24"/>
          <w:szCs w:val="24"/>
        </w:rPr>
        <w:t>增长率</w:t>
      </w:r>
      <w:r>
        <w:rPr>
          <w:rFonts w:asciiTheme="minorEastAsia" w:hAnsiTheme="minorEastAsia" w:eastAsiaTheme="minorEastAsia"/>
          <w:color w:val="0C0C0C" w:themeColor="text1" w:themeTint="F2"/>
          <w:sz w:val="24"/>
          <w:szCs w:val="24"/>
        </w:rPr>
        <w:t>为收益评价日标的指数收盘价与基金上市前一</w:t>
      </w:r>
      <w:r>
        <w:rPr>
          <w:rFonts w:hint="eastAsia" w:asciiTheme="minorEastAsia" w:hAnsiTheme="minorEastAsia" w:eastAsiaTheme="minorEastAsia"/>
          <w:color w:val="0C0C0C" w:themeColor="text1" w:themeTint="F2"/>
          <w:sz w:val="24"/>
          <w:szCs w:val="24"/>
        </w:rPr>
        <w:t>交易</w:t>
      </w:r>
      <w:r>
        <w:rPr>
          <w:rFonts w:asciiTheme="minorEastAsia" w:hAnsiTheme="minorEastAsia" w:eastAsiaTheme="minorEastAsia"/>
          <w:color w:val="0C0C0C" w:themeColor="text1" w:themeTint="F2"/>
          <w:sz w:val="24"/>
          <w:szCs w:val="24"/>
        </w:rPr>
        <w:t>日标的指数收盘价之比减去1乘以100%。</w:t>
      </w:r>
    </w:p>
    <w:p w14:paraId="55852F8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期间如发生基金份额折算</w:t>
      </w:r>
      <w:r>
        <w:rPr>
          <w:rFonts w:hint="eastAsia" w:asciiTheme="minorEastAsia" w:hAnsiTheme="minorEastAsia" w:eastAsiaTheme="minorEastAsia"/>
          <w:color w:val="0C0C0C" w:themeColor="text1" w:themeTint="F2"/>
          <w:sz w:val="24"/>
          <w:szCs w:val="24"/>
        </w:rPr>
        <w:t>、拆分或合并</w:t>
      </w:r>
      <w:r>
        <w:rPr>
          <w:rFonts w:asciiTheme="minorEastAsia" w:hAnsiTheme="minorEastAsia" w:eastAsiaTheme="minorEastAsia"/>
          <w:color w:val="0C0C0C" w:themeColor="text1" w:themeTint="F2"/>
          <w:sz w:val="24"/>
          <w:szCs w:val="24"/>
        </w:rPr>
        <w:t>，则以</w:t>
      </w:r>
      <w:r>
        <w:rPr>
          <w:rFonts w:hint="eastAsia" w:asciiTheme="minorEastAsia" w:hAnsiTheme="minorEastAsia" w:eastAsiaTheme="minorEastAsia"/>
          <w:color w:val="0C0C0C" w:themeColor="text1" w:themeTint="F2"/>
          <w:sz w:val="24"/>
          <w:szCs w:val="24"/>
        </w:rPr>
        <w:t>基金份额折算日、经拆分或合并调整后的</w:t>
      </w:r>
      <w:r>
        <w:rPr>
          <w:rFonts w:asciiTheme="minorEastAsia" w:hAnsiTheme="minorEastAsia" w:eastAsiaTheme="minorEastAsia"/>
          <w:color w:val="0C0C0C" w:themeColor="text1" w:themeTint="F2"/>
          <w:sz w:val="24"/>
          <w:szCs w:val="24"/>
        </w:rPr>
        <w:t>基金份额折算日为初始日重新计算上述指标。</w:t>
      </w:r>
    </w:p>
    <w:p w14:paraId="07E48C4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收益评价日日期以基金管理人相关公告为准。</w:t>
      </w:r>
    </w:p>
    <w:p w14:paraId="43C768C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2、根据前述收益分配原则计算截至基金收益评价日本基金的份额可分配收益，并确定收益分配比例。</w:t>
      </w:r>
    </w:p>
    <w:p w14:paraId="212633E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3、根据前述可供分配利润及收益分配比例计算收益分配金额。</w:t>
      </w:r>
    </w:p>
    <w:p w14:paraId="2619B83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（三）收益分配方案</w:t>
      </w:r>
    </w:p>
    <w:p w14:paraId="0ADE62C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基金收益分配方案中应载明基金收益分配对象、分配时间、分配数额及比例、分配方式等内容。</w:t>
      </w:r>
    </w:p>
    <w:p w14:paraId="3C6B21F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（四）收益分配方案的确定、公告与实施</w:t>
      </w:r>
    </w:p>
    <w:p w14:paraId="2919E88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本基金收益分配方案由基金管理人拟定，并由基金托管人复核，依照《信息披露办法》的有关规定在规定媒介公告。</w:t>
      </w:r>
    </w:p>
    <w:p w14:paraId="2959ED7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（五）基金收益分配中发生的费用</w:t>
      </w:r>
    </w:p>
    <w:p w14:paraId="186F0329">
      <w:pPr>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基金收益分配时所发生的银行转账或其他手续费用由投资者自行承担。</w:t>
      </w:r>
    </w:p>
    <w:p w14:paraId="3C7AF817">
      <w:pPr>
        <w:spacing w:line="360" w:lineRule="auto"/>
        <w:ind w:firstLine="480" w:firstLineChars="200"/>
        <w:rPr>
          <w:rFonts w:asciiTheme="minorEastAsia" w:hAnsiTheme="minorEastAsia"/>
          <w:bCs/>
          <w:sz w:val="24"/>
        </w:rPr>
      </w:pPr>
    </w:p>
    <w:p w14:paraId="3CE95BA7">
      <w:pPr>
        <w:spacing w:line="360" w:lineRule="auto"/>
        <w:rPr>
          <w:rFonts w:asciiTheme="minorEastAsia" w:hAnsiTheme="minorEastAsia"/>
          <w:b/>
          <w:sz w:val="24"/>
        </w:rPr>
      </w:pPr>
      <w:r>
        <w:rPr>
          <w:rFonts w:hint="eastAsia" w:asciiTheme="minorEastAsia" w:hAnsiTheme="minorEastAsia"/>
          <w:b/>
          <w:sz w:val="24"/>
        </w:rPr>
        <w:t>四、与基金财产管理、运作有关费用的提取、支付方式与比例</w:t>
      </w:r>
    </w:p>
    <w:p w14:paraId="5658F01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（一）基金费用的种类</w:t>
      </w:r>
    </w:p>
    <w:p w14:paraId="14F11AC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、基金管理人的管理费；</w:t>
      </w:r>
    </w:p>
    <w:p w14:paraId="4D64663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、基金托管人的托管费；</w:t>
      </w:r>
    </w:p>
    <w:p w14:paraId="73F1F59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3、基金的证券、期货、期权交易费用；</w:t>
      </w:r>
    </w:p>
    <w:p w14:paraId="1E442D8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4、《基金合同》生效后与基金相关的信息披露费用，但法律法规、中国证监会另有规定的除外；</w:t>
      </w:r>
    </w:p>
    <w:p w14:paraId="2A09284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5、《基金合同》生效后与基金相关的公证费、会计师费、审计费、律师费、仲裁费和诉讼费；</w:t>
      </w:r>
    </w:p>
    <w:p w14:paraId="31CADBE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6、基金份额持有人大会费用；</w:t>
      </w:r>
    </w:p>
    <w:p w14:paraId="2378CD2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7、基金银行汇划费用、账户开户及维护费用、场内注册登记费用、IOPV计算与发布费用、收益分配中发生的费用（银行转账或其他手续费用除外）；</w:t>
      </w:r>
    </w:p>
    <w:p w14:paraId="08B201E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8、基金上市费及年费；</w:t>
      </w:r>
    </w:p>
    <w:p w14:paraId="565CA80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9、按照国家有关规定和《基金合同》约定，可以在基金财产中列支的其他费用。</w:t>
      </w:r>
    </w:p>
    <w:p w14:paraId="77B9B36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（二）基金费用计提方法、计提标准和支付方式</w:t>
      </w:r>
    </w:p>
    <w:p w14:paraId="27744FF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、基金管理人的管理费</w:t>
      </w:r>
    </w:p>
    <w:p w14:paraId="3CF35F3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本基金的管理费按前一日基金资产净值的</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50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年费率计提。管理费的计算方法如下：</w:t>
      </w:r>
    </w:p>
    <w:p w14:paraId="089E23B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＝E×0.50%÷当年天数</w:t>
      </w:r>
    </w:p>
    <w:p w14:paraId="3783594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为每日应计提的基金管理费</w:t>
      </w:r>
    </w:p>
    <w:p w14:paraId="527C7B1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E</w:t>
      </w:r>
      <w:r>
        <w:rPr>
          <w:rFonts w:hint="eastAsia" w:asciiTheme="minorEastAsia" w:hAnsiTheme="minorEastAsia" w:eastAsiaTheme="minorEastAsia"/>
          <w:color w:val="0C0C0C" w:themeColor="text1" w:themeTint="F2"/>
          <w:sz w:val="24"/>
          <w:szCs w:val="24"/>
        </w:rPr>
        <w:t>为前一日的基金资产净值</w:t>
      </w:r>
    </w:p>
    <w:p w14:paraId="3F4FBFF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w:t>
      </w:r>
    </w:p>
    <w:p w14:paraId="432D17F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、基金托管人的托管费</w:t>
      </w:r>
    </w:p>
    <w:p w14:paraId="061F79E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本基金的托管费按前一日基金资产净值的</w:t>
      </w:r>
      <w:r>
        <w:rPr>
          <w:rFonts w:asciiTheme="minorEastAsia" w:hAnsiTheme="minorEastAsia" w:eastAsiaTheme="minorEastAsia"/>
          <w:color w:val="0C0C0C" w:themeColor="text1" w:themeTint="F2"/>
          <w:sz w:val="24"/>
          <w:szCs w:val="24"/>
        </w:rPr>
        <w:t>0.</w:t>
      </w:r>
      <w:r>
        <w:rPr>
          <w:rFonts w:hint="eastAsia" w:asciiTheme="minorEastAsia" w:hAnsiTheme="minorEastAsia" w:eastAsiaTheme="minorEastAsia"/>
          <w:color w:val="0C0C0C" w:themeColor="text1" w:themeTint="F2"/>
          <w:sz w:val="24"/>
          <w:szCs w:val="24"/>
        </w:rPr>
        <w:t>10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年费率计提。托管费的计算方法如下：</w:t>
      </w:r>
    </w:p>
    <w:p w14:paraId="1346312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＝E×0.10%÷当年天数</w:t>
      </w:r>
    </w:p>
    <w:p w14:paraId="3B32DE0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H</w:t>
      </w:r>
      <w:r>
        <w:rPr>
          <w:rFonts w:hint="eastAsia" w:asciiTheme="minorEastAsia" w:hAnsiTheme="minorEastAsia" w:eastAsiaTheme="minorEastAsia"/>
          <w:color w:val="0C0C0C" w:themeColor="text1" w:themeTint="F2"/>
          <w:sz w:val="24"/>
          <w:szCs w:val="24"/>
        </w:rPr>
        <w:t>为每日应计提的基金托管费</w:t>
      </w:r>
    </w:p>
    <w:p w14:paraId="41AE36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E</w:t>
      </w:r>
      <w:r>
        <w:rPr>
          <w:rFonts w:hint="eastAsia" w:asciiTheme="minorEastAsia" w:hAnsiTheme="minorEastAsia" w:eastAsiaTheme="minorEastAsia"/>
          <w:color w:val="0C0C0C" w:themeColor="text1" w:themeTint="F2"/>
          <w:sz w:val="24"/>
          <w:szCs w:val="24"/>
        </w:rPr>
        <w:t>为前一日的基金资产净值</w:t>
      </w:r>
    </w:p>
    <w:p w14:paraId="1758866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基金托管费每日计提，按月支付。基金管理人与基金托管人双方核对无误后，基金托管人按照与基金管理人协商一致的方式于次月</w:t>
      </w:r>
      <w:r>
        <w:rPr>
          <w:rFonts w:asciiTheme="minorEastAsia" w:hAnsiTheme="minorEastAsia" w:eastAsiaTheme="minorEastAsia"/>
          <w:color w:val="0C0C0C" w:themeColor="text1" w:themeTint="F2"/>
          <w:sz w:val="24"/>
          <w:szCs w:val="24"/>
        </w:rPr>
        <w:t>首日起</w:t>
      </w:r>
      <w:r>
        <w:rPr>
          <w:rFonts w:hint="eastAsia" w:asciiTheme="minorEastAsia" w:hAnsiTheme="minorEastAsia" w:eastAsiaTheme="minorEastAsia"/>
          <w:color w:val="0C0C0C" w:themeColor="text1" w:themeTint="F2"/>
          <w:sz w:val="24"/>
          <w:szCs w:val="24"/>
        </w:rPr>
        <w:t>5个工作日内从基金财产中一次性支取。若遇法定节假日、公休假或不可抗力等致使无法按时支付的，支付日期顺延。</w:t>
      </w:r>
    </w:p>
    <w:p w14:paraId="7E60DD8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bCs/>
          <w:sz w:val="24"/>
        </w:rPr>
        <w:t>上述</w:t>
      </w:r>
      <w:r>
        <w:rPr>
          <w:rFonts w:hint="eastAsia"/>
          <w:bCs/>
          <w:sz w:val="24"/>
        </w:rPr>
        <w:t>“（一）</w:t>
      </w:r>
      <w:r>
        <w:rPr>
          <w:bCs/>
          <w:sz w:val="24"/>
        </w:rPr>
        <w:t>基金费用的种类</w:t>
      </w:r>
      <w:r>
        <w:rPr>
          <w:rFonts w:hint="eastAsia"/>
          <w:bCs/>
          <w:sz w:val="24"/>
        </w:rPr>
        <w:t>”</w:t>
      </w:r>
      <w:r>
        <w:rPr>
          <w:bCs/>
          <w:sz w:val="24"/>
        </w:rPr>
        <w:t>中第</w:t>
      </w:r>
      <w:r>
        <w:rPr>
          <w:rFonts w:hint="eastAsia"/>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4486ABB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（三）不列入基金费用的项目</w:t>
      </w:r>
    </w:p>
    <w:p w14:paraId="5D20A12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下列费用不列入基金费用：</w:t>
      </w:r>
    </w:p>
    <w:p w14:paraId="12CCDB2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1、基金管理人和基金托管人因未履行或未完全履行义务导致的费用支出或基金财产的损失；</w:t>
      </w:r>
    </w:p>
    <w:p w14:paraId="088AB9D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2、基金管理人和基金托管人处理与基金运作无关的事项发生的费用；</w:t>
      </w:r>
    </w:p>
    <w:p w14:paraId="501527C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3、《基金合同》生效前的相关费用；</w:t>
      </w:r>
    </w:p>
    <w:p w14:paraId="61DF2E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4、指数许可使用费；</w:t>
      </w:r>
    </w:p>
    <w:p w14:paraId="6ED218FE">
      <w:pPr>
        <w:adjustRightInd w:val="0"/>
        <w:snapToGrid w:val="0"/>
        <w:spacing w:line="360" w:lineRule="auto"/>
        <w:ind w:firstLine="480" w:firstLineChars="200"/>
        <w:rPr>
          <w:rFonts w:ascii="宋体" w:hAnsi="宋体" w:cs="Arial"/>
          <w:bCs/>
          <w:kern w:val="0"/>
          <w:sz w:val="24"/>
          <w:szCs w:val="24"/>
        </w:rPr>
      </w:pPr>
      <w:r>
        <w:rPr>
          <w:rFonts w:hint="eastAsia" w:asciiTheme="minorEastAsia" w:hAnsiTheme="minorEastAsia" w:eastAsiaTheme="minorEastAsia"/>
          <w:color w:val="0C0C0C" w:themeColor="text1" w:themeTint="F2"/>
          <w:sz w:val="24"/>
          <w:szCs w:val="24"/>
        </w:rPr>
        <w:t>本基金按照基金管理人与标的指数许可方所签订的指数使用许可协议中所规定的指数许可使用费计提方法支付指数许可使用费，</w:t>
      </w:r>
      <w:r>
        <w:rPr>
          <w:rFonts w:hint="eastAsia" w:ascii="宋体" w:hAnsi="宋体" w:cs="Arial"/>
          <w:bCs/>
          <w:kern w:val="0"/>
          <w:sz w:val="24"/>
          <w:szCs w:val="24"/>
        </w:rPr>
        <w:t>该指数许可使用费由基金管理人承担，</w:t>
      </w:r>
      <w:r>
        <w:rPr>
          <w:rFonts w:hint="eastAsia" w:asciiTheme="minorEastAsia" w:hAnsiTheme="minorEastAsia" w:eastAsiaTheme="minorEastAsia"/>
          <w:bCs/>
          <w:color w:val="0C0C0C" w:themeColor="text1" w:themeTint="F2"/>
          <w:sz w:val="24"/>
          <w:szCs w:val="24"/>
        </w:rPr>
        <w:t>不得从基金财产中列支</w:t>
      </w:r>
      <w:r>
        <w:rPr>
          <w:rFonts w:hint="eastAsia" w:asciiTheme="minorEastAsia" w:hAnsiTheme="minorEastAsia" w:eastAsiaTheme="minorEastAsia"/>
          <w:color w:val="0C0C0C" w:themeColor="text1" w:themeTint="F2"/>
          <w:sz w:val="24"/>
          <w:szCs w:val="24"/>
        </w:rPr>
        <w:t>。</w:t>
      </w:r>
    </w:p>
    <w:p w14:paraId="2E879A1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如果指数许可使用费的计算方法、费率、支付方式和费用承担方等发生调整，本基金将采用调整后的方法或费率计算指数许可使用费；</w:t>
      </w:r>
    </w:p>
    <w:p w14:paraId="7D43038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5、其他根据相关法律法规及中国证监会的有关规定不得列入基金费用的项目。</w:t>
      </w:r>
    </w:p>
    <w:p w14:paraId="2DF54D7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（四）基金税收</w:t>
      </w:r>
    </w:p>
    <w:p w14:paraId="675BCE6E">
      <w:pPr>
        <w:spacing w:line="360" w:lineRule="auto"/>
        <w:ind w:firstLine="480" w:firstLineChars="200"/>
        <w:rPr>
          <w:rFonts w:asciiTheme="minorEastAsia" w:hAnsiTheme="minorEastAsia"/>
          <w:b/>
          <w:sz w:val="24"/>
        </w:rPr>
      </w:pPr>
      <w:r>
        <w:rPr>
          <w:rFonts w:hint="eastAsia" w:asciiTheme="minorEastAsia" w:hAnsiTheme="minorEastAsia" w:eastAsiaTheme="minorEastAsia"/>
          <w:color w:val="0C0C0C" w:themeColor="text1" w:themeTint="F2"/>
          <w:sz w:val="24"/>
          <w:szCs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61AA25A3">
      <w:pPr>
        <w:spacing w:line="360" w:lineRule="auto"/>
        <w:rPr>
          <w:rFonts w:asciiTheme="minorEastAsia" w:hAnsiTheme="minorEastAsia"/>
          <w:b/>
          <w:color w:val="0C0C0C" w:themeColor="text1" w:themeTint="F2"/>
          <w:sz w:val="24"/>
        </w:rPr>
      </w:pPr>
      <w:r>
        <w:rPr>
          <w:rFonts w:hint="eastAsia" w:asciiTheme="minorEastAsia" w:hAnsiTheme="minorEastAsia"/>
          <w:b/>
          <w:color w:val="0C0C0C" w:themeColor="text1" w:themeTint="F2"/>
          <w:sz w:val="24"/>
        </w:rPr>
        <w:t>五、基金资产的投资范围和投资限制</w:t>
      </w:r>
    </w:p>
    <w:p w14:paraId="5F3ACE84">
      <w:pPr>
        <w:spacing w:line="360" w:lineRule="auto"/>
        <w:ind w:firstLine="480" w:firstLineChars="200"/>
        <w:rPr>
          <w:rFonts w:asciiTheme="minorEastAsia" w:hAnsiTheme="minorEastAsia"/>
          <w:color w:val="0C0C0C" w:themeColor="text1" w:themeTint="F2"/>
          <w:sz w:val="24"/>
        </w:rPr>
      </w:pPr>
      <w:r>
        <w:rPr>
          <w:rFonts w:hint="eastAsia" w:asciiTheme="minorEastAsia" w:hAnsiTheme="minorEastAsia"/>
          <w:color w:val="0C0C0C" w:themeColor="text1" w:themeTint="F2"/>
          <w:sz w:val="24"/>
        </w:rPr>
        <w:t>（一）投资</w:t>
      </w:r>
      <w:r>
        <w:rPr>
          <w:rFonts w:asciiTheme="minorEastAsia" w:hAnsiTheme="minorEastAsia"/>
          <w:color w:val="0C0C0C" w:themeColor="text1" w:themeTint="F2"/>
          <w:sz w:val="24"/>
        </w:rPr>
        <w:t>范围</w:t>
      </w:r>
    </w:p>
    <w:p w14:paraId="24BAE8AA">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本基金主要投资于标的指数成份股和备选成份股(含存托凭证)。</w:t>
      </w:r>
    </w:p>
    <w:p w14:paraId="1292ACC8">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5068FFC">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本基金可根据法律法规的规定参与融资和转融通证券出借业务。未来在法律法规允许的前提下，本基金可根据相关法律法规规定参与融券业务。</w:t>
      </w:r>
    </w:p>
    <w:p w14:paraId="79D40E92">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如法律法规或中国证监会以后允许基金投资其他品种，本基金管理人在履行适当程序后，可以将其纳入本基金的投资范围。</w:t>
      </w:r>
    </w:p>
    <w:p w14:paraId="4C703D94">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2FE542AB">
      <w:pPr>
        <w:adjustRightInd w:val="0"/>
        <w:snapToGrid w:val="0"/>
        <w:spacing w:line="360" w:lineRule="auto"/>
        <w:ind w:firstLine="480" w:firstLineChars="200"/>
        <w:rPr>
          <w:rFonts w:asciiTheme="minorEastAsia" w:hAnsiTheme="minorEastAsia" w:eastAsiaTheme="minorEastAsia"/>
          <w:color w:val="0C0C0C" w:themeColor="text1" w:themeTint="F2"/>
          <w:kern w:val="0"/>
          <w:sz w:val="24"/>
          <w:szCs w:val="24"/>
        </w:rPr>
      </w:pPr>
      <w:r>
        <w:rPr>
          <w:rFonts w:hint="eastAsia" w:asciiTheme="minorEastAsia" w:hAnsiTheme="minorEastAsia" w:eastAsiaTheme="minorEastAsia"/>
          <w:color w:val="0C0C0C" w:themeColor="text1" w:themeTint="F2"/>
          <w:kern w:val="0"/>
          <w:sz w:val="24"/>
          <w:szCs w:val="24"/>
        </w:rPr>
        <w:t>若法律法规的相关规定发生变更或监管机构允许，本基金管理人在履行适当程序后，可对上述资产配置比例进行调整。</w:t>
      </w:r>
    </w:p>
    <w:p w14:paraId="131DEFAF">
      <w:pPr>
        <w:spacing w:line="360" w:lineRule="auto"/>
        <w:ind w:firstLine="480" w:firstLineChars="200"/>
        <w:rPr>
          <w:rFonts w:asciiTheme="minorEastAsia" w:hAnsiTheme="minorEastAsia"/>
          <w:color w:val="0C0C0C" w:themeColor="text1" w:themeTint="F2"/>
          <w:sz w:val="24"/>
        </w:rPr>
      </w:pPr>
      <w:r>
        <w:rPr>
          <w:rFonts w:hint="eastAsia" w:asciiTheme="minorEastAsia" w:hAnsiTheme="minorEastAsia"/>
          <w:color w:val="0C0C0C" w:themeColor="text1" w:themeTint="F2"/>
          <w:sz w:val="24"/>
        </w:rPr>
        <w:t>（二）投资组合限制</w:t>
      </w:r>
    </w:p>
    <w:p w14:paraId="598184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、组合限制</w:t>
      </w:r>
    </w:p>
    <w:p w14:paraId="3372C0E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基金的投资组合应遵循以下限制：</w:t>
      </w:r>
    </w:p>
    <w:p w14:paraId="6BB40B9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）本基金投资于标的指数成份股和备选成份股（含存托凭证）的资产比例不低于基金资产净值的90</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，且不低于非现金基金资产的80%；</w:t>
      </w:r>
    </w:p>
    <w:p w14:paraId="4863880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）本基金每个交易日日终在扣除股指期货、股票期权和国债期货合约需缴纳的交易保证金后，应当保持不低于交易保证金一倍的现金，其中现金不包括结算备付金、存出保证金和应收申购款等；</w:t>
      </w:r>
    </w:p>
    <w:p w14:paraId="3D7835E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（3）本基金参与股指期货和国债期货交易，需遵守下列投资比例限制：</w:t>
      </w:r>
    </w:p>
    <w:p w14:paraId="5DD0F4E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1）本基金在任何交易日日终，持有的买入股指期货合约价值，不得超过基金资产净值的10%；在任何交易日日终，持有的买入国债期货合约价值，不得超过基金资产净值的15%；</w:t>
      </w:r>
    </w:p>
    <w:p w14:paraId="585B419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15B15E9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 xml:space="preserve">3）本基金在任何交易日日终，持有的卖出股指期货合约价值不得超过基金持有的股票总市值的20%；在任何交易日日终，持有的卖出国债期货合约价值不得超过基金持有的债券总市值的30%； </w:t>
      </w:r>
    </w:p>
    <w:p w14:paraId="3818D1A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28F6F66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45838D8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（4）本基金投资于同一原始权益人的各类资产支持证券的比例，不得超过基金资产净值的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2640644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（5）本基金持有的全部资产支持证券，其市值不得超过基金资产净值的</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w:t>
      </w:r>
    </w:p>
    <w:p w14:paraId="5191285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（6）本基金持有的同一</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指同一信用级别</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资产支持证券的比例，不得超过该资产支持证券规模的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114F44D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（7）本基金管理人管理的全部基金投资于同一原始权益人的各类资产支持证券，不得超过其各类资产支持证券合计规模的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w:t>
      </w:r>
    </w:p>
    <w:p w14:paraId="671CDF2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（8）本基金应投资于信用级别评级为</w:t>
      </w:r>
      <w:r>
        <w:rPr>
          <w:rFonts w:asciiTheme="minorEastAsia" w:hAnsiTheme="minorEastAsia" w:eastAsiaTheme="minorEastAsia"/>
          <w:color w:val="0C0C0C" w:themeColor="text1" w:themeTint="F2"/>
          <w:sz w:val="24"/>
          <w:szCs w:val="24"/>
        </w:rPr>
        <w:t>BBB</w:t>
      </w:r>
      <w:r>
        <w:rPr>
          <w:rFonts w:hint="eastAsia" w:asciiTheme="minorEastAsia" w:hAnsiTheme="minorEastAsia" w:eastAsiaTheme="minorEastAsia"/>
          <w:color w:val="0C0C0C" w:themeColor="text1" w:themeTint="F2"/>
          <w:sz w:val="24"/>
          <w:szCs w:val="24"/>
        </w:rPr>
        <w:t>以上</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含</w:t>
      </w:r>
      <w:r>
        <w:rPr>
          <w:rFonts w:asciiTheme="minorEastAsia" w:hAnsiTheme="minorEastAsia" w:eastAsiaTheme="minorEastAsia"/>
          <w:color w:val="0C0C0C" w:themeColor="text1" w:themeTint="F2"/>
          <w:sz w:val="24"/>
          <w:szCs w:val="24"/>
        </w:rPr>
        <w:t>BBB)</w:t>
      </w:r>
      <w:r>
        <w:rPr>
          <w:rFonts w:hint="eastAsia" w:asciiTheme="minorEastAsia" w:hAnsiTheme="minorEastAsia" w:eastAsiaTheme="minorEastAsia"/>
          <w:color w:val="0C0C0C" w:themeColor="text1" w:themeTint="F2"/>
          <w:sz w:val="24"/>
          <w:szCs w:val="24"/>
        </w:rPr>
        <w:t>的资产支持证券。基金持有资产支持证券期间，如果其信用等级下降、不再符合投资标准，应在评级报告发布之日起</w:t>
      </w:r>
      <w:r>
        <w:rPr>
          <w:rFonts w:asciiTheme="minorEastAsia" w:hAnsiTheme="minorEastAsia" w:eastAsiaTheme="minorEastAsia"/>
          <w:color w:val="0C0C0C" w:themeColor="text1" w:themeTint="F2"/>
          <w:sz w:val="24"/>
          <w:szCs w:val="24"/>
        </w:rPr>
        <w:t>3</w:t>
      </w:r>
      <w:r>
        <w:rPr>
          <w:rFonts w:hint="eastAsia" w:asciiTheme="minorEastAsia" w:hAnsiTheme="minorEastAsia" w:eastAsiaTheme="minorEastAsia"/>
          <w:color w:val="0C0C0C" w:themeColor="text1" w:themeTint="F2"/>
          <w:sz w:val="24"/>
          <w:szCs w:val="24"/>
        </w:rPr>
        <w:t>个月内予以全部卖出；</w:t>
      </w:r>
    </w:p>
    <w:p w14:paraId="4579B0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（9）基金财产参与股票发行申购，本基金所申报的金额不超过本基金的总资产，本基金所申报的股票数量不超过拟发行股票公司本次发行股票的总量；</w:t>
      </w:r>
    </w:p>
    <w:p w14:paraId="083BAFDC">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（10）本基金参与融资的，在任何交易日日终，本基金持有的融资买入股票与其他有价证券市值之和，不得超过基金资产净值的</w:t>
      </w:r>
      <w:r>
        <w:rPr>
          <w:rFonts w:asciiTheme="minorEastAsia" w:hAnsiTheme="minorEastAsia" w:eastAsiaTheme="minorEastAsia"/>
          <w:color w:val="0C0C0C" w:themeColor="text1" w:themeTint="F2"/>
          <w:sz w:val="24"/>
          <w:szCs w:val="24"/>
        </w:rPr>
        <w:t>95%</w:t>
      </w:r>
      <w:r>
        <w:rPr>
          <w:rFonts w:hint="eastAsia" w:asciiTheme="minorEastAsia" w:hAnsiTheme="minorEastAsia" w:eastAsiaTheme="minorEastAsia"/>
          <w:color w:val="0C0C0C" w:themeColor="text1" w:themeTint="F2"/>
          <w:sz w:val="24"/>
          <w:szCs w:val="24"/>
        </w:rPr>
        <w:t>；</w:t>
      </w:r>
    </w:p>
    <w:p w14:paraId="00806D9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（11）本基金参与转融通证券出借业务，需遵守下列投资限制：</w:t>
      </w:r>
    </w:p>
    <w:p w14:paraId="1556F49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1）出借证券资产不得超过基金资产净值的30%，出借期限在10个交易日以上的出借证券应纳入《流动性风险管理规定》所述流动性受限证券的范围；</w:t>
      </w:r>
    </w:p>
    <w:p w14:paraId="03C47CE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2）参与出借业务的单只证券不得超过本基金持有该证券总量的30%；</w:t>
      </w:r>
    </w:p>
    <w:p w14:paraId="0241DC4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3）最近6个月内日均基金资产净值不得低于2亿元；</w:t>
      </w:r>
    </w:p>
    <w:p w14:paraId="6486C5C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4）证券出借的平均剩余期限不得超过30天，平均剩余期限按照市值加权平均计算；</w:t>
      </w:r>
    </w:p>
    <w:p w14:paraId="5DF7504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因证券、期货市场波动、证券发行人合并、基金规模变动等基金管理人之外的因素致使基金投资不符合上述规定的，基金管理人不得新增出借业务；</w:t>
      </w:r>
    </w:p>
    <w:p w14:paraId="52A0B15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（12）基金因未平仓的股票期权合约支付和收取的权利金总额不得超过基金资产净值的</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开仓卖出认购股票期权的，应持有足额标的证券；开仓卖出认沽股票期权的，应持有合约行权所需的全额现金或交易所规则认可的可冲抵股票期权保证金的现金等价物；未平仓的股票期权合约面值不得超过基金资产净值的</w:t>
      </w:r>
      <w:r>
        <w:rPr>
          <w:rFonts w:asciiTheme="minorEastAsia" w:hAnsiTheme="minorEastAsia" w:eastAsiaTheme="minorEastAsia"/>
          <w:color w:val="0C0C0C" w:themeColor="text1" w:themeTint="F2"/>
          <w:sz w:val="24"/>
          <w:szCs w:val="24"/>
        </w:rPr>
        <w:t>20%</w:t>
      </w:r>
      <w:r>
        <w:rPr>
          <w:rFonts w:hint="eastAsia" w:asciiTheme="minorEastAsia" w:hAnsiTheme="minorEastAsia" w:eastAsiaTheme="minorEastAsia"/>
          <w:color w:val="0C0C0C" w:themeColor="text1" w:themeTint="F2"/>
          <w:sz w:val="24"/>
          <w:szCs w:val="24"/>
        </w:rPr>
        <w:t>，其中，合约面值按照行权价乘以合约乘数计算；</w:t>
      </w:r>
    </w:p>
    <w:p w14:paraId="19B6804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（13）本基金主动投资于流动性受限资产的市值合计不得超过基金资产净值的</w:t>
      </w:r>
      <w:r>
        <w:rPr>
          <w:rFonts w:asciiTheme="minorEastAsia" w:hAnsiTheme="minorEastAsia" w:eastAsiaTheme="minorEastAsia"/>
          <w:color w:val="0C0C0C" w:themeColor="text1" w:themeTint="F2"/>
          <w:sz w:val="24"/>
          <w:szCs w:val="24"/>
        </w:rPr>
        <w:t>15%</w:t>
      </w:r>
      <w:r>
        <w:rPr>
          <w:rFonts w:hint="eastAsia" w:asciiTheme="minorEastAsia" w:hAnsiTheme="minorEastAsia" w:eastAsiaTheme="minorEastAsia"/>
          <w:color w:val="0C0C0C" w:themeColor="text1" w:themeTint="F2"/>
          <w:sz w:val="24"/>
          <w:szCs w:val="24"/>
        </w:rPr>
        <w:t>；因证券/期货市场波动、上市公司股票停牌、基金规模变动等基金管理人之外的因素致使基金不符合该比例限制的，基金管理人不得主动新增流动性受限资产的投资；</w:t>
      </w:r>
    </w:p>
    <w:p w14:paraId="4530FA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（14）本基金与私募类证券资管产品及中国证监会认定的其他主体为交易对手开展逆回购交易的，可接受质押品的资质要求应当与本基金合同约定的投资范围保持一致；</w:t>
      </w:r>
    </w:p>
    <w:p w14:paraId="716A65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（15）本基金资产总值不得超过基金资产净值的</w:t>
      </w:r>
      <w:r>
        <w:rPr>
          <w:rFonts w:asciiTheme="minorEastAsia" w:hAnsiTheme="minorEastAsia" w:eastAsiaTheme="minorEastAsia"/>
          <w:color w:val="0C0C0C" w:themeColor="text1" w:themeTint="F2"/>
          <w:sz w:val="24"/>
          <w:szCs w:val="24"/>
        </w:rPr>
        <w:t>140%</w:t>
      </w:r>
      <w:r>
        <w:rPr>
          <w:rFonts w:hint="eastAsia" w:asciiTheme="minorEastAsia" w:hAnsiTheme="minorEastAsia" w:eastAsiaTheme="minorEastAsia"/>
          <w:color w:val="0C0C0C" w:themeColor="text1" w:themeTint="F2"/>
          <w:sz w:val="24"/>
          <w:szCs w:val="24"/>
        </w:rPr>
        <w:t>；</w:t>
      </w:r>
    </w:p>
    <w:p w14:paraId="1D92118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（16）本基金投资存托凭证的比例限制依照境内上市交易的股票执行；</w:t>
      </w:r>
    </w:p>
    <w:p w14:paraId="228D9C8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（17）法律法规及中国证监会规定的和《基金合同》约定的其他投资限制。</w:t>
      </w:r>
    </w:p>
    <w:p w14:paraId="248F69C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除上述（2）、（8</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（11）、（</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3）、（</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4）情形</w:t>
      </w:r>
      <w:r>
        <w:rPr>
          <w:rFonts w:asciiTheme="minorEastAsia" w:hAnsiTheme="minorEastAsia" w:eastAsiaTheme="minorEastAsia"/>
          <w:color w:val="0C0C0C" w:themeColor="text1" w:themeTint="F2"/>
          <w:sz w:val="24"/>
          <w:szCs w:val="24"/>
        </w:rPr>
        <w:t>之</w:t>
      </w:r>
      <w:r>
        <w:rPr>
          <w:rFonts w:hint="eastAsia" w:asciiTheme="minorEastAsia" w:hAnsiTheme="minorEastAsia" w:eastAsiaTheme="minorEastAsia"/>
          <w:color w:val="0C0C0C" w:themeColor="text1" w:themeTint="F2"/>
          <w:sz w:val="24"/>
          <w:szCs w:val="24"/>
        </w:rPr>
        <w:t>外，因</w:t>
      </w:r>
      <w:r>
        <w:rPr>
          <w:rFonts w:asciiTheme="minorEastAsia" w:hAnsiTheme="minorEastAsia" w:eastAsiaTheme="minorEastAsia"/>
          <w:color w:val="0C0C0C" w:themeColor="text1" w:themeTint="F2"/>
          <w:sz w:val="24"/>
          <w:szCs w:val="24"/>
        </w:rPr>
        <w:t>证券/期货市场</w:t>
      </w:r>
      <w:r>
        <w:rPr>
          <w:rFonts w:hint="eastAsia" w:asciiTheme="minorEastAsia" w:hAnsiTheme="minorEastAsia" w:eastAsiaTheme="minorEastAsia"/>
          <w:color w:val="0C0C0C" w:themeColor="text1" w:themeTint="F2"/>
          <w:sz w:val="24"/>
          <w:szCs w:val="24"/>
        </w:rPr>
        <w:t>波动、证券发行人合并、基金规模变动、标的指数成份股调整、标的指数成份股流动性限制等基金管理人之外的因素致使基金投资比例不符合上述规定投资比例的，基金管理人应当在</w:t>
      </w: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个交易日内进行调整，但中国证监会规定的特殊情形除外。</w:t>
      </w:r>
    </w:p>
    <w:p w14:paraId="7FD7410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基金管理人应当自基金合同生效之日起</w:t>
      </w:r>
      <w:r>
        <w:rPr>
          <w:rFonts w:asciiTheme="minorEastAsia" w:hAnsiTheme="minorEastAsia" w:eastAsiaTheme="minorEastAsia"/>
          <w:color w:val="0C0C0C" w:themeColor="text1" w:themeTint="F2"/>
          <w:sz w:val="24"/>
          <w:szCs w:val="24"/>
        </w:rPr>
        <w:t>6个月内使基金的投资组合比例符合基金合同的有关约定。</w:t>
      </w:r>
      <w:r>
        <w:rPr>
          <w:rFonts w:hint="eastAsia" w:asciiTheme="minorEastAsia" w:hAnsiTheme="minorEastAsia" w:eastAsiaTheme="minorEastAsia"/>
          <w:color w:val="0C0C0C" w:themeColor="text1" w:themeTint="F2"/>
          <w:sz w:val="24"/>
          <w:szCs w:val="24"/>
        </w:rPr>
        <w:t>在上述</w:t>
      </w:r>
      <w:r>
        <w:rPr>
          <w:rFonts w:asciiTheme="minorEastAsia" w:hAnsiTheme="minorEastAsia" w:eastAsiaTheme="minorEastAsia"/>
          <w:color w:val="0C0C0C" w:themeColor="text1" w:themeTint="F2"/>
          <w:sz w:val="24"/>
          <w:szCs w:val="24"/>
        </w:rPr>
        <w:t>期间</w:t>
      </w:r>
      <w:r>
        <w:rPr>
          <w:rFonts w:hint="eastAsia" w:asciiTheme="minorEastAsia" w:hAnsiTheme="minorEastAsia" w:eastAsiaTheme="minorEastAsia"/>
          <w:color w:val="0C0C0C" w:themeColor="text1" w:themeTint="F2"/>
          <w:sz w:val="24"/>
          <w:szCs w:val="24"/>
        </w:rPr>
        <w:t>内</w:t>
      </w:r>
      <w:r>
        <w:rPr>
          <w:rFonts w:asciiTheme="minorEastAsia" w:hAnsiTheme="minorEastAsia" w:eastAsiaTheme="minorEastAsia"/>
          <w:color w:val="0C0C0C" w:themeColor="text1" w:themeTint="F2"/>
          <w:sz w:val="24"/>
          <w:szCs w:val="24"/>
        </w:rPr>
        <w:t>，</w:t>
      </w:r>
      <w:r>
        <w:rPr>
          <w:rFonts w:hint="eastAsia" w:asciiTheme="minorEastAsia" w:hAnsiTheme="minorEastAsia" w:eastAsiaTheme="minorEastAsia"/>
          <w:color w:val="0C0C0C" w:themeColor="text1" w:themeTint="F2"/>
          <w:sz w:val="24"/>
          <w:szCs w:val="24"/>
        </w:rPr>
        <w:t>本</w:t>
      </w:r>
      <w:r>
        <w:rPr>
          <w:rFonts w:asciiTheme="minorEastAsia" w:hAnsiTheme="minorEastAsia" w:eastAsiaTheme="minorEastAsia"/>
          <w:color w:val="0C0C0C" w:themeColor="text1" w:themeTint="F2"/>
          <w:sz w:val="24"/>
          <w:szCs w:val="24"/>
        </w:rPr>
        <w:t>基金的投资范围、投资策略应当符合基金合同的约定。</w:t>
      </w:r>
      <w:r>
        <w:rPr>
          <w:rFonts w:hint="eastAsia" w:asciiTheme="minorEastAsia" w:hAnsiTheme="minorEastAsia" w:eastAsiaTheme="minorEastAsia"/>
          <w:color w:val="0C0C0C" w:themeColor="text1" w:themeTint="F2"/>
          <w:sz w:val="24"/>
          <w:szCs w:val="24"/>
        </w:rPr>
        <w:t>基金托管人对基金的投资的监督与检查自本基金合同生效之日起开始。</w:t>
      </w:r>
    </w:p>
    <w:p w14:paraId="17154AE9">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42B5DB0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、禁止行为</w:t>
      </w:r>
    </w:p>
    <w:p w14:paraId="0D85B0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为维护基金份额持有人的合法权益，基金财产不得用于下列投资或者活动：</w:t>
      </w:r>
    </w:p>
    <w:p w14:paraId="2B062F2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1</w:t>
      </w:r>
      <w:r>
        <w:rPr>
          <w:rFonts w:hint="eastAsia" w:asciiTheme="minorEastAsia" w:hAnsiTheme="minorEastAsia" w:eastAsiaTheme="minorEastAsia"/>
          <w:color w:val="0C0C0C" w:themeColor="text1" w:themeTint="F2"/>
          <w:sz w:val="24"/>
          <w:szCs w:val="24"/>
        </w:rPr>
        <w:t>）承销证券；</w:t>
      </w:r>
    </w:p>
    <w:p w14:paraId="7DB099B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违反规定</w:t>
      </w:r>
      <w:r>
        <w:rPr>
          <w:rFonts w:asciiTheme="minorEastAsia" w:hAnsiTheme="minorEastAsia" w:eastAsiaTheme="minorEastAsia"/>
          <w:color w:val="0C0C0C" w:themeColor="text1" w:themeTint="F2"/>
          <w:sz w:val="24"/>
          <w:szCs w:val="24"/>
        </w:rPr>
        <w:t>向他人贷款或者提供担保；</w:t>
      </w:r>
    </w:p>
    <w:p w14:paraId="311D3A3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（3）从事承担无限责任的投资；</w:t>
      </w:r>
    </w:p>
    <w:p w14:paraId="10F1BE8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（4）买卖其他基金份额，但是</w:t>
      </w:r>
      <w:r>
        <w:rPr>
          <w:rFonts w:hint="eastAsia" w:asciiTheme="minorEastAsia" w:hAnsiTheme="minorEastAsia" w:eastAsiaTheme="minorEastAsia"/>
          <w:color w:val="0C0C0C" w:themeColor="text1" w:themeTint="F2"/>
          <w:sz w:val="24"/>
          <w:szCs w:val="24"/>
        </w:rPr>
        <w:t>中国证监会</w:t>
      </w:r>
      <w:r>
        <w:rPr>
          <w:rFonts w:asciiTheme="minorEastAsia" w:hAnsiTheme="minorEastAsia" w:eastAsiaTheme="minorEastAsia"/>
          <w:color w:val="0C0C0C" w:themeColor="text1" w:themeTint="F2"/>
          <w:sz w:val="24"/>
          <w:szCs w:val="24"/>
        </w:rPr>
        <w:t>另有规定的除外；</w:t>
      </w:r>
    </w:p>
    <w:p w14:paraId="762079C0">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（5）向</w:t>
      </w:r>
      <w:r>
        <w:rPr>
          <w:rFonts w:hint="eastAsia" w:asciiTheme="minorEastAsia" w:hAnsiTheme="minorEastAsia" w:eastAsiaTheme="minorEastAsia"/>
          <w:color w:val="0C0C0C" w:themeColor="text1" w:themeTint="F2"/>
          <w:sz w:val="24"/>
          <w:szCs w:val="24"/>
        </w:rPr>
        <w:t>其基金管理人、基金托管人</w:t>
      </w:r>
      <w:r>
        <w:rPr>
          <w:rFonts w:asciiTheme="minorEastAsia" w:hAnsiTheme="minorEastAsia" w:eastAsiaTheme="minorEastAsia"/>
          <w:color w:val="0C0C0C" w:themeColor="text1" w:themeTint="F2"/>
          <w:sz w:val="24"/>
          <w:szCs w:val="24"/>
        </w:rPr>
        <w:t>出资</w:t>
      </w:r>
      <w:r>
        <w:rPr>
          <w:rFonts w:hint="eastAsia" w:asciiTheme="minorEastAsia" w:hAnsiTheme="minorEastAsia" w:eastAsiaTheme="minorEastAsia"/>
          <w:color w:val="0C0C0C" w:themeColor="text1" w:themeTint="F2"/>
          <w:sz w:val="24"/>
          <w:szCs w:val="24"/>
        </w:rPr>
        <w:t>；</w:t>
      </w:r>
    </w:p>
    <w:p w14:paraId="28045C8F">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6）从事内幕交易、操纵证券交易价格及其他不正当的证券交易活动；</w:t>
      </w:r>
    </w:p>
    <w:p w14:paraId="1186C84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7）</w:t>
      </w:r>
      <w:r>
        <w:rPr>
          <w:rFonts w:hint="eastAsia" w:asciiTheme="minorEastAsia" w:hAnsiTheme="minorEastAsia" w:eastAsiaTheme="minorEastAsia"/>
          <w:color w:val="0C0C0C" w:themeColor="text1" w:themeTint="F2"/>
          <w:sz w:val="24"/>
          <w:szCs w:val="24"/>
        </w:rPr>
        <w:t>法律、行政法规和中国证监会规定禁止的其他活动。</w:t>
      </w:r>
    </w:p>
    <w:p w14:paraId="1D40230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36F56C8">
      <w:pPr>
        <w:spacing w:line="360" w:lineRule="auto"/>
        <w:ind w:firstLine="480" w:firstLineChars="200"/>
        <w:rPr>
          <w:rFonts w:asciiTheme="minorEastAsia" w:hAnsiTheme="minorEastAsia"/>
          <w:b/>
          <w:color w:val="0C0C0C" w:themeColor="text1" w:themeTint="F2"/>
          <w:sz w:val="24"/>
        </w:rPr>
      </w:pPr>
      <w:r>
        <w:rPr>
          <w:rFonts w:asciiTheme="minorEastAsia" w:hAnsiTheme="minorEastAsia" w:eastAsiaTheme="minorEastAsia"/>
          <w:color w:val="0C0C0C" w:themeColor="text1" w:themeTint="F2"/>
          <w:sz w:val="24"/>
          <w:szCs w:val="24"/>
        </w:rPr>
        <w:t>法律</w:t>
      </w:r>
      <w:r>
        <w:rPr>
          <w:rFonts w:hint="eastAsia" w:asciiTheme="minorEastAsia" w:hAnsiTheme="minorEastAsia" w:eastAsiaTheme="minorEastAsia"/>
          <w:color w:val="0C0C0C" w:themeColor="text1" w:themeTint="F2"/>
          <w:sz w:val="24"/>
          <w:szCs w:val="24"/>
        </w:rPr>
        <w:t>、行政</w:t>
      </w:r>
      <w:r>
        <w:rPr>
          <w:rFonts w:asciiTheme="minorEastAsia" w:hAnsiTheme="minorEastAsia" w:eastAsiaTheme="minorEastAsia"/>
          <w:color w:val="0C0C0C" w:themeColor="text1" w:themeTint="F2"/>
          <w:sz w:val="24"/>
          <w:szCs w:val="24"/>
        </w:rPr>
        <w:t>法规或监管部门取消</w:t>
      </w:r>
      <w:r>
        <w:rPr>
          <w:rFonts w:hint="eastAsia" w:asciiTheme="minorEastAsia" w:hAnsiTheme="minorEastAsia" w:eastAsiaTheme="minorEastAsia"/>
          <w:color w:val="0C0C0C" w:themeColor="text1" w:themeTint="F2"/>
          <w:sz w:val="24"/>
          <w:szCs w:val="24"/>
        </w:rPr>
        <w:t>或调整</w:t>
      </w:r>
      <w:r>
        <w:rPr>
          <w:rFonts w:asciiTheme="minorEastAsia" w:hAnsiTheme="minorEastAsia" w:eastAsiaTheme="minorEastAsia"/>
          <w:color w:val="0C0C0C" w:themeColor="text1" w:themeTint="F2"/>
          <w:sz w:val="24"/>
          <w:szCs w:val="24"/>
        </w:rPr>
        <w:t>上述限制，如适用于本基金，</w:t>
      </w:r>
      <w:r>
        <w:rPr>
          <w:rFonts w:hint="eastAsia" w:asciiTheme="minorEastAsia" w:hAnsiTheme="minorEastAsia" w:eastAsiaTheme="minorEastAsia"/>
          <w:color w:val="0C0C0C" w:themeColor="text1" w:themeTint="F2"/>
          <w:sz w:val="24"/>
          <w:szCs w:val="24"/>
        </w:rPr>
        <w:t>基金管理人在履行适当程序后，</w:t>
      </w:r>
      <w:r>
        <w:rPr>
          <w:rFonts w:asciiTheme="minorEastAsia" w:hAnsiTheme="minorEastAsia" w:eastAsiaTheme="minorEastAsia"/>
          <w:color w:val="0C0C0C" w:themeColor="text1" w:themeTint="F2"/>
          <w:sz w:val="24"/>
          <w:szCs w:val="24"/>
        </w:rPr>
        <w:t>则本基金投资不再受相关限制</w:t>
      </w:r>
      <w:r>
        <w:rPr>
          <w:rFonts w:hint="eastAsia" w:asciiTheme="minorEastAsia" w:hAnsiTheme="minorEastAsia" w:eastAsiaTheme="minorEastAsia"/>
          <w:color w:val="0C0C0C" w:themeColor="text1" w:themeTint="F2"/>
          <w:sz w:val="24"/>
          <w:szCs w:val="24"/>
        </w:rPr>
        <w:t>或按照调整后的规定执行</w:t>
      </w:r>
      <w:r>
        <w:rPr>
          <w:rFonts w:asciiTheme="minorEastAsia" w:hAnsiTheme="minorEastAsia" w:eastAsiaTheme="minorEastAsia"/>
          <w:color w:val="0C0C0C" w:themeColor="text1" w:themeTint="F2"/>
          <w:sz w:val="24"/>
          <w:szCs w:val="24"/>
        </w:rPr>
        <w:t>。</w:t>
      </w:r>
    </w:p>
    <w:p w14:paraId="3019F32F">
      <w:pPr>
        <w:snapToGrid w:val="0"/>
        <w:spacing w:line="360" w:lineRule="auto"/>
        <w:ind w:firstLine="482" w:firstLineChars="200"/>
        <w:rPr>
          <w:rFonts w:asciiTheme="minorEastAsia" w:hAnsiTheme="minorEastAsia"/>
          <w:b/>
          <w:sz w:val="24"/>
        </w:rPr>
      </w:pPr>
      <w:r>
        <w:rPr>
          <w:rFonts w:hint="eastAsia" w:asciiTheme="minorEastAsia" w:hAnsiTheme="minorEastAsia"/>
          <w:b/>
          <w:sz w:val="24"/>
        </w:rPr>
        <w:t>六、基金资产净值的计算方法和公告方式</w:t>
      </w:r>
    </w:p>
    <w:p w14:paraId="61B6C08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（一）基金资产净值的计算方式</w:t>
      </w:r>
    </w:p>
    <w:p w14:paraId="2885B57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6C6941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2、对于已上市或已挂牌转让的不含权固定收益品种，选取估值日第三方估值基准服务机构提供的相应品种当日的估值全价进行估值。</w:t>
      </w:r>
    </w:p>
    <w:p w14:paraId="5280C9A1">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3、对于已上市或已挂牌转让的含权固定收益品种，选取估值日第三方估值基准服务机构提供的相应品种当日的唯一估值全价或推荐估值全价进行估值。</w:t>
      </w:r>
    </w:p>
    <w:p w14:paraId="64F01AB5">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E922EB7">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76DEE8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5、对于未上市或未挂牌转让且不存在活跃市场的固定收益品种，应采用在当前情况下适用并且有足够可利用数据和其他信息支持的估值技术确定其公允价值。</w:t>
      </w:r>
    </w:p>
    <w:p w14:paraId="27E82718">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6</w:t>
      </w:r>
      <w:r>
        <w:rPr>
          <w:rFonts w:hint="eastAsia" w:asciiTheme="minorEastAsia" w:hAnsiTheme="minorEastAsia" w:eastAsiaTheme="minorEastAsia"/>
          <w:color w:val="0C0C0C" w:themeColor="text1" w:themeTint="F2"/>
          <w:sz w:val="24"/>
          <w:szCs w:val="24"/>
        </w:rPr>
        <w:t>、处于未上市期间的股票应区分如下情况处理：</w:t>
      </w:r>
    </w:p>
    <w:p w14:paraId="5970569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（1）送股、转增股、配股和公开增发的新股，按估值日在证券交易所挂牌的同一股票的估值方法估值；该日无交易的，以最近一日的市价（收盘价）估值；</w:t>
      </w:r>
    </w:p>
    <w:p w14:paraId="0CE782DA">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）首次公开发行未上市的股票，采用估值技术确定公允价值，在估值技术难以可靠计量公允价值的情况下，按成本估值；</w:t>
      </w:r>
    </w:p>
    <w:p w14:paraId="08335114">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5A6484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7</w:t>
      </w:r>
      <w:r>
        <w:rPr>
          <w:rFonts w:hint="eastAsia" w:cs="宋体" w:asciiTheme="minorEastAsia" w:hAnsiTheme="minorEastAsia"/>
          <w:kern w:val="0"/>
          <w:sz w:val="24"/>
          <w:szCs w:val="24"/>
        </w:rPr>
        <w:t>、本基金投资存托凭证的估值核算，依照境内上市交易的股票执行。</w:t>
      </w:r>
    </w:p>
    <w:p w14:paraId="5C05C6F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8</w:t>
      </w:r>
      <w:r>
        <w:rPr>
          <w:rFonts w:hint="eastAsia" w:asciiTheme="minorEastAsia" w:hAnsiTheme="minorEastAsia" w:eastAsiaTheme="minorEastAsia"/>
          <w:color w:val="0C0C0C" w:themeColor="text1" w:themeTint="F2"/>
          <w:sz w:val="24"/>
          <w:szCs w:val="24"/>
        </w:rPr>
        <w:t>、同一证券同时在两个或两个以上市场交易的，按证券所处的市场分别估值。</w:t>
      </w:r>
    </w:p>
    <w:p w14:paraId="521504F6">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9</w:t>
      </w:r>
      <w:r>
        <w:rPr>
          <w:rFonts w:hint="eastAsia" w:asciiTheme="minorEastAsia" w:hAnsiTheme="minorEastAsia" w:eastAsiaTheme="minorEastAsia"/>
          <w:color w:val="0C0C0C" w:themeColor="text1" w:themeTint="F2"/>
          <w:sz w:val="24"/>
          <w:szCs w:val="24"/>
        </w:rPr>
        <w:t>、本基金投资股指期货、</w:t>
      </w:r>
      <w:r>
        <w:rPr>
          <w:rFonts w:hint="eastAsia" w:cs="宋体" w:asciiTheme="minorEastAsia" w:hAnsiTheme="minorEastAsia"/>
          <w:kern w:val="0"/>
          <w:sz w:val="24"/>
          <w:szCs w:val="24"/>
        </w:rPr>
        <w:t>国债期货</w:t>
      </w:r>
      <w:r>
        <w:rPr>
          <w:rFonts w:hint="eastAsia" w:asciiTheme="minorEastAsia" w:hAnsiTheme="minorEastAsia" w:eastAsiaTheme="minorEastAsia"/>
          <w:color w:val="0C0C0C" w:themeColor="text1" w:themeTint="F2"/>
          <w:sz w:val="24"/>
          <w:szCs w:val="24"/>
        </w:rPr>
        <w:t>合约，一般以估值当日结算价确定公允价值，估值当日无结算价的，且最近交易日后未发生影响公允价值计量的重大事件的，采用最近交易日结算价估值。</w:t>
      </w:r>
    </w:p>
    <w:p w14:paraId="5A40B22E">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10</w:t>
      </w:r>
      <w:r>
        <w:rPr>
          <w:rFonts w:hint="eastAsia" w:asciiTheme="minorEastAsia" w:hAnsiTheme="minorEastAsia" w:eastAsiaTheme="minorEastAsia"/>
          <w:color w:val="0C0C0C" w:themeColor="text1" w:themeTint="F2"/>
          <w:sz w:val="24"/>
          <w:szCs w:val="24"/>
        </w:rPr>
        <w:t>、本基金投资股票期权，根据相关法律法规以及监管部门的规定估值。</w:t>
      </w:r>
    </w:p>
    <w:p w14:paraId="5CE9E332">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11</w:t>
      </w:r>
      <w:r>
        <w:rPr>
          <w:rFonts w:hint="eastAsia" w:asciiTheme="minorEastAsia" w:hAnsiTheme="minorEastAsia" w:eastAsiaTheme="minorEastAsia"/>
          <w:color w:val="0C0C0C" w:themeColor="text1" w:themeTint="F2"/>
          <w:sz w:val="24"/>
          <w:szCs w:val="24"/>
        </w:rPr>
        <w:t>、本基金参与融资及转融通证券出借业务的，应参照法律法规及行业协会的相关规定进行估值。</w:t>
      </w:r>
    </w:p>
    <w:p w14:paraId="409CD1C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1</w:t>
      </w:r>
      <w:r>
        <w:rPr>
          <w:rFonts w:asciiTheme="minorEastAsia" w:hAnsiTheme="minorEastAsia" w:eastAsiaTheme="minorEastAsia"/>
          <w:color w:val="0C0C0C" w:themeColor="text1" w:themeTint="F2"/>
          <w:sz w:val="24"/>
          <w:szCs w:val="24"/>
        </w:rPr>
        <w:t>2</w:t>
      </w:r>
      <w:r>
        <w:rPr>
          <w:rFonts w:hint="eastAsia" w:asciiTheme="minorEastAsia" w:hAnsiTheme="minorEastAsia" w:eastAsiaTheme="minorEastAsia"/>
          <w:color w:val="0C0C0C" w:themeColor="text1" w:themeTint="F2"/>
          <w:sz w:val="24"/>
          <w:szCs w:val="24"/>
        </w:rPr>
        <w:t>、如有确凿证据表明按上述方法进行估值不能客观反映其公允价值的，基金管理人可根据具体情况与基金托管人商定后，按最能反映公允价值的方法估值。</w:t>
      </w:r>
    </w:p>
    <w:p w14:paraId="5F4D3A23">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asciiTheme="minorEastAsia" w:hAnsiTheme="minorEastAsia" w:eastAsiaTheme="minorEastAsia"/>
          <w:color w:val="0C0C0C" w:themeColor="text1" w:themeTint="F2"/>
          <w:sz w:val="24"/>
          <w:szCs w:val="24"/>
        </w:rPr>
        <w:t>13</w:t>
      </w:r>
      <w:r>
        <w:rPr>
          <w:rFonts w:hint="eastAsia" w:asciiTheme="minorEastAsia" w:hAnsiTheme="minorEastAsia" w:eastAsiaTheme="minorEastAsia"/>
          <w:color w:val="0C0C0C" w:themeColor="text1" w:themeTint="F2"/>
          <w:sz w:val="24"/>
          <w:szCs w:val="24"/>
        </w:rPr>
        <w:t>、相关法律法规以及监管部门有强制规定的，从其规定。如有新增事项，按国家最新规定估值。</w:t>
      </w:r>
    </w:p>
    <w:p w14:paraId="78A115DB">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6432DF4D">
      <w:pPr>
        <w:adjustRightInd w:val="0"/>
        <w:snapToGrid w:val="0"/>
        <w:spacing w:line="360" w:lineRule="auto"/>
        <w:ind w:firstLine="480" w:firstLineChars="200"/>
        <w:rPr>
          <w:rFonts w:asciiTheme="minorEastAsia" w:hAnsiTheme="minorEastAsia" w:eastAsiaTheme="minorEastAsia"/>
          <w:color w:val="0C0C0C" w:themeColor="text1" w:themeTint="F2"/>
          <w:sz w:val="24"/>
          <w:szCs w:val="24"/>
        </w:rPr>
      </w:pPr>
      <w:r>
        <w:rPr>
          <w:rFonts w:hint="eastAsia" w:asciiTheme="minorEastAsia" w:hAnsiTheme="minorEastAsia" w:eastAsiaTheme="minorEastAsia"/>
          <w:color w:val="0C0C0C" w:themeColor="text1" w:themeTint="F2"/>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E21BB7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（二）基金净值信息</w:t>
      </w:r>
    </w:p>
    <w:p w14:paraId="1B380C3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《基金合同》生效后，在基金份额上市交易或者开始办理基金份额申购或者赎回前，基金管理人应当至少每周在规定网站披露一次基金份额净值和基金份额累计净值。</w:t>
      </w:r>
    </w:p>
    <w:p w14:paraId="069BD3C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1422E77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基金管理人应当在不晚于半年度和年度最后一日的次日，在规定网站披露半年度和年度最后一日的基金份额净值和基金份额累计净值。</w:t>
      </w:r>
    </w:p>
    <w:p w14:paraId="5331CDF4">
      <w:pPr>
        <w:snapToGrid w:val="0"/>
        <w:spacing w:line="360" w:lineRule="auto"/>
        <w:ind w:firstLine="482" w:firstLineChars="200"/>
        <w:rPr>
          <w:rFonts w:asciiTheme="minorEastAsia" w:hAnsiTheme="minorEastAsia"/>
          <w:b/>
          <w:sz w:val="24"/>
        </w:rPr>
      </w:pPr>
      <w:r>
        <w:rPr>
          <w:rFonts w:hint="eastAsia" w:asciiTheme="minorEastAsia" w:hAnsiTheme="minorEastAsia"/>
          <w:b/>
          <w:sz w:val="24"/>
        </w:rPr>
        <w:t>七、</w:t>
      </w:r>
      <w:r>
        <w:rPr>
          <w:rFonts w:asciiTheme="minorEastAsia" w:hAnsiTheme="minorEastAsia"/>
          <w:b/>
          <w:sz w:val="24"/>
        </w:rPr>
        <w:t>基金合同的变更、终止与基金财产的清算</w:t>
      </w:r>
    </w:p>
    <w:p w14:paraId="3F65357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（一）《基金合同》的变更</w:t>
      </w:r>
    </w:p>
    <w:p w14:paraId="32ADA22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45B81EBB">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、关于《基金合同》变更的基金份额持有人大会决议自生效后方可执行，自决议生效后按规定在规定媒介公告。</w:t>
      </w:r>
    </w:p>
    <w:p w14:paraId="0E0227F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（二）《基金合同》的终止事由</w:t>
      </w:r>
    </w:p>
    <w:p w14:paraId="7C06D293">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有下列情形之一的，经履行相关程序后，《基金合同》应当终止：</w:t>
      </w:r>
    </w:p>
    <w:p w14:paraId="5D843EFA">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、基金份额持有人大会决定终止的；</w:t>
      </w:r>
    </w:p>
    <w:p w14:paraId="742BC795">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、基金管理人、基金托管人职责终止，在</w:t>
      </w:r>
      <w:r>
        <w:rPr>
          <w:rFonts w:asciiTheme="minorEastAsia" w:hAnsiTheme="minorEastAsia" w:eastAsiaTheme="minorEastAsia"/>
          <w:sz w:val="24"/>
          <w:szCs w:val="24"/>
        </w:rPr>
        <w:t>6</w:t>
      </w:r>
      <w:r>
        <w:rPr>
          <w:rFonts w:hint="eastAsia" w:asciiTheme="minorEastAsia" w:hAnsiTheme="minorEastAsia" w:eastAsiaTheme="minorEastAsia"/>
          <w:sz w:val="24"/>
          <w:szCs w:val="24"/>
        </w:rPr>
        <w:t>个月内没有新基金管理人、新基金托管人承接的；</w:t>
      </w:r>
    </w:p>
    <w:p w14:paraId="375E1552">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3、《基金合同》约定的其他情形；</w:t>
      </w:r>
    </w:p>
    <w:p w14:paraId="642E69F1">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、相关法律法规和中国证监会规定的其他情况。</w:t>
      </w:r>
    </w:p>
    <w:p w14:paraId="43A9D041">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（三）基金财产的清算</w:t>
      </w:r>
    </w:p>
    <w:p w14:paraId="666C57C7">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、基金财产清算小组：自出现《基金合同》终止事由之日起</w:t>
      </w:r>
      <w:r>
        <w:rPr>
          <w:rFonts w:asciiTheme="minorEastAsia" w:hAnsiTheme="minorEastAsia" w:eastAsiaTheme="minorEastAsia"/>
          <w:sz w:val="24"/>
          <w:szCs w:val="24"/>
        </w:rPr>
        <w:t>30</w:t>
      </w:r>
      <w:r>
        <w:rPr>
          <w:rFonts w:hint="eastAsia" w:asciiTheme="minorEastAsia" w:hAnsiTheme="minorEastAsia" w:eastAsiaTheme="minorEastAsia"/>
          <w:sz w:val="24"/>
          <w:szCs w:val="24"/>
        </w:rPr>
        <w:t>个工作日内成立基金财产清算小组，基金管理人组织基金财产清算小组并在中国证监会的监督下进行基金清算。</w:t>
      </w:r>
    </w:p>
    <w:p w14:paraId="54D0996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2、在基金财产清算小组接管基金财产之前，基金管理人和基金托管人应按照《基金合同》和托管协议的规定继续履行保护基金财产安全的职责。</w:t>
      </w:r>
    </w:p>
    <w:p w14:paraId="498634A0">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、基金财产清算小组组成：基金财产清算小组成员由基金管理人、基金托管人、符合《证券法》规定的注册会计师、律师以及中国证监会指定的人员组成。基金财产清算小组可以聘用必要的工作人员。</w:t>
      </w:r>
    </w:p>
    <w:p w14:paraId="3C76C866">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、基金财产清算小组职责：基金财产清算小组负责基金财产的保管、清理、估价、变现和分配。基金财产清算小组可以依法进行必要的民事活动。</w:t>
      </w:r>
    </w:p>
    <w:p w14:paraId="618EB734">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、基金财产清算程序：</w:t>
      </w:r>
    </w:p>
    <w:p w14:paraId="0521C3B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）《基金合同》终止情形出现时，由基金财产清算小组统一接管基金；</w:t>
      </w:r>
    </w:p>
    <w:p w14:paraId="0F0D31BD">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）对基金财产和债权债务进行清理和确认；</w:t>
      </w:r>
    </w:p>
    <w:p w14:paraId="12E7A1C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）对基金财产进行估值和变现；</w:t>
      </w:r>
    </w:p>
    <w:p w14:paraId="5F4BAF1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）制作清算报告；</w:t>
      </w:r>
    </w:p>
    <w:p w14:paraId="60C11F8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）聘请会计师事务所对清算报告进行外部审计，聘请律师事务所对清算报告出具法律意见书；</w:t>
      </w:r>
    </w:p>
    <w:p w14:paraId="1082CE70">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）将清算报告报中国证监会备案并公告；</w:t>
      </w:r>
    </w:p>
    <w:p w14:paraId="4B6EB05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7</w:t>
      </w:r>
      <w:r>
        <w:rPr>
          <w:rFonts w:hint="eastAsia" w:asciiTheme="minorEastAsia" w:hAnsiTheme="minorEastAsia" w:eastAsiaTheme="minorEastAsia"/>
          <w:sz w:val="24"/>
          <w:szCs w:val="24"/>
        </w:rPr>
        <w:t>）对基金剩余财产进行分配。</w:t>
      </w:r>
    </w:p>
    <w:p w14:paraId="4E8CC83B">
      <w:pPr>
        <w:snapToGrid w:val="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、基金财产清算的期限为6个月，但因本基金所持证券的流动性受到限制而不能及时变现的，清算期限相应顺延。</w:t>
      </w:r>
    </w:p>
    <w:p w14:paraId="735368A7">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（四）清算费用</w:t>
      </w:r>
    </w:p>
    <w:p w14:paraId="2AF8AAD4">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清算费用是指基金财产清算小组在进行基金财产清算过程中发生的所有合理费用，清算费用由基金财产清算小组优先从基金剩余财产中支付。</w:t>
      </w:r>
    </w:p>
    <w:p w14:paraId="32EC613E">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（五）基金财产清算剩余资产的分配</w:t>
      </w:r>
    </w:p>
    <w:p w14:paraId="19577B6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依据基金财产清算的分配方案，将基金财产清算后的全部剩余资产扣除基金财产清算费用、交纳所欠税款并清偿基金债务后，按基金份额持有人持有的基金份额比例进行分配。</w:t>
      </w:r>
    </w:p>
    <w:p w14:paraId="60CE9FB6">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（六）基金财产清算的公告</w:t>
      </w:r>
    </w:p>
    <w:p w14:paraId="00E63055">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9A75ABA">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（七）基金财产清算账册及文件的保存</w:t>
      </w:r>
    </w:p>
    <w:p w14:paraId="10F0CE9B">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基金财产清算账册及有关文件由基金托管人保存，保存期限不低于法定最低期限。</w:t>
      </w:r>
    </w:p>
    <w:p w14:paraId="5C9AFEED">
      <w:pPr>
        <w:snapToGrid w:val="0"/>
        <w:spacing w:line="360" w:lineRule="auto"/>
        <w:ind w:firstLine="482" w:firstLineChars="200"/>
        <w:rPr>
          <w:rFonts w:asciiTheme="minorEastAsia" w:hAnsiTheme="minorEastAsia"/>
          <w:b/>
          <w:sz w:val="24"/>
        </w:rPr>
      </w:pPr>
      <w:r>
        <w:rPr>
          <w:rFonts w:hint="eastAsia" w:asciiTheme="minorEastAsia" w:hAnsiTheme="minorEastAsia"/>
          <w:b/>
          <w:sz w:val="24"/>
        </w:rPr>
        <w:t>八、争议的处理</w:t>
      </w:r>
    </w:p>
    <w:p w14:paraId="3489A057">
      <w:pPr>
        <w:adjustRightInd w:val="0"/>
        <w:snapToGrid w:val="0"/>
        <w:spacing w:line="360" w:lineRule="auto"/>
        <w:ind w:firstLine="420"/>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w:t>
      </w:r>
      <w:r>
        <w:rPr>
          <w:rFonts w:asciiTheme="minorEastAsia" w:hAnsiTheme="minorEastAsia" w:eastAsiaTheme="minorEastAsia"/>
          <w:bCs/>
          <w:iCs/>
          <w:sz w:val="24"/>
          <w:szCs w:val="24"/>
        </w:rPr>
        <w:t>各</w:t>
      </w:r>
      <w:r>
        <w:rPr>
          <w:rFonts w:hint="eastAsia" w:asciiTheme="minorEastAsia" w:hAnsiTheme="minorEastAsia" w:eastAsiaTheme="minorEastAsia"/>
          <w:bCs/>
          <w:iCs/>
          <w:sz w:val="24"/>
          <w:szCs w:val="24"/>
        </w:rPr>
        <w:t>方当事人均有约束力。除非仲裁裁决另有规定，仲裁费用、律师费用由败诉方承担。</w:t>
      </w:r>
    </w:p>
    <w:p w14:paraId="3AABE56F">
      <w:pPr>
        <w:adjustRightInd w:val="0"/>
        <w:snapToGrid w:val="0"/>
        <w:spacing w:line="360" w:lineRule="auto"/>
        <w:ind w:firstLine="420"/>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4C2C1D9C">
      <w:pPr>
        <w:snapToGri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bCs/>
          <w:iCs/>
          <w:sz w:val="24"/>
          <w:szCs w:val="24"/>
        </w:rPr>
        <w:t>《基金合同》受中国法律（为本基金合同之目的，在此不包括香港、澳门特别行政区和台湾地区法律）管辖并从其解释。</w:t>
      </w:r>
    </w:p>
    <w:p w14:paraId="1A556FC3">
      <w:pPr>
        <w:snapToGrid w:val="0"/>
        <w:spacing w:line="360" w:lineRule="auto"/>
        <w:ind w:firstLine="482" w:firstLineChars="200"/>
        <w:rPr>
          <w:rFonts w:asciiTheme="minorEastAsia" w:hAnsiTheme="minorEastAsia"/>
          <w:b/>
          <w:sz w:val="24"/>
        </w:rPr>
      </w:pPr>
      <w:r>
        <w:rPr>
          <w:rFonts w:hint="eastAsia" w:asciiTheme="minorEastAsia" w:hAnsiTheme="minorEastAsia"/>
          <w:b/>
          <w:sz w:val="24"/>
        </w:rPr>
        <w:t>九、基金合同存放地和投资者取得合同的方式</w:t>
      </w:r>
    </w:p>
    <w:p w14:paraId="14651BBC">
      <w:pPr>
        <w:spacing w:line="360" w:lineRule="auto"/>
        <w:ind w:firstLine="480" w:firstLineChars="200"/>
        <w:rPr>
          <w:rFonts w:ascii="宋体" w:hAnsi="宋体" w:cs="宋体"/>
          <w:sz w:val="24"/>
        </w:rPr>
      </w:pP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可印制成册，供</w:t>
      </w:r>
      <w:r>
        <w:rPr>
          <w:rFonts w:asciiTheme="minorEastAsia" w:hAnsiTheme="minorEastAsia" w:eastAsiaTheme="minorEastAsia"/>
          <w:sz w:val="24"/>
          <w:szCs w:val="24"/>
        </w:rPr>
        <w:t>投资人</w:t>
      </w:r>
      <w:r>
        <w:rPr>
          <w:rFonts w:hint="eastAsia" w:asciiTheme="minorEastAsia" w:hAnsiTheme="minorEastAsia" w:eastAsiaTheme="minorEastAsia"/>
          <w:sz w:val="24"/>
          <w:szCs w:val="24"/>
        </w:rPr>
        <w:t>在基金管理人、基金托管人、</w:t>
      </w:r>
      <w:r>
        <w:rPr>
          <w:rFonts w:asciiTheme="minorEastAsia" w:hAnsiTheme="minorEastAsia" w:eastAsiaTheme="minorEastAsia"/>
          <w:sz w:val="24"/>
          <w:szCs w:val="24"/>
        </w:rPr>
        <w:t>代销</w:t>
      </w:r>
      <w:r>
        <w:rPr>
          <w:rFonts w:hint="eastAsia" w:asciiTheme="minorEastAsia" w:hAnsiTheme="minorEastAsia" w:eastAsiaTheme="minorEastAsia"/>
          <w:sz w:val="24"/>
          <w:szCs w:val="24"/>
        </w:rPr>
        <w:t>机构的办公场所查阅。</w:t>
      </w:r>
      <w:bookmarkEnd w:id="76"/>
      <w:bookmarkEnd w:id="77"/>
      <w:bookmarkEnd w:id="502"/>
    </w:p>
    <w:sectPr>
      <w:footerReference r:id="rId35" w:type="default"/>
      <w:pgSz w:w="12240" w:h="15840"/>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4B567">
    <w:pPr>
      <w:pStyle w:val="18"/>
      <w:framePr w:wrap="around" w:vAnchor="text" w:hAnchor="margin" w:xAlign="center" w:yAlign="top"/>
    </w:pPr>
    <w:r>
      <w:rPr>
        <w:rFonts w:hint="eastAsia"/>
      </w:rPr>
      <w:fldChar w:fldCharType="begin"/>
    </w:r>
    <w:r>
      <w:rPr>
        <w:rStyle w:val="29"/>
        <w:rFonts w:hint="eastAsia"/>
      </w:rPr>
      <w:instrText xml:space="preserve"> PAGE  </w:instrText>
    </w:r>
    <w:r>
      <w:rPr>
        <w:rFonts w:hint="eastAsia"/>
      </w:rPr>
      <w:fldChar w:fldCharType="separate"/>
    </w:r>
    <w:r>
      <w:rPr>
        <w:rStyle w:val="29"/>
      </w:rPr>
      <w:t>2</w:t>
    </w:r>
    <w:r>
      <w:rPr>
        <w:rFonts w:hint="eastAsia"/>
      </w:rPr>
      <w:fldChar w:fldCharType="end"/>
    </w:r>
  </w:p>
  <w:p w14:paraId="6F089BAE">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DECA1">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0C9F0">
    <w:pPr>
      <w:pStyle w:val="18"/>
    </w:pPr>
  </w:p>
  <w:p w14:paraId="2841AC1C">
    <w:pPr>
      <w:pStyle w:val="18"/>
    </w:pPr>
  </w:p>
  <w:p w14:paraId="743C3E98">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331A3">
    <w:pPr>
      <w:pStyle w:val="18"/>
      <w:jc w:val="center"/>
      <w:rPr>
        <w:rFonts w:ascii="Arial" w:hAnsi="Arial" w:cs="Arial"/>
        <w:sz w:val="21"/>
        <w:szCs w:val="21"/>
      </w:rPr>
    </w:pPr>
    <w:r>
      <w:rPr>
        <w:rFonts w:hint="eastAsia" w:ascii="Arial" w:hAnsi="Arial" w:cs="Arial"/>
        <w:sz w:val="21"/>
        <w:szCs w:val="21"/>
      </w:rPr>
      <w:t>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CACAF">
    <w:pPr>
      <w:pStyle w:val="18"/>
      <w:jc w:val="center"/>
      <w:rPr>
        <w:rFonts w:ascii="Arial" w:hAnsi="Arial" w:cs="Arial"/>
        <w:sz w:val="21"/>
        <w:szCs w:val="21"/>
      </w:rPr>
    </w:pPr>
    <w:r>
      <w:rPr>
        <w:rFonts w:hint="eastAsia" w:ascii="Arial" w:hAnsi="Arial" w:cs="Arial"/>
        <w:sz w:val="21"/>
        <w:szCs w:val="21"/>
      </w:rPr>
      <w:t>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4A380">
    <w:pPr>
      <w:pStyle w:val="18"/>
      <w:jc w:val="center"/>
      <w:rPr>
        <w:rFonts w:ascii="Arial" w:hAnsi="Arial" w:cs="Arial"/>
        <w:sz w:val="21"/>
        <w:szCs w:val="21"/>
      </w:rPr>
    </w:pPr>
    <w:r>
      <w:rPr>
        <w:rFonts w:hint="eastAsia" w:ascii="Arial" w:hAnsi="Arial" w:cs="Arial"/>
        <w:sz w:val="21"/>
        <w:szCs w:val="21"/>
      </w:rPr>
      <w:t>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60B91">
    <w:pPr>
      <w:pStyle w:val="18"/>
      <w:jc w:val="center"/>
      <w:rPr>
        <w:rFonts w:ascii="Arial" w:hAnsi="Arial" w:cs="Arial"/>
        <w:sz w:val="21"/>
        <w:szCs w:val="21"/>
      </w:rPr>
    </w:pPr>
    <w:r>
      <w:rPr>
        <w:rFonts w:hint="eastAsia" w:ascii="Arial" w:hAnsi="Arial" w:cs="Arial"/>
        <w:sz w:val="21"/>
        <w:szCs w:val="21"/>
      </w:rPr>
      <w:t>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953D1">
    <w:pPr>
      <w:pStyle w:val="18"/>
      <w:jc w:val="center"/>
      <w:rPr>
        <w:rFonts w:ascii="Arial" w:hAnsi="Arial" w:cs="Arial"/>
        <w:sz w:val="21"/>
        <w:szCs w:val="21"/>
      </w:rPr>
    </w:pPr>
    <w:r>
      <w:rPr>
        <w:rFonts w:hint="eastAsia" w:ascii="Arial" w:hAnsi="Arial" w:cs="Arial"/>
        <w:sz w:val="21"/>
        <w:szCs w:val="21"/>
      </w:rPr>
      <w:t>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4A78E">
    <w:pPr>
      <w:pStyle w:val="18"/>
      <w:jc w:val="center"/>
      <w:rPr>
        <w:rFonts w:ascii="Arial" w:hAnsi="Arial" w:cs="Arial"/>
        <w:sz w:val="21"/>
        <w:szCs w:val="21"/>
      </w:rPr>
    </w:pPr>
    <w:r>
      <w:rPr>
        <w:rFonts w:hint="eastAsia" w:ascii="Arial" w:hAnsi="Arial" w:cs="Arial"/>
        <w:sz w:val="21"/>
        <w:szCs w:val="21"/>
      </w:rPr>
      <w:t>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E1D67">
    <w:pPr>
      <w:pStyle w:val="18"/>
      <w:jc w:val="center"/>
      <w:rPr>
        <w:rFonts w:ascii="Arial" w:hAnsi="Arial" w:cs="Arial"/>
        <w:sz w:val="21"/>
        <w:szCs w:val="21"/>
      </w:rP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48AAE">
    <w:pPr>
      <w:pStyle w:val="18"/>
      <w:jc w:val="center"/>
      <w:rPr>
        <w:rFonts w:ascii="Arial" w:hAnsi="Arial" w:cs="Arial"/>
        <w:sz w:val="21"/>
        <w:szCs w:val="21"/>
      </w:rPr>
    </w:pPr>
    <w:r>
      <w:rPr>
        <w:rFonts w:hint="eastAsia" w:ascii="Arial" w:hAnsi="Arial" w:cs="Arial"/>
        <w:sz w:val="21"/>
        <w:szCs w:val="21"/>
      </w:rPr>
      <w:t>8-</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9</w:t>
    </w:r>
    <w:r>
      <w:rPr>
        <w:rFonts w:ascii="Arial" w:hAnsi="Arial" w:cs="Arial"/>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B7143">
    <w:pPr>
      <w:pStyle w:val="18"/>
      <w:jc w:val="center"/>
      <w:rPr>
        <w:rFonts w:ascii="Arial" w:hAnsi="Arial" w:cs="Arial"/>
        <w:sz w:val="21"/>
        <w:szCs w:val="21"/>
      </w:rPr>
    </w:pPr>
    <w:r>
      <w:rPr>
        <w:rFonts w:hint="eastAsia" w:ascii="Arial" w:hAnsi="Arial" w:cs="Arial"/>
        <w:sz w:val="21"/>
        <w:szCs w:val="21"/>
      </w:rPr>
      <w:t>9-</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4A27">
    <w:pPr>
      <w:pStyle w:val="18"/>
      <w:jc w:val="center"/>
      <w:rPr>
        <w:rFonts w:ascii="Arial" w:hAnsi="Arial" w:cs="Arial"/>
        <w:sz w:val="21"/>
        <w:szCs w:val="21"/>
      </w:rPr>
    </w:pPr>
    <w:r>
      <w:rPr>
        <w:rFonts w:hint="eastAsia" w:ascii="Arial" w:hAnsi="Arial" w:cs="Arial"/>
        <w:sz w:val="21"/>
        <w:szCs w:val="21"/>
      </w:rPr>
      <w:t>10-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BE097">
    <w:pPr>
      <w:pStyle w:val="18"/>
      <w:jc w:val="center"/>
      <w:rPr>
        <w:rFonts w:ascii="Arial" w:hAnsi="Arial" w:cs="Arial"/>
        <w:sz w:val="21"/>
        <w:szCs w:val="21"/>
      </w:rPr>
    </w:pPr>
    <w:r>
      <w:rPr>
        <w:rFonts w:hint="eastAsia" w:ascii="Arial" w:hAnsi="Arial" w:cs="Arial"/>
        <w:sz w:val="21"/>
        <w:szCs w:val="21"/>
      </w:rPr>
      <w:t>11-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3</w:t>
    </w:r>
    <w:r>
      <w:rPr>
        <w:rFonts w:ascii="Arial" w:hAnsi="Arial" w:cs="Arial"/>
        <w:sz w:val="21"/>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1ED0">
    <w:pPr>
      <w:pStyle w:val="18"/>
      <w:jc w:val="center"/>
      <w:rPr>
        <w:rFonts w:ascii="Arial" w:hAnsi="Arial" w:cs="Arial"/>
        <w:sz w:val="21"/>
        <w:szCs w:val="21"/>
      </w:rPr>
    </w:pPr>
    <w:r>
      <w:rPr>
        <w:rFonts w:hint="eastAsia" w:ascii="Arial" w:hAnsi="Arial" w:cs="Arial"/>
        <w:sz w:val="21"/>
        <w:szCs w:val="21"/>
      </w:rPr>
      <w:t>12-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4780B">
    <w:pPr>
      <w:pStyle w:val="18"/>
      <w:jc w:val="center"/>
      <w:rPr>
        <w:rFonts w:ascii="Arial" w:hAnsi="Arial" w:cs="Arial"/>
        <w:sz w:val="21"/>
        <w:szCs w:val="21"/>
      </w:rPr>
    </w:pPr>
    <w:r>
      <w:rPr>
        <w:rFonts w:hint="eastAsia" w:ascii="Arial" w:hAnsi="Arial" w:cs="Arial"/>
        <w:sz w:val="21"/>
        <w:szCs w:val="21"/>
      </w:rPr>
      <w:t>13-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ECF27">
    <w:pPr>
      <w:pStyle w:val="18"/>
      <w:jc w:val="center"/>
      <w:rPr>
        <w:rFonts w:ascii="Arial" w:hAnsi="Arial" w:cs="Arial"/>
        <w:sz w:val="21"/>
        <w:szCs w:val="21"/>
      </w:rPr>
    </w:pPr>
    <w:r>
      <w:rPr>
        <w:rFonts w:hint="eastAsia" w:ascii="Arial" w:hAnsi="Arial" w:cs="Arial"/>
        <w:sz w:val="21"/>
        <w:szCs w:val="21"/>
      </w:rPr>
      <w:t>14-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22589">
    <w:pPr>
      <w:pStyle w:val="18"/>
      <w:jc w:val="center"/>
      <w:rPr>
        <w:rFonts w:ascii="Arial" w:hAnsi="Arial" w:cs="Arial"/>
        <w:sz w:val="21"/>
        <w:szCs w:val="21"/>
      </w:rPr>
    </w:pPr>
    <w:r>
      <w:rPr>
        <w:rFonts w:hint="eastAsia" w:ascii="Arial" w:hAnsi="Arial" w:cs="Arial"/>
        <w:sz w:val="21"/>
        <w:szCs w:val="21"/>
      </w:rPr>
      <w:t>15-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A7CEF">
    <w:pPr>
      <w:pStyle w:val="18"/>
      <w:jc w:val="center"/>
      <w:rPr>
        <w:rFonts w:ascii="Arial" w:hAnsi="Arial"/>
        <w:sz w:val="21"/>
      </w:rPr>
    </w:pPr>
    <w:r>
      <w:rPr>
        <w:rFonts w:hint="eastAsia" w:ascii="Arial" w:hAnsi="Arial" w:cs="Arial"/>
        <w:sz w:val="21"/>
        <w:szCs w:val="21"/>
      </w:rPr>
      <w:t>16-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F2F07">
    <w:pPr>
      <w:pStyle w:val="18"/>
      <w:jc w:val="center"/>
      <w:rPr>
        <w:rFonts w:ascii="Arial" w:hAnsi="Arial" w:cs="Arial"/>
        <w:sz w:val="21"/>
        <w:szCs w:val="21"/>
      </w:rPr>
    </w:pPr>
    <w:r>
      <w:rPr>
        <w:rFonts w:hint="eastAsia" w:ascii="Arial" w:hAnsi="Arial" w:cs="Arial"/>
        <w:sz w:val="21"/>
        <w:szCs w:val="21"/>
      </w:rPr>
      <w:t>17-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5CF29">
    <w:pPr>
      <w:pStyle w:val="18"/>
      <w:jc w:val="center"/>
      <w:rPr>
        <w:rFonts w:ascii="Arial" w:hAnsi="Arial" w:cs="Arial"/>
        <w:sz w:val="21"/>
        <w:szCs w:val="21"/>
      </w:rPr>
    </w:pPr>
    <w:r>
      <w:rPr>
        <w:rFonts w:hint="eastAsia" w:ascii="Arial" w:hAnsi="Arial" w:cs="Arial"/>
        <w:sz w:val="21"/>
        <w:szCs w:val="21"/>
      </w:rPr>
      <w:t>18-</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EA66B">
    <w:pPr>
      <w:pStyle w:val="18"/>
      <w:jc w:val="center"/>
      <w:rPr>
        <w:rFonts w:ascii="Arial" w:hAnsi="Arial" w:cs="Arial"/>
        <w:sz w:val="21"/>
        <w:szCs w:val="21"/>
      </w:rPr>
    </w:pPr>
    <w:r>
      <w:rPr>
        <w:rFonts w:hint="eastAsia" w:ascii="Arial" w:hAnsi="Arial" w:cs="Arial"/>
        <w:sz w:val="21"/>
        <w:szCs w:val="21"/>
      </w:rPr>
      <w:t>19-</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DB29">
    <w:pPr>
      <w:pStyle w:val="18"/>
      <w:jc w:val="center"/>
      <w:rPr>
        <w:rFonts w:ascii="Arial" w:hAnsi="Arial" w:cs="Arial"/>
        <w:sz w:val="21"/>
        <w:szCs w:val="21"/>
      </w:rPr>
    </w:pPr>
    <w:r>
      <w:rPr>
        <w:rFonts w:hint="eastAsia" w:ascii="Arial" w:hAnsi="Arial" w:cs="Arial"/>
        <w:sz w:val="21"/>
        <w:szCs w:val="21"/>
      </w:rPr>
      <w:t>20-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E4C8">
    <w:pPr>
      <w:pStyle w:val="18"/>
      <w:jc w:val="center"/>
      <w:rPr>
        <w:rFonts w:ascii="Arial" w:hAnsi="Arial" w:cs="Arial"/>
        <w:sz w:val="21"/>
        <w:szCs w:val="21"/>
      </w:rPr>
    </w:pPr>
    <w:r>
      <w:rPr>
        <w:rFonts w:hint="eastAsia" w:ascii="Arial" w:hAnsi="Arial" w:cs="Arial"/>
        <w:sz w:val="21"/>
        <w:szCs w:val="21"/>
      </w:rPr>
      <w:t>21-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9E282">
    <w:pPr>
      <w:pStyle w:val="18"/>
      <w:jc w:val="center"/>
      <w:rPr>
        <w:rFonts w:ascii="Arial" w:hAnsi="Arial" w:cs="Arial"/>
        <w:sz w:val="21"/>
        <w:szCs w:val="21"/>
      </w:rPr>
    </w:pPr>
    <w:r>
      <w:rPr>
        <w:rFonts w:hint="eastAsia" w:ascii="Arial" w:hAnsi="Arial" w:cs="Arial"/>
        <w:sz w:val="21"/>
        <w:szCs w:val="21"/>
      </w:rPr>
      <w:t>22-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D7D1E">
    <w:pPr>
      <w:pStyle w:val="18"/>
      <w:jc w:val="center"/>
      <w:rPr>
        <w:rFonts w:ascii="Arial" w:hAnsi="Arial" w:cs="Arial"/>
        <w:sz w:val="21"/>
        <w:szCs w:val="21"/>
      </w:rPr>
    </w:pPr>
    <w:r>
      <w:rPr>
        <w:rFonts w:hint="eastAsia" w:ascii="Arial" w:hAnsi="Arial" w:cs="Arial"/>
        <w:sz w:val="21"/>
        <w:szCs w:val="21"/>
      </w:rPr>
      <w:t>23-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6902D">
    <w:pPr>
      <w:pStyle w:val="18"/>
      <w:jc w:val="center"/>
      <w:rPr>
        <w:rFonts w:ascii="Arial" w:hAnsi="Arial" w:cs="Arial"/>
        <w:sz w:val="21"/>
        <w:szCs w:val="21"/>
      </w:rPr>
    </w:pPr>
    <w:r>
      <w:rPr>
        <w:rFonts w:hint="eastAsia" w:ascii="Arial" w:hAnsi="Arial" w:cs="Arial"/>
        <w:sz w:val="21"/>
        <w:szCs w:val="21"/>
      </w:rPr>
      <w:t>24-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95AA0">
    <w:pPr>
      <w:pStyle w:val="18"/>
      <w:jc w:val="center"/>
      <w:rPr>
        <w:rFonts w:ascii="Arial" w:hAnsi="Arial" w:cs="Arial"/>
        <w:sz w:val="21"/>
        <w:szCs w:val="21"/>
      </w:rPr>
    </w:pPr>
    <w:r>
      <w:rPr>
        <w:rFonts w:hint="eastAsia" w:ascii="Arial" w:hAnsi="Arial" w:cs="Arial"/>
        <w:sz w:val="21"/>
        <w:szCs w:val="21"/>
      </w:rPr>
      <w:t>25-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27</w:t>
    </w:r>
    <w:r>
      <w:rPr>
        <w:rFonts w:ascii="Arial" w:hAnsi="Arial" w:cs="Arial"/>
        <w:sz w:val="21"/>
        <w:szCs w:val="21"/>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72549">
    <w:pPr>
      <w:pStyle w:val="18"/>
      <w:rPr>
        <w:rFonts w:ascii="Arial" w:hAnsi="Arial" w:cs="Arial"/>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545FC">
    <w:pPr>
      <w:pStyle w:val="17"/>
      <w:pBdr>
        <w:bottom w:val="thickThinLargeGap" w:color="auto" w:sz="24" w:space="10"/>
      </w:pBdr>
      <w:tabs>
        <w:tab w:val="right" w:pos="8280"/>
      </w:tabs>
      <w:wordWrap w:val="0"/>
      <w:adjustRightInd w:val="0"/>
    </w:pPr>
    <w:r>
      <w:rPr>
        <w:rFonts w:hint="eastAsia"/>
        <w:color w:val="000000"/>
      </w:rPr>
      <w:t>博时沪深300交易型开放式指数</w:t>
    </w:r>
    <w:r>
      <w:rPr>
        <w:rFonts w:hint="eastAsia"/>
      </w:rPr>
      <w:t>证券投资基金                        转型申请材料－基金合同（草案）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A1B26">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F305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510B8">
    <w:pPr>
      <w:pStyle w:val="19"/>
      <w:pBdr>
        <w:bottom w:val="thickThinLargeGap" w:color="auto" w:sz="24" w:space="10"/>
      </w:pBdr>
      <w:tabs>
        <w:tab w:val="right" w:pos="8280"/>
      </w:tabs>
      <w:adjustRightInd w:val="0"/>
      <w:jc w:val="right"/>
    </w:pPr>
    <w:r>
      <w:rPr>
        <w:rFonts w:hint="eastAsia"/>
      </w:rPr>
      <w:t>博时国证大盘成长交易型开放式指数证券投资基金基金合同</w:t>
    </w:r>
  </w:p>
  <w:p w14:paraId="7BA94DE1">
    <w:pPr>
      <w:jc w:val="center"/>
      <w:rPr>
        <w:sz w:val="18"/>
        <w:szCs w:val="1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87617"/>
    <w:multiLevelType w:val="multilevel"/>
    <w:tmpl w:val="4DE87617"/>
    <w:lvl w:ilvl="0" w:tentative="0">
      <w:start w:val="1"/>
      <w:numFmt w:val="decimal"/>
      <w:lvlText w:val="%1."/>
      <w:lvlJc w:val="right"/>
      <w:pPr>
        <w:ind w:left="42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C185EF5"/>
    <w:multiLevelType w:val="multilevel"/>
    <w:tmpl w:val="5C185EF5"/>
    <w:lvl w:ilvl="0" w:tentative="0">
      <w:start w:val="1"/>
      <w:numFmt w:val="none"/>
      <w:pStyle w:val="2"/>
      <w:suff w:val="nothing"/>
      <w:lvlText w:val=""/>
      <w:lvlJc w:val="left"/>
      <w:pPr>
        <w:ind w:left="0" w:firstLine="0"/>
      </w:pPr>
      <w:rPr>
        <w:rFonts w:hint="eastAsia"/>
      </w:rPr>
    </w:lvl>
    <w:lvl w:ilvl="1" w:tentative="0">
      <w:start w:val="1"/>
      <w:numFmt w:val="chineseCountingThousand"/>
      <w:pStyle w:val="3"/>
      <w:suff w:val="nothing"/>
      <w:lvlText w:val="%2、"/>
      <w:lvlJc w:val="left"/>
      <w:pPr>
        <w:ind w:left="0" w:firstLine="0"/>
      </w:pPr>
      <w:rPr>
        <w:rFonts w:hint="eastAsia"/>
      </w:rPr>
    </w:lvl>
    <w:lvl w:ilvl="2" w:tentative="0">
      <w:start w:val="1"/>
      <w:numFmt w:val="chineseCountingThousand"/>
      <w:pStyle w:val="4"/>
      <w:suff w:val="nothing"/>
      <w:lvlText w:val="（%3）"/>
      <w:lvlJc w:val="left"/>
      <w:pPr>
        <w:ind w:left="0" w:firstLine="0"/>
      </w:pPr>
      <w:rPr>
        <w:rFonts w:hint="eastAsia"/>
      </w:rPr>
    </w:lvl>
    <w:lvl w:ilvl="3" w:tentative="0">
      <w:start w:val="1"/>
      <w:numFmt w:val="decimal"/>
      <w:pStyle w:val="5"/>
      <w:suff w:val="nothing"/>
      <w:lvlText w:val="%4、"/>
      <w:lvlJc w:val="left"/>
      <w:pPr>
        <w:ind w:left="0" w:firstLine="0"/>
      </w:pPr>
      <w:rPr>
        <w:rFonts w:hint="eastAsia"/>
      </w:rPr>
    </w:lvl>
    <w:lvl w:ilvl="4" w:tentative="0">
      <w:start w:val="1"/>
      <w:numFmt w:val="decimal"/>
      <w:pStyle w:val="6"/>
      <w:suff w:val="nothing"/>
      <w:lvlText w:val="（%5）"/>
      <w:lvlJc w:val="left"/>
      <w:pPr>
        <w:ind w:left="0" w:firstLine="0"/>
      </w:pPr>
      <w:rPr>
        <w:rFonts w:hint="eastAsia"/>
      </w:rPr>
    </w:lvl>
    <w:lvl w:ilvl="5" w:tentative="0">
      <w:start w:val="1"/>
      <w:numFmt w:val="none"/>
      <w:pStyle w:val="7"/>
      <w:suff w:val="nothing"/>
      <w:lvlText w:val=""/>
      <w:lvlJc w:val="left"/>
      <w:pPr>
        <w:ind w:left="0" w:firstLine="0"/>
      </w:pPr>
      <w:rPr>
        <w:rFonts w:hint="eastAsia"/>
      </w:rPr>
    </w:lvl>
    <w:lvl w:ilvl="6" w:tentative="0">
      <w:start w:val="1"/>
      <w:numFmt w:val="none"/>
      <w:pStyle w:val="8"/>
      <w:suff w:val="nothing"/>
      <w:lvlText w:val=""/>
      <w:lvlJc w:val="left"/>
      <w:pPr>
        <w:ind w:left="0" w:firstLine="0"/>
      </w:pPr>
      <w:rPr>
        <w:rFonts w:hint="eastAsia"/>
      </w:rPr>
    </w:lvl>
    <w:lvl w:ilvl="7" w:tentative="0">
      <w:start w:val="1"/>
      <w:numFmt w:val="none"/>
      <w:pStyle w:val="9"/>
      <w:suff w:val="nothing"/>
      <w:lvlText w:val=""/>
      <w:lvlJc w:val="left"/>
      <w:pPr>
        <w:ind w:left="0" w:firstLine="0"/>
      </w:pPr>
      <w:rPr>
        <w:rFonts w:hint="eastAsia"/>
      </w:rPr>
    </w:lvl>
    <w:lvl w:ilvl="8" w:tentative="0">
      <w:start w:val="1"/>
      <w:numFmt w:val="none"/>
      <w:pStyle w:val="10"/>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1"/>
  <w:bordersDoNotSurroundFooter w:val="1"/>
  <w:doNotTrackFormatting/>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IzNGMzZjdmYTI3YjU0Y2FjMTg0OWYzNTQ2YzdhOTUifQ=="/>
  </w:docVars>
  <w:rsids>
    <w:rsidRoot w:val="006562F5"/>
    <w:rsid w:val="000A5A6C"/>
    <w:rsid w:val="003C236C"/>
    <w:rsid w:val="006562F5"/>
    <w:rsid w:val="03BC4B96"/>
    <w:rsid w:val="09F84906"/>
    <w:rsid w:val="0EA3432D"/>
    <w:rsid w:val="152A398D"/>
    <w:rsid w:val="17CB6C6A"/>
    <w:rsid w:val="1C113E7E"/>
    <w:rsid w:val="20AF5718"/>
    <w:rsid w:val="21A53104"/>
    <w:rsid w:val="21A66ADF"/>
    <w:rsid w:val="30CA0844"/>
    <w:rsid w:val="32912980"/>
    <w:rsid w:val="372F3A2F"/>
    <w:rsid w:val="41AA6FE6"/>
    <w:rsid w:val="4742220D"/>
    <w:rsid w:val="4C770EEE"/>
    <w:rsid w:val="565F3BC4"/>
    <w:rsid w:val="5C5B4701"/>
    <w:rsid w:val="5F055763"/>
    <w:rsid w:val="5F621070"/>
    <w:rsid w:val="5FFF4A31"/>
    <w:rsid w:val="66D42C53"/>
    <w:rsid w:val="67260D44"/>
    <w:rsid w:val="68067136"/>
    <w:rsid w:val="6AAB6577"/>
    <w:rsid w:val="72271D79"/>
    <w:rsid w:val="78EA1822"/>
    <w:rsid w:val="79BF3D25"/>
    <w:rsid w:val="7AF627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nhideWhenUsed="0" w:uiPriority="99" w:semiHidden="0" w:name="Note Heading"/>
    <w:lsdException w:qFormat="1" w:unhideWhenUsed="0" w:uiPriority="0" w:semiHidden="0" w:name="Body Text 2"/>
    <w:lsdException w:uiPriority="99" w:name="Body Text 3"/>
    <w:lsdException w:uiPriority="0" w:name="Body Text Indent 2"/>
    <w:lsdException w:uiPriority="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4"/>
    <w:qFormat/>
    <w:uiPriority w:val="0"/>
    <w:pPr>
      <w:keepNext/>
      <w:keepLines/>
      <w:numPr>
        <w:ilvl w:val="0"/>
        <w:numId w:val="1"/>
      </w:numPr>
      <w:adjustRightInd w:val="0"/>
      <w:snapToGrid w:val="0"/>
      <w:spacing w:line="360" w:lineRule="auto"/>
      <w:jc w:val="center"/>
      <w:outlineLvl w:val="0"/>
    </w:pPr>
    <w:rPr>
      <w:rFonts w:ascii="宋体" w:hAnsi="宋体"/>
      <w:b/>
      <w:kern w:val="44"/>
      <w:sz w:val="24"/>
      <w:szCs w:val="21"/>
    </w:rPr>
  </w:style>
  <w:style w:type="paragraph" w:styleId="3">
    <w:name w:val="heading 2"/>
    <w:basedOn w:val="1"/>
    <w:next w:val="1"/>
    <w:link w:val="35"/>
    <w:qFormat/>
    <w:uiPriority w:val="0"/>
    <w:pPr>
      <w:keepNext/>
      <w:keepLines/>
      <w:numPr>
        <w:ilvl w:val="1"/>
        <w:numId w:val="1"/>
      </w:numPr>
      <w:spacing w:before="200" w:after="200" w:line="360" w:lineRule="auto"/>
      <w:outlineLvl w:val="1"/>
    </w:pPr>
    <w:rPr>
      <w:rFonts w:ascii="Arial" w:hAnsi="Arial"/>
      <w:b/>
      <w:sz w:val="24"/>
      <w:szCs w:val="20"/>
    </w:rPr>
  </w:style>
  <w:style w:type="paragraph" w:styleId="4">
    <w:name w:val="heading 3"/>
    <w:basedOn w:val="1"/>
    <w:next w:val="1"/>
    <w:link w:val="36"/>
    <w:qFormat/>
    <w:uiPriority w:val="0"/>
    <w:pPr>
      <w:numPr>
        <w:ilvl w:val="2"/>
        <w:numId w:val="1"/>
      </w:numPr>
      <w:spacing w:before="120" w:after="120" w:line="360" w:lineRule="auto"/>
      <w:outlineLvl w:val="2"/>
    </w:pPr>
    <w:rPr>
      <w:rFonts w:ascii="宋体" w:hAnsi="Times New Roman"/>
      <w:b/>
      <w:szCs w:val="20"/>
    </w:rPr>
  </w:style>
  <w:style w:type="paragraph" w:styleId="5">
    <w:name w:val="heading 4"/>
    <w:basedOn w:val="1"/>
    <w:next w:val="1"/>
    <w:link w:val="37"/>
    <w:qFormat/>
    <w:uiPriority w:val="0"/>
    <w:pPr>
      <w:keepNext/>
      <w:keepLines/>
      <w:numPr>
        <w:ilvl w:val="3"/>
        <w:numId w:val="1"/>
      </w:numPr>
      <w:spacing w:line="360" w:lineRule="auto"/>
      <w:outlineLvl w:val="3"/>
    </w:pPr>
    <w:rPr>
      <w:rFonts w:ascii="Arial" w:hAnsi="Arial"/>
      <w:szCs w:val="20"/>
    </w:rPr>
  </w:style>
  <w:style w:type="paragraph" w:styleId="6">
    <w:name w:val="heading 5"/>
    <w:basedOn w:val="1"/>
    <w:next w:val="1"/>
    <w:link w:val="38"/>
    <w:qFormat/>
    <w:uiPriority w:val="0"/>
    <w:pPr>
      <w:keepNext/>
      <w:keepLines/>
      <w:numPr>
        <w:ilvl w:val="4"/>
        <w:numId w:val="1"/>
      </w:numPr>
      <w:adjustRightInd w:val="0"/>
      <w:snapToGrid w:val="0"/>
      <w:spacing w:line="360" w:lineRule="auto"/>
      <w:outlineLvl w:val="4"/>
    </w:pPr>
    <w:rPr>
      <w:rFonts w:ascii="Times New Roman" w:hAnsi="Times New Roman"/>
      <w:szCs w:val="20"/>
    </w:rPr>
  </w:style>
  <w:style w:type="paragraph" w:styleId="7">
    <w:name w:val="heading 6"/>
    <w:basedOn w:val="1"/>
    <w:next w:val="1"/>
    <w:link w:val="39"/>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8">
    <w:name w:val="heading 7"/>
    <w:basedOn w:val="1"/>
    <w:next w:val="1"/>
    <w:link w:val="40"/>
    <w:qFormat/>
    <w:uiPriority w:val="0"/>
    <w:pPr>
      <w:keepNext/>
      <w:keepLines/>
      <w:numPr>
        <w:ilvl w:val="6"/>
        <w:numId w:val="1"/>
      </w:numPr>
      <w:spacing w:before="240" w:after="64" w:line="320" w:lineRule="auto"/>
      <w:outlineLvl w:val="6"/>
    </w:pPr>
    <w:rPr>
      <w:rFonts w:ascii="Times New Roman" w:hAnsi="Times New Roman"/>
      <w:b/>
      <w:sz w:val="24"/>
      <w:szCs w:val="20"/>
    </w:rPr>
  </w:style>
  <w:style w:type="paragraph" w:styleId="9">
    <w:name w:val="heading 8"/>
    <w:basedOn w:val="1"/>
    <w:next w:val="1"/>
    <w:link w:val="41"/>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0">
    <w:name w:val="heading 9"/>
    <w:basedOn w:val="1"/>
    <w:next w:val="1"/>
    <w:link w:val="42"/>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rPr>
      <w:rFonts w:ascii="Times New Roman" w:hAnsi="Times New Roman"/>
      <w:szCs w:val="20"/>
    </w:rPr>
  </w:style>
  <w:style w:type="paragraph" w:styleId="12">
    <w:name w:val="Document Map"/>
    <w:basedOn w:val="1"/>
    <w:link w:val="100"/>
    <w:semiHidden/>
    <w:unhideWhenUsed/>
    <w:qFormat/>
    <w:uiPriority w:val="0"/>
    <w:rPr>
      <w:rFonts w:ascii="宋体"/>
      <w:sz w:val="18"/>
      <w:szCs w:val="18"/>
    </w:rPr>
  </w:style>
  <w:style w:type="paragraph" w:styleId="13">
    <w:name w:val="annotation text"/>
    <w:basedOn w:val="1"/>
    <w:link w:val="47"/>
    <w:unhideWhenUsed/>
    <w:qFormat/>
    <w:uiPriority w:val="0"/>
    <w:pPr>
      <w:jc w:val="left"/>
    </w:pPr>
  </w:style>
  <w:style w:type="paragraph" w:styleId="14">
    <w:name w:val="Body Text"/>
    <w:basedOn w:val="1"/>
    <w:link w:val="85"/>
    <w:unhideWhenUsed/>
    <w:qFormat/>
    <w:uiPriority w:val="0"/>
    <w:pPr>
      <w:spacing w:after="120"/>
    </w:pPr>
  </w:style>
  <w:style w:type="paragraph" w:styleId="15">
    <w:name w:val="toc 3"/>
    <w:basedOn w:val="1"/>
    <w:next w:val="1"/>
    <w:qFormat/>
    <w:uiPriority w:val="0"/>
    <w:pPr>
      <w:ind w:left="840" w:leftChars="400"/>
    </w:pPr>
    <w:rPr>
      <w:rFonts w:ascii="Times New Roman" w:hAnsi="Times New Roman"/>
      <w:szCs w:val="20"/>
    </w:rPr>
  </w:style>
  <w:style w:type="paragraph" w:styleId="16">
    <w:name w:val="Plain Text"/>
    <w:basedOn w:val="1"/>
    <w:link w:val="68"/>
    <w:qFormat/>
    <w:uiPriority w:val="0"/>
    <w:pPr>
      <w:adjustRightInd w:val="0"/>
      <w:spacing w:line="312" w:lineRule="atLeast"/>
      <w:textAlignment w:val="baseline"/>
    </w:pPr>
    <w:rPr>
      <w:rFonts w:ascii="宋体" w:hAnsi="Courier New"/>
      <w:kern w:val="0"/>
      <w:szCs w:val="20"/>
    </w:rPr>
  </w:style>
  <w:style w:type="paragraph" w:styleId="17">
    <w:name w:val="Balloon Text"/>
    <w:basedOn w:val="1"/>
    <w:link w:val="48"/>
    <w:unhideWhenUsed/>
    <w:qFormat/>
    <w:uiPriority w:val="0"/>
    <w:rPr>
      <w:sz w:val="18"/>
      <w:szCs w:val="18"/>
    </w:rPr>
  </w:style>
  <w:style w:type="paragraph" w:styleId="18">
    <w:name w:val="footer"/>
    <w:basedOn w:val="1"/>
    <w:link w:val="45"/>
    <w:unhideWhenUsed/>
    <w:qFormat/>
    <w:uiPriority w:val="99"/>
    <w:pPr>
      <w:tabs>
        <w:tab w:val="center" w:pos="4153"/>
        <w:tab w:val="right" w:pos="8306"/>
      </w:tabs>
      <w:snapToGrid w:val="0"/>
      <w:jc w:val="left"/>
    </w:pPr>
    <w:rPr>
      <w:sz w:val="18"/>
      <w:szCs w:val="18"/>
    </w:rPr>
  </w:style>
  <w:style w:type="paragraph" w:styleId="19">
    <w:name w:val="header"/>
    <w:basedOn w:val="1"/>
    <w:link w:val="82"/>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style>
  <w:style w:type="paragraph" w:styleId="21">
    <w:name w:val="footnote text"/>
    <w:basedOn w:val="1"/>
    <w:link w:val="64"/>
    <w:qFormat/>
    <w:uiPriority w:val="0"/>
    <w:pPr>
      <w:snapToGrid w:val="0"/>
      <w:jc w:val="left"/>
    </w:pPr>
    <w:rPr>
      <w:rFonts w:ascii="Times New Roman" w:hAnsi="Times New Roman"/>
      <w:sz w:val="18"/>
      <w:szCs w:val="20"/>
    </w:rPr>
  </w:style>
  <w:style w:type="paragraph" w:styleId="22">
    <w:name w:val="Body Text 2"/>
    <w:basedOn w:val="1"/>
    <w:link w:val="51"/>
    <w:qFormat/>
    <w:uiPriority w:val="0"/>
    <w:pPr>
      <w:spacing w:line="360" w:lineRule="auto"/>
    </w:pPr>
    <w:rPr>
      <w:rFonts w:ascii="仿宋_GB2312" w:hAnsi="Times New Roman" w:eastAsia="仿宋_GB2312"/>
      <w:color w:val="000000"/>
      <w:szCs w:val="24"/>
    </w:rPr>
  </w:style>
  <w:style w:type="paragraph" w:styleId="23">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24">
    <w:name w:val="Title"/>
    <w:basedOn w:val="1"/>
    <w:next w:val="1"/>
    <w:link w:val="60"/>
    <w:qFormat/>
    <w:uiPriority w:val="0"/>
    <w:pPr>
      <w:spacing w:before="240" w:after="60"/>
      <w:jc w:val="center"/>
      <w:outlineLvl w:val="0"/>
    </w:pPr>
    <w:rPr>
      <w:rFonts w:ascii="Cambria" w:hAnsi="Cambria"/>
      <w:b/>
      <w:sz w:val="32"/>
      <w:szCs w:val="20"/>
    </w:rPr>
  </w:style>
  <w:style w:type="paragraph" w:styleId="25">
    <w:name w:val="annotation subject"/>
    <w:basedOn w:val="13"/>
    <w:next w:val="13"/>
    <w:link w:val="83"/>
    <w:unhideWhenUsed/>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FollowedHyperlink"/>
    <w:basedOn w:val="28"/>
    <w:semiHidden/>
    <w:unhideWhenUsed/>
    <w:qFormat/>
    <w:uiPriority w:val="99"/>
    <w:rPr>
      <w:color w:val="800080" w:themeColor="followedHyperlink"/>
      <w:u w:val="single"/>
    </w:rPr>
  </w:style>
  <w:style w:type="character" w:styleId="31">
    <w:name w:val="Hyperlink"/>
    <w:unhideWhenUsed/>
    <w:qFormat/>
    <w:uiPriority w:val="99"/>
    <w:rPr>
      <w:color w:val="0000FF"/>
      <w:u w:val="single"/>
    </w:rPr>
  </w:style>
  <w:style w:type="character" w:styleId="32">
    <w:name w:val="annotation reference"/>
    <w:unhideWhenUsed/>
    <w:qFormat/>
    <w:uiPriority w:val="0"/>
    <w:rPr>
      <w:sz w:val="21"/>
      <w:szCs w:val="21"/>
    </w:rPr>
  </w:style>
  <w:style w:type="character" w:styleId="33">
    <w:name w:val="footnote reference"/>
    <w:basedOn w:val="28"/>
    <w:qFormat/>
    <w:uiPriority w:val="0"/>
    <w:rPr>
      <w:vertAlign w:val="superscript"/>
    </w:rPr>
  </w:style>
  <w:style w:type="character" w:customStyle="1" w:styleId="34">
    <w:name w:val="标题 1 Char"/>
    <w:link w:val="2"/>
    <w:qFormat/>
    <w:uiPriority w:val="0"/>
    <w:rPr>
      <w:rFonts w:ascii="宋体" w:hAnsi="宋体"/>
      <w:b/>
      <w:kern w:val="44"/>
      <w:sz w:val="24"/>
      <w:szCs w:val="21"/>
    </w:rPr>
  </w:style>
  <w:style w:type="character" w:customStyle="1" w:styleId="35">
    <w:name w:val="标题 2 Char"/>
    <w:link w:val="3"/>
    <w:qFormat/>
    <w:uiPriority w:val="0"/>
    <w:rPr>
      <w:rFonts w:ascii="Arial" w:hAnsi="Arial"/>
      <w:b/>
      <w:kern w:val="2"/>
      <w:sz w:val="24"/>
    </w:rPr>
  </w:style>
  <w:style w:type="character" w:customStyle="1" w:styleId="36">
    <w:name w:val="标题 3 Char"/>
    <w:link w:val="4"/>
    <w:qFormat/>
    <w:uiPriority w:val="0"/>
    <w:rPr>
      <w:rFonts w:ascii="宋体" w:hAnsi="Times New Roman"/>
      <w:b/>
      <w:kern w:val="2"/>
      <w:sz w:val="21"/>
    </w:rPr>
  </w:style>
  <w:style w:type="character" w:customStyle="1" w:styleId="37">
    <w:name w:val="标题 4 Char"/>
    <w:link w:val="5"/>
    <w:qFormat/>
    <w:uiPriority w:val="0"/>
    <w:rPr>
      <w:rFonts w:ascii="Arial" w:hAnsi="Arial" w:eastAsia="宋体" w:cs="Times New Roman"/>
      <w:szCs w:val="20"/>
    </w:rPr>
  </w:style>
  <w:style w:type="character" w:customStyle="1" w:styleId="38">
    <w:name w:val="标题 5 Char"/>
    <w:link w:val="6"/>
    <w:qFormat/>
    <w:uiPriority w:val="0"/>
    <w:rPr>
      <w:rFonts w:ascii="Times New Roman" w:hAnsi="Times New Roman" w:eastAsia="宋体" w:cs="Times New Roman"/>
      <w:szCs w:val="20"/>
    </w:rPr>
  </w:style>
  <w:style w:type="character" w:customStyle="1" w:styleId="39">
    <w:name w:val="标题 6 Char"/>
    <w:link w:val="7"/>
    <w:qFormat/>
    <w:uiPriority w:val="0"/>
    <w:rPr>
      <w:rFonts w:ascii="Arial" w:hAnsi="Arial" w:eastAsia="黑体" w:cs="Times New Roman"/>
      <w:b/>
      <w:sz w:val="24"/>
      <w:szCs w:val="20"/>
    </w:rPr>
  </w:style>
  <w:style w:type="character" w:customStyle="1" w:styleId="40">
    <w:name w:val="标题 7 Char"/>
    <w:link w:val="8"/>
    <w:qFormat/>
    <w:uiPriority w:val="0"/>
    <w:rPr>
      <w:rFonts w:ascii="Times New Roman" w:hAnsi="Times New Roman" w:eastAsia="宋体" w:cs="Times New Roman"/>
      <w:b/>
      <w:sz w:val="24"/>
      <w:szCs w:val="20"/>
    </w:rPr>
  </w:style>
  <w:style w:type="character" w:customStyle="1" w:styleId="41">
    <w:name w:val="标题 8 Char"/>
    <w:link w:val="9"/>
    <w:qFormat/>
    <w:uiPriority w:val="0"/>
    <w:rPr>
      <w:rFonts w:ascii="Arial" w:hAnsi="Arial" w:eastAsia="黑体" w:cs="Times New Roman"/>
      <w:sz w:val="24"/>
      <w:szCs w:val="20"/>
    </w:rPr>
  </w:style>
  <w:style w:type="character" w:customStyle="1" w:styleId="42">
    <w:name w:val="标题 9 Char"/>
    <w:link w:val="10"/>
    <w:qFormat/>
    <w:uiPriority w:val="0"/>
    <w:rPr>
      <w:rFonts w:ascii="Arial" w:hAnsi="Arial" w:eastAsia="黑体" w:cs="Times New Roman"/>
      <w:szCs w:val="20"/>
    </w:rPr>
  </w:style>
  <w:style w:type="paragraph" w:customStyle="1" w:styleId="43">
    <w:name w:val="Char Char Char"/>
    <w:basedOn w:val="1"/>
    <w:qFormat/>
    <w:uiPriority w:val="0"/>
    <w:rPr>
      <w:rFonts w:ascii="Times New Roman" w:hAnsi="Times New Roman"/>
      <w:szCs w:val="24"/>
    </w:rPr>
  </w:style>
  <w:style w:type="character" w:customStyle="1" w:styleId="44">
    <w:name w:val="页眉 Char"/>
    <w:qFormat/>
    <w:uiPriority w:val="0"/>
    <w:rPr>
      <w:kern w:val="2"/>
      <w:sz w:val="18"/>
      <w:szCs w:val="18"/>
    </w:rPr>
  </w:style>
  <w:style w:type="character" w:customStyle="1" w:styleId="45">
    <w:name w:val="页脚 Char"/>
    <w:link w:val="18"/>
    <w:qFormat/>
    <w:uiPriority w:val="99"/>
    <w:rPr>
      <w:kern w:val="2"/>
      <w:sz w:val="18"/>
      <w:szCs w:val="18"/>
    </w:rPr>
  </w:style>
  <w:style w:type="paragraph" w:customStyle="1" w:styleId="46">
    <w:name w:val="列出段落1"/>
    <w:basedOn w:val="1"/>
    <w:qFormat/>
    <w:uiPriority w:val="34"/>
    <w:pPr>
      <w:ind w:firstLine="420" w:firstLineChars="200"/>
    </w:pPr>
  </w:style>
  <w:style w:type="character" w:customStyle="1" w:styleId="47">
    <w:name w:val="批注文字 Char1"/>
    <w:link w:val="13"/>
    <w:qFormat/>
    <w:uiPriority w:val="0"/>
    <w:rPr>
      <w:kern w:val="2"/>
      <w:sz w:val="21"/>
      <w:szCs w:val="22"/>
    </w:rPr>
  </w:style>
  <w:style w:type="character" w:customStyle="1" w:styleId="48">
    <w:name w:val="批注框文本 Char1"/>
    <w:basedOn w:val="28"/>
    <w:link w:val="17"/>
    <w:semiHidden/>
    <w:qFormat/>
    <w:uiPriority w:val="0"/>
    <w:rPr>
      <w:kern w:val="2"/>
      <w:sz w:val="18"/>
      <w:szCs w:val="18"/>
    </w:rPr>
  </w:style>
  <w:style w:type="character" w:customStyle="1" w:styleId="49">
    <w:name w:val="批注主题 Char"/>
    <w:qFormat/>
    <w:uiPriority w:val="0"/>
    <w:rPr>
      <w:b/>
      <w:bCs/>
      <w:kern w:val="2"/>
      <w:sz w:val="21"/>
      <w:szCs w:val="22"/>
    </w:rPr>
  </w:style>
  <w:style w:type="character" w:customStyle="1" w:styleId="50">
    <w:name w:val="批注框文本 Char"/>
    <w:qFormat/>
    <w:uiPriority w:val="0"/>
    <w:rPr>
      <w:kern w:val="2"/>
      <w:sz w:val="18"/>
      <w:szCs w:val="18"/>
    </w:rPr>
  </w:style>
  <w:style w:type="character" w:customStyle="1" w:styleId="51">
    <w:name w:val="正文文本 2 Char"/>
    <w:link w:val="22"/>
    <w:qFormat/>
    <w:uiPriority w:val="0"/>
    <w:rPr>
      <w:rFonts w:ascii="仿宋_GB2312" w:hAnsi="Times New Roman" w:eastAsia="仿宋_GB2312" w:cs="Times New Roman"/>
      <w:color w:val="000000"/>
      <w:szCs w:val="24"/>
    </w:rPr>
  </w:style>
  <w:style w:type="character" w:customStyle="1" w:styleId="52">
    <w:name w:val="正文文本缩进 2 Char"/>
    <w:qFormat/>
    <w:uiPriority w:val="0"/>
    <w:rPr>
      <w:kern w:val="2"/>
      <w:sz w:val="21"/>
      <w:szCs w:val="22"/>
    </w:rPr>
  </w:style>
  <w:style w:type="character" w:customStyle="1" w:styleId="53">
    <w:name w:val="正文文本缩进 3 Char"/>
    <w:qFormat/>
    <w:uiPriority w:val="0"/>
    <w:rPr>
      <w:kern w:val="2"/>
      <w:sz w:val="16"/>
      <w:szCs w:val="16"/>
    </w:rPr>
  </w:style>
  <w:style w:type="character" w:customStyle="1" w:styleId="54">
    <w:name w:val="read"/>
    <w:basedOn w:val="28"/>
    <w:qFormat/>
    <w:uiPriority w:val="0"/>
  </w:style>
  <w:style w:type="character" w:customStyle="1" w:styleId="55">
    <w:name w:val="正文文本 Char"/>
    <w:qFormat/>
    <w:uiPriority w:val="0"/>
    <w:rPr>
      <w:kern w:val="2"/>
      <w:sz w:val="21"/>
      <w:szCs w:val="22"/>
    </w:rPr>
  </w:style>
  <w:style w:type="character" w:customStyle="1" w:styleId="56">
    <w:name w:val="unnamed11"/>
    <w:qFormat/>
    <w:uiPriority w:val="0"/>
    <w:rPr>
      <w:rFonts w:hint="eastAsia" w:ascii="宋体" w:hAnsi="宋体" w:eastAsia="宋体"/>
      <w:sz w:val="18"/>
      <w:szCs w:val="18"/>
    </w:rPr>
  </w:style>
  <w:style w:type="paragraph" w:customStyle="1" w:styleId="57">
    <w:name w:val="TOC 标题1"/>
    <w:basedOn w:val="2"/>
    <w:next w:val="1"/>
    <w:qFormat/>
    <w:uiPriority w:val="39"/>
    <w:pPr>
      <w:widowControl/>
      <w:numPr>
        <w:numId w:val="0"/>
      </w:numPr>
      <w:spacing w:before="480" w:line="276" w:lineRule="auto"/>
      <w:jc w:val="left"/>
      <w:outlineLvl w:val="9"/>
    </w:pPr>
    <w:rPr>
      <w:rFonts w:ascii="Cambria" w:hAnsi="Cambria"/>
      <w:bCs/>
      <w:color w:val="365F91"/>
      <w:kern w:val="0"/>
      <w:szCs w:val="28"/>
    </w:rPr>
  </w:style>
  <w:style w:type="character" w:customStyle="1" w:styleId="58">
    <w:name w:val="文档结构图 Char"/>
    <w:qFormat/>
    <w:uiPriority w:val="0"/>
    <w:rPr>
      <w:rFonts w:ascii="宋体"/>
      <w:kern w:val="2"/>
      <w:sz w:val="18"/>
      <w:szCs w:val="18"/>
    </w:rPr>
  </w:style>
  <w:style w:type="paragraph" w:customStyle="1" w:styleId="59">
    <w:name w:val="Char Char Char2"/>
    <w:basedOn w:val="1"/>
    <w:qFormat/>
    <w:uiPriority w:val="0"/>
    <w:rPr>
      <w:rFonts w:ascii="Times New Roman" w:hAnsi="Times New Roman"/>
      <w:szCs w:val="24"/>
    </w:rPr>
  </w:style>
  <w:style w:type="character" w:customStyle="1" w:styleId="60">
    <w:name w:val="标题 Char"/>
    <w:basedOn w:val="28"/>
    <w:link w:val="24"/>
    <w:qFormat/>
    <w:uiPriority w:val="0"/>
    <w:rPr>
      <w:rFonts w:ascii="Cambria" w:hAnsi="Cambria"/>
      <w:b/>
      <w:kern w:val="2"/>
      <w:sz w:val="32"/>
    </w:rPr>
  </w:style>
  <w:style w:type="character" w:customStyle="1" w:styleId="61">
    <w:name w:val="标题 Char1"/>
    <w:basedOn w:val="28"/>
    <w:qFormat/>
    <w:uiPriority w:val="10"/>
    <w:rPr>
      <w:rFonts w:asciiTheme="majorHAnsi" w:hAnsiTheme="majorHAnsi" w:cstheme="majorBidi"/>
      <w:b/>
      <w:bCs/>
      <w:kern w:val="2"/>
      <w:sz w:val="32"/>
      <w:szCs w:val="32"/>
    </w:rPr>
  </w:style>
  <w:style w:type="paragraph" w:customStyle="1" w:styleId="62">
    <w:name w:val="Char"/>
    <w:basedOn w:val="1"/>
    <w:qFormat/>
    <w:uiPriority w:val="0"/>
    <w:rPr>
      <w:rFonts w:ascii="Times New Roman" w:hAnsi="Times New Roman"/>
      <w:szCs w:val="20"/>
    </w:rPr>
  </w:style>
  <w:style w:type="paragraph" w:customStyle="1" w:styleId="63">
    <w:name w:val="Char Char Char Char"/>
    <w:basedOn w:val="1"/>
    <w:qFormat/>
    <w:uiPriority w:val="0"/>
    <w:pPr>
      <w:tabs>
        <w:tab w:val="left" w:pos="360"/>
      </w:tabs>
    </w:pPr>
    <w:rPr>
      <w:rFonts w:ascii="Times New Roman" w:hAnsi="Times New Roman"/>
      <w:szCs w:val="20"/>
    </w:rPr>
  </w:style>
  <w:style w:type="character" w:customStyle="1" w:styleId="64">
    <w:name w:val="脚注文本 Char"/>
    <w:basedOn w:val="28"/>
    <w:link w:val="21"/>
    <w:qFormat/>
    <w:uiPriority w:val="0"/>
    <w:rPr>
      <w:rFonts w:ascii="Times New Roman" w:hAnsi="Times New Roman"/>
      <w:kern w:val="2"/>
      <w:sz w:val="18"/>
    </w:rPr>
  </w:style>
  <w:style w:type="paragraph" w:customStyle="1" w:styleId="65">
    <w:name w:val="Char2"/>
    <w:basedOn w:val="1"/>
    <w:qFormat/>
    <w:uiPriority w:val="0"/>
    <w:rPr>
      <w:rFonts w:ascii="Times New Roman" w:hAnsi="Times New Roman"/>
      <w:szCs w:val="20"/>
    </w:rPr>
  </w:style>
  <w:style w:type="paragraph" w:customStyle="1" w:styleId="6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7">
    <w:name w:val="Char Char"/>
    <w:basedOn w:val="1"/>
    <w:qFormat/>
    <w:uiPriority w:val="0"/>
    <w:rPr>
      <w:rFonts w:ascii="Times New Roman" w:hAnsi="Times New Roman"/>
      <w:szCs w:val="20"/>
    </w:rPr>
  </w:style>
  <w:style w:type="character" w:customStyle="1" w:styleId="68">
    <w:name w:val="纯文本 Char"/>
    <w:basedOn w:val="28"/>
    <w:link w:val="16"/>
    <w:qFormat/>
    <w:uiPriority w:val="0"/>
    <w:rPr>
      <w:rFonts w:ascii="宋体" w:hAnsi="Courier New"/>
      <w:sz w:val="21"/>
    </w:rPr>
  </w:style>
  <w:style w:type="paragraph" w:customStyle="1" w:styleId="69">
    <w:name w:val="Char Char1"/>
    <w:basedOn w:val="1"/>
    <w:qFormat/>
    <w:uiPriority w:val="0"/>
    <w:rPr>
      <w:rFonts w:ascii="Times New Roman" w:hAnsi="Times New Roman"/>
      <w:szCs w:val="20"/>
    </w:rPr>
  </w:style>
  <w:style w:type="paragraph" w:customStyle="1" w:styleId="7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1">
    <w:name w:val="InfoBlue"/>
    <w:basedOn w:val="1"/>
    <w:qFormat/>
    <w:uiPriority w:val="0"/>
    <w:pPr>
      <w:tabs>
        <w:tab w:val="left" w:pos="420"/>
      </w:tabs>
      <w:spacing w:after="120" w:line="240" w:lineRule="atLeast"/>
      <w:ind w:left="420" w:hanging="420"/>
      <w:jc w:val="left"/>
    </w:pPr>
    <w:rPr>
      <w:rFonts w:ascii="宋体" w:hAnsi="宋体"/>
      <w:szCs w:val="20"/>
    </w:rPr>
  </w:style>
  <w:style w:type="paragraph" w:customStyle="1" w:styleId="72">
    <w:name w:val="unnamed1"/>
    <w:basedOn w:val="1"/>
    <w:qFormat/>
    <w:uiPriority w:val="0"/>
    <w:pPr>
      <w:spacing w:before="60" w:after="60"/>
      <w:ind w:left="15" w:right="15"/>
    </w:pPr>
    <w:rPr>
      <w:rFonts w:hint="eastAsia" w:ascii="宋体" w:hAnsi="宋体"/>
      <w:color w:val="000000"/>
      <w:sz w:val="18"/>
      <w:szCs w:val="18"/>
    </w:rPr>
  </w:style>
  <w:style w:type="paragraph" w:customStyle="1" w:styleId="73">
    <w:name w:val="Char Char4"/>
    <w:basedOn w:val="1"/>
    <w:qFormat/>
    <w:uiPriority w:val="0"/>
    <w:rPr>
      <w:rFonts w:ascii="Times New Roman" w:hAnsi="Times New Roman"/>
      <w:szCs w:val="20"/>
    </w:rPr>
  </w:style>
  <w:style w:type="paragraph" w:customStyle="1" w:styleId="74">
    <w:name w:val="Char Char3"/>
    <w:basedOn w:val="1"/>
    <w:qFormat/>
    <w:uiPriority w:val="0"/>
    <w:rPr>
      <w:rFonts w:ascii="Times New Roman" w:hAnsi="Times New Roman"/>
      <w:szCs w:val="20"/>
    </w:rPr>
  </w:style>
  <w:style w:type="paragraph" w:customStyle="1" w:styleId="75">
    <w:name w:val="HD正文"/>
    <w:basedOn w:val="1"/>
    <w:qFormat/>
    <w:uiPriority w:val="0"/>
    <w:pPr>
      <w:snapToGrid w:val="0"/>
      <w:spacing w:line="360" w:lineRule="auto"/>
      <w:ind w:firstLine="420" w:firstLineChars="200"/>
    </w:pPr>
    <w:rPr>
      <w:rFonts w:ascii="Times New Roman" w:hAnsi="Times New Roman"/>
      <w:szCs w:val="21"/>
    </w:rPr>
  </w:style>
  <w:style w:type="paragraph" w:customStyle="1" w:styleId="76">
    <w:name w:val="Char Char2"/>
    <w:basedOn w:val="1"/>
    <w:qFormat/>
    <w:uiPriority w:val="0"/>
    <w:rPr>
      <w:rFonts w:ascii="Times New Roman" w:hAnsi="Times New Roman"/>
      <w:szCs w:val="20"/>
    </w:rPr>
  </w:style>
  <w:style w:type="paragraph" w:customStyle="1" w:styleId="77">
    <w:name w:val="Char1"/>
    <w:basedOn w:val="1"/>
    <w:qFormat/>
    <w:uiPriority w:val="0"/>
    <w:rPr>
      <w:rFonts w:ascii="Times New Roman" w:hAnsi="Times New Roman"/>
      <w:szCs w:val="20"/>
    </w:rPr>
  </w:style>
  <w:style w:type="paragraph" w:customStyle="1" w:styleId="78">
    <w:name w:val="Char Char Char1"/>
    <w:basedOn w:val="1"/>
    <w:qFormat/>
    <w:uiPriority w:val="0"/>
    <w:rPr>
      <w:rFonts w:ascii="Times New Roman" w:hAnsi="Times New Roman"/>
      <w:szCs w:val="20"/>
    </w:rPr>
  </w:style>
  <w:style w:type="paragraph" w:customStyle="1" w:styleId="79">
    <w:name w:val="Char Char Char Char1"/>
    <w:basedOn w:val="1"/>
    <w:qFormat/>
    <w:uiPriority w:val="0"/>
    <w:pPr>
      <w:tabs>
        <w:tab w:val="left" w:pos="360"/>
      </w:tabs>
    </w:pPr>
    <w:rPr>
      <w:rFonts w:ascii="Times New Roman" w:hAnsi="Times New Roman"/>
      <w:szCs w:val="20"/>
    </w:rPr>
  </w:style>
  <w:style w:type="paragraph" w:customStyle="1" w:styleId="80">
    <w:name w:val="Char Char11"/>
    <w:basedOn w:val="1"/>
    <w:qFormat/>
    <w:uiPriority w:val="0"/>
    <w:rPr>
      <w:rFonts w:ascii="Times New Roman" w:hAnsi="Times New Roman"/>
      <w:szCs w:val="20"/>
    </w:rPr>
  </w:style>
  <w:style w:type="character" w:customStyle="1" w:styleId="81">
    <w:name w:val="grame"/>
    <w:basedOn w:val="28"/>
    <w:qFormat/>
    <w:uiPriority w:val="0"/>
  </w:style>
  <w:style w:type="character" w:customStyle="1" w:styleId="82">
    <w:name w:val="页眉 Char1"/>
    <w:basedOn w:val="28"/>
    <w:link w:val="19"/>
    <w:qFormat/>
    <w:uiPriority w:val="0"/>
    <w:rPr>
      <w:kern w:val="2"/>
      <w:sz w:val="18"/>
      <w:szCs w:val="18"/>
    </w:rPr>
  </w:style>
  <w:style w:type="character" w:customStyle="1" w:styleId="83">
    <w:name w:val="批注主题 Char1"/>
    <w:basedOn w:val="47"/>
    <w:link w:val="25"/>
    <w:semiHidden/>
    <w:qFormat/>
    <w:uiPriority w:val="0"/>
    <w:rPr>
      <w:b/>
      <w:bCs/>
      <w:kern w:val="2"/>
      <w:sz w:val="21"/>
      <w:szCs w:val="22"/>
    </w:rPr>
  </w:style>
  <w:style w:type="paragraph" w:customStyle="1" w:styleId="84">
    <w:name w:val="修订1"/>
    <w:hidden/>
    <w:semiHidden/>
    <w:qFormat/>
    <w:uiPriority w:val="99"/>
    <w:rPr>
      <w:rFonts w:ascii="Calibri" w:hAnsi="Calibri" w:eastAsia="宋体" w:cs="Times New Roman"/>
      <w:kern w:val="2"/>
      <w:sz w:val="21"/>
      <w:szCs w:val="22"/>
      <w:lang w:val="en-US" w:eastAsia="zh-CN" w:bidi="ar-SA"/>
    </w:rPr>
  </w:style>
  <w:style w:type="character" w:customStyle="1" w:styleId="85">
    <w:name w:val="正文文本 Char1"/>
    <w:basedOn w:val="28"/>
    <w:link w:val="14"/>
    <w:semiHidden/>
    <w:qFormat/>
    <w:uiPriority w:val="0"/>
    <w:rPr>
      <w:kern w:val="2"/>
      <w:sz w:val="21"/>
      <w:szCs w:val="22"/>
    </w:rPr>
  </w:style>
  <w:style w:type="character" w:customStyle="1" w:styleId="86">
    <w:name w:val="批注文字 Char"/>
    <w:qFormat/>
    <w:uiPriority w:val="99"/>
    <w:rPr>
      <w:kern w:val="2"/>
      <w:sz w:val="21"/>
    </w:rPr>
  </w:style>
  <w:style w:type="paragraph" w:customStyle="1" w:styleId="87">
    <w:name w:val="修订2"/>
    <w:hidden/>
    <w:semiHidden/>
    <w:qFormat/>
    <w:uiPriority w:val="99"/>
    <w:rPr>
      <w:rFonts w:ascii="Calibri" w:hAnsi="Calibri" w:eastAsia="宋体" w:cs="Times New Roman"/>
      <w:kern w:val="2"/>
      <w:sz w:val="21"/>
      <w:szCs w:val="22"/>
      <w:lang w:val="en-US" w:eastAsia="zh-CN" w:bidi="ar-SA"/>
    </w:rPr>
  </w:style>
  <w:style w:type="character" w:customStyle="1" w:styleId="88">
    <w:name w:val="批注文字 字符"/>
    <w:qFormat/>
    <w:uiPriority w:val="0"/>
    <w:rPr>
      <w:kern w:val="2"/>
      <w:sz w:val="21"/>
    </w:rPr>
  </w:style>
  <w:style w:type="paragraph" w:styleId="89">
    <w:name w:val="List Paragraph"/>
    <w:basedOn w:val="1"/>
    <w:qFormat/>
    <w:uiPriority w:val="99"/>
    <w:pPr>
      <w:ind w:firstLine="420" w:firstLineChars="200"/>
    </w:pPr>
  </w:style>
  <w:style w:type="paragraph" w:customStyle="1" w:styleId="90">
    <w:name w:val="修订3"/>
    <w:hidden/>
    <w:semiHidden/>
    <w:qFormat/>
    <w:uiPriority w:val="99"/>
    <w:rPr>
      <w:rFonts w:ascii="Calibri" w:hAnsi="Calibri" w:eastAsia="宋体" w:cs="Times New Roman"/>
      <w:kern w:val="2"/>
      <w:sz w:val="21"/>
      <w:szCs w:val="22"/>
      <w:lang w:val="en-US" w:eastAsia="zh-CN" w:bidi="ar-SA"/>
    </w:rPr>
  </w:style>
  <w:style w:type="paragraph" w:customStyle="1" w:styleId="91">
    <w:name w:val="修订4"/>
    <w:hidden/>
    <w:semiHidden/>
    <w:qFormat/>
    <w:uiPriority w:val="99"/>
    <w:rPr>
      <w:rFonts w:ascii="Calibri" w:hAnsi="Calibri" w:eastAsia="宋体" w:cs="Times New Roman"/>
      <w:kern w:val="2"/>
      <w:sz w:val="21"/>
      <w:szCs w:val="22"/>
      <w:lang w:val="en-US" w:eastAsia="zh-CN" w:bidi="ar-SA"/>
    </w:rPr>
  </w:style>
  <w:style w:type="paragraph" w:customStyle="1" w:styleId="92">
    <w:name w:val="修订5"/>
    <w:hidden/>
    <w:semiHidden/>
    <w:qFormat/>
    <w:uiPriority w:val="99"/>
    <w:rPr>
      <w:rFonts w:ascii="Calibri" w:hAnsi="Calibri" w:eastAsia="宋体" w:cs="Times New Roman"/>
      <w:kern w:val="2"/>
      <w:sz w:val="21"/>
      <w:szCs w:val="22"/>
      <w:lang w:val="en-US" w:eastAsia="zh-CN" w:bidi="ar-SA"/>
    </w:rPr>
  </w:style>
  <w:style w:type="paragraph" w:customStyle="1" w:styleId="93">
    <w:name w:val="修订6"/>
    <w:hidden/>
    <w:semiHidden/>
    <w:qFormat/>
    <w:uiPriority w:val="99"/>
    <w:rPr>
      <w:rFonts w:ascii="Calibri" w:hAnsi="Calibri" w:eastAsia="宋体" w:cs="Times New Roman"/>
      <w:kern w:val="2"/>
      <w:sz w:val="21"/>
      <w:szCs w:val="22"/>
      <w:lang w:val="en-US" w:eastAsia="zh-CN" w:bidi="ar-SA"/>
    </w:rPr>
  </w:style>
  <w:style w:type="paragraph" w:customStyle="1" w:styleId="94">
    <w:name w:val="修订7"/>
    <w:hidden/>
    <w:semiHidden/>
    <w:qFormat/>
    <w:uiPriority w:val="99"/>
    <w:rPr>
      <w:rFonts w:ascii="Calibri" w:hAnsi="Calibri" w:eastAsia="宋体" w:cs="Times New Roman"/>
      <w:kern w:val="2"/>
      <w:sz w:val="21"/>
      <w:szCs w:val="22"/>
      <w:lang w:val="en-US" w:eastAsia="zh-CN" w:bidi="ar-SA"/>
    </w:rPr>
  </w:style>
  <w:style w:type="paragraph" w:customStyle="1" w:styleId="95">
    <w:name w:val="修订8"/>
    <w:hidden/>
    <w:unhideWhenUsed/>
    <w:qFormat/>
    <w:uiPriority w:val="99"/>
    <w:rPr>
      <w:rFonts w:ascii="Calibri" w:hAnsi="Calibri" w:eastAsia="宋体" w:cs="Times New Roman"/>
      <w:kern w:val="2"/>
      <w:sz w:val="21"/>
      <w:szCs w:val="22"/>
      <w:lang w:val="en-US" w:eastAsia="zh-CN" w:bidi="ar-SA"/>
    </w:rPr>
  </w:style>
  <w:style w:type="paragraph" w:customStyle="1" w:styleId="96">
    <w:name w:val="修订9"/>
    <w:hidden/>
    <w:unhideWhenUsed/>
    <w:qFormat/>
    <w:uiPriority w:val="99"/>
    <w:rPr>
      <w:rFonts w:ascii="Calibri" w:hAnsi="Calibri" w:eastAsia="宋体" w:cs="Times New Roman"/>
      <w:kern w:val="2"/>
      <w:sz w:val="21"/>
      <w:szCs w:val="22"/>
      <w:lang w:val="en-US" w:eastAsia="zh-CN" w:bidi="ar-SA"/>
    </w:rPr>
  </w:style>
  <w:style w:type="character" w:customStyle="1" w:styleId="97">
    <w:name w:val="未处理的提及1"/>
    <w:basedOn w:val="28"/>
    <w:semiHidden/>
    <w:unhideWhenUsed/>
    <w:qFormat/>
    <w:uiPriority w:val="99"/>
    <w:rPr>
      <w:color w:val="605E5C"/>
      <w:shd w:val="clear" w:color="auto" w:fill="E1DFDD"/>
    </w:rPr>
  </w:style>
  <w:style w:type="paragraph" w:customStyle="1" w:styleId="98">
    <w:name w:val="修订10"/>
    <w:hidden/>
    <w:semiHidden/>
    <w:qFormat/>
    <w:uiPriority w:val="99"/>
    <w:rPr>
      <w:rFonts w:ascii="Calibri" w:hAnsi="Calibri" w:eastAsia="宋体" w:cs="Times New Roman"/>
      <w:kern w:val="2"/>
      <w:sz w:val="21"/>
      <w:szCs w:val="22"/>
      <w:lang w:val="en-US" w:eastAsia="zh-CN" w:bidi="ar-SA"/>
    </w:rPr>
  </w:style>
  <w:style w:type="paragraph" w:customStyle="1" w:styleId="99">
    <w:name w:val="修订11"/>
    <w:hidden/>
    <w:semiHidden/>
    <w:qFormat/>
    <w:uiPriority w:val="99"/>
    <w:rPr>
      <w:rFonts w:ascii="Calibri" w:hAnsi="Calibri" w:eastAsia="宋体" w:cs="Times New Roman"/>
      <w:kern w:val="2"/>
      <w:sz w:val="21"/>
      <w:szCs w:val="22"/>
      <w:lang w:val="en-US" w:eastAsia="zh-CN" w:bidi="ar-SA"/>
    </w:rPr>
  </w:style>
  <w:style w:type="character" w:customStyle="1" w:styleId="100">
    <w:name w:val="文档结构图 Char1"/>
    <w:basedOn w:val="28"/>
    <w:link w:val="12"/>
    <w:semiHidden/>
    <w:qFormat/>
    <w:uiPriority w:val="0"/>
    <w:rPr>
      <w:rFonts w:ascii="宋体"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theme" Target="theme/theme1.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112</Pages>
  <Words>11210</Words>
  <Characters>63898</Characters>
  <Lines>532</Lines>
  <Paragraphs>149</Paragraphs>
  <TotalTime>4</TotalTime>
  <ScaleCrop>false</ScaleCrop>
  <LinksUpToDate>false</LinksUpToDate>
  <CharactersWithSpaces>74959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2025-04-18T08:48:00Z</dcterms:created>
  <dc:creator>liush</dc:creator>
  <cp:lastModifiedBy>liwen</cp:lastModifiedBy>
  <cp:lastPrinted>2021-12-15T08:11:00Z</cp:lastPrinted>
  <dcterms:modified xsi:type="dcterms:W3CDTF">2025-05-27T03:07:58Z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8ad66bbe17e94d1c9f15e64eec6d06ab</vt:lpwstr>
  </property>
  <property fmtid="{D5CDD505-2E9C-101B-9397-08002B2CF9AE}" pid="3" name="KSOProductBuildVer">
    <vt:lpwstr>2052-12.8.2.19795</vt:lpwstr>
  </property>
  <property fmtid="{D5CDD505-2E9C-101B-9397-08002B2CF9AE}" pid="4" name="verificationId">
    <vt:lpwstr>a093d8d956223fbc</vt:lpwstr>
  </property>
  <property fmtid="{D5CDD505-2E9C-101B-9397-08002B2CF9AE}" pid="5" name="ICV">
    <vt:lpwstr>7BD56CB63F7E47E8B46325BD70D7CC35</vt:lpwstr>
  </property>
</Properties>
</file>