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BB8C4"/>
    <w:p w14:paraId="32B98655">
      <w:pPr>
        <w:jc w:val="center"/>
        <w:rPr>
          <w:rFonts w:hint="eastAsia" w:ascii="宋体" w:hAnsi="宋体" w:eastAsia="宋体"/>
          <w:b/>
          <w:sz w:val="30"/>
        </w:rPr>
      </w:pPr>
      <w:r>
        <w:rPr>
          <w:rFonts w:hint="eastAsia" w:ascii="宋体" w:hAnsi="宋体" w:eastAsia="宋体"/>
          <w:b/>
          <w:sz w:val="30"/>
        </w:rPr>
        <w:t>博时安祺6个月定期开放债券型证券投资基金开放申购、赎回、转换业务公告</w:t>
      </w:r>
    </w:p>
    <w:p w14:paraId="71063EBA">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2026年10月15日</w:t>
      </w:r>
    </w:p>
    <w:p w14:paraId="3419E11A">
      <w:pPr>
        <w:jc w:val="center"/>
        <w:rPr>
          <w:rFonts w:ascii="宋体" w:hAnsi="宋体" w:eastAsia="宋体"/>
          <w:b/>
          <w:sz w:val="24"/>
        </w:rPr>
      </w:pPr>
    </w:p>
    <w:p w14:paraId="2F389A79">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B2C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AEE0A45">
            <w:pPr>
              <w:rPr>
                <w:rFonts w:ascii="宋体" w:hAnsi="宋体" w:eastAsia="宋体"/>
                <w:sz w:val="24"/>
              </w:rPr>
            </w:pPr>
            <w:r>
              <w:rPr>
                <w:rFonts w:hint="eastAsia" w:ascii="宋体" w:hAnsi="宋体" w:eastAsia="宋体"/>
                <w:sz w:val="24"/>
              </w:rPr>
              <w:t>基金名称</w:t>
            </w:r>
          </w:p>
        </w:tc>
        <w:tc>
          <w:tcPr>
            <w:tcW w:w="5682" w:type="dxa"/>
            <w:gridSpan w:val="2"/>
            <w:vAlign w:val="center"/>
          </w:tcPr>
          <w:p w14:paraId="4A47EB1D">
            <w:pPr>
              <w:rPr>
                <w:rFonts w:ascii="宋体" w:hAnsi="宋体" w:eastAsia="宋体"/>
                <w:sz w:val="24"/>
              </w:rPr>
            </w:pPr>
            <w:r>
              <w:rPr>
                <w:rFonts w:hint="eastAsia" w:ascii="宋体" w:hAnsi="宋体" w:eastAsia="宋体"/>
                <w:sz w:val="24"/>
              </w:rPr>
              <w:t>博时安祺</w:t>
            </w:r>
            <w:r>
              <w:rPr>
                <w:rFonts w:ascii="宋体" w:hAnsi="宋体" w:eastAsia="宋体"/>
                <w:sz w:val="24"/>
              </w:rPr>
              <w:t>6个月定期开放债券型证券投资基金</w:t>
            </w:r>
          </w:p>
        </w:tc>
      </w:tr>
      <w:tr w14:paraId="0F1F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D603F88">
            <w:pPr>
              <w:rPr>
                <w:rFonts w:ascii="宋体" w:hAnsi="宋体" w:eastAsia="宋体"/>
                <w:sz w:val="24"/>
              </w:rPr>
            </w:pPr>
            <w:r>
              <w:rPr>
                <w:rFonts w:hint="eastAsia" w:ascii="宋体" w:hAnsi="宋体" w:eastAsia="宋体"/>
                <w:sz w:val="24"/>
              </w:rPr>
              <w:t>基金简称</w:t>
            </w:r>
          </w:p>
        </w:tc>
        <w:tc>
          <w:tcPr>
            <w:tcW w:w="5682" w:type="dxa"/>
            <w:gridSpan w:val="2"/>
            <w:vAlign w:val="center"/>
          </w:tcPr>
          <w:p w14:paraId="3258DA77">
            <w:pPr>
              <w:rPr>
                <w:rFonts w:ascii="宋体" w:hAnsi="宋体" w:eastAsia="宋体"/>
                <w:sz w:val="24"/>
              </w:rPr>
            </w:pPr>
            <w:r>
              <w:rPr>
                <w:rFonts w:hint="eastAsia" w:ascii="宋体" w:hAnsi="宋体" w:eastAsia="宋体"/>
                <w:sz w:val="24"/>
              </w:rPr>
              <w:t>博时安祺</w:t>
            </w:r>
            <w:r>
              <w:rPr>
                <w:rFonts w:ascii="宋体" w:hAnsi="宋体" w:eastAsia="宋体"/>
                <w:sz w:val="24"/>
              </w:rPr>
              <w:t>6个月定开债</w:t>
            </w:r>
          </w:p>
        </w:tc>
      </w:tr>
      <w:tr w14:paraId="7CF5A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EC7CE48">
            <w:pPr>
              <w:rPr>
                <w:rFonts w:ascii="宋体" w:hAnsi="宋体" w:eastAsia="宋体"/>
                <w:sz w:val="24"/>
              </w:rPr>
            </w:pPr>
            <w:r>
              <w:rPr>
                <w:rFonts w:hint="eastAsia" w:ascii="宋体" w:hAnsi="宋体" w:eastAsia="宋体"/>
                <w:sz w:val="24"/>
              </w:rPr>
              <w:t>基金主代码</w:t>
            </w:r>
          </w:p>
        </w:tc>
        <w:tc>
          <w:tcPr>
            <w:tcW w:w="5682" w:type="dxa"/>
            <w:gridSpan w:val="2"/>
            <w:vAlign w:val="center"/>
          </w:tcPr>
          <w:p w14:paraId="5A7309BD">
            <w:pPr>
              <w:rPr>
                <w:rFonts w:ascii="宋体" w:hAnsi="宋体" w:eastAsia="宋体"/>
                <w:sz w:val="24"/>
              </w:rPr>
            </w:pPr>
            <w:r>
              <w:rPr>
                <w:rFonts w:ascii="宋体" w:hAnsi="宋体" w:eastAsia="宋体"/>
                <w:sz w:val="24"/>
              </w:rPr>
              <w:t>003239</w:t>
            </w:r>
          </w:p>
        </w:tc>
      </w:tr>
      <w:tr w14:paraId="4A7A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2D18741">
            <w:pPr>
              <w:rPr>
                <w:rFonts w:ascii="宋体" w:hAnsi="宋体" w:eastAsia="宋体"/>
                <w:sz w:val="24"/>
              </w:rPr>
            </w:pPr>
            <w:r>
              <w:rPr>
                <w:rFonts w:hint="eastAsia" w:ascii="宋体" w:hAnsi="宋体" w:eastAsia="宋体"/>
                <w:sz w:val="24"/>
              </w:rPr>
              <w:t>基金运作方式</w:t>
            </w:r>
          </w:p>
        </w:tc>
        <w:tc>
          <w:tcPr>
            <w:tcW w:w="5682" w:type="dxa"/>
            <w:gridSpan w:val="2"/>
            <w:vAlign w:val="center"/>
          </w:tcPr>
          <w:p w14:paraId="5995EA7E">
            <w:pPr>
              <w:rPr>
                <w:rFonts w:ascii="宋体" w:hAnsi="宋体" w:eastAsia="宋体"/>
                <w:sz w:val="24"/>
              </w:rPr>
            </w:pPr>
            <w:r>
              <w:rPr>
                <w:rFonts w:hint="eastAsia" w:ascii="宋体" w:hAnsi="宋体" w:eastAsia="宋体"/>
                <w:sz w:val="24"/>
              </w:rPr>
              <w:t>契约型基金。本基金以定期开放的方式运作。</w:t>
            </w:r>
          </w:p>
        </w:tc>
      </w:tr>
      <w:tr w14:paraId="2A61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5A3BAC8">
            <w:pPr>
              <w:rPr>
                <w:rFonts w:ascii="宋体" w:hAnsi="宋体" w:eastAsia="宋体"/>
                <w:sz w:val="24"/>
              </w:rPr>
            </w:pPr>
            <w:r>
              <w:rPr>
                <w:rFonts w:hint="eastAsia" w:ascii="宋体" w:hAnsi="宋体" w:eastAsia="宋体"/>
                <w:sz w:val="24"/>
              </w:rPr>
              <w:t>基金合同生效日</w:t>
            </w:r>
          </w:p>
        </w:tc>
        <w:tc>
          <w:tcPr>
            <w:tcW w:w="5682" w:type="dxa"/>
            <w:gridSpan w:val="2"/>
            <w:vAlign w:val="center"/>
          </w:tcPr>
          <w:p w14:paraId="6884A811">
            <w:pPr>
              <w:rPr>
                <w:rFonts w:ascii="宋体" w:hAnsi="宋体" w:eastAsia="宋体"/>
                <w:sz w:val="24"/>
              </w:rPr>
            </w:pPr>
            <w:r>
              <w:rPr>
                <w:rFonts w:ascii="宋体" w:hAnsi="宋体" w:eastAsia="宋体"/>
                <w:sz w:val="24"/>
              </w:rPr>
              <w:t>2016年9月29日</w:t>
            </w:r>
          </w:p>
        </w:tc>
      </w:tr>
      <w:tr w14:paraId="02550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A59F828">
            <w:pPr>
              <w:rPr>
                <w:rFonts w:ascii="宋体" w:hAnsi="宋体" w:eastAsia="宋体"/>
                <w:sz w:val="24"/>
              </w:rPr>
            </w:pPr>
            <w:r>
              <w:rPr>
                <w:rFonts w:hint="eastAsia" w:ascii="宋体" w:hAnsi="宋体" w:eastAsia="宋体"/>
                <w:sz w:val="24"/>
              </w:rPr>
              <w:t>基金管理人名称</w:t>
            </w:r>
          </w:p>
        </w:tc>
        <w:tc>
          <w:tcPr>
            <w:tcW w:w="5682" w:type="dxa"/>
            <w:gridSpan w:val="2"/>
            <w:vAlign w:val="center"/>
          </w:tcPr>
          <w:p w14:paraId="4776AF9F">
            <w:pPr>
              <w:rPr>
                <w:rFonts w:ascii="宋体" w:hAnsi="宋体" w:eastAsia="宋体"/>
                <w:sz w:val="24"/>
              </w:rPr>
            </w:pPr>
            <w:r>
              <w:rPr>
                <w:rFonts w:hint="eastAsia" w:ascii="宋体" w:hAnsi="宋体" w:eastAsia="宋体"/>
                <w:sz w:val="24"/>
              </w:rPr>
              <w:t>博时基金管理有限公司</w:t>
            </w:r>
          </w:p>
        </w:tc>
      </w:tr>
      <w:tr w14:paraId="3B3C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1D965B6">
            <w:pPr>
              <w:rPr>
                <w:rFonts w:ascii="宋体" w:hAnsi="宋体" w:eastAsia="宋体"/>
                <w:sz w:val="24"/>
              </w:rPr>
            </w:pPr>
            <w:r>
              <w:rPr>
                <w:rFonts w:hint="eastAsia" w:ascii="宋体" w:hAnsi="宋体" w:eastAsia="宋体"/>
                <w:sz w:val="24"/>
              </w:rPr>
              <w:t>基金托管人名称</w:t>
            </w:r>
          </w:p>
        </w:tc>
        <w:tc>
          <w:tcPr>
            <w:tcW w:w="5682" w:type="dxa"/>
            <w:gridSpan w:val="2"/>
            <w:vAlign w:val="center"/>
          </w:tcPr>
          <w:p w14:paraId="31436A5A">
            <w:pPr>
              <w:rPr>
                <w:rFonts w:ascii="宋体" w:hAnsi="宋体" w:eastAsia="宋体"/>
                <w:sz w:val="24"/>
              </w:rPr>
            </w:pPr>
            <w:r>
              <w:rPr>
                <w:rFonts w:hint="eastAsia" w:ascii="宋体" w:hAnsi="宋体" w:eastAsia="宋体"/>
                <w:sz w:val="24"/>
              </w:rPr>
              <w:t>平安银行股份有限公司</w:t>
            </w:r>
          </w:p>
        </w:tc>
      </w:tr>
      <w:tr w14:paraId="2469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01BDE49">
            <w:pPr>
              <w:rPr>
                <w:rFonts w:ascii="宋体" w:hAnsi="宋体" w:eastAsia="宋体"/>
                <w:sz w:val="24"/>
              </w:rPr>
            </w:pPr>
            <w:r>
              <w:rPr>
                <w:rFonts w:hint="eastAsia" w:ascii="宋体" w:hAnsi="宋体" w:eastAsia="宋体"/>
                <w:sz w:val="24"/>
              </w:rPr>
              <w:t>基金注册登记机构名称</w:t>
            </w:r>
          </w:p>
        </w:tc>
        <w:tc>
          <w:tcPr>
            <w:tcW w:w="5682" w:type="dxa"/>
            <w:gridSpan w:val="2"/>
            <w:vAlign w:val="center"/>
          </w:tcPr>
          <w:p w14:paraId="46E804A2">
            <w:pPr>
              <w:rPr>
                <w:rFonts w:ascii="宋体" w:hAnsi="宋体" w:eastAsia="宋体"/>
                <w:sz w:val="24"/>
              </w:rPr>
            </w:pPr>
            <w:r>
              <w:rPr>
                <w:rFonts w:hint="eastAsia" w:ascii="宋体" w:hAnsi="宋体" w:eastAsia="宋体"/>
                <w:sz w:val="24"/>
              </w:rPr>
              <w:t>博时基金管理有限公司</w:t>
            </w:r>
          </w:p>
        </w:tc>
      </w:tr>
      <w:tr w14:paraId="0DFC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72F8C8B">
            <w:pPr>
              <w:rPr>
                <w:rFonts w:ascii="宋体" w:hAnsi="宋体" w:eastAsia="宋体"/>
                <w:sz w:val="24"/>
              </w:rPr>
            </w:pPr>
            <w:r>
              <w:rPr>
                <w:rFonts w:hint="eastAsia" w:ascii="宋体" w:hAnsi="宋体" w:eastAsia="宋体"/>
                <w:sz w:val="24"/>
              </w:rPr>
              <w:t>公告依据</w:t>
            </w:r>
          </w:p>
        </w:tc>
        <w:tc>
          <w:tcPr>
            <w:tcW w:w="5682" w:type="dxa"/>
            <w:gridSpan w:val="2"/>
            <w:vAlign w:val="center"/>
          </w:tcPr>
          <w:p w14:paraId="37BDD055">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《中华人民共和国证券投资基金法》、《公开募集证券投资基金运作管理办法》等法律法规以及《博时安祺</w:t>
            </w:r>
            <w:r>
              <w:rPr>
                <w:rFonts w:ascii="宋体" w:hAnsi="宋体" w:eastAsia="宋体"/>
                <w:sz w:val="24"/>
              </w:rPr>
              <w:t>6个月定期开放债券型证券投资基金基金合同》（以下简称“《基金合同》”）及《博时安祺6个月定期开放债券型证券投资基金招募说明书》（以下简称“《招募说明书》”）</w:t>
            </w:r>
          </w:p>
        </w:tc>
      </w:tr>
      <w:tr w14:paraId="7C095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9A17E51">
            <w:pPr>
              <w:rPr>
                <w:rFonts w:ascii="宋体" w:hAnsi="宋体" w:eastAsia="宋体"/>
                <w:sz w:val="24"/>
              </w:rPr>
            </w:pPr>
            <w:r>
              <w:rPr>
                <w:rFonts w:hint="eastAsia" w:ascii="宋体" w:hAnsi="宋体" w:eastAsia="宋体"/>
                <w:sz w:val="24"/>
              </w:rPr>
              <w:t>申购起始日</w:t>
            </w:r>
          </w:p>
        </w:tc>
        <w:tc>
          <w:tcPr>
            <w:tcW w:w="5682" w:type="dxa"/>
            <w:gridSpan w:val="2"/>
            <w:vAlign w:val="center"/>
          </w:tcPr>
          <w:p w14:paraId="739A03DE">
            <w:pPr>
              <w:rPr>
                <w:rFonts w:ascii="宋体" w:hAnsi="宋体" w:eastAsia="宋体"/>
                <w:sz w:val="24"/>
              </w:rPr>
            </w:pPr>
            <w:r>
              <w:rPr>
                <w:rFonts w:ascii="宋体" w:hAnsi="宋体" w:eastAsia="宋体"/>
                <w:sz w:val="24"/>
              </w:rPr>
              <w:t>2026年10月19日</w:t>
            </w:r>
          </w:p>
        </w:tc>
      </w:tr>
      <w:tr w14:paraId="3191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F4D59AC">
            <w:pPr>
              <w:rPr>
                <w:rFonts w:ascii="宋体" w:hAnsi="宋体" w:eastAsia="宋体"/>
                <w:sz w:val="24"/>
              </w:rPr>
            </w:pPr>
            <w:r>
              <w:rPr>
                <w:rFonts w:hint="eastAsia" w:ascii="宋体" w:hAnsi="宋体" w:eastAsia="宋体"/>
                <w:sz w:val="24"/>
              </w:rPr>
              <w:t>赎回起始日</w:t>
            </w:r>
          </w:p>
        </w:tc>
        <w:tc>
          <w:tcPr>
            <w:tcW w:w="5682" w:type="dxa"/>
            <w:gridSpan w:val="2"/>
            <w:vAlign w:val="center"/>
          </w:tcPr>
          <w:p w14:paraId="694B079C">
            <w:pPr>
              <w:rPr>
                <w:rFonts w:ascii="宋体" w:hAnsi="宋体" w:eastAsia="宋体"/>
                <w:sz w:val="24"/>
              </w:rPr>
            </w:pPr>
            <w:r>
              <w:rPr>
                <w:rFonts w:ascii="宋体" w:hAnsi="宋体" w:eastAsia="宋体"/>
                <w:sz w:val="24"/>
              </w:rPr>
              <w:t>2026年10月19日</w:t>
            </w:r>
          </w:p>
        </w:tc>
      </w:tr>
      <w:tr w14:paraId="5079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667B21E">
            <w:pPr>
              <w:rPr>
                <w:rFonts w:ascii="宋体" w:hAnsi="宋体" w:eastAsia="宋体"/>
                <w:sz w:val="24"/>
              </w:rPr>
            </w:pPr>
            <w:r>
              <w:rPr>
                <w:rFonts w:hint="eastAsia" w:ascii="宋体" w:hAnsi="宋体" w:eastAsia="宋体"/>
                <w:sz w:val="24"/>
              </w:rPr>
              <w:t>转换转入起始日</w:t>
            </w:r>
          </w:p>
        </w:tc>
        <w:tc>
          <w:tcPr>
            <w:tcW w:w="5682" w:type="dxa"/>
            <w:gridSpan w:val="2"/>
            <w:vAlign w:val="center"/>
          </w:tcPr>
          <w:p w14:paraId="6695FE81">
            <w:pPr>
              <w:rPr>
                <w:rFonts w:ascii="宋体" w:hAnsi="宋体" w:eastAsia="宋体"/>
                <w:sz w:val="24"/>
              </w:rPr>
            </w:pPr>
            <w:r>
              <w:rPr>
                <w:rFonts w:ascii="宋体" w:hAnsi="宋体" w:eastAsia="宋体"/>
                <w:sz w:val="24"/>
              </w:rPr>
              <w:t>2026年10月19日</w:t>
            </w:r>
          </w:p>
        </w:tc>
      </w:tr>
      <w:tr w14:paraId="52D3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9A2F98F">
            <w:pPr>
              <w:rPr>
                <w:rFonts w:ascii="宋体" w:hAnsi="宋体" w:eastAsia="宋体"/>
                <w:sz w:val="24"/>
              </w:rPr>
            </w:pPr>
            <w:r>
              <w:rPr>
                <w:rFonts w:hint="eastAsia" w:ascii="宋体" w:hAnsi="宋体" w:eastAsia="宋体"/>
                <w:sz w:val="24"/>
              </w:rPr>
              <w:t>转换转出起始日</w:t>
            </w:r>
          </w:p>
        </w:tc>
        <w:tc>
          <w:tcPr>
            <w:tcW w:w="5682" w:type="dxa"/>
            <w:gridSpan w:val="2"/>
            <w:vAlign w:val="center"/>
          </w:tcPr>
          <w:p w14:paraId="0513B326">
            <w:pPr>
              <w:rPr>
                <w:rFonts w:ascii="宋体" w:hAnsi="宋体" w:eastAsia="宋体"/>
                <w:sz w:val="24"/>
              </w:rPr>
            </w:pPr>
            <w:r>
              <w:rPr>
                <w:rFonts w:ascii="宋体" w:hAnsi="宋体" w:eastAsia="宋体"/>
                <w:sz w:val="24"/>
              </w:rPr>
              <w:t>2026年10月19日</w:t>
            </w:r>
          </w:p>
        </w:tc>
      </w:tr>
      <w:tr w14:paraId="3AA7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80DE303">
            <w:pPr>
              <w:rPr>
                <w:rFonts w:ascii="宋体" w:hAnsi="宋体" w:eastAsia="宋体"/>
                <w:sz w:val="24"/>
              </w:rPr>
            </w:pPr>
            <w:r>
              <w:rPr>
                <w:rFonts w:hint="eastAsia" w:ascii="宋体" w:hAnsi="宋体" w:eastAsia="宋体"/>
                <w:sz w:val="24"/>
              </w:rPr>
              <w:t>下属分级基金的基金简称</w:t>
            </w:r>
          </w:p>
        </w:tc>
        <w:tc>
          <w:tcPr>
            <w:tcW w:w="2841" w:type="dxa"/>
            <w:vAlign w:val="center"/>
          </w:tcPr>
          <w:p w14:paraId="39D5FF51">
            <w:pPr>
              <w:rPr>
                <w:rFonts w:ascii="宋体" w:hAnsi="宋体" w:eastAsia="宋体"/>
                <w:sz w:val="24"/>
              </w:rPr>
            </w:pPr>
            <w:r>
              <w:rPr>
                <w:rFonts w:hint="eastAsia" w:ascii="宋体" w:hAnsi="宋体" w:eastAsia="宋体"/>
                <w:sz w:val="24"/>
              </w:rPr>
              <w:t>博时安祺</w:t>
            </w:r>
            <w:r>
              <w:rPr>
                <w:rFonts w:ascii="宋体" w:hAnsi="宋体" w:eastAsia="宋体"/>
                <w:sz w:val="24"/>
              </w:rPr>
              <w:t>6个月定开债A</w:t>
            </w:r>
          </w:p>
        </w:tc>
        <w:tc>
          <w:tcPr>
            <w:tcW w:w="2841" w:type="dxa"/>
            <w:vAlign w:val="center"/>
          </w:tcPr>
          <w:p w14:paraId="0A513A30">
            <w:pPr>
              <w:rPr>
                <w:rFonts w:ascii="宋体" w:hAnsi="宋体" w:eastAsia="宋体"/>
                <w:sz w:val="24"/>
              </w:rPr>
            </w:pPr>
            <w:r>
              <w:rPr>
                <w:rFonts w:hint="eastAsia" w:ascii="宋体" w:hAnsi="宋体" w:eastAsia="宋体"/>
                <w:sz w:val="24"/>
              </w:rPr>
              <w:t>博时安祺</w:t>
            </w:r>
            <w:r>
              <w:rPr>
                <w:rFonts w:ascii="宋体" w:hAnsi="宋体" w:eastAsia="宋体"/>
                <w:sz w:val="24"/>
              </w:rPr>
              <w:t>6个月定开债C</w:t>
            </w:r>
          </w:p>
        </w:tc>
      </w:tr>
      <w:tr w14:paraId="6ADD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EC12722">
            <w:pPr>
              <w:rPr>
                <w:rFonts w:ascii="宋体" w:hAnsi="宋体" w:eastAsia="宋体"/>
                <w:sz w:val="24"/>
              </w:rPr>
            </w:pPr>
            <w:r>
              <w:rPr>
                <w:rFonts w:hint="eastAsia" w:ascii="宋体" w:hAnsi="宋体" w:eastAsia="宋体"/>
                <w:sz w:val="24"/>
              </w:rPr>
              <w:t>下属分级基金的交易代码</w:t>
            </w:r>
          </w:p>
        </w:tc>
        <w:tc>
          <w:tcPr>
            <w:tcW w:w="2841" w:type="dxa"/>
            <w:vAlign w:val="center"/>
          </w:tcPr>
          <w:p w14:paraId="30237863">
            <w:pPr>
              <w:rPr>
                <w:rFonts w:ascii="宋体" w:hAnsi="宋体" w:eastAsia="宋体"/>
                <w:sz w:val="24"/>
              </w:rPr>
            </w:pPr>
            <w:r>
              <w:rPr>
                <w:rFonts w:ascii="宋体" w:hAnsi="宋体" w:eastAsia="宋体"/>
                <w:sz w:val="24"/>
              </w:rPr>
              <w:t>003239</w:t>
            </w:r>
          </w:p>
        </w:tc>
        <w:tc>
          <w:tcPr>
            <w:tcW w:w="2841" w:type="dxa"/>
            <w:vAlign w:val="center"/>
          </w:tcPr>
          <w:p w14:paraId="1E2BCFF8">
            <w:pPr>
              <w:rPr>
                <w:rFonts w:ascii="宋体" w:hAnsi="宋体" w:eastAsia="宋体"/>
                <w:sz w:val="24"/>
              </w:rPr>
            </w:pPr>
            <w:r>
              <w:rPr>
                <w:rFonts w:ascii="宋体" w:hAnsi="宋体" w:eastAsia="宋体"/>
                <w:sz w:val="24"/>
              </w:rPr>
              <w:t>003240</w:t>
            </w:r>
          </w:p>
        </w:tc>
      </w:tr>
      <w:tr w14:paraId="2406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B45D1D8">
            <w:pPr>
              <w:rPr>
                <w:rFonts w:ascii="宋体" w:hAnsi="宋体" w:eastAsia="宋体"/>
                <w:sz w:val="24"/>
              </w:rPr>
            </w:pPr>
            <w:r>
              <w:rPr>
                <w:rFonts w:hint="eastAsia" w:ascii="宋体" w:hAnsi="宋体" w:eastAsia="宋体"/>
                <w:sz w:val="24"/>
              </w:rPr>
              <w:t>该基金份额是否开放申购、赎回、转换</w:t>
            </w:r>
          </w:p>
        </w:tc>
        <w:tc>
          <w:tcPr>
            <w:tcW w:w="2841" w:type="dxa"/>
            <w:vAlign w:val="center"/>
          </w:tcPr>
          <w:p w14:paraId="2BB5693D">
            <w:pPr>
              <w:rPr>
                <w:rFonts w:ascii="宋体" w:hAnsi="宋体" w:eastAsia="宋体"/>
                <w:sz w:val="24"/>
              </w:rPr>
            </w:pPr>
            <w:r>
              <w:rPr>
                <w:rFonts w:hint="eastAsia" w:ascii="宋体" w:hAnsi="宋体" w:eastAsia="宋体"/>
                <w:sz w:val="24"/>
              </w:rPr>
              <w:t>是</w:t>
            </w:r>
          </w:p>
        </w:tc>
        <w:tc>
          <w:tcPr>
            <w:tcW w:w="2841" w:type="dxa"/>
            <w:vAlign w:val="center"/>
          </w:tcPr>
          <w:p w14:paraId="56122384">
            <w:pPr>
              <w:rPr>
                <w:rFonts w:ascii="宋体" w:hAnsi="宋体" w:eastAsia="宋体"/>
                <w:sz w:val="24"/>
              </w:rPr>
            </w:pPr>
            <w:r>
              <w:rPr>
                <w:rFonts w:hint="eastAsia" w:ascii="宋体" w:hAnsi="宋体" w:eastAsia="宋体"/>
                <w:sz w:val="24"/>
              </w:rPr>
              <w:t>是</w:t>
            </w:r>
          </w:p>
        </w:tc>
      </w:tr>
    </w:tbl>
    <w:p w14:paraId="0C0ED7D5"/>
    <w:p w14:paraId="2D1BA204">
      <w:pPr>
        <w:pStyle w:val="2"/>
        <w:rPr>
          <w:rFonts w:hint="eastAsia" w:ascii="宋体" w:hAnsi="宋体" w:eastAsia="宋体"/>
          <w:sz w:val="24"/>
        </w:rPr>
      </w:pPr>
      <w:r>
        <w:rPr>
          <w:rFonts w:hint="eastAsia" w:ascii="宋体" w:hAnsi="宋体" w:eastAsia="宋体"/>
          <w:sz w:val="24"/>
        </w:rPr>
        <w:t>2、日常申购、赎回、转换业务的办理时间</w:t>
      </w:r>
    </w:p>
    <w:p w14:paraId="6600D70B">
      <w:pPr>
        <w:pStyle w:val="5"/>
        <w:spacing w:before="0" w:beforeAutospacing="0" w:after="0" w:afterAutospacing="0" w:line="360" w:lineRule="auto"/>
        <w:ind w:firstLine="420"/>
      </w:pPr>
      <w:r>
        <w:rPr>
          <w:rFonts w:hint="eastAsia"/>
        </w:rPr>
        <w:t xml:space="preserve">（1）开放日及开放时间 </w:t>
      </w:r>
    </w:p>
    <w:p w14:paraId="477F27A3">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转换，具体办理时间为上海证券交易所、深圳证券交易所的正常交易日的交易时间，但基金管理人根据法律法规、中国证监会的要求或本基金合同的规定公告暂停申购、赎回、转换时除外。在封闭期内，本基金不办理申购、赎回、转换业务。 </w:t>
      </w:r>
    </w:p>
    <w:p w14:paraId="438FBFF7">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48CA8F28">
      <w:pPr>
        <w:pStyle w:val="5"/>
        <w:spacing w:before="0" w:beforeAutospacing="0" w:after="0" w:afterAutospacing="0" w:line="360" w:lineRule="auto"/>
        <w:ind w:firstLine="420"/>
        <w:rPr>
          <w:rFonts w:hint="eastAsia"/>
        </w:rPr>
      </w:pPr>
      <w:r>
        <w:rPr>
          <w:rFonts w:hint="eastAsia"/>
        </w:rPr>
        <w:t xml:space="preserve">（2）开放期及业务办理时间 </w:t>
      </w:r>
    </w:p>
    <w:p w14:paraId="79469D22">
      <w:pPr>
        <w:pStyle w:val="5"/>
        <w:spacing w:before="0" w:beforeAutospacing="0" w:after="0" w:afterAutospacing="0" w:line="360" w:lineRule="auto"/>
        <w:ind w:firstLine="420"/>
        <w:rPr>
          <w:rFonts w:hint="eastAsia"/>
        </w:rPr>
      </w:pPr>
      <w:r>
        <w:rPr>
          <w:rFonts w:hint="eastAsia"/>
        </w:rPr>
        <w:t xml:space="preserve">除法律法规或基金合同另有约定外，本基金自基金合同生效日起（包括该日）或每个封闭期结束之日后第一个工作日起（含该日）1至20个工作日，具体期间由基金管理人在封闭期结束前公告说明，在开放期内，基金管理人有权延长开放期时间并公告，但开放期最长不可超过20个工作日。 </w:t>
      </w:r>
    </w:p>
    <w:p w14:paraId="2437FA8C">
      <w:pPr>
        <w:pStyle w:val="5"/>
        <w:spacing w:before="0" w:beforeAutospacing="0" w:after="0" w:afterAutospacing="0" w:line="360" w:lineRule="auto"/>
        <w:ind w:firstLine="420"/>
        <w:rPr>
          <w:rFonts w:hint="eastAsia"/>
        </w:rPr>
      </w:pPr>
      <w:r>
        <w:rPr>
          <w:rFonts w:hint="eastAsia"/>
        </w:rPr>
        <w:t xml:space="preserve">本基金当前封闭期为自2026年4月17日至2026年10月18日止。本基金本次办理申购、赎回、转换业务的开放期为2026年10月19日至2026年11月13日，共20个工作日。2026年11月14日（含该日）起6个月期间，本基金将进入下一个封闭期，封闭期内本基金不办理申购、赎回、转换业务。 </w:t>
      </w:r>
    </w:p>
    <w:p w14:paraId="72F5D8AF">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转换业务的，基金管理人有权合理调整申购、赎回、转换业务的办理期间并予以公告，在不可抗力或其他情形影响因素消除之日下一个工作日起，继续计算该开放期时间。 </w:t>
      </w:r>
    </w:p>
    <w:p w14:paraId="568246B4">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转换。在开放期内，投资人在基金合同约定之外的日期和时间提出申购、赎回、转换申请且登记机构确认接受的，其基金份额申购、赎回、转换价格为下一开放日基金份额申购、赎回、转换的价格；但若投资人在开放期最后一日业务办理时间结束之后提出申购、赎回、转换申请的，视为无效申请。 </w:t>
      </w:r>
    </w:p>
    <w:p w14:paraId="75F0903F">
      <w:pPr>
        <w:pStyle w:val="2"/>
        <w:rPr>
          <w:rFonts w:ascii="宋体" w:hAnsi="宋体" w:eastAsia="宋体"/>
          <w:sz w:val="24"/>
        </w:rPr>
      </w:pPr>
      <w:r>
        <w:rPr>
          <w:rFonts w:ascii="宋体" w:hAnsi="宋体" w:eastAsia="宋体"/>
          <w:sz w:val="24"/>
        </w:rPr>
        <w:t>3、日常申购业务</w:t>
      </w:r>
    </w:p>
    <w:p w14:paraId="0C5DC329">
      <w:pPr>
        <w:pStyle w:val="3"/>
        <w:rPr>
          <w:rFonts w:hint="eastAsia" w:ascii="宋体" w:hAnsi="宋体" w:eastAsia="宋体"/>
          <w:sz w:val="24"/>
        </w:rPr>
      </w:pPr>
      <w:r>
        <w:rPr>
          <w:rFonts w:hint="eastAsia" w:ascii="宋体" w:hAnsi="宋体" w:eastAsia="宋体"/>
          <w:sz w:val="24"/>
        </w:rPr>
        <w:t>3.1申购金额限制</w:t>
      </w:r>
    </w:p>
    <w:p w14:paraId="6CDF0FCE">
      <w:pPr>
        <w:pStyle w:val="5"/>
        <w:spacing w:before="0" w:beforeAutospacing="0" w:after="0" w:afterAutospacing="0" w:line="360" w:lineRule="auto"/>
        <w:ind w:firstLine="420"/>
        <w:rPr>
          <w:rFonts w:hint="eastAsia"/>
        </w:rPr>
      </w:pPr>
      <w:r>
        <w:rPr>
          <w:rFonts w:hint="eastAsia"/>
        </w:rPr>
        <w:t xml:space="preserve">首次购买基金份额的最低金额为1.00元（含申购费），追加购买最低金额为1.00元（含申购费）；详情请见当地销售机构公告。 </w:t>
      </w:r>
    </w:p>
    <w:p w14:paraId="4BF4D61B">
      <w:pPr>
        <w:pStyle w:val="3"/>
        <w:rPr>
          <w:rFonts w:ascii="宋体" w:hAnsi="宋体" w:eastAsia="宋体"/>
          <w:sz w:val="24"/>
        </w:rPr>
      </w:pPr>
      <w:r>
        <w:rPr>
          <w:rFonts w:ascii="宋体" w:hAnsi="宋体" w:eastAsia="宋体"/>
          <w:sz w:val="24"/>
        </w:rPr>
        <w:t>3.2申购费率</w:t>
      </w:r>
    </w:p>
    <w:p w14:paraId="4B2D28A1">
      <w:pPr>
        <w:pStyle w:val="5"/>
        <w:spacing w:before="0" w:beforeAutospacing="0" w:after="0" w:afterAutospacing="0" w:line="360" w:lineRule="auto"/>
        <w:ind w:firstLine="420"/>
        <w:rPr>
          <w:rFonts w:hint="eastAsia"/>
        </w:rPr>
      </w:pPr>
      <w:r>
        <w:rPr>
          <w:rFonts w:hint="eastAsia"/>
        </w:rPr>
        <w:t xml:space="preserve">本基金A类基金份额在申购时收取基金申购费用；C类基金份额不收取申购费用。本基金申购费用用于本基金的市场推广、销售、登记等募集期间发生的各项费用，不列入基金财产。本基金在申购时收取申购费用，并对通过直销中心申购本基金的养老金客户与除此之外的其他投资者实施差别的申购费率。 </w:t>
      </w:r>
    </w:p>
    <w:p w14:paraId="20CF8814">
      <w:pPr>
        <w:pStyle w:val="5"/>
        <w:spacing w:before="0" w:beforeAutospacing="0" w:after="0" w:afterAutospacing="0" w:line="360" w:lineRule="auto"/>
        <w:ind w:firstLine="420"/>
        <w:rPr>
          <w:rFonts w:hint="eastAsia"/>
        </w:rPr>
      </w:pPr>
      <w:r>
        <w:rPr>
          <w:rFonts w:hint="eastAsia"/>
        </w:rPr>
        <w:t xml:space="preserve">1）对于通过基金管理人的直销中心申购本基金的养老金客户，各类基金份额的申购费率如下表所示： </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6"/>
        <w:gridCol w:w="2976"/>
        <w:gridCol w:w="2976"/>
      </w:tblGrid>
      <w:tr w14:paraId="4F5A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31B62496">
            <w:pPr>
              <w:pStyle w:val="5"/>
              <w:spacing w:before="0" w:beforeAutospacing="0" w:after="0" w:afterAutospacing="0" w:line="360" w:lineRule="auto"/>
              <w:ind w:firstLine="420"/>
              <w:rPr>
                <w:rFonts w:hint="eastAsia"/>
              </w:rPr>
            </w:pPr>
            <w:r>
              <w:rPr>
                <w:rFonts w:hint="eastAsia"/>
              </w:rPr>
              <w:t xml:space="preserve">购买金额（M） </w:t>
            </w:r>
          </w:p>
        </w:tc>
        <w:tc>
          <w:tcPr>
            <w:tcW w:w="0" w:type="auto"/>
            <w:shd w:val="clear" w:color="auto" w:fill="auto"/>
          </w:tcPr>
          <w:p w14:paraId="28AC8460">
            <w:pPr>
              <w:pStyle w:val="5"/>
              <w:spacing w:before="0" w:beforeAutospacing="0" w:after="0" w:afterAutospacing="0" w:line="360" w:lineRule="auto"/>
              <w:ind w:firstLine="420"/>
              <w:rPr>
                <w:rFonts w:hint="eastAsia"/>
              </w:rPr>
            </w:pPr>
            <w:r>
              <w:rPr>
                <w:rFonts w:hint="eastAsia"/>
              </w:rPr>
              <w:t xml:space="preserve">A类基金份额申购费率 </w:t>
            </w:r>
          </w:p>
        </w:tc>
        <w:tc>
          <w:tcPr>
            <w:tcW w:w="0" w:type="auto"/>
            <w:shd w:val="clear" w:color="auto" w:fill="auto"/>
          </w:tcPr>
          <w:p w14:paraId="145158F4">
            <w:pPr>
              <w:pStyle w:val="5"/>
              <w:spacing w:before="0" w:beforeAutospacing="0" w:after="0" w:afterAutospacing="0" w:line="360" w:lineRule="auto"/>
              <w:ind w:firstLine="420"/>
              <w:rPr>
                <w:rFonts w:hint="eastAsia"/>
              </w:rPr>
            </w:pPr>
            <w:r>
              <w:rPr>
                <w:rFonts w:hint="eastAsia"/>
              </w:rPr>
              <w:t xml:space="preserve">C类基金份额申购费率 </w:t>
            </w:r>
          </w:p>
        </w:tc>
      </w:tr>
      <w:tr w14:paraId="50C0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787C7079">
            <w:pPr>
              <w:pStyle w:val="5"/>
              <w:spacing w:before="0" w:beforeAutospacing="0" w:after="0" w:afterAutospacing="0" w:line="360" w:lineRule="auto"/>
              <w:ind w:firstLine="420"/>
              <w:rPr>
                <w:rFonts w:hint="eastAsia"/>
              </w:rPr>
            </w:pPr>
            <w:r>
              <w:rPr>
                <w:rFonts w:hint="eastAsia"/>
              </w:rPr>
              <w:t xml:space="preserve">M＜100万 </w:t>
            </w:r>
          </w:p>
        </w:tc>
        <w:tc>
          <w:tcPr>
            <w:tcW w:w="0" w:type="auto"/>
            <w:shd w:val="clear" w:color="auto" w:fill="auto"/>
          </w:tcPr>
          <w:p w14:paraId="5E1498E3">
            <w:pPr>
              <w:pStyle w:val="5"/>
              <w:spacing w:before="0" w:beforeAutospacing="0" w:after="0" w:afterAutospacing="0" w:line="360" w:lineRule="auto"/>
              <w:ind w:firstLine="420"/>
              <w:rPr>
                <w:rFonts w:hint="eastAsia"/>
              </w:rPr>
            </w:pPr>
            <w:r>
              <w:rPr>
                <w:rFonts w:hint="eastAsia"/>
              </w:rPr>
              <w:t xml:space="preserve">0.06% </w:t>
            </w:r>
          </w:p>
        </w:tc>
        <w:tc>
          <w:tcPr>
            <w:tcW w:w="0" w:type="auto"/>
            <w:vMerge w:val="restart"/>
            <w:shd w:val="clear" w:color="auto" w:fill="auto"/>
          </w:tcPr>
          <w:p w14:paraId="0258B5BE">
            <w:pPr>
              <w:pStyle w:val="5"/>
              <w:spacing w:before="0" w:beforeAutospacing="0" w:after="0" w:afterAutospacing="0" w:line="360" w:lineRule="auto"/>
              <w:ind w:firstLine="420"/>
              <w:rPr>
                <w:rFonts w:hint="eastAsia"/>
              </w:rPr>
            </w:pPr>
            <w:r>
              <w:rPr>
                <w:rFonts w:hint="eastAsia"/>
              </w:rPr>
              <w:t xml:space="preserve">0.00% </w:t>
            </w:r>
          </w:p>
        </w:tc>
      </w:tr>
      <w:tr w14:paraId="2A7A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8F9FFAD">
            <w:pPr>
              <w:pStyle w:val="5"/>
              <w:spacing w:before="0" w:beforeAutospacing="0" w:after="0" w:afterAutospacing="0" w:line="360" w:lineRule="auto"/>
              <w:ind w:firstLine="420"/>
              <w:rPr>
                <w:rFonts w:hint="eastAsia"/>
              </w:rPr>
            </w:pPr>
            <w:r>
              <w:rPr>
                <w:rFonts w:hint="eastAsia"/>
              </w:rPr>
              <w:t xml:space="preserve">100万≤M＜300万 </w:t>
            </w:r>
          </w:p>
        </w:tc>
        <w:tc>
          <w:tcPr>
            <w:tcW w:w="0" w:type="auto"/>
            <w:shd w:val="clear" w:color="auto" w:fill="auto"/>
          </w:tcPr>
          <w:p w14:paraId="7CB03A17">
            <w:pPr>
              <w:pStyle w:val="5"/>
              <w:spacing w:before="0" w:beforeAutospacing="0" w:after="0" w:afterAutospacing="0" w:line="360" w:lineRule="auto"/>
              <w:ind w:firstLine="420"/>
              <w:rPr>
                <w:rFonts w:hint="eastAsia"/>
              </w:rPr>
            </w:pPr>
            <w:r>
              <w:rPr>
                <w:rFonts w:hint="eastAsia"/>
              </w:rPr>
              <w:t xml:space="preserve">0.03% </w:t>
            </w:r>
          </w:p>
        </w:tc>
        <w:tc>
          <w:tcPr>
            <w:tcW w:w="0" w:type="auto"/>
            <w:vMerge w:val="continue"/>
            <w:shd w:val="clear" w:color="auto" w:fill="auto"/>
          </w:tcPr>
          <w:p w14:paraId="15884E72">
            <w:pPr>
              <w:pStyle w:val="5"/>
              <w:spacing w:before="0" w:beforeAutospacing="0" w:after="0" w:afterAutospacing="0" w:line="360" w:lineRule="auto"/>
              <w:ind w:firstLine="420"/>
              <w:rPr>
                <w:rFonts w:hint="eastAsia"/>
              </w:rPr>
            </w:pPr>
          </w:p>
        </w:tc>
      </w:tr>
      <w:tr w14:paraId="60343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01B4A0F7">
            <w:pPr>
              <w:pStyle w:val="5"/>
              <w:spacing w:before="0" w:beforeAutospacing="0" w:after="0" w:afterAutospacing="0" w:line="360" w:lineRule="auto"/>
              <w:ind w:firstLine="420"/>
              <w:rPr>
                <w:rFonts w:hint="eastAsia"/>
              </w:rPr>
            </w:pPr>
            <w:r>
              <w:rPr>
                <w:rFonts w:hint="eastAsia"/>
              </w:rPr>
              <w:t xml:space="preserve">300万≤M＜500万 </w:t>
            </w:r>
          </w:p>
        </w:tc>
        <w:tc>
          <w:tcPr>
            <w:tcW w:w="0" w:type="auto"/>
            <w:shd w:val="clear" w:color="auto" w:fill="auto"/>
          </w:tcPr>
          <w:p w14:paraId="1D984A95">
            <w:pPr>
              <w:pStyle w:val="5"/>
              <w:spacing w:before="0" w:beforeAutospacing="0" w:after="0" w:afterAutospacing="0" w:line="360" w:lineRule="auto"/>
              <w:ind w:firstLine="420"/>
              <w:rPr>
                <w:rFonts w:hint="eastAsia"/>
              </w:rPr>
            </w:pPr>
            <w:r>
              <w:rPr>
                <w:rFonts w:hint="eastAsia"/>
              </w:rPr>
              <w:t xml:space="preserve">0.008% </w:t>
            </w:r>
          </w:p>
        </w:tc>
        <w:tc>
          <w:tcPr>
            <w:tcW w:w="0" w:type="auto"/>
            <w:vMerge w:val="continue"/>
            <w:shd w:val="clear" w:color="auto" w:fill="auto"/>
          </w:tcPr>
          <w:p w14:paraId="4656C949">
            <w:pPr>
              <w:pStyle w:val="5"/>
              <w:spacing w:before="0" w:beforeAutospacing="0" w:after="0" w:afterAutospacing="0" w:line="360" w:lineRule="auto"/>
              <w:ind w:firstLine="420"/>
              <w:rPr>
                <w:rFonts w:hint="eastAsia"/>
              </w:rPr>
            </w:pPr>
          </w:p>
        </w:tc>
      </w:tr>
      <w:tr w14:paraId="24A1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12D30F4E">
            <w:pPr>
              <w:pStyle w:val="5"/>
              <w:spacing w:before="0" w:beforeAutospacing="0" w:after="0" w:afterAutospacing="0" w:line="360" w:lineRule="auto"/>
              <w:ind w:firstLine="420"/>
              <w:rPr>
                <w:rFonts w:hint="eastAsia"/>
              </w:rPr>
            </w:pPr>
            <w:r>
              <w:rPr>
                <w:rFonts w:hint="eastAsia"/>
              </w:rPr>
              <w:t xml:space="preserve">M≥500万 </w:t>
            </w:r>
          </w:p>
        </w:tc>
        <w:tc>
          <w:tcPr>
            <w:tcW w:w="0" w:type="auto"/>
            <w:shd w:val="clear" w:color="auto" w:fill="auto"/>
          </w:tcPr>
          <w:p w14:paraId="3B190ED8">
            <w:pPr>
              <w:pStyle w:val="5"/>
              <w:spacing w:before="0" w:beforeAutospacing="0" w:after="0" w:afterAutospacing="0" w:line="360" w:lineRule="auto"/>
              <w:ind w:firstLine="420"/>
              <w:rPr>
                <w:rFonts w:hint="eastAsia"/>
              </w:rPr>
            </w:pPr>
            <w:r>
              <w:rPr>
                <w:rFonts w:hint="eastAsia"/>
              </w:rPr>
              <w:t xml:space="preserve">每笔100元 </w:t>
            </w:r>
          </w:p>
        </w:tc>
        <w:tc>
          <w:tcPr>
            <w:tcW w:w="0" w:type="auto"/>
            <w:vMerge w:val="continue"/>
            <w:shd w:val="clear" w:color="auto" w:fill="auto"/>
          </w:tcPr>
          <w:p w14:paraId="757E826E">
            <w:pPr>
              <w:pStyle w:val="5"/>
              <w:spacing w:before="0" w:beforeAutospacing="0" w:after="0" w:afterAutospacing="0" w:line="360" w:lineRule="auto"/>
              <w:ind w:firstLine="420"/>
              <w:rPr>
                <w:rFonts w:hint="eastAsia"/>
              </w:rPr>
            </w:pPr>
          </w:p>
        </w:tc>
      </w:tr>
    </w:tbl>
    <w:p w14:paraId="34F568C2">
      <w:pPr>
        <w:pStyle w:val="5"/>
        <w:spacing w:before="0" w:beforeAutospacing="0" w:after="0" w:afterAutospacing="0" w:line="360" w:lineRule="auto"/>
        <w:ind w:firstLine="420"/>
        <w:rPr>
          <w:rFonts w:hint="eastAsia"/>
        </w:rPr>
      </w:pPr>
      <w:r>
        <w:rPr>
          <w:rFonts w:hint="eastAsia"/>
        </w:rPr>
        <w:t xml:space="preserve">养老金客户指基本养老基金与依法成立的养老计划筹集的资金及其投资运营收益形成的补充养老基金，包括全国社会保障基金、可以投资基金的地方社会保障基金、企业年金单一计划以及集合计划。如将来出现经养老基金监管部门认可的新的养老基金类型，基金管理人可在招募说明书更新时或发布临时公告将其纳入养老金客户范围，并按规定向中国证监会备案。 </w:t>
      </w:r>
    </w:p>
    <w:p w14:paraId="09614833">
      <w:pPr>
        <w:pStyle w:val="5"/>
        <w:spacing w:before="0" w:beforeAutospacing="0" w:after="0" w:afterAutospacing="0" w:line="360" w:lineRule="auto"/>
        <w:ind w:firstLine="420"/>
        <w:rPr>
          <w:rFonts w:hint="eastAsia"/>
        </w:rPr>
      </w:pPr>
      <w:r>
        <w:rPr>
          <w:rFonts w:hint="eastAsia"/>
        </w:rPr>
        <w:t xml:space="preserve">2）除上述养老金客户外，本基金的其他投资者，各类基金份额的申购费率如下表所示： </w:t>
      </w:r>
    </w:p>
    <w:tbl>
      <w:tblPr>
        <w:tblStyle w:val="7"/>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4"/>
        <w:gridCol w:w="2994"/>
        <w:gridCol w:w="2965"/>
      </w:tblGrid>
      <w:tr w14:paraId="6005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04" w:type="dxa"/>
            <w:shd w:val="clear" w:color="auto" w:fill="auto"/>
          </w:tcPr>
          <w:p w14:paraId="2115667F">
            <w:pPr>
              <w:pStyle w:val="5"/>
              <w:spacing w:before="0" w:beforeAutospacing="0" w:after="0" w:afterAutospacing="0" w:line="360" w:lineRule="auto"/>
              <w:ind w:firstLine="420"/>
              <w:rPr>
                <w:rFonts w:hint="eastAsia"/>
              </w:rPr>
            </w:pPr>
            <w:r>
              <w:rPr>
                <w:rFonts w:hint="eastAsia"/>
              </w:rPr>
              <w:t>购买金额（M）</w:t>
            </w:r>
          </w:p>
        </w:tc>
        <w:tc>
          <w:tcPr>
            <w:tcW w:w="2994" w:type="dxa"/>
            <w:shd w:val="clear" w:color="auto" w:fill="auto"/>
          </w:tcPr>
          <w:p w14:paraId="43B2515F">
            <w:pPr>
              <w:pStyle w:val="5"/>
              <w:spacing w:before="0" w:beforeAutospacing="0" w:after="0" w:afterAutospacing="0" w:line="360" w:lineRule="auto"/>
              <w:ind w:firstLine="420"/>
              <w:rPr>
                <w:rFonts w:hint="eastAsia"/>
              </w:rPr>
            </w:pPr>
            <w:r>
              <w:rPr>
                <w:rFonts w:hint="eastAsia"/>
              </w:rPr>
              <w:t>A类基金份额申购费率</w:t>
            </w:r>
          </w:p>
        </w:tc>
        <w:tc>
          <w:tcPr>
            <w:tcW w:w="2965" w:type="dxa"/>
            <w:shd w:val="clear" w:color="auto" w:fill="auto"/>
          </w:tcPr>
          <w:p w14:paraId="7C4819BF">
            <w:pPr>
              <w:pStyle w:val="5"/>
              <w:spacing w:before="0" w:beforeAutospacing="0" w:after="0" w:afterAutospacing="0" w:line="360" w:lineRule="auto"/>
              <w:ind w:firstLine="420"/>
              <w:rPr>
                <w:rFonts w:hint="eastAsia"/>
              </w:rPr>
            </w:pPr>
            <w:r>
              <w:rPr>
                <w:rFonts w:hint="eastAsia"/>
              </w:rPr>
              <w:t>C类基金份额申购费率</w:t>
            </w:r>
          </w:p>
        </w:tc>
      </w:tr>
      <w:tr w14:paraId="01FA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04" w:type="dxa"/>
            <w:shd w:val="clear" w:color="auto" w:fill="auto"/>
          </w:tcPr>
          <w:p w14:paraId="22F3E641">
            <w:pPr>
              <w:pStyle w:val="5"/>
              <w:spacing w:before="0" w:beforeAutospacing="0" w:after="0" w:afterAutospacing="0" w:line="360" w:lineRule="auto"/>
              <w:ind w:firstLine="420"/>
              <w:rPr>
                <w:rFonts w:hint="eastAsia"/>
              </w:rPr>
            </w:pPr>
            <w:r>
              <w:rPr>
                <w:rFonts w:hint="eastAsia"/>
              </w:rPr>
              <w:t xml:space="preserve">M＜100万元 </w:t>
            </w:r>
          </w:p>
        </w:tc>
        <w:tc>
          <w:tcPr>
            <w:tcW w:w="2994" w:type="dxa"/>
            <w:shd w:val="clear" w:color="auto" w:fill="auto"/>
          </w:tcPr>
          <w:p w14:paraId="641BB98B">
            <w:pPr>
              <w:pStyle w:val="5"/>
              <w:spacing w:before="0" w:beforeAutospacing="0" w:after="0" w:afterAutospacing="0" w:line="360" w:lineRule="auto"/>
              <w:ind w:firstLine="420"/>
              <w:rPr>
                <w:rFonts w:hint="eastAsia"/>
              </w:rPr>
            </w:pPr>
            <w:r>
              <w:rPr>
                <w:rFonts w:hint="eastAsia"/>
              </w:rPr>
              <w:t xml:space="preserve">0.60% </w:t>
            </w:r>
          </w:p>
        </w:tc>
        <w:tc>
          <w:tcPr>
            <w:tcW w:w="2965" w:type="dxa"/>
            <w:vMerge w:val="restart"/>
            <w:shd w:val="clear" w:color="auto" w:fill="auto"/>
          </w:tcPr>
          <w:p w14:paraId="5ED0630A">
            <w:pPr>
              <w:pStyle w:val="5"/>
              <w:spacing w:before="0" w:beforeAutospacing="0" w:after="0" w:afterAutospacing="0" w:line="360" w:lineRule="auto"/>
              <w:ind w:firstLine="420"/>
              <w:rPr>
                <w:rFonts w:hint="eastAsia"/>
              </w:rPr>
            </w:pPr>
            <w:r>
              <w:rPr>
                <w:rFonts w:hint="eastAsia"/>
              </w:rPr>
              <w:t xml:space="preserve">0.00% </w:t>
            </w:r>
          </w:p>
        </w:tc>
      </w:tr>
      <w:tr w14:paraId="75794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04" w:type="dxa"/>
            <w:shd w:val="clear" w:color="auto" w:fill="auto"/>
          </w:tcPr>
          <w:p w14:paraId="2717B749">
            <w:pPr>
              <w:pStyle w:val="5"/>
              <w:spacing w:before="0" w:beforeAutospacing="0" w:after="0" w:afterAutospacing="0" w:line="360" w:lineRule="auto"/>
              <w:ind w:firstLine="420"/>
              <w:rPr>
                <w:rFonts w:hint="eastAsia"/>
              </w:rPr>
            </w:pPr>
            <w:r>
              <w:rPr>
                <w:rFonts w:hint="eastAsia"/>
              </w:rPr>
              <w:t>100万元≤M＜300万元</w:t>
            </w:r>
          </w:p>
        </w:tc>
        <w:tc>
          <w:tcPr>
            <w:tcW w:w="2994" w:type="dxa"/>
            <w:shd w:val="clear" w:color="auto" w:fill="auto"/>
          </w:tcPr>
          <w:p w14:paraId="4796526A">
            <w:pPr>
              <w:pStyle w:val="5"/>
              <w:spacing w:before="0" w:beforeAutospacing="0" w:after="0" w:afterAutospacing="0" w:line="360" w:lineRule="auto"/>
              <w:ind w:firstLine="420"/>
              <w:rPr>
                <w:rFonts w:hint="eastAsia"/>
              </w:rPr>
            </w:pPr>
            <w:r>
              <w:rPr>
                <w:rFonts w:hint="eastAsia"/>
              </w:rPr>
              <w:t xml:space="preserve">0.30% </w:t>
            </w:r>
          </w:p>
        </w:tc>
        <w:tc>
          <w:tcPr>
            <w:tcW w:w="2965" w:type="dxa"/>
            <w:vMerge w:val="continue"/>
            <w:shd w:val="clear" w:color="auto" w:fill="auto"/>
          </w:tcPr>
          <w:p w14:paraId="123DDDA4">
            <w:pPr>
              <w:pStyle w:val="5"/>
              <w:spacing w:before="0" w:beforeAutospacing="0" w:after="0" w:afterAutospacing="0" w:line="360" w:lineRule="auto"/>
              <w:ind w:firstLine="420"/>
              <w:rPr>
                <w:rFonts w:hint="eastAsia"/>
              </w:rPr>
            </w:pPr>
          </w:p>
        </w:tc>
      </w:tr>
      <w:tr w14:paraId="168B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04" w:type="dxa"/>
            <w:shd w:val="clear" w:color="auto" w:fill="auto"/>
          </w:tcPr>
          <w:p w14:paraId="081F2059">
            <w:pPr>
              <w:pStyle w:val="5"/>
              <w:spacing w:before="0" w:beforeAutospacing="0" w:after="0" w:afterAutospacing="0" w:line="360" w:lineRule="auto"/>
              <w:ind w:firstLine="420"/>
              <w:rPr>
                <w:rFonts w:hint="eastAsia"/>
              </w:rPr>
            </w:pPr>
            <w:r>
              <w:rPr>
                <w:rFonts w:hint="eastAsia"/>
              </w:rPr>
              <w:t xml:space="preserve">300万元≤M＜500万元 </w:t>
            </w:r>
          </w:p>
        </w:tc>
        <w:tc>
          <w:tcPr>
            <w:tcW w:w="2994" w:type="dxa"/>
            <w:shd w:val="clear" w:color="auto" w:fill="auto"/>
          </w:tcPr>
          <w:p w14:paraId="4B373368">
            <w:pPr>
              <w:pStyle w:val="5"/>
              <w:spacing w:before="0" w:beforeAutospacing="0" w:after="0" w:afterAutospacing="0" w:line="360" w:lineRule="auto"/>
              <w:ind w:firstLine="420"/>
              <w:rPr>
                <w:rFonts w:hint="eastAsia"/>
              </w:rPr>
            </w:pPr>
            <w:r>
              <w:rPr>
                <w:rFonts w:hint="eastAsia"/>
              </w:rPr>
              <w:t xml:space="preserve">0.08% </w:t>
            </w:r>
          </w:p>
        </w:tc>
        <w:tc>
          <w:tcPr>
            <w:tcW w:w="2965" w:type="dxa"/>
            <w:vMerge w:val="continue"/>
            <w:shd w:val="clear" w:color="auto" w:fill="auto"/>
          </w:tcPr>
          <w:p w14:paraId="07A756E0">
            <w:pPr>
              <w:pStyle w:val="5"/>
              <w:spacing w:before="0" w:beforeAutospacing="0" w:after="0" w:afterAutospacing="0" w:line="360" w:lineRule="auto"/>
              <w:ind w:firstLine="420"/>
              <w:rPr>
                <w:rFonts w:hint="eastAsia"/>
              </w:rPr>
            </w:pPr>
          </w:p>
        </w:tc>
      </w:tr>
      <w:tr w14:paraId="02A9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04" w:type="dxa"/>
            <w:shd w:val="clear" w:color="auto" w:fill="auto"/>
          </w:tcPr>
          <w:p w14:paraId="05EBD0BA">
            <w:pPr>
              <w:pStyle w:val="5"/>
              <w:spacing w:before="0" w:beforeAutospacing="0" w:after="0" w:afterAutospacing="0" w:line="360" w:lineRule="auto"/>
              <w:ind w:firstLine="420"/>
              <w:rPr>
                <w:rFonts w:hint="eastAsia"/>
              </w:rPr>
            </w:pPr>
            <w:r>
              <w:rPr>
                <w:rFonts w:hint="eastAsia"/>
              </w:rPr>
              <w:t xml:space="preserve">M≥500万元 </w:t>
            </w:r>
          </w:p>
        </w:tc>
        <w:tc>
          <w:tcPr>
            <w:tcW w:w="2994" w:type="dxa"/>
            <w:shd w:val="clear" w:color="auto" w:fill="auto"/>
          </w:tcPr>
          <w:p w14:paraId="2E0E9755">
            <w:pPr>
              <w:pStyle w:val="5"/>
              <w:spacing w:before="0" w:beforeAutospacing="0" w:after="0" w:afterAutospacing="0" w:line="360" w:lineRule="auto"/>
              <w:ind w:firstLine="420"/>
              <w:rPr>
                <w:rFonts w:hint="eastAsia"/>
              </w:rPr>
            </w:pPr>
            <w:r>
              <w:rPr>
                <w:rFonts w:hint="eastAsia"/>
              </w:rPr>
              <w:t xml:space="preserve">1000元/笔 </w:t>
            </w:r>
          </w:p>
        </w:tc>
        <w:tc>
          <w:tcPr>
            <w:tcW w:w="2965" w:type="dxa"/>
            <w:vMerge w:val="continue"/>
            <w:shd w:val="clear" w:color="auto" w:fill="auto"/>
          </w:tcPr>
          <w:p w14:paraId="1BD113D5">
            <w:pPr>
              <w:pStyle w:val="5"/>
              <w:spacing w:before="0" w:beforeAutospacing="0" w:after="0" w:afterAutospacing="0" w:line="360" w:lineRule="auto"/>
              <w:ind w:firstLine="420"/>
              <w:rPr>
                <w:rFonts w:hint="eastAsia"/>
              </w:rPr>
            </w:pPr>
          </w:p>
        </w:tc>
      </w:tr>
    </w:tbl>
    <w:p w14:paraId="76DF9B0F">
      <w:pPr>
        <w:pStyle w:val="3"/>
        <w:rPr>
          <w:rFonts w:hint="eastAsia" w:ascii="宋体" w:hAnsi="宋体" w:eastAsia="宋体"/>
          <w:sz w:val="24"/>
        </w:rPr>
      </w:pPr>
      <w:r>
        <w:rPr>
          <w:rFonts w:hint="eastAsia" w:ascii="宋体" w:hAnsi="宋体" w:eastAsia="宋体"/>
          <w:sz w:val="24"/>
        </w:rPr>
        <w:t>3.3其他与申购相关的事项</w:t>
      </w:r>
    </w:p>
    <w:p w14:paraId="7D855814">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1E4CCD98">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5EA74F4F">
      <w:pPr>
        <w:pStyle w:val="2"/>
        <w:rPr>
          <w:rFonts w:ascii="宋体" w:hAnsi="宋体" w:eastAsia="宋体"/>
          <w:sz w:val="24"/>
        </w:rPr>
      </w:pPr>
      <w:r>
        <w:rPr>
          <w:rFonts w:ascii="宋体" w:hAnsi="宋体" w:eastAsia="宋体"/>
          <w:sz w:val="24"/>
        </w:rPr>
        <w:t>4、日常赎回业务</w:t>
      </w:r>
    </w:p>
    <w:p w14:paraId="1DA3F070">
      <w:pPr>
        <w:pStyle w:val="3"/>
        <w:rPr>
          <w:rFonts w:hint="eastAsia" w:ascii="宋体" w:hAnsi="宋体" w:eastAsia="宋体"/>
          <w:sz w:val="24"/>
        </w:rPr>
      </w:pPr>
      <w:r>
        <w:rPr>
          <w:rFonts w:hint="eastAsia" w:ascii="宋体" w:hAnsi="宋体" w:eastAsia="宋体"/>
          <w:sz w:val="24"/>
        </w:rPr>
        <w:t>4.1赎回份额限制</w:t>
      </w:r>
    </w:p>
    <w:p w14:paraId="3F90F73F">
      <w:pPr>
        <w:pStyle w:val="5"/>
        <w:spacing w:before="0" w:beforeAutospacing="0" w:after="0" w:afterAutospacing="0" w:line="360" w:lineRule="auto"/>
        <w:ind w:firstLine="420"/>
        <w:rPr>
          <w:rFonts w:hint="eastAsia"/>
        </w:rPr>
      </w:pPr>
      <w:r>
        <w:rPr>
          <w:rFonts w:hint="eastAsia"/>
        </w:rPr>
        <w:t>投资者通过销售机构赎回基金份额时，本基金单笔赎回申请不得低于1份，若投资者单个交易账户持有的基金份额余额不足1份，将不受此限制，但投资者在提交赎回申请时须全部赎回。</w:t>
      </w:r>
    </w:p>
    <w:p w14:paraId="4FD43009">
      <w:pPr>
        <w:pStyle w:val="3"/>
        <w:rPr>
          <w:rFonts w:ascii="宋体" w:hAnsi="宋体" w:eastAsia="宋体"/>
          <w:sz w:val="24"/>
        </w:rPr>
      </w:pPr>
      <w:r>
        <w:rPr>
          <w:rFonts w:ascii="宋体" w:hAnsi="宋体" w:eastAsia="宋体"/>
          <w:sz w:val="24"/>
        </w:rPr>
        <w:t>4.2赎回费率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38"/>
        <w:gridCol w:w="1980"/>
        <w:gridCol w:w="2032"/>
      </w:tblGrid>
      <w:tr w14:paraId="53DC2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8" w:type="dxa"/>
            <w:shd w:val="clear" w:color="auto" w:fill="auto"/>
          </w:tcPr>
          <w:p w14:paraId="5420AF52">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基金份额持有时间（Y）</w:t>
            </w:r>
          </w:p>
        </w:tc>
        <w:tc>
          <w:tcPr>
            <w:tcW w:w="1980" w:type="dxa"/>
            <w:shd w:val="clear" w:color="auto" w:fill="auto"/>
          </w:tcPr>
          <w:p w14:paraId="1FEC7272">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A类基金份额 </w:t>
            </w:r>
          </w:p>
        </w:tc>
        <w:tc>
          <w:tcPr>
            <w:tcW w:w="2032" w:type="dxa"/>
            <w:shd w:val="clear" w:color="auto" w:fill="auto"/>
          </w:tcPr>
          <w:p w14:paraId="1347D25F">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C类基金份额</w:t>
            </w:r>
          </w:p>
        </w:tc>
      </w:tr>
      <w:tr w14:paraId="6C76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8" w:type="dxa"/>
            <w:shd w:val="clear" w:color="auto" w:fill="auto"/>
          </w:tcPr>
          <w:p w14:paraId="2E65D4D1">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Y＜7日  </w:t>
            </w:r>
          </w:p>
        </w:tc>
        <w:tc>
          <w:tcPr>
            <w:tcW w:w="1980" w:type="dxa"/>
            <w:shd w:val="clear" w:color="auto" w:fill="auto"/>
          </w:tcPr>
          <w:p w14:paraId="758D7397">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1.50%   </w:t>
            </w:r>
          </w:p>
        </w:tc>
        <w:tc>
          <w:tcPr>
            <w:tcW w:w="2032" w:type="dxa"/>
            <w:shd w:val="clear" w:color="auto" w:fill="auto"/>
          </w:tcPr>
          <w:p w14:paraId="1C0A921E">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1.50%   </w:t>
            </w:r>
          </w:p>
        </w:tc>
      </w:tr>
      <w:tr w14:paraId="6484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8" w:type="dxa"/>
            <w:shd w:val="clear" w:color="auto" w:fill="auto"/>
          </w:tcPr>
          <w:p w14:paraId="790B0324">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Y≥7日  </w:t>
            </w:r>
          </w:p>
        </w:tc>
        <w:tc>
          <w:tcPr>
            <w:tcW w:w="1980" w:type="dxa"/>
            <w:shd w:val="clear" w:color="auto" w:fill="auto"/>
          </w:tcPr>
          <w:p w14:paraId="086C063E">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0.00%   </w:t>
            </w:r>
          </w:p>
        </w:tc>
        <w:tc>
          <w:tcPr>
            <w:tcW w:w="2032" w:type="dxa"/>
            <w:shd w:val="clear" w:color="auto" w:fill="auto"/>
          </w:tcPr>
          <w:p w14:paraId="0BFCD123">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0.00%   </w:t>
            </w:r>
          </w:p>
        </w:tc>
      </w:tr>
    </w:tbl>
    <w:p w14:paraId="68AD5B1C">
      <w:pPr>
        <w:rPr>
          <w:rFonts w:hint="eastAsia" w:ascii="宋体" w:hAnsi="宋体" w:eastAsia="宋体" w:cs="宋体"/>
          <w:kern w:val="0"/>
          <w:sz w:val="24"/>
          <w:szCs w:val="24"/>
          <w:lang w:val="en-US" w:eastAsia="zh-CN" w:bidi="ar-SA"/>
        </w:rPr>
      </w:pPr>
    </w:p>
    <w:p w14:paraId="2FD099D9">
      <w:pPr>
        <w:pStyle w:val="5"/>
        <w:spacing w:before="0" w:beforeAutospacing="0" w:after="0" w:afterAutospacing="0" w:line="360" w:lineRule="auto"/>
        <w:ind w:firstLine="42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赎回费用由赎回基金份额的基金份额持有人承担。本基金的赎回费用在投资者赎回本基金份额时收取，扣除用于市场推广、登记费和其他手续费后的余额归基金财产，向持续持有期限少于7日的投资者收取的赎回费全额计入基金财产。   </w:t>
      </w:r>
    </w:p>
    <w:p w14:paraId="7B04CC33">
      <w:pPr>
        <w:pStyle w:val="5"/>
        <w:spacing w:before="0" w:beforeAutospacing="0" w:after="0" w:afterAutospacing="0" w:line="360" w:lineRule="auto"/>
        <w:ind w:firstLine="42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赎回费持有期：对于每份申购份额</w:t>
      </w:r>
      <w:bookmarkStart w:id="0" w:name="_GoBack"/>
      <w:bookmarkEnd w:id="0"/>
      <w:r>
        <w:rPr>
          <w:rFonts w:hint="eastAsia" w:ascii="宋体" w:hAnsi="宋体" w:eastAsia="宋体" w:cs="宋体"/>
          <w:kern w:val="0"/>
          <w:sz w:val="24"/>
          <w:szCs w:val="24"/>
          <w:lang w:val="en-US" w:eastAsia="zh-CN" w:bidi="ar-SA"/>
        </w:rPr>
        <w:t xml:space="preserve">，持有期指自该基金份额申购确认日至赎回确认日（不含该日）。 </w:t>
      </w:r>
    </w:p>
    <w:p w14:paraId="51E3B90C">
      <w:pPr>
        <w:pStyle w:val="3"/>
        <w:rPr>
          <w:rFonts w:hint="eastAsia" w:ascii="宋体" w:hAnsi="宋体" w:eastAsia="宋体"/>
          <w:sz w:val="24"/>
        </w:rPr>
      </w:pPr>
      <w:r>
        <w:rPr>
          <w:rFonts w:hint="eastAsia" w:ascii="宋体" w:hAnsi="宋体" w:eastAsia="宋体"/>
          <w:sz w:val="24"/>
        </w:rPr>
        <w:t>4.3其他与赎回相关的事项</w:t>
      </w:r>
    </w:p>
    <w:p w14:paraId="565D12A6">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3E63D870">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5E3F4B64">
      <w:pPr>
        <w:pStyle w:val="2"/>
        <w:rPr>
          <w:rFonts w:ascii="宋体" w:hAnsi="宋体" w:eastAsia="宋体"/>
          <w:sz w:val="24"/>
        </w:rPr>
      </w:pPr>
      <w:r>
        <w:rPr>
          <w:rFonts w:ascii="宋体" w:hAnsi="宋体" w:eastAsia="宋体"/>
          <w:sz w:val="24"/>
        </w:rPr>
        <w:t>5、日常转换业务</w:t>
      </w:r>
    </w:p>
    <w:p w14:paraId="7554CFB2">
      <w:pPr>
        <w:pStyle w:val="3"/>
        <w:rPr>
          <w:rFonts w:hint="eastAsia" w:ascii="宋体" w:hAnsi="宋体" w:eastAsia="宋体"/>
          <w:sz w:val="24"/>
        </w:rPr>
      </w:pPr>
      <w:r>
        <w:rPr>
          <w:rFonts w:hint="eastAsia" w:ascii="宋体" w:hAnsi="宋体" w:eastAsia="宋体"/>
          <w:sz w:val="24"/>
        </w:rPr>
        <w:t>5.1转换费率</w:t>
      </w:r>
    </w:p>
    <w:p w14:paraId="24E7E978">
      <w:pPr>
        <w:pStyle w:val="5"/>
        <w:spacing w:before="0" w:beforeAutospacing="0" w:after="0" w:afterAutospacing="0" w:line="360" w:lineRule="auto"/>
        <w:ind w:firstLine="420"/>
        <w:rPr>
          <w:rFonts w:hint="eastAsia"/>
        </w:rPr>
      </w:pPr>
      <w:r>
        <w:rPr>
          <w:rFonts w:hint="eastAsia"/>
        </w:rPr>
        <w:t xml:space="preserve">基金转换费用由转出基金赎回费和申购费补差两部分构成，其中：申购费补差具体收取情况，视每次转换时的两只基金的申购费率的差异情况而定。基金转换费用由基金持有人承担。 </w:t>
      </w:r>
    </w:p>
    <w:p w14:paraId="50AA3A0E">
      <w:pPr>
        <w:pStyle w:val="3"/>
        <w:rPr>
          <w:rFonts w:ascii="宋体" w:hAnsi="宋体" w:eastAsia="宋体"/>
          <w:sz w:val="24"/>
        </w:rPr>
      </w:pPr>
      <w:r>
        <w:rPr>
          <w:rFonts w:ascii="宋体" w:hAnsi="宋体" w:eastAsia="宋体"/>
          <w:sz w:val="24"/>
        </w:rPr>
        <w:t>5.2其他与转换相关的事项</w:t>
      </w:r>
    </w:p>
    <w:p w14:paraId="3F3A9715">
      <w:pPr>
        <w:pStyle w:val="5"/>
        <w:spacing w:before="0" w:beforeAutospacing="0" w:after="0" w:afterAutospacing="0" w:line="360" w:lineRule="auto"/>
        <w:ind w:firstLine="420"/>
      </w:pPr>
      <w:r>
        <w:rPr>
          <w:rFonts w:hint="eastAsia"/>
        </w:rPr>
        <w:t xml:space="preserve">1）业务规则 </w:t>
      </w:r>
    </w:p>
    <w:p w14:paraId="11CADE03">
      <w:pPr>
        <w:pStyle w:val="5"/>
        <w:spacing w:before="0" w:beforeAutospacing="0" w:after="0" w:afterAutospacing="0" w:line="360" w:lineRule="auto"/>
        <w:ind w:firstLine="420"/>
        <w:rPr>
          <w:rFonts w:hint="eastAsia"/>
        </w:rPr>
      </w:pPr>
      <w:r>
        <w:rPr>
          <w:rFonts w:hint="eastAsia"/>
        </w:rPr>
        <w:t xml:space="preserve">①基金转换只能在同一销售机构进行。转换的两只基金必须都是该销售机构代理的同一基金管理人管理的、在同一注册登记机构处注册登记的基金。 </w:t>
      </w:r>
    </w:p>
    <w:p w14:paraId="2609DF47">
      <w:pPr>
        <w:pStyle w:val="5"/>
        <w:spacing w:before="0" w:beforeAutospacing="0" w:after="0" w:afterAutospacing="0" w:line="360" w:lineRule="auto"/>
        <w:ind w:firstLine="420"/>
        <w:rPr>
          <w:rFonts w:hint="eastAsia"/>
        </w:rPr>
      </w:pPr>
      <w:r>
        <w:rPr>
          <w:rFonts w:hint="eastAsia"/>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C62FA67">
      <w:pPr>
        <w:pStyle w:val="5"/>
        <w:spacing w:before="0" w:beforeAutospacing="0" w:after="0" w:afterAutospacing="0" w:line="360" w:lineRule="auto"/>
        <w:ind w:firstLine="420"/>
        <w:rPr>
          <w:rFonts w:hint="eastAsia"/>
        </w:rPr>
      </w:pPr>
      <w:r>
        <w:rPr>
          <w:rFonts w:hint="eastAsia"/>
        </w:rPr>
        <w:t xml:space="preserve">③基金转换的目标基金份额按新交易计算持有时间。基金转出视为赎回，转入视为申购。基金转换后可赎回的时间为T＋2日。 </w:t>
      </w:r>
    </w:p>
    <w:p w14:paraId="137A22F0">
      <w:pPr>
        <w:pStyle w:val="5"/>
        <w:spacing w:before="0" w:beforeAutospacing="0" w:after="0" w:afterAutospacing="0" w:line="360" w:lineRule="auto"/>
        <w:ind w:firstLine="420"/>
        <w:rPr>
          <w:rFonts w:hint="eastAsia"/>
        </w:rPr>
      </w:pPr>
      <w:r>
        <w:rPr>
          <w:rFonts w:hint="eastAsia"/>
        </w:rPr>
        <w:t xml:space="preserve">④基金分红时再投资的份额可在权益登记日的T＋2日提交基金转换申请。 </w:t>
      </w:r>
    </w:p>
    <w:p w14:paraId="78D9F63A">
      <w:pPr>
        <w:pStyle w:val="5"/>
        <w:spacing w:before="0" w:beforeAutospacing="0" w:after="0" w:afterAutospacing="0" w:line="360" w:lineRule="auto"/>
        <w:ind w:firstLine="420"/>
        <w:rPr>
          <w:rFonts w:hint="eastAsia"/>
        </w:rPr>
      </w:pPr>
      <w:r>
        <w:rPr>
          <w:rFonts w:hint="eastAsia"/>
        </w:rPr>
        <w:t xml:space="preserve">⑤基金转换以申请当日基金份额净值为基础计算。投资者采用“份额转换”的原则提交申请。转出基金份额必须是可用份额，并遵循“先进先出”的原则。 </w:t>
      </w:r>
    </w:p>
    <w:p w14:paraId="4018380B">
      <w:pPr>
        <w:pStyle w:val="5"/>
        <w:spacing w:before="0" w:beforeAutospacing="0" w:after="0" w:afterAutospacing="0" w:line="360" w:lineRule="auto"/>
        <w:ind w:firstLine="420"/>
        <w:rPr>
          <w:rFonts w:hint="eastAsia"/>
        </w:rPr>
      </w:pPr>
      <w:r>
        <w:rPr>
          <w:rFonts w:hint="eastAsia"/>
        </w:rPr>
        <w:t xml:space="preserve">2）暂停基金转换的情形及处理 </w:t>
      </w:r>
    </w:p>
    <w:p w14:paraId="657C325A">
      <w:pPr>
        <w:pStyle w:val="5"/>
        <w:spacing w:before="0" w:beforeAutospacing="0" w:after="0" w:afterAutospacing="0" w:line="360" w:lineRule="auto"/>
        <w:ind w:firstLine="420"/>
        <w:rPr>
          <w:rFonts w:hint="eastAsia"/>
        </w:rPr>
      </w:pPr>
      <w:r>
        <w:rPr>
          <w:rFonts w:hint="eastAsia"/>
        </w:rPr>
        <w:t xml:space="preserve">基金转换视同为转出基金的赎回和转入基金的申购，因此暂停基金转换适用有关转出基金和转入基金关于暂停或拒绝申购、暂停赎回的有关规定。 </w:t>
      </w:r>
    </w:p>
    <w:p w14:paraId="477D4837">
      <w:pPr>
        <w:pStyle w:val="5"/>
        <w:spacing w:before="0" w:beforeAutospacing="0" w:after="0" w:afterAutospacing="0" w:line="360" w:lineRule="auto"/>
        <w:ind w:firstLine="420"/>
        <w:rPr>
          <w:rFonts w:hint="eastAsia"/>
        </w:rPr>
      </w:pPr>
      <w:r>
        <w:rPr>
          <w:rFonts w:hint="eastAsia"/>
        </w:rPr>
        <w:t xml:space="preserve">出现法律、法规、规章规定的其它情形或其它在《基金合同》、《招募说明书》已载明并获中国证监会批准的特殊情形时，基金管理人可以暂停基金转换业务。 </w:t>
      </w:r>
    </w:p>
    <w:p w14:paraId="11F745B8">
      <w:pPr>
        <w:pStyle w:val="5"/>
        <w:spacing w:before="0" w:beforeAutospacing="0" w:after="0" w:afterAutospacing="0" w:line="360" w:lineRule="auto"/>
        <w:ind w:firstLine="420"/>
        <w:rPr>
          <w:rFonts w:hint="eastAsia"/>
        </w:rPr>
      </w:pPr>
      <w:r>
        <w:rPr>
          <w:rFonts w:hint="eastAsia"/>
        </w:rPr>
        <w:t xml:space="preserve">3）重要提示 </w:t>
      </w:r>
    </w:p>
    <w:p w14:paraId="516A8881">
      <w:pPr>
        <w:pStyle w:val="5"/>
        <w:spacing w:before="0" w:beforeAutospacing="0" w:after="0" w:afterAutospacing="0" w:line="360" w:lineRule="auto"/>
        <w:ind w:firstLine="420"/>
        <w:rPr>
          <w:rFonts w:hint="eastAsia"/>
        </w:rPr>
      </w:pPr>
      <w:r>
        <w:rPr>
          <w:rFonts w:hint="eastAsia"/>
        </w:rPr>
        <w:t xml:space="preserve">①本基金转换业务适用于可以销售包括本基金在内的两只以上（含两只），且基金注册登记机构为同一机构的博时旗下基金的销售机构。 </w:t>
      </w:r>
    </w:p>
    <w:p w14:paraId="7AD1B117">
      <w:pPr>
        <w:pStyle w:val="5"/>
        <w:spacing w:before="0" w:beforeAutospacing="0" w:after="0" w:afterAutospacing="0" w:line="360" w:lineRule="auto"/>
        <w:ind w:firstLine="420"/>
        <w:rPr>
          <w:rFonts w:hint="eastAsia"/>
        </w:rPr>
      </w:pPr>
      <w:r>
        <w:rPr>
          <w:rFonts w:hint="eastAsia"/>
        </w:rPr>
        <w:t xml:space="preserve">②转换业务的收费计算公式及举例参见2010年3月16日刊登于本公司网站的《博时基金管理有限公司关于旗下开放式基金转换业务的公告》。 </w:t>
      </w:r>
    </w:p>
    <w:p w14:paraId="220A4714">
      <w:pPr>
        <w:pStyle w:val="5"/>
        <w:spacing w:before="0" w:beforeAutospacing="0" w:after="0" w:afterAutospacing="0" w:line="360" w:lineRule="auto"/>
        <w:ind w:firstLine="420"/>
        <w:rPr>
          <w:rFonts w:hint="eastAsia"/>
        </w:rPr>
      </w:pPr>
      <w:r>
        <w:rPr>
          <w:rFonts w:hint="eastAsia"/>
        </w:rPr>
        <w:t xml:space="preserve">③本公司管理基金的转换业务的解释权归本公司。 </w:t>
      </w:r>
    </w:p>
    <w:p w14:paraId="03FECE21">
      <w:pPr>
        <w:pStyle w:val="2"/>
        <w:rPr>
          <w:rFonts w:ascii="宋体" w:hAnsi="宋体" w:eastAsia="宋体"/>
          <w:sz w:val="24"/>
        </w:rPr>
      </w:pPr>
      <w:r>
        <w:rPr>
          <w:rFonts w:ascii="宋体" w:hAnsi="宋体" w:eastAsia="宋体"/>
          <w:sz w:val="24"/>
        </w:rPr>
        <w:t>6、基金销售机构</w:t>
      </w:r>
    </w:p>
    <w:p w14:paraId="12F16566">
      <w:pPr>
        <w:pStyle w:val="3"/>
        <w:rPr>
          <w:rFonts w:hint="eastAsia" w:ascii="宋体" w:hAnsi="宋体" w:eastAsia="宋体"/>
          <w:sz w:val="24"/>
        </w:rPr>
      </w:pPr>
      <w:r>
        <w:rPr>
          <w:rFonts w:hint="eastAsia" w:ascii="宋体" w:hAnsi="宋体" w:eastAsia="宋体"/>
          <w:sz w:val="24"/>
        </w:rPr>
        <w:t>6.1场外销售机构</w:t>
      </w:r>
    </w:p>
    <w:p w14:paraId="3F1FC952">
      <w:pPr>
        <w:pStyle w:val="4"/>
        <w:rPr>
          <w:rFonts w:hint="eastAsia" w:ascii="宋体" w:hAnsi="宋体" w:eastAsia="宋体"/>
          <w:sz w:val="24"/>
        </w:rPr>
      </w:pPr>
      <w:r>
        <w:rPr>
          <w:rFonts w:hint="eastAsia" w:ascii="宋体" w:hAnsi="宋体" w:eastAsia="宋体"/>
          <w:sz w:val="24"/>
        </w:rPr>
        <w:t>6.1.1直销机构</w:t>
      </w:r>
    </w:p>
    <w:p w14:paraId="516D2B61">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7A8E8B1B">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赎回和转换等业务。 </w:t>
      </w:r>
    </w:p>
    <w:p w14:paraId="78016601">
      <w:pPr>
        <w:pStyle w:val="4"/>
        <w:rPr>
          <w:rFonts w:ascii="宋体" w:hAnsi="宋体" w:eastAsia="宋体"/>
          <w:sz w:val="24"/>
        </w:rPr>
      </w:pPr>
      <w:r>
        <w:rPr>
          <w:rFonts w:ascii="宋体" w:hAnsi="宋体" w:eastAsia="宋体"/>
          <w:sz w:val="24"/>
        </w:rPr>
        <w:t>6.1.2场外非直销机构</w:t>
      </w:r>
    </w:p>
    <w:p w14:paraId="043CF664">
      <w:pPr>
        <w:pStyle w:val="5"/>
        <w:spacing w:before="0" w:beforeAutospacing="0" w:after="0" w:afterAutospacing="0" w:line="360" w:lineRule="auto"/>
        <w:ind w:firstLine="420"/>
      </w:pPr>
      <w:r>
        <w:rPr>
          <w:rFonts w:hint="eastAsia"/>
        </w:rPr>
        <w:t xml:space="preserve">交通银行股份有限公司、招商银行股份有限公司、上海浦东发展银行股份有限公司、中国邮政储蓄银行股份有限公司、上海银行股份有限公司、广发银行股份有限公司、平安银行股份有限公司、上海农村商业银行股份有限公司、北京农村商业银行股份有限公司、东莞银行股份有限公司、江苏银行股份有限公司、齐商银行股份有限公司、哈尔滨银行股份有限公司、东莞农村商业银行股份有限公司、江苏常熟农村商业银行股份有限公司、江苏苏州农村商业银行股份有限公司、江苏江南农村商业银行股份有限公司、成都农村商业银行股份有限公司、苏州银行股份有限公司、晋商银行股份有限公司、福建海峡银行股份有限公司、广东南海农村商业银行股份有限公司、深圳市新兰德证券投资咨询有限公司、和讯信息科技有限公司、厦门市鑫鼎盛控股有限公司、贵州省贵文文化基金销售有限公司、腾安基金销售（深圳）有限公司、北京度小满基金销售有限公司、博时财富基金销售有限公司、诺亚正行基金销售有限公司、深圳众禄基金销售股份有限公司、上海天天基金销售有限公司、上海好买基金销售有限公司、蚂蚁（杭州）基金销售有限公司、上海长量基金销售有限公司、浙江同花顺基金销售有限公司、上海利得基金销售有限公司、嘉实财富管理有限公司、北京创金启富基金销售有限公司、宜信普泽（北京）基金销售有限公司、南京苏宁基金销售有限公司、华源证券股份有限公司（鑫理财）、北京汇成基金销售有限公司、北京钱景基金销售有限公司、海银基金销售有限公司、上海万得基金销售有限公司、上海联泰基金销售有限公司、上海基煜基金销售有限公司、上海中正达广基金销售有限公司、深圳富济基金销售有限公司、上海陆金所基金销售有限公司、珠海盈米基金销售有限公司、和耕传承基金销售有限公司、大连网金基金销售有限公司、深圳市金斧子基金销售有限公司、北京雪球基金销售有限公司、万家财富基金销售（天津）有限公司、洪泰财富（青岛）基金销售有限责任公司、国泰海通证券股份有限公司、中信建投证券股份有限公司、国信证券股份有限公司、招商证券股份有限公司、申万宏源证券有限公司、万联证券股份有限公司、平安证券股份有限公司、财信证券股份有限公司、华西证券股份有限公司、申万宏源西部证券有限公司、华福证券股份有限公司、东方财富证券股份有限公司、万和证券股份有限公司、华瑞保险销售有限公司、阳光人寿保险股份有限公司、中国人寿保险股份有限公司、泉州银行股份有限公司、龙江银行股份有限公司、青岛农村商业银行股份有限公司、桂林银行股份有限公司 </w:t>
      </w:r>
    </w:p>
    <w:p w14:paraId="285920F1">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4155F785">
      <w:pPr>
        <w:pStyle w:val="2"/>
        <w:rPr>
          <w:rFonts w:ascii="宋体" w:hAnsi="宋体" w:eastAsia="宋体"/>
          <w:sz w:val="24"/>
        </w:rPr>
      </w:pPr>
      <w:r>
        <w:rPr>
          <w:rFonts w:ascii="宋体" w:hAnsi="宋体" w:eastAsia="宋体"/>
          <w:sz w:val="24"/>
        </w:rPr>
        <w:t xml:space="preserve">7、基金份额净值公告/基金收益公告的披露安排 </w:t>
      </w:r>
    </w:p>
    <w:p w14:paraId="1C7FFA4C">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35173051">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55BE2462">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365F24BD">
      <w:pPr>
        <w:pStyle w:val="2"/>
        <w:rPr>
          <w:rFonts w:ascii="宋体" w:hAnsi="宋体" w:eastAsia="宋体"/>
          <w:sz w:val="24"/>
        </w:rPr>
      </w:pPr>
      <w:r>
        <w:rPr>
          <w:rFonts w:ascii="宋体" w:hAnsi="宋体" w:eastAsia="宋体"/>
          <w:sz w:val="24"/>
        </w:rPr>
        <w:t>8、其他需要提示的事项</w:t>
      </w:r>
    </w:p>
    <w:p w14:paraId="670EE2EA">
      <w:pPr>
        <w:pStyle w:val="5"/>
        <w:spacing w:before="0" w:beforeAutospacing="0" w:after="0" w:afterAutospacing="0" w:line="360" w:lineRule="auto"/>
        <w:ind w:firstLine="420"/>
      </w:pPr>
      <w:r>
        <w:rPr>
          <w:rFonts w:hint="eastAsia"/>
        </w:rPr>
        <w:t xml:space="preserve">（1）本公告仅对博时安祺6个月定期开放债券型证券投资基金本次办理申购、赎回、转换业务等相关事项予以说明。投资者欲了解本基金的详细情况，可于本基金管理人网站或相关销售机构查阅本基金相关法律文件及资料。本公告的解释权归本基金管理人所有。 </w:t>
      </w:r>
    </w:p>
    <w:p w14:paraId="1494FF57">
      <w:pPr>
        <w:pStyle w:val="5"/>
        <w:spacing w:before="0" w:beforeAutospacing="0" w:after="0" w:afterAutospacing="0" w:line="360" w:lineRule="auto"/>
        <w:ind w:firstLine="420"/>
        <w:rPr>
          <w:rFonts w:hint="eastAsia"/>
        </w:rPr>
      </w:pPr>
      <w:r>
        <w:rPr>
          <w:rFonts w:hint="eastAsia"/>
        </w:rPr>
        <w:t xml:space="preserve">（2）2026年10月19日至2026年11月13日为本基金本次的开放期，即在开放期内接受办理本基金份额的申购、赎回、转换业务，在开放期内，基金管理人可根据基金合同的相关规定调整开放日期，具体请见届时发布的相关公告。开放期最后一个工作日15：00以后暂停接受办理本基金的申购、赎回、转换业务直至下一个开放期。届时将不再另行公告。 </w:t>
      </w:r>
    </w:p>
    <w:p w14:paraId="09A03857">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6864B552">
      <w:pPr>
        <w:pStyle w:val="5"/>
        <w:spacing w:before="0" w:beforeAutospacing="0" w:after="0" w:afterAutospacing="0" w:line="360" w:lineRule="auto"/>
        <w:ind w:firstLine="420"/>
        <w:rPr>
          <w:rFonts w:hint="eastAsia"/>
        </w:rPr>
      </w:pPr>
      <w:r>
        <w:rPr>
          <w:rFonts w:hint="eastAsia"/>
        </w:rPr>
        <w:t xml:space="preserve">特此公告。 </w:t>
      </w:r>
    </w:p>
    <w:p w14:paraId="575C29EE">
      <w:pPr>
        <w:pStyle w:val="5"/>
        <w:spacing w:before="0" w:beforeAutospacing="0" w:after="0" w:afterAutospacing="0" w:line="360" w:lineRule="auto"/>
        <w:ind w:firstLine="420"/>
      </w:pPr>
    </w:p>
    <w:p w14:paraId="3CFE98B8">
      <w:pPr>
        <w:pStyle w:val="5"/>
        <w:spacing w:before="0" w:beforeAutospacing="0" w:after="0" w:afterAutospacing="0" w:line="360" w:lineRule="auto"/>
        <w:ind w:firstLine="420"/>
      </w:pPr>
    </w:p>
    <w:p w14:paraId="312E5583">
      <w:pPr>
        <w:pStyle w:val="5"/>
        <w:spacing w:before="0" w:beforeAutospacing="0" w:after="0" w:afterAutospacing="0" w:line="360" w:lineRule="auto"/>
        <w:ind w:firstLine="420"/>
      </w:pPr>
    </w:p>
    <w:p w14:paraId="732C9988">
      <w:pPr>
        <w:pStyle w:val="5"/>
        <w:spacing w:before="0" w:beforeAutospacing="0" w:after="0" w:afterAutospacing="0" w:line="360" w:lineRule="auto"/>
        <w:ind w:firstLine="420"/>
        <w:jc w:val="right"/>
        <w:rPr>
          <w:rFonts w:hint="eastAsia"/>
        </w:rPr>
      </w:pPr>
      <w:r>
        <w:rPr>
          <w:rFonts w:hint="eastAsia"/>
        </w:rPr>
        <w:t>博时基金管理有限公司</w:t>
      </w:r>
    </w:p>
    <w:p w14:paraId="5153E206">
      <w:pPr>
        <w:pStyle w:val="5"/>
        <w:spacing w:before="0" w:beforeAutospacing="0" w:after="0" w:afterAutospacing="0" w:line="360" w:lineRule="auto"/>
        <w:ind w:firstLine="420"/>
        <w:jc w:val="right"/>
      </w:pPr>
      <w:r>
        <w:t>2026年10月15日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FE3"/>
    <w:rsid w:val="00022FE3"/>
    <w:rsid w:val="00360AC8"/>
    <w:rsid w:val="34A53A6B"/>
    <w:rsid w:val="3B0A215F"/>
    <w:rsid w:val="528D14FE"/>
    <w:rsid w:val="5D4B0B1D"/>
    <w:rsid w:val="5DD221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8</Pages>
  <Words>721</Words>
  <Characters>4115</Characters>
  <Lines>34</Lines>
  <Paragraphs>9</Paragraphs>
  <TotalTime>4</TotalTime>
  <ScaleCrop>false</ScaleCrop>
  <LinksUpToDate>false</LinksUpToDate>
  <CharactersWithSpaces>4827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2026-10-14T06:15:00Z</dcterms:created>
  <dc:creator>BSKMadminDev</dc:creator>
  <cp:lastModifiedBy>panan</cp:lastModifiedBy>
  <dcterms:modified xsi:type="dcterms:W3CDTF">2026-10-14T07:27:20Z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5B20BEE4F352461D80B081A240601241_13</vt:lpwstr>
  </property>
</Properties>
</file>