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00A408">
      <w:pPr>
        <w:jc w:val="center"/>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t>博时基金管理有限公司关于博时中证半导体产业交易型开放式指数证券投资基金基金份额拆分结果的公告</w:t>
      </w:r>
    </w:p>
    <w:p w14:paraId="77AE28F2">
      <w:pPr>
        <w:rPr>
          <w:rFonts w:hint="default" w:ascii="Times New Roman" w:hAnsi="Times New Roman" w:cs="Times New Roman"/>
          <w:highlight w:val="none"/>
        </w:rPr>
      </w:pPr>
      <w:bookmarkStart w:id="0" w:name="_GoBack"/>
      <w:bookmarkEnd w:id="0"/>
    </w:p>
    <w:p w14:paraId="6ECF0775">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lang w:eastAsia="zh-CN"/>
        </w:rPr>
        <w:t>博时基金管理有限公司</w:t>
      </w:r>
      <w:r>
        <w:rPr>
          <w:rFonts w:hint="default" w:ascii="Times New Roman" w:hAnsi="Times New Roman" w:cs="Times New Roman"/>
          <w:highlight w:val="none"/>
        </w:rPr>
        <w:t>（以下简称“本基金管理人”）于2026年</w:t>
      </w:r>
      <w:r>
        <w:rPr>
          <w:rFonts w:hint="eastAsia" w:ascii="Times New Roman" w:hAnsi="Times New Roman" w:cs="Times New Roman"/>
          <w:highlight w:val="none"/>
          <w:lang w:val="en-US" w:eastAsia="zh-CN"/>
        </w:rPr>
        <w:t>7</w:t>
      </w:r>
      <w:r>
        <w:rPr>
          <w:rFonts w:hint="default" w:ascii="Times New Roman" w:hAnsi="Times New Roman" w:cs="Times New Roman"/>
          <w:highlight w:val="none"/>
        </w:rPr>
        <w:t>月</w:t>
      </w:r>
      <w:r>
        <w:rPr>
          <w:rFonts w:hint="eastAsia" w:ascii="Times New Roman" w:hAnsi="Times New Roman" w:cs="Times New Roman"/>
          <w:highlight w:val="none"/>
          <w:lang w:val="en-US" w:eastAsia="zh-CN"/>
        </w:rPr>
        <w:t>7</w:t>
      </w:r>
      <w:r>
        <w:rPr>
          <w:rFonts w:hint="default" w:ascii="Times New Roman" w:hAnsi="Times New Roman" w:cs="Times New Roman"/>
          <w:highlight w:val="none"/>
        </w:rPr>
        <w:t>日发布了《博时基金管理有限公司关于博时中证半导体产业交易型开放式指数证券投资基金实施基金份额拆分并调整最小申购、赎回单位及相关业务安排的公告》。</w:t>
      </w:r>
      <w:r>
        <w:rPr>
          <w:rFonts w:hint="default" w:ascii="Times New Roman" w:hAnsi="Times New Roman" w:cs="Times New Roman"/>
          <w:highlight w:val="none"/>
          <w:lang w:eastAsia="zh-CN"/>
        </w:rPr>
        <w:t>博时中证半导体产业交易型开放式指数证券投资基金</w:t>
      </w:r>
      <w:r>
        <w:rPr>
          <w:rFonts w:hint="default" w:ascii="Times New Roman" w:hAnsi="Times New Roman" w:cs="Times New Roman"/>
          <w:highlight w:val="none"/>
        </w:rPr>
        <w:t>（场内简称：</w:t>
      </w:r>
      <w:r>
        <w:rPr>
          <w:rFonts w:hint="default" w:ascii="Times New Roman" w:hAnsi="Times New Roman" w:cs="Times New Roman"/>
          <w:highlight w:val="none"/>
          <w:lang w:eastAsia="zh-CN"/>
        </w:rPr>
        <w:t>半导体ETF博时</w:t>
      </w:r>
      <w:r>
        <w:rPr>
          <w:rFonts w:hint="default" w:ascii="Times New Roman" w:hAnsi="Times New Roman" w:cs="Times New Roman"/>
          <w:highlight w:val="none"/>
        </w:rPr>
        <w:t>，基金代码：</w:t>
      </w:r>
      <w:r>
        <w:rPr>
          <w:rFonts w:hint="default" w:ascii="Times New Roman" w:hAnsi="Times New Roman" w:cs="Times New Roman"/>
          <w:highlight w:val="none"/>
          <w:lang w:eastAsia="zh-CN"/>
        </w:rPr>
        <w:t>159582</w:t>
      </w:r>
      <w:r>
        <w:rPr>
          <w:rFonts w:hint="default" w:ascii="Times New Roman" w:hAnsi="Times New Roman" w:cs="Times New Roman"/>
          <w:highlight w:val="none"/>
        </w:rPr>
        <w:t>，以下简称“本基金”）已于</w:t>
      </w:r>
      <w:r>
        <w:rPr>
          <w:rFonts w:hint="default" w:ascii="Times New Roman" w:hAnsi="Times New Roman" w:cs="Times New Roman"/>
          <w:highlight w:val="none"/>
        </w:rPr>
        <w:t>2026年</w:t>
      </w:r>
      <w:r>
        <w:rPr>
          <w:rFonts w:hint="eastAsia" w:ascii="Times New Roman" w:hAnsi="Times New Roman" w:cs="Times New Roman"/>
          <w:highlight w:val="none"/>
          <w:lang w:val="en-US" w:eastAsia="zh-CN"/>
        </w:rPr>
        <w:t>7</w:t>
      </w:r>
      <w:r>
        <w:rPr>
          <w:rFonts w:hint="default" w:ascii="Times New Roman" w:hAnsi="Times New Roman" w:cs="Times New Roman"/>
          <w:highlight w:val="none"/>
        </w:rPr>
        <w:t>月</w:t>
      </w:r>
      <w:r>
        <w:rPr>
          <w:rFonts w:hint="eastAsia" w:ascii="Times New Roman" w:hAnsi="Times New Roman" w:cs="Times New Roman"/>
          <w:highlight w:val="none"/>
          <w:lang w:val="en-US" w:eastAsia="zh-CN"/>
        </w:rPr>
        <w:t>10</w:t>
      </w:r>
      <w:r>
        <w:rPr>
          <w:rFonts w:hint="default" w:ascii="Times New Roman" w:hAnsi="Times New Roman" w:cs="Times New Roman"/>
          <w:highlight w:val="none"/>
        </w:rPr>
        <w:t>日</w:t>
      </w:r>
      <w:r>
        <w:rPr>
          <w:rFonts w:hint="default" w:ascii="Times New Roman" w:hAnsi="Times New Roman" w:cs="Times New Roman"/>
          <w:highlight w:val="none"/>
        </w:rPr>
        <w:t>（份额拆分权益登记日）进行了基金份额拆分。现将相关事项公告如下：</w:t>
      </w:r>
    </w:p>
    <w:p w14:paraId="6A7D1C52">
      <w:pPr>
        <w:numPr>
          <w:ilvl w:val="0"/>
          <w:numId w:val="1"/>
        </w:num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基金份额拆分结果</w:t>
      </w:r>
    </w:p>
    <w:p w14:paraId="74316ECA">
      <w:pPr>
        <w:numPr>
          <w:ilvl w:val="0"/>
          <w:numId w:val="2"/>
        </w:num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拆分方式</w:t>
      </w:r>
    </w:p>
    <w:p w14:paraId="1BCBAFEE">
      <w:pPr>
        <w:numPr>
          <w:ilvl w:val="0"/>
          <w:numId w:val="3"/>
        </w:num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拆分比例</w:t>
      </w:r>
    </w:p>
    <w:p w14:paraId="5B34F691">
      <w:pPr>
        <w:numPr>
          <w:ilvl w:val="0"/>
          <w:numId w:val="0"/>
        </w:num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份额拆分权益登记日登记在册的基金份额将按1：</w:t>
      </w:r>
      <w:r>
        <w:rPr>
          <w:rFonts w:hint="eastAsia" w:ascii="Times New Roman" w:hAnsi="Times New Roman" w:cs="Times New Roman"/>
          <w:highlight w:val="none"/>
          <w:lang w:val="en-US" w:eastAsia="zh-CN"/>
        </w:rPr>
        <w:t>5</w:t>
      </w:r>
      <w:r>
        <w:rPr>
          <w:rFonts w:hint="default" w:ascii="Times New Roman" w:hAnsi="Times New Roman" w:cs="Times New Roman"/>
          <w:highlight w:val="none"/>
        </w:rPr>
        <w:t>的拆分比例进行拆分，即每1份基金份额拆成</w:t>
      </w:r>
      <w:r>
        <w:rPr>
          <w:rFonts w:hint="eastAsia" w:ascii="Times New Roman" w:hAnsi="Times New Roman" w:cs="Times New Roman"/>
          <w:highlight w:val="none"/>
          <w:lang w:val="en-US" w:eastAsia="zh-CN"/>
        </w:rPr>
        <w:t>5</w:t>
      </w:r>
      <w:r>
        <w:rPr>
          <w:rFonts w:hint="default" w:ascii="Times New Roman" w:hAnsi="Times New Roman" w:cs="Times New Roman"/>
          <w:highlight w:val="none"/>
        </w:rPr>
        <w:t>份。</w:t>
      </w:r>
    </w:p>
    <w:p w14:paraId="5521FE79">
      <w:pPr>
        <w:numPr>
          <w:ilvl w:val="0"/>
          <w:numId w:val="3"/>
        </w:numPr>
        <w:spacing w:line="360" w:lineRule="auto"/>
        <w:ind w:left="0" w:leftChars="0" w:firstLine="420" w:firstLineChars="200"/>
        <w:rPr>
          <w:rFonts w:hint="default" w:ascii="Times New Roman" w:hAnsi="Times New Roman" w:cs="Times New Roman"/>
          <w:highlight w:val="none"/>
        </w:rPr>
      </w:pPr>
      <w:r>
        <w:rPr>
          <w:rFonts w:hint="default" w:ascii="Times New Roman" w:hAnsi="Times New Roman" w:cs="Times New Roman"/>
          <w:highlight w:val="none"/>
        </w:rPr>
        <w:t>拆分后基金份额的计算公式：拆分后的基金份额数量＝拆分前基金份额数×</w:t>
      </w:r>
      <w:r>
        <w:rPr>
          <w:rFonts w:hint="eastAsia" w:ascii="Times New Roman" w:hAnsi="Times New Roman" w:cs="Times New Roman"/>
          <w:highlight w:val="none"/>
          <w:lang w:val="en-US" w:eastAsia="zh-CN"/>
        </w:rPr>
        <w:t>5</w:t>
      </w:r>
    </w:p>
    <w:p w14:paraId="14896D32">
      <w:pPr>
        <w:numPr>
          <w:ilvl w:val="0"/>
          <w:numId w:val="2"/>
        </w:numPr>
        <w:spacing w:line="360" w:lineRule="auto"/>
        <w:ind w:left="0" w:leftChars="0" w:firstLine="420" w:firstLineChars="200"/>
        <w:rPr>
          <w:rFonts w:hint="default" w:ascii="Times New Roman" w:hAnsi="Times New Roman" w:cs="Times New Roman"/>
          <w:highlight w:val="none"/>
        </w:rPr>
      </w:pPr>
      <w:r>
        <w:rPr>
          <w:rFonts w:hint="default" w:ascii="Times New Roman" w:hAnsi="Times New Roman" w:cs="Times New Roman"/>
          <w:highlight w:val="none"/>
        </w:rPr>
        <w:t>拆分结果</w:t>
      </w:r>
    </w:p>
    <w:p w14:paraId="7EC330CE">
      <w:pPr>
        <w:numPr>
          <w:ilvl w:val="0"/>
          <w:numId w:val="0"/>
        </w:num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份额拆分权益登记日（2026年</w:t>
      </w:r>
      <w:r>
        <w:rPr>
          <w:rFonts w:hint="eastAsia" w:ascii="Times New Roman" w:hAnsi="Times New Roman" w:cs="Times New Roman"/>
          <w:highlight w:val="none"/>
          <w:lang w:val="en-US" w:eastAsia="zh-CN"/>
        </w:rPr>
        <w:t>7</w:t>
      </w:r>
      <w:r>
        <w:rPr>
          <w:rFonts w:hint="default" w:ascii="Times New Roman" w:hAnsi="Times New Roman" w:cs="Times New Roman"/>
          <w:highlight w:val="none"/>
        </w:rPr>
        <w:t>月</w:t>
      </w:r>
      <w:r>
        <w:rPr>
          <w:rFonts w:hint="eastAsia" w:ascii="Times New Roman" w:hAnsi="Times New Roman" w:cs="Times New Roman"/>
          <w:highlight w:val="none"/>
          <w:lang w:val="en-US" w:eastAsia="zh-CN"/>
        </w:rPr>
        <w:t>10</w:t>
      </w:r>
      <w:r>
        <w:rPr>
          <w:rFonts w:hint="default" w:ascii="Times New Roman" w:hAnsi="Times New Roman" w:cs="Times New Roman"/>
          <w:highlight w:val="none"/>
        </w:rPr>
        <w:t>日）日终，本基金</w:t>
      </w:r>
      <w:r>
        <w:rPr>
          <w:rFonts w:hint="eastAsia" w:ascii="Times New Roman" w:hAnsi="Times New Roman" w:cs="Times New Roman"/>
          <w:highlight w:val="none"/>
          <w:lang w:val="en-US" w:eastAsia="zh-CN"/>
        </w:rPr>
        <w:t>注册</w:t>
      </w:r>
      <w:r>
        <w:rPr>
          <w:rFonts w:hint="default" w:ascii="Times New Roman" w:hAnsi="Times New Roman" w:cs="Times New Roman"/>
          <w:highlight w:val="none"/>
        </w:rPr>
        <w:t>登记机构已根据本基金管理人的委托，按照上述拆分比例对该日登记在册的各基金份额持有人持有的本基金基金份额进行拆分并进行变更登记。</w:t>
      </w:r>
    </w:p>
    <w:p w14:paraId="0C0ED61A">
      <w:pPr>
        <w:numPr>
          <w:ilvl w:val="0"/>
          <w:numId w:val="0"/>
        </w:num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份额拆分权益登记日（2026年</w:t>
      </w:r>
      <w:r>
        <w:rPr>
          <w:rFonts w:hint="eastAsia" w:ascii="Times New Roman" w:hAnsi="Times New Roman" w:cs="Times New Roman"/>
          <w:highlight w:val="none"/>
          <w:lang w:val="en-US" w:eastAsia="zh-CN"/>
        </w:rPr>
        <w:t>7</w:t>
      </w:r>
      <w:r>
        <w:rPr>
          <w:rFonts w:hint="default" w:ascii="Times New Roman" w:hAnsi="Times New Roman" w:cs="Times New Roman"/>
          <w:highlight w:val="none"/>
        </w:rPr>
        <w:t>月</w:t>
      </w:r>
      <w:r>
        <w:rPr>
          <w:rFonts w:hint="eastAsia" w:ascii="Times New Roman" w:hAnsi="Times New Roman" w:cs="Times New Roman"/>
          <w:highlight w:val="none"/>
          <w:lang w:val="en-US" w:eastAsia="zh-CN"/>
        </w:rPr>
        <w:t>10</w:t>
      </w:r>
      <w:r>
        <w:rPr>
          <w:rFonts w:hint="default" w:ascii="Times New Roman" w:hAnsi="Times New Roman" w:cs="Times New Roman"/>
          <w:highlight w:val="none"/>
        </w:rPr>
        <w:t>日）经本基金托管人中信证券股份有限公司复核的本基金拆分前的基金份额总额为</w:t>
      </w:r>
      <w:r>
        <w:rPr>
          <w:rFonts w:hint="eastAsia" w:ascii="Times New Roman" w:hAnsi="Times New Roman" w:cs="Times New Roman"/>
          <w:highlight w:val="none"/>
          <w:lang w:val="en-US" w:eastAsia="zh-CN"/>
        </w:rPr>
        <w:t>171,121,621.00</w:t>
      </w:r>
      <w:r>
        <w:rPr>
          <w:rFonts w:hint="default" w:ascii="Times New Roman" w:hAnsi="Times New Roman" w:cs="Times New Roman"/>
          <w:highlight w:val="none"/>
        </w:rPr>
        <w:t>份，拆分前的基金份额净值为</w:t>
      </w:r>
      <w:r>
        <w:rPr>
          <w:rFonts w:hint="eastAsia" w:ascii="Times New Roman" w:hAnsi="Times New Roman" w:cs="Times New Roman"/>
          <w:highlight w:val="none"/>
          <w:lang w:val="en-US" w:eastAsia="zh-CN"/>
        </w:rPr>
        <w:t>4.7928</w:t>
      </w:r>
      <w:r>
        <w:rPr>
          <w:rFonts w:hint="default" w:ascii="Times New Roman" w:hAnsi="Times New Roman" w:cs="Times New Roman"/>
          <w:highlight w:val="none"/>
        </w:rPr>
        <w:t>元。本基金拆分后基金份额总额为</w:t>
      </w:r>
      <w:r>
        <w:rPr>
          <w:rFonts w:hint="eastAsia" w:ascii="Times New Roman" w:hAnsi="Times New Roman" w:cs="Times New Roman"/>
          <w:highlight w:val="none"/>
          <w:lang w:val="en-US" w:eastAsia="zh-CN"/>
        </w:rPr>
        <w:t>855,608,105.00</w:t>
      </w:r>
      <w:r>
        <w:rPr>
          <w:rFonts w:hint="default" w:ascii="Times New Roman" w:hAnsi="Times New Roman" w:cs="Times New Roman"/>
          <w:highlight w:val="none"/>
        </w:rPr>
        <w:t>份，拆分后的基金份额净值为</w:t>
      </w:r>
      <w:r>
        <w:rPr>
          <w:rFonts w:hint="eastAsia" w:ascii="Times New Roman" w:hAnsi="Times New Roman" w:cs="Times New Roman"/>
          <w:highlight w:val="none"/>
          <w:lang w:val="en-US" w:eastAsia="zh-CN"/>
        </w:rPr>
        <w:t>0.9586</w:t>
      </w:r>
      <w:r>
        <w:rPr>
          <w:rFonts w:hint="default" w:ascii="Times New Roman" w:hAnsi="Times New Roman" w:cs="Times New Roman"/>
          <w:highlight w:val="none"/>
        </w:rPr>
        <w:t>元。</w:t>
      </w:r>
    </w:p>
    <w:p w14:paraId="37D65427">
      <w:pPr>
        <w:numPr>
          <w:ilvl w:val="0"/>
          <w:numId w:val="0"/>
        </w:num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lang w:val="en-US" w:eastAsia="zh-CN"/>
        </w:rPr>
        <w:t>敬请</w:t>
      </w:r>
      <w:r>
        <w:rPr>
          <w:rFonts w:hint="default" w:ascii="Times New Roman" w:hAnsi="Times New Roman" w:cs="Times New Roman"/>
          <w:highlight w:val="none"/>
        </w:rPr>
        <w:t>本基金</w:t>
      </w:r>
      <w:r>
        <w:rPr>
          <w:rFonts w:hint="default" w:ascii="Times New Roman" w:hAnsi="Times New Roman" w:cs="Times New Roman"/>
          <w:highlight w:val="none"/>
          <w:lang w:val="en-US" w:eastAsia="zh-CN"/>
        </w:rPr>
        <w:t>基金</w:t>
      </w:r>
      <w:r>
        <w:rPr>
          <w:rFonts w:hint="default" w:ascii="Times New Roman" w:hAnsi="Times New Roman" w:cs="Times New Roman"/>
          <w:highlight w:val="none"/>
        </w:rPr>
        <w:t>份额持有人关注并妥善处置自身权益情况，自</w:t>
      </w:r>
      <w:r>
        <w:rPr>
          <w:rFonts w:hint="eastAsia" w:ascii="Times New Roman" w:hAnsi="Times New Roman" w:cs="Times New Roman"/>
          <w:highlight w:val="none"/>
          <w:lang w:val="en-US" w:eastAsia="zh-CN"/>
        </w:rPr>
        <w:t>拆分结果</w:t>
      </w:r>
      <w:r>
        <w:rPr>
          <w:rFonts w:hint="default" w:ascii="Times New Roman" w:hAnsi="Times New Roman" w:cs="Times New Roman"/>
          <w:highlight w:val="none"/>
        </w:rPr>
        <w:t>公告当日起</w:t>
      </w:r>
      <w:r>
        <w:rPr>
          <w:rFonts w:hint="default" w:ascii="Times New Roman" w:hAnsi="Times New Roman" w:cs="Times New Roman"/>
          <w:highlight w:val="none"/>
          <w:lang w:val="en-US" w:eastAsia="zh-CN"/>
        </w:rPr>
        <w:t>基金份额持有人可</w:t>
      </w:r>
      <w:r>
        <w:rPr>
          <w:rFonts w:hint="default" w:ascii="Times New Roman" w:hAnsi="Times New Roman" w:cs="Times New Roman"/>
          <w:highlight w:val="none"/>
        </w:rPr>
        <w:t>通过其所属销售机构查询拆分后其所持有的</w:t>
      </w:r>
      <w:r>
        <w:rPr>
          <w:rFonts w:hint="eastAsia" w:ascii="Times New Roman" w:hAnsi="Times New Roman" w:cs="Times New Roman"/>
          <w:highlight w:val="none"/>
          <w:lang w:val="en-US" w:eastAsia="zh-CN"/>
        </w:rPr>
        <w:t>本基金</w:t>
      </w:r>
      <w:r>
        <w:rPr>
          <w:rFonts w:hint="default" w:ascii="Times New Roman" w:hAnsi="Times New Roman" w:cs="Times New Roman"/>
          <w:highlight w:val="none"/>
        </w:rPr>
        <w:t>基金份额。</w:t>
      </w:r>
    </w:p>
    <w:p w14:paraId="68F06A1F">
      <w:pPr>
        <w:numPr>
          <w:ilvl w:val="0"/>
          <w:numId w:val="1"/>
        </w:numPr>
        <w:spacing w:line="360" w:lineRule="auto"/>
        <w:ind w:left="0" w:leftChars="0" w:firstLine="420" w:firstLineChars="200"/>
        <w:rPr>
          <w:rFonts w:hint="default" w:ascii="Times New Roman" w:hAnsi="Times New Roman" w:cs="Times New Roman"/>
          <w:highlight w:val="none"/>
        </w:rPr>
      </w:pPr>
      <w:r>
        <w:rPr>
          <w:rFonts w:hint="default" w:ascii="Times New Roman" w:hAnsi="Times New Roman" w:cs="Times New Roman"/>
          <w:highlight w:val="none"/>
        </w:rPr>
        <w:t>最小申购、赎回单位调整</w:t>
      </w:r>
    </w:p>
    <w:p w14:paraId="6BBE54A9">
      <w:pPr>
        <w:numPr>
          <w:ilvl w:val="0"/>
          <w:numId w:val="0"/>
        </w:num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自2026年</w:t>
      </w:r>
      <w:r>
        <w:rPr>
          <w:rFonts w:hint="eastAsia" w:ascii="Times New Roman" w:hAnsi="Times New Roman" w:cs="Times New Roman"/>
          <w:highlight w:val="none"/>
          <w:lang w:val="en-US" w:eastAsia="zh-CN"/>
        </w:rPr>
        <w:t>7</w:t>
      </w:r>
      <w:r>
        <w:rPr>
          <w:rFonts w:hint="default" w:ascii="Times New Roman" w:hAnsi="Times New Roman" w:cs="Times New Roman"/>
          <w:highlight w:val="none"/>
        </w:rPr>
        <w:t>月</w:t>
      </w:r>
      <w:r>
        <w:rPr>
          <w:rFonts w:hint="eastAsia" w:ascii="Times New Roman" w:hAnsi="Times New Roman" w:cs="Times New Roman"/>
          <w:highlight w:val="none"/>
          <w:lang w:val="en-US" w:eastAsia="zh-CN"/>
        </w:rPr>
        <w:t>13</w:t>
      </w:r>
      <w:r>
        <w:rPr>
          <w:rFonts w:hint="default" w:ascii="Times New Roman" w:hAnsi="Times New Roman" w:cs="Times New Roman"/>
          <w:highlight w:val="none"/>
        </w:rPr>
        <w:t>日起，本基金最小申购、赎回单位由</w:t>
      </w:r>
      <w:r>
        <w:rPr>
          <w:rFonts w:hint="eastAsia" w:ascii="Times New Roman" w:hAnsi="Times New Roman" w:cs="Times New Roman"/>
          <w:highlight w:val="none"/>
          <w:lang w:val="en-US" w:eastAsia="zh-CN"/>
        </w:rPr>
        <w:t>150</w:t>
      </w:r>
      <w:r>
        <w:rPr>
          <w:rFonts w:hint="default" w:ascii="Times New Roman" w:hAnsi="Times New Roman" w:cs="Times New Roman"/>
          <w:highlight w:val="none"/>
        </w:rPr>
        <w:t>万份调整为</w:t>
      </w:r>
      <w:r>
        <w:rPr>
          <w:rFonts w:hint="eastAsia" w:ascii="Times New Roman" w:hAnsi="Times New Roman" w:cs="Times New Roman"/>
          <w:highlight w:val="none"/>
          <w:lang w:val="en-US" w:eastAsia="zh-CN"/>
        </w:rPr>
        <w:t>500</w:t>
      </w:r>
      <w:r>
        <w:rPr>
          <w:rFonts w:hint="default" w:ascii="Times New Roman" w:hAnsi="Times New Roman" w:cs="Times New Roman"/>
          <w:highlight w:val="none"/>
        </w:rPr>
        <w:t>万份。投资者申购、赎回的基金份额需为最小申购、赎回单位的整数倍。</w:t>
      </w:r>
    </w:p>
    <w:p w14:paraId="27B664E6">
      <w:pPr>
        <w:numPr>
          <w:ilvl w:val="0"/>
          <w:numId w:val="1"/>
        </w:numPr>
        <w:spacing w:line="360" w:lineRule="auto"/>
        <w:ind w:left="0" w:leftChars="0" w:firstLine="420" w:firstLineChars="200"/>
        <w:rPr>
          <w:rFonts w:hint="default" w:ascii="Times New Roman" w:hAnsi="Times New Roman" w:cs="Times New Roman"/>
          <w:highlight w:val="none"/>
        </w:rPr>
      </w:pPr>
      <w:r>
        <w:rPr>
          <w:rFonts w:hint="default" w:ascii="Times New Roman" w:hAnsi="Times New Roman" w:cs="Times New Roman"/>
          <w:highlight w:val="none"/>
        </w:rPr>
        <w:t>其他需要提示的事项</w:t>
      </w:r>
    </w:p>
    <w:p w14:paraId="12D95E5B">
      <w:pPr>
        <w:numPr>
          <w:ilvl w:val="0"/>
          <w:numId w:val="4"/>
        </w:num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基金份额拆分后，本基金的基金份额总额与基金份额持有人持有的基金份额数额将发生调整，但调整后的基金份额持有人持有的基金份额占基金份额总额的比例不发生变化。基金份额拆分对基金份额持有人的权益无实质性影响。基金份额拆分后，基金份额持有人将按照拆分后的基金份额享有权利并承担义务。</w:t>
      </w:r>
    </w:p>
    <w:p w14:paraId="42BC7216">
      <w:pPr>
        <w:numPr>
          <w:ilvl w:val="0"/>
          <w:numId w:val="4"/>
        </w:numPr>
        <w:spacing w:line="360" w:lineRule="auto"/>
        <w:ind w:left="0" w:leftChars="0" w:firstLine="420" w:firstLineChars="200"/>
        <w:rPr>
          <w:rFonts w:hint="default" w:ascii="Times New Roman" w:hAnsi="Times New Roman" w:cs="Times New Roman"/>
          <w:highlight w:val="none"/>
        </w:rPr>
      </w:pPr>
      <w:r>
        <w:rPr>
          <w:rFonts w:hint="default" w:ascii="Times New Roman" w:hAnsi="Times New Roman" w:cs="Times New Roman"/>
          <w:highlight w:val="none"/>
        </w:rPr>
        <w:t>因基金份额拆分导致基金份额净值变化，不会改变基金的风险收益特征，也不会降低基金投资的风险或提高基金投资的预期收益。</w:t>
      </w:r>
    </w:p>
    <w:p w14:paraId="52631303">
      <w:pPr>
        <w:numPr>
          <w:ilvl w:val="0"/>
          <w:numId w:val="4"/>
        </w:numPr>
        <w:spacing w:line="360" w:lineRule="auto"/>
        <w:ind w:left="0" w:leftChars="0" w:firstLine="420" w:firstLineChars="200"/>
        <w:rPr>
          <w:rFonts w:hint="default" w:ascii="Times New Roman" w:hAnsi="Times New Roman" w:cs="Times New Roman"/>
          <w:highlight w:val="none"/>
        </w:rPr>
      </w:pPr>
      <w:r>
        <w:rPr>
          <w:rFonts w:hint="default" w:ascii="Times New Roman" w:hAnsi="Times New Roman" w:cs="Times New Roman"/>
          <w:highlight w:val="none"/>
        </w:rPr>
        <w:t>投资者申购、赎回的基金份额需为基金最小申购、赎回单位的整数倍。本基金本次份额拆分后，最小申购、赎回单位由</w:t>
      </w:r>
      <w:r>
        <w:rPr>
          <w:rFonts w:hint="eastAsia" w:ascii="Times New Roman" w:hAnsi="Times New Roman" w:cs="Times New Roman"/>
          <w:highlight w:val="none"/>
          <w:lang w:val="en-US" w:eastAsia="zh-CN"/>
        </w:rPr>
        <w:t>150</w:t>
      </w:r>
      <w:r>
        <w:rPr>
          <w:rFonts w:hint="default" w:ascii="Times New Roman" w:hAnsi="Times New Roman" w:cs="Times New Roman"/>
          <w:highlight w:val="none"/>
        </w:rPr>
        <w:t>万份调整为</w:t>
      </w:r>
      <w:r>
        <w:rPr>
          <w:rFonts w:hint="eastAsia" w:ascii="Times New Roman" w:hAnsi="Times New Roman" w:cs="Times New Roman"/>
          <w:highlight w:val="none"/>
          <w:lang w:val="en-US" w:eastAsia="zh-CN"/>
        </w:rPr>
        <w:t>500</w:t>
      </w:r>
      <w:r>
        <w:rPr>
          <w:rFonts w:hint="default" w:ascii="Times New Roman" w:hAnsi="Times New Roman" w:cs="Times New Roman"/>
          <w:highlight w:val="none"/>
        </w:rPr>
        <w:t>万份，若投资者持有场内份额小于最小申购、赎回单位，则投资者只能在二级市场卖出场内份额。</w:t>
      </w:r>
    </w:p>
    <w:p w14:paraId="66650D0F">
      <w:pPr>
        <w:numPr>
          <w:ilvl w:val="0"/>
          <w:numId w:val="4"/>
        </w:numPr>
        <w:spacing w:line="360" w:lineRule="auto"/>
        <w:ind w:left="0" w:leftChars="0" w:firstLine="420" w:firstLineChars="200"/>
        <w:rPr>
          <w:rFonts w:hint="default" w:ascii="Times New Roman" w:hAnsi="Times New Roman" w:cs="Times New Roman"/>
          <w:highlight w:val="none"/>
        </w:rPr>
      </w:pPr>
      <w:r>
        <w:rPr>
          <w:rFonts w:hint="default" w:ascii="Times New Roman" w:hAnsi="Times New Roman" w:cs="Times New Roman"/>
          <w:highlight w:val="none"/>
        </w:rPr>
        <w:t>投资者可访问本基金管理人网站（https://www.bosera.com）或拨打博时一线通95105568（免长途费）咨询相关事宜。</w:t>
      </w:r>
    </w:p>
    <w:p w14:paraId="1676F030">
      <w:pPr>
        <w:numPr>
          <w:ilvl w:val="0"/>
          <w:numId w:val="0"/>
        </w:numPr>
        <w:spacing w:line="360" w:lineRule="auto"/>
        <w:ind w:firstLine="420" w:firstLineChars="200"/>
        <w:rPr>
          <w:rFonts w:hint="default" w:ascii="Times New Roman" w:hAnsi="Times New Roman" w:cs="Times New Roman"/>
          <w:highlight w:val="none"/>
        </w:rPr>
      </w:pPr>
    </w:p>
    <w:p w14:paraId="2DEAFD89">
      <w:pPr>
        <w:numPr>
          <w:ilvl w:val="0"/>
          <w:numId w:val="0"/>
        </w:num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风险提示：本基金管理人承诺以诚实信用、勤勉尽责的原则管理和运用基金资产，但不保证基金一定盈利，也不保证最低收益。投资者投资于本基金管理人管理的基金时应认真阅读《基金合同》、《招募说明书》等法律文件，了解基金产品的详细情况，选择与自己风险识别能力和风险承受能力相匹配的基金，并注意投资风险。</w:t>
      </w:r>
    </w:p>
    <w:p w14:paraId="6AD4B552">
      <w:pPr>
        <w:numPr>
          <w:ilvl w:val="0"/>
          <w:numId w:val="0"/>
        </w:num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特此公告。</w:t>
      </w:r>
    </w:p>
    <w:p w14:paraId="4BABBCF9">
      <w:pPr>
        <w:numPr>
          <w:ilvl w:val="0"/>
          <w:numId w:val="0"/>
        </w:numPr>
        <w:spacing w:line="360" w:lineRule="auto"/>
        <w:jc w:val="right"/>
        <w:rPr>
          <w:rFonts w:hint="default" w:ascii="Times New Roman" w:hAnsi="Times New Roman" w:cs="Times New Roman" w:eastAsiaTheme="minorEastAsia"/>
          <w:highlight w:val="none"/>
          <w:lang w:eastAsia="zh-CN"/>
        </w:rPr>
      </w:pPr>
      <w:r>
        <w:rPr>
          <w:rFonts w:hint="default" w:ascii="Times New Roman" w:hAnsi="Times New Roman" w:cs="Times New Roman"/>
          <w:highlight w:val="none"/>
          <w:lang w:eastAsia="zh-CN"/>
        </w:rPr>
        <w:t>博时基金管理有限公司</w:t>
      </w:r>
    </w:p>
    <w:p w14:paraId="0CB78F2A">
      <w:pPr>
        <w:numPr>
          <w:ilvl w:val="0"/>
          <w:numId w:val="0"/>
        </w:numPr>
        <w:spacing w:line="360" w:lineRule="auto"/>
        <w:jc w:val="right"/>
        <w:rPr>
          <w:rFonts w:hint="default" w:ascii="Times New Roman" w:hAnsi="Times New Roman" w:cs="Times New Roman"/>
          <w:highlight w:val="none"/>
        </w:rPr>
      </w:pPr>
      <w:r>
        <w:rPr>
          <w:rFonts w:hint="default" w:ascii="Times New Roman" w:hAnsi="Times New Roman" w:cs="Times New Roman"/>
          <w:highlight w:val="none"/>
        </w:rPr>
        <w:t>2026年</w:t>
      </w:r>
      <w:r>
        <w:rPr>
          <w:rFonts w:hint="eastAsia" w:ascii="Times New Roman" w:hAnsi="Times New Roman" w:cs="Times New Roman"/>
          <w:highlight w:val="none"/>
          <w:lang w:val="en-US" w:eastAsia="zh-CN"/>
        </w:rPr>
        <w:t>7</w:t>
      </w:r>
      <w:r>
        <w:rPr>
          <w:rFonts w:hint="default" w:ascii="Times New Roman" w:hAnsi="Times New Roman" w:cs="Times New Roman"/>
          <w:highlight w:val="none"/>
        </w:rPr>
        <w:t>月</w:t>
      </w:r>
      <w:r>
        <w:rPr>
          <w:rFonts w:hint="eastAsia" w:ascii="Times New Roman" w:hAnsi="Times New Roman" w:cs="Times New Roman"/>
          <w:highlight w:val="none"/>
          <w:lang w:val="en-US" w:eastAsia="zh-CN"/>
        </w:rPr>
        <w:t>13</w:t>
      </w:r>
      <w:r>
        <w:rPr>
          <w:rFonts w:hint="default" w:ascii="Times New Roman" w:hAnsi="Times New Roman" w:cs="Times New Roman"/>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E3CED4"/>
    <w:multiLevelType w:val="singleLevel"/>
    <w:tmpl w:val="BCE3CED4"/>
    <w:lvl w:ilvl="0" w:tentative="0">
      <w:start w:val="1"/>
      <w:numFmt w:val="decimal"/>
      <w:suff w:val="nothing"/>
      <w:lvlText w:val="%1、"/>
      <w:lvlJc w:val="left"/>
    </w:lvl>
  </w:abstractNum>
  <w:abstractNum w:abstractNumId="1">
    <w:nsid w:val="F1296060"/>
    <w:multiLevelType w:val="singleLevel"/>
    <w:tmpl w:val="F1296060"/>
    <w:lvl w:ilvl="0" w:tentative="0">
      <w:start w:val="1"/>
      <w:numFmt w:val="chineseCounting"/>
      <w:suff w:val="nothing"/>
      <w:lvlText w:val="%1、"/>
      <w:lvlJc w:val="left"/>
      <w:rPr>
        <w:rFonts w:hint="eastAsia"/>
      </w:rPr>
    </w:lvl>
  </w:abstractNum>
  <w:abstractNum w:abstractNumId="2">
    <w:nsid w:val="2658E160"/>
    <w:multiLevelType w:val="singleLevel"/>
    <w:tmpl w:val="2658E160"/>
    <w:lvl w:ilvl="0" w:tentative="0">
      <w:start w:val="1"/>
      <w:numFmt w:val="decimal"/>
      <w:suff w:val="nothing"/>
      <w:lvlText w:val="（%1）"/>
      <w:lvlJc w:val="left"/>
    </w:lvl>
  </w:abstractNum>
  <w:abstractNum w:abstractNumId="3">
    <w:nsid w:val="5545B0BE"/>
    <w:multiLevelType w:val="singleLevel"/>
    <w:tmpl w:val="5545B0BE"/>
    <w:lvl w:ilvl="0" w:tentative="0">
      <w:start w:val="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A6561"/>
    <w:rsid w:val="0E336CD8"/>
    <w:rsid w:val="12AB3845"/>
    <w:rsid w:val="1AB97722"/>
    <w:rsid w:val="23F22E3B"/>
    <w:rsid w:val="285549AE"/>
    <w:rsid w:val="327E4063"/>
    <w:rsid w:val="484E3CA9"/>
    <w:rsid w:val="49494FFE"/>
    <w:rsid w:val="5BB62E95"/>
    <w:rsid w:val="6009081D"/>
    <w:rsid w:val="6A763BC1"/>
    <w:rsid w:val="6C343F7A"/>
    <w:rsid w:val="77241F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90</TotalTime>
  <ScaleCrop>false</ScaleCrop>
  <LinksUpToDate>false</LinksUpToDate>
  <CharactersWithSpaces>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2026-06-30T07:47:00Z</dcterms:created>
  <dc:creator>zhouhy</dc:creator>
  <cp:lastModifiedBy>zhouhy</cp:lastModifiedBy>
  <dcterms:modified xsi:type="dcterms:W3CDTF">2026-07-10T11:39:25Z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9302D6BB5B1648B28F5673068169DF36_12</vt:lpwstr>
  </property>
</Properties>
</file>