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B5DD3"/>
    <w:p w14:paraId="50883DE7">
      <w:pPr>
        <w:jc w:val="center"/>
        <w:rPr>
          <w:rFonts w:hint="eastAsia" w:ascii="宋体" w:hAnsi="宋体" w:eastAsia="宋体"/>
          <w:b/>
          <w:sz w:val="30"/>
        </w:rPr>
      </w:pPr>
      <w:r>
        <w:rPr>
          <w:rFonts w:hint="eastAsia" w:ascii="宋体" w:hAnsi="宋体" w:eastAsia="宋体"/>
          <w:b/>
          <w:sz w:val="30"/>
        </w:rPr>
        <w:t>博时富耀纯债一年定期开放债券型发起式证券投资基金开放申购、赎回业务公告</w:t>
      </w:r>
    </w:p>
    <w:p w14:paraId="3AD43256">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2026年6月17日</w:t>
      </w:r>
    </w:p>
    <w:p w14:paraId="15F87BAA">
      <w:pPr>
        <w:jc w:val="center"/>
        <w:rPr>
          <w:rFonts w:ascii="宋体" w:hAnsi="宋体" w:eastAsia="宋体"/>
          <w:b/>
          <w:sz w:val="24"/>
        </w:rPr>
      </w:pPr>
    </w:p>
    <w:p w14:paraId="3C2D1DD3">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26BD2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E7EB32F">
            <w:pPr>
              <w:rPr>
                <w:rFonts w:ascii="宋体" w:hAnsi="宋体" w:eastAsia="宋体"/>
                <w:sz w:val="24"/>
              </w:rPr>
            </w:pPr>
            <w:r>
              <w:rPr>
                <w:rFonts w:hint="eastAsia" w:ascii="宋体" w:hAnsi="宋体" w:eastAsia="宋体"/>
                <w:sz w:val="24"/>
              </w:rPr>
              <w:t>基金名称</w:t>
            </w:r>
          </w:p>
        </w:tc>
        <w:tc>
          <w:tcPr>
            <w:tcW w:w="5500" w:type="dxa"/>
            <w:vAlign w:val="center"/>
          </w:tcPr>
          <w:p w14:paraId="21C90944">
            <w:pPr>
              <w:rPr>
                <w:rFonts w:ascii="宋体" w:hAnsi="宋体" w:eastAsia="宋体"/>
                <w:sz w:val="24"/>
              </w:rPr>
            </w:pPr>
            <w:r>
              <w:rPr>
                <w:rFonts w:hint="eastAsia" w:ascii="宋体" w:hAnsi="宋体" w:eastAsia="宋体"/>
                <w:sz w:val="24"/>
              </w:rPr>
              <w:t>博时富耀纯债一年定期开放债券型发起式证券投资基金</w:t>
            </w:r>
          </w:p>
        </w:tc>
      </w:tr>
      <w:tr w14:paraId="5C93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332861B">
            <w:pPr>
              <w:rPr>
                <w:rFonts w:ascii="宋体" w:hAnsi="宋体" w:eastAsia="宋体"/>
                <w:sz w:val="24"/>
              </w:rPr>
            </w:pPr>
            <w:r>
              <w:rPr>
                <w:rFonts w:hint="eastAsia" w:ascii="宋体" w:hAnsi="宋体" w:eastAsia="宋体"/>
                <w:sz w:val="24"/>
              </w:rPr>
              <w:t>基金简称</w:t>
            </w:r>
          </w:p>
        </w:tc>
        <w:tc>
          <w:tcPr>
            <w:tcW w:w="5500" w:type="dxa"/>
            <w:vAlign w:val="center"/>
          </w:tcPr>
          <w:p w14:paraId="00122EA2">
            <w:pPr>
              <w:rPr>
                <w:rFonts w:ascii="宋体" w:hAnsi="宋体" w:eastAsia="宋体"/>
                <w:sz w:val="24"/>
              </w:rPr>
            </w:pPr>
            <w:r>
              <w:rPr>
                <w:rFonts w:hint="eastAsia" w:ascii="宋体" w:hAnsi="宋体" w:eastAsia="宋体"/>
                <w:sz w:val="24"/>
              </w:rPr>
              <w:t>博时富耀一年定开债发起式</w:t>
            </w:r>
          </w:p>
        </w:tc>
      </w:tr>
      <w:tr w14:paraId="5E7C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1B6481C">
            <w:pPr>
              <w:rPr>
                <w:rFonts w:ascii="宋体" w:hAnsi="宋体" w:eastAsia="宋体"/>
                <w:sz w:val="24"/>
              </w:rPr>
            </w:pPr>
            <w:r>
              <w:rPr>
                <w:rFonts w:hint="eastAsia" w:ascii="宋体" w:hAnsi="宋体" w:eastAsia="宋体"/>
                <w:sz w:val="24"/>
              </w:rPr>
              <w:t>基金主代码</w:t>
            </w:r>
          </w:p>
        </w:tc>
        <w:tc>
          <w:tcPr>
            <w:tcW w:w="5500" w:type="dxa"/>
            <w:vAlign w:val="center"/>
          </w:tcPr>
          <w:p w14:paraId="24EF1A0D">
            <w:pPr>
              <w:rPr>
                <w:rFonts w:ascii="宋体" w:hAnsi="宋体" w:eastAsia="宋体"/>
                <w:sz w:val="24"/>
              </w:rPr>
            </w:pPr>
            <w:r>
              <w:rPr>
                <w:rFonts w:ascii="宋体" w:hAnsi="宋体" w:eastAsia="宋体"/>
                <w:sz w:val="24"/>
              </w:rPr>
              <w:t>018407</w:t>
            </w:r>
          </w:p>
        </w:tc>
      </w:tr>
      <w:tr w14:paraId="395D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30BF12E">
            <w:pPr>
              <w:rPr>
                <w:rFonts w:ascii="宋体" w:hAnsi="宋体" w:eastAsia="宋体"/>
                <w:sz w:val="24"/>
              </w:rPr>
            </w:pPr>
            <w:r>
              <w:rPr>
                <w:rFonts w:hint="eastAsia" w:ascii="宋体" w:hAnsi="宋体" w:eastAsia="宋体"/>
                <w:sz w:val="24"/>
              </w:rPr>
              <w:t>基金运作方式</w:t>
            </w:r>
          </w:p>
        </w:tc>
        <w:tc>
          <w:tcPr>
            <w:tcW w:w="5500" w:type="dxa"/>
            <w:vAlign w:val="center"/>
          </w:tcPr>
          <w:p w14:paraId="5058682B">
            <w:pPr>
              <w:rPr>
                <w:rFonts w:ascii="宋体" w:hAnsi="宋体" w:eastAsia="宋体"/>
                <w:sz w:val="24"/>
              </w:rPr>
            </w:pPr>
            <w:r>
              <w:rPr>
                <w:rFonts w:hint="eastAsia" w:ascii="宋体" w:hAnsi="宋体" w:eastAsia="宋体"/>
                <w:sz w:val="24"/>
              </w:rPr>
              <w:t>契约型、定期开放式、发起式</w:t>
            </w:r>
          </w:p>
        </w:tc>
      </w:tr>
      <w:tr w14:paraId="0E40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16143F6">
            <w:pPr>
              <w:rPr>
                <w:rFonts w:ascii="宋体" w:hAnsi="宋体" w:eastAsia="宋体"/>
                <w:sz w:val="24"/>
              </w:rPr>
            </w:pPr>
            <w:r>
              <w:rPr>
                <w:rFonts w:hint="eastAsia" w:ascii="宋体" w:hAnsi="宋体" w:eastAsia="宋体"/>
                <w:sz w:val="24"/>
              </w:rPr>
              <w:t>基金合同生效日</w:t>
            </w:r>
          </w:p>
        </w:tc>
        <w:tc>
          <w:tcPr>
            <w:tcW w:w="5500" w:type="dxa"/>
            <w:vAlign w:val="center"/>
          </w:tcPr>
          <w:p w14:paraId="4720ABD6">
            <w:pPr>
              <w:rPr>
                <w:rFonts w:ascii="宋体" w:hAnsi="宋体" w:eastAsia="宋体"/>
                <w:sz w:val="24"/>
              </w:rPr>
            </w:pPr>
            <w:r>
              <w:rPr>
                <w:rFonts w:ascii="宋体" w:hAnsi="宋体" w:eastAsia="宋体"/>
                <w:sz w:val="24"/>
              </w:rPr>
              <w:t>2023年6月7日</w:t>
            </w:r>
          </w:p>
        </w:tc>
      </w:tr>
      <w:tr w14:paraId="5F32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720408B">
            <w:pPr>
              <w:rPr>
                <w:rFonts w:ascii="宋体" w:hAnsi="宋体" w:eastAsia="宋体"/>
                <w:sz w:val="24"/>
              </w:rPr>
            </w:pPr>
            <w:r>
              <w:rPr>
                <w:rFonts w:hint="eastAsia" w:ascii="宋体" w:hAnsi="宋体" w:eastAsia="宋体"/>
                <w:sz w:val="24"/>
              </w:rPr>
              <w:t>基金管理人名称</w:t>
            </w:r>
          </w:p>
        </w:tc>
        <w:tc>
          <w:tcPr>
            <w:tcW w:w="5500" w:type="dxa"/>
            <w:vAlign w:val="center"/>
          </w:tcPr>
          <w:p w14:paraId="0F154272">
            <w:pPr>
              <w:rPr>
                <w:rFonts w:ascii="宋体" w:hAnsi="宋体" w:eastAsia="宋体"/>
                <w:sz w:val="24"/>
              </w:rPr>
            </w:pPr>
            <w:r>
              <w:rPr>
                <w:rFonts w:hint="eastAsia" w:ascii="宋体" w:hAnsi="宋体" w:eastAsia="宋体"/>
                <w:sz w:val="24"/>
              </w:rPr>
              <w:t>博时基金管理有限公司</w:t>
            </w:r>
          </w:p>
        </w:tc>
      </w:tr>
      <w:tr w14:paraId="764E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ED67751">
            <w:pPr>
              <w:rPr>
                <w:rFonts w:ascii="宋体" w:hAnsi="宋体" w:eastAsia="宋体"/>
                <w:sz w:val="24"/>
              </w:rPr>
            </w:pPr>
            <w:r>
              <w:rPr>
                <w:rFonts w:hint="eastAsia" w:ascii="宋体" w:hAnsi="宋体" w:eastAsia="宋体"/>
                <w:sz w:val="24"/>
              </w:rPr>
              <w:t>基金托管人名称</w:t>
            </w:r>
          </w:p>
        </w:tc>
        <w:tc>
          <w:tcPr>
            <w:tcW w:w="5500" w:type="dxa"/>
            <w:vAlign w:val="center"/>
          </w:tcPr>
          <w:p w14:paraId="0217AF12">
            <w:pPr>
              <w:rPr>
                <w:rFonts w:ascii="宋体" w:hAnsi="宋体" w:eastAsia="宋体"/>
                <w:sz w:val="24"/>
              </w:rPr>
            </w:pPr>
            <w:r>
              <w:rPr>
                <w:rFonts w:hint="eastAsia" w:ascii="宋体" w:hAnsi="宋体" w:eastAsia="宋体"/>
                <w:sz w:val="24"/>
              </w:rPr>
              <w:t>中国光大银行股份有限公司</w:t>
            </w:r>
          </w:p>
        </w:tc>
      </w:tr>
      <w:tr w14:paraId="0A01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63E4518">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542B6097">
            <w:pPr>
              <w:rPr>
                <w:rFonts w:ascii="宋体" w:hAnsi="宋体" w:eastAsia="宋体"/>
                <w:sz w:val="24"/>
              </w:rPr>
            </w:pPr>
            <w:r>
              <w:rPr>
                <w:rFonts w:hint="eastAsia" w:ascii="宋体" w:hAnsi="宋体" w:eastAsia="宋体"/>
                <w:sz w:val="24"/>
              </w:rPr>
              <w:t>博时基金管理有限公司</w:t>
            </w:r>
          </w:p>
        </w:tc>
      </w:tr>
      <w:tr w14:paraId="16C2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66DE27E">
            <w:pPr>
              <w:rPr>
                <w:rFonts w:ascii="宋体" w:hAnsi="宋体" w:eastAsia="宋体"/>
                <w:sz w:val="24"/>
              </w:rPr>
            </w:pPr>
            <w:r>
              <w:rPr>
                <w:rFonts w:hint="eastAsia" w:ascii="宋体" w:hAnsi="宋体" w:eastAsia="宋体"/>
                <w:sz w:val="24"/>
              </w:rPr>
              <w:t>公告依据</w:t>
            </w:r>
          </w:p>
        </w:tc>
        <w:tc>
          <w:tcPr>
            <w:tcW w:w="5500" w:type="dxa"/>
            <w:vAlign w:val="center"/>
          </w:tcPr>
          <w:p w14:paraId="0278BFE1">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富耀纯债一年定期开放债券型发起式证券投资基金基金合同》（以下简称“《基金合同》”）及《博时富耀纯债一年定期开放债券型发起式证券投资基金招募说明书》（以下简称“《招募说明书》”）</w:t>
            </w:r>
          </w:p>
        </w:tc>
      </w:tr>
      <w:tr w14:paraId="318D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7489273">
            <w:pPr>
              <w:rPr>
                <w:rFonts w:ascii="宋体" w:hAnsi="宋体" w:eastAsia="宋体"/>
                <w:sz w:val="24"/>
              </w:rPr>
            </w:pPr>
            <w:r>
              <w:rPr>
                <w:rFonts w:hint="eastAsia" w:ascii="宋体" w:hAnsi="宋体" w:eastAsia="宋体"/>
                <w:sz w:val="24"/>
              </w:rPr>
              <w:t>申购起始日</w:t>
            </w:r>
          </w:p>
        </w:tc>
        <w:tc>
          <w:tcPr>
            <w:tcW w:w="5500" w:type="dxa"/>
            <w:vAlign w:val="center"/>
          </w:tcPr>
          <w:p w14:paraId="5D6E90B7">
            <w:pPr>
              <w:rPr>
                <w:rFonts w:ascii="宋体" w:hAnsi="宋体" w:eastAsia="宋体"/>
                <w:sz w:val="24"/>
              </w:rPr>
            </w:pPr>
            <w:r>
              <w:rPr>
                <w:rFonts w:ascii="宋体" w:hAnsi="宋体" w:eastAsia="宋体"/>
                <w:sz w:val="24"/>
              </w:rPr>
              <w:t>2026年6月22日</w:t>
            </w:r>
          </w:p>
        </w:tc>
      </w:tr>
      <w:tr w14:paraId="77855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1EF19A5">
            <w:pPr>
              <w:rPr>
                <w:rFonts w:ascii="宋体" w:hAnsi="宋体" w:eastAsia="宋体"/>
                <w:sz w:val="24"/>
              </w:rPr>
            </w:pPr>
            <w:r>
              <w:rPr>
                <w:rFonts w:hint="eastAsia" w:ascii="宋体" w:hAnsi="宋体" w:eastAsia="宋体"/>
                <w:sz w:val="24"/>
              </w:rPr>
              <w:t>赎回起始日</w:t>
            </w:r>
          </w:p>
        </w:tc>
        <w:tc>
          <w:tcPr>
            <w:tcW w:w="5500" w:type="dxa"/>
            <w:vAlign w:val="center"/>
          </w:tcPr>
          <w:p w14:paraId="2D0F33EE">
            <w:pPr>
              <w:rPr>
                <w:rFonts w:ascii="宋体" w:hAnsi="宋体" w:eastAsia="宋体"/>
                <w:sz w:val="24"/>
              </w:rPr>
            </w:pPr>
            <w:r>
              <w:rPr>
                <w:rFonts w:ascii="宋体" w:hAnsi="宋体" w:eastAsia="宋体"/>
                <w:sz w:val="24"/>
              </w:rPr>
              <w:t>2026年6月22日</w:t>
            </w:r>
          </w:p>
        </w:tc>
      </w:tr>
    </w:tbl>
    <w:p w14:paraId="052B18B2"/>
    <w:p w14:paraId="2493CB89">
      <w:pPr>
        <w:pStyle w:val="2"/>
        <w:rPr>
          <w:rFonts w:hint="eastAsia" w:ascii="宋体" w:hAnsi="宋体" w:eastAsia="宋体"/>
          <w:sz w:val="24"/>
        </w:rPr>
      </w:pPr>
      <w:r>
        <w:rPr>
          <w:rFonts w:hint="eastAsia" w:ascii="宋体" w:hAnsi="宋体" w:eastAsia="宋体"/>
          <w:sz w:val="24"/>
        </w:rPr>
        <w:t>2、日常申购、赎回业务的办理时间</w:t>
      </w:r>
    </w:p>
    <w:p w14:paraId="19CA56D1">
      <w:pPr>
        <w:pStyle w:val="5"/>
        <w:spacing w:before="0" w:beforeAutospacing="0" w:after="0" w:afterAutospacing="0" w:line="360" w:lineRule="auto"/>
        <w:ind w:firstLine="420"/>
      </w:pPr>
      <w:r>
        <w:rPr>
          <w:rFonts w:hint="eastAsia"/>
        </w:rPr>
        <w:t xml:space="preserve">（1）开放日及开放时间 </w:t>
      </w:r>
    </w:p>
    <w:p w14:paraId="7FC0E7F8">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7415670E">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6E0A46E4">
      <w:pPr>
        <w:pStyle w:val="5"/>
        <w:spacing w:before="0" w:beforeAutospacing="0" w:after="0" w:afterAutospacing="0" w:line="360" w:lineRule="auto"/>
        <w:ind w:firstLine="420"/>
        <w:rPr>
          <w:rFonts w:hint="eastAsia"/>
        </w:rPr>
      </w:pPr>
      <w:r>
        <w:rPr>
          <w:rFonts w:hint="eastAsia"/>
        </w:rPr>
        <w:t xml:space="preserve">（2）开放期及业务办理时间 </w:t>
      </w:r>
    </w:p>
    <w:p w14:paraId="685E663D">
      <w:pPr>
        <w:pStyle w:val="5"/>
        <w:spacing w:before="0" w:beforeAutospacing="0" w:after="0" w:afterAutospacing="0" w:line="360" w:lineRule="auto"/>
        <w:ind w:firstLine="420"/>
        <w:rPr>
          <w:rFonts w:hint="eastAsia"/>
        </w:rPr>
      </w:pPr>
      <w:r>
        <w:rPr>
          <w:rFonts w:hint="eastAsia"/>
        </w:rPr>
        <w:t xml:space="preserve">除法律法规或基金合同另有约定外，本基金自每个封闭期结束之后第一个工作日起（含该日）进入开放期，开放期的期限为自封闭期结束之日后第一个工作日起（含该日）1至20个工作日，具体期间由基金管理人在封闭期结束前公告说明。在开放期内，基金管理人有权延长开放期时间并公告，但开放期最长不可超过20个工作日。 </w:t>
      </w:r>
    </w:p>
    <w:p w14:paraId="4F36F856">
      <w:pPr>
        <w:pStyle w:val="5"/>
        <w:spacing w:before="0" w:beforeAutospacing="0" w:after="0" w:afterAutospacing="0" w:line="360" w:lineRule="auto"/>
        <w:ind w:firstLine="420"/>
        <w:rPr>
          <w:rFonts w:hint="eastAsia"/>
        </w:rPr>
      </w:pPr>
      <w:r>
        <w:rPr>
          <w:rFonts w:hint="eastAsia"/>
        </w:rPr>
        <w:t xml:space="preserve">本基金当前封闭期为自2025年6月21日至2026年6月21日止。本基金本次办理申购、赎回业务的开放期为2026年6月22日至2026年7月17日，共20个工作日。2026年7月18日（含该日）起1年期间，本基金将进入下一个封闭期，封闭期内本基金不办理申购、赎回业务。 </w:t>
      </w:r>
    </w:p>
    <w:p w14:paraId="7AFF409F">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7D3C2530">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25A85112">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25FC91B5">
      <w:pPr>
        <w:pStyle w:val="2"/>
        <w:rPr>
          <w:rFonts w:ascii="宋体" w:hAnsi="宋体" w:eastAsia="宋体"/>
          <w:sz w:val="24"/>
        </w:rPr>
      </w:pPr>
      <w:r>
        <w:rPr>
          <w:rFonts w:ascii="宋体" w:hAnsi="宋体" w:eastAsia="宋体"/>
          <w:sz w:val="24"/>
        </w:rPr>
        <w:t>3、日常申购业务</w:t>
      </w:r>
    </w:p>
    <w:p w14:paraId="03C9077B">
      <w:pPr>
        <w:pStyle w:val="3"/>
        <w:rPr>
          <w:rFonts w:hint="eastAsia" w:ascii="宋体" w:hAnsi="宋体" w:eastAsia="宋体"/>
          <w:sz w:val="24"/>
        </w:rPr>
      </w:pPr>
      <w:r>
        <w:rPr>
          <w:rFonts w:hint="eastAsia" w:ascii="宋体" w:hAnsi="宋体" w:eastAsia="宋体"/>
          <w:sz w:val="24"/>
        </w:rPr>
        <w:t>3.1申购金额限制</w:t>
      </w:r>
    </w:p>
    <w:p w14:paraId="6D469164">
      <w:pPr>
        <w:pStyle w:val="5"/>
        <w:spacing w:before="0" w:beforeAutospacing="0" w:after="0" w:afterAutospacing="0" w:line="360" w:lineRule="auto"/>
        <w:ind w:firstLine="420"/>
        <w:rPr>
          <w:rFonts w:hint="eastAsia"/>
        </w:rPr>
      </w:pPr>
      <w:r>
        <w:rPr>
          <w:rFonts w:hint="eastAsia"/>
        </w:rPr>
        <w:t xml:space="preserve">首次申购本基金基金份额的单笔最低金额为1.00元（含申购费），追加申购单笔最低金额为1.00元（含申购费）；具体规定请参见相关公告。 </w:t>
      </w:r>
    </w:p>
    <w:p w14:paraId="37C4CB10">
      <w:pPr>
        <w:pStyle w:val="3"/>
        <w:rPr>
          <w:rFonts w:ascii="宋体" w:hAnsi="宋体" w:eastAsia="宋体"/>
          <w:sz w:val="24"/>
        </w:rPr>
      </w:pPr>
      <w:r>
        <w:rPr>
          <w:rFonts w:ascii="宋体" w:hAnsi="宋体" w:eastAsia="宋体"/>
          <w:sz w:val="24"/>
        </w:rPr>
        <w:t>3.2申购费率</w:t>
      </w:r>
    </w:p>
    <w:p w14:paraId="6B5887DF">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5DBDB1A0">
      <w:pPr>
        <w:pStyle w:val="5"/>
        <w:spacing w:before="0" w:beforeAutospacing="0" w:after="0" w:afterAutospacing="0" w:line="360" w:lineRule="auto"/>
        <w:ind w:firstLine="420"/>
        <w:rPr>
          <w:rFonts w:hint="eastAsia"/>
        </w:rPr>
      </w:pPr>
      <w:r>
        <w:rPr>
          <w:rFonts w:hint="eastAsia"/>
        </w:rPr>
        <w:t xml:space="preserve">投资者的申购费用如下： </w:t>
      </w:r>
    </w:p>
    <w:tbl>
      <w:tblPr>
        <w:tblStyle w:val="7"/>
        <w:tblW w:w="37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44"/>
        <w:gridCol w:w="2967"/>
      </w:tblGrid>
      <w:tr w14:paraId="023E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49" w:type="pct"/>
            <w:shd w:val="clear" w:color="auto" w:fill="auto"/>
          </w:tcPr>
          <w:p w14:paraId="5590FFC1">
            <w:pPr>
              <w:pStyle w:val="5"/>
              <w:spacing w:before="0" w:beforeAutospacing="0" w:after="0" w:afterAutospacing="0" w:line="360" w:lineRule="auto"/>
              <w:ind w:firstLine="420"/>
              <w:rPr>
                <w:rFonts w:hint="eastAsia"/>
              </w:rPr>
            </w:pPr>
            <w:r>
              <w:rPr>
                <w:rFonts w:hint="eastAsia"/>
              </w:rPr>
              <w:t xml:space="preserve">金额（M） </w:t>
            </w:r>
          </w:p>
        </w:tc>
        <w:tc>
          <w:tcPr>
            <w:tcW w:w="2350" w:type="pct"/>
            <w:shd w:val="clear" w:color="auto" w:fill="auto"/>
          </w:tcPr>
          <w:p w14:paraId="7D4D9A18">
            <w:pPr>
              <w:pStyle w:val="5"/>
              <w:spacing w:before="0" w:beforeAutospacing="0" w:after="0" w:afterAutospacing="0" w:line="360" w:lineRule="auto"/>
              <w:ind w:firstLine="420"/>
              <w:rPr>
                <w:rFonts w:hint="eastAsia"/>
              </w:rPr>
            </w:pPr>
            <w:r>
              <w:rPr>
                <w:rFonts w:hint="eastAsia"/>
              </w:rPr>
              <w:t xml:space="preserve">申购费率 </w:t>
            </w:r>
          </w:p>
        </w:tc>
      </w:tr>
      <w:tr w14:paraId="45397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49" w:type="pct"/>
            <w:shd w:val="clear" w:color="auto" w:fill="auto"/>
          </w:tcPr>
          <w:p w14:paraId="319CB54F">
            <w:pPr>
              <w:pStyle w:val="5"/>
              <w:spacing w:before="0" w:beforeAutospacing="0" w:after="0" w:afterAutospacing="0" w:line="360" w:lineRule="auto"/>
              <w:ind w:firstLine="420"/>
              <w:rPr>
                <w:rFonts w:hint="eastAsia"/>
              </w:rPr>
            </w:pPr>
            <w:r>
              <w:rPr>
                <w:rFonts w:hint="eastAsia"/>
              </w:rPr>
              <w:t xml:space="preserve">M＜500万 </w:t>
            </w:r>
          </w:p>
        </w:tc>
        <w:tc>
          <w:tcPr>
            <w:tcW w:w="2350" w:type="pct"/>
            <w:shd w:val="clear" w:color="auto" w:fill="auto"/>
          </w:tcPr>
          <w:p w14:paraId="74B809A5">
            <w:pPr>
              <w:pStyle w:val="5"/>
              <w:spacing w:before="0" w:beforeAutospacing="0" w:after="0" w:afterAutospacing="0" w:line="360" w:lineRule="auto"/>
              <w:ind w:firstLine="420"/>
              <w:rPr>
                <w:rFonts w:hint="eastAsia"/>
              </w:rPr>
            </w:pPr>
            <w:r>
              <w:rPr>
                <w:rFonts w:hint="eastAsia"/>
              </w:rPr>
              <w:t xml:space="preserve">0.30% </w:t>
            </w:r>
          </w:p>
        </w:tc>
      </w:tr>
      <w:tr w14:paraId="3960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49" w:type="pct"/>
            <w:shd w:val="clear" w:color="auto" w:fill="auto"/>
          </w:tcPr>
          <w:p w14:paraId="5DD67CD1">
            <w:pPr>
              <w:pStyle w:val="5"/>
              <w:spacing w:before="0" w:beforeAutospacing="0" w:after="0" w:afterAutospacing="0" w:line="360" w:lineRule="auto"/>
              <w:ind w:firstLine="420"/>
              <w:rPr>
                <w:rFonts w:hint="eastAsia"/>
              </w:rPr>
            </w:pPr>
            <w:r>
              <w:rPr>
                <w:rFonts w:hint="eastAsia"/>
              </w:rPr>
              <w:t xml:space="preserve">M≥500万 </w:t>
            </w:r>
          </w:p>
        </w:tc>
        <w:tc>
          <w:tcPr>
            <w:tcW w:w="2350" w:type="pct"/>
            <w:shd w:val="clear" w:color="auto" w:fill="auto"/>
          </w:tcPr>
          <w:p w14:paraId="35F3A2D6">
            <w:pPr>
              <w:pStyle w:val="5"/>
              <w:spacing w:before="0" w:beforeAutospacing="0" w:after="0" w:afterAutospacing="0" w:line="360" w:lineRule="auto"/>
              <w:ind w:firstLine="420"/>
              <w:rPr>
                <w:rFonts w:hint="eastAsia"/>
              </w:rPr>
            </w:pPr>
            <w:r>
              <w:rPr>
                <w:rFonts w:hint="eastAsia"/>
              </w:rPr>
              <w:t xml:space="preserve">每笔1,000元 </w:t>
            </w:r>
          </w:p>
        </w:tc>
      </w:tr>
    </w:tbl>
    <w:p w14:paraId="3FE33AE8">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2DF06135">
      <w:pPr>
        <w:pStyle w:val="5"/>
        <w:spacing w:before="0" w:beforeAutospacing="0" w:after="0" w:afterAutospacing="0" w:line="360" w:lineRule="auto"/>
        <w:ind w:firstLine="420"/>
        <w:rPr>
          <w:rFonts w:hint="eastAsia"/>
        </w:rPr>
      </w:pPr>
      <w:r>
        <w:rPr>
          <w:rFonts w:hint="eastAsia"/>
        </w:rPr>
        <w:t xml:space="preserve">基金管理人可以针对特定投资人（如养老金客户等）开展费率优惠活动，具体见基金管理人相关公告。 </w:t>
      </w:r>
    </w:p>
    <w:p w14:paraId="45DB55C1">
      <w:pPr>
        <w:pStyle w:val="3"/>
        <w:rPr>
          <w:rFonts w:hint="eastAsia" w:ascii="宋体" w:hAnsi="宋体" w:eastAsia="宋体"/>
          <w:sz w:val="24"/>
        </w:rPr>
      </w:pPr>
      <w:r>
        <w:rPr>
          <w:rFonts w:hint="eastAsia" w:ascii="宋体" w:hAnsi="宋体" w:eastAsia="宋体"/>
          <w:sz w:val="24"/>
        </w:rPr>
        <w:t>3.3其他与申购相关的事项</w:t>
      </w:r>
    </w:p>
    <w:p w14:paraId="39796939">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57392AEE">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42980958">
      <w:pPr>
        <w:pStyle w:val="2"/>
        <w:rPr>
          <w:rFonts w:ascii="宋体" w:hAnsi="宋体" w:eastAsia="宋体"/>
          <w:sz w:val="24"/>
        </w:rPr>
      </w:pPr>
      <w:r>
        <w:rPr>
          <w:rFonts w:ascii="宋体" w:hAnsi="宋体" w:eastAsia="宋体"/>
          <w:sz w:val="24"/>
        </w:rPr>
        <w:t>4、日常赎回业务</w:t>
      </w:r>
    </w:p>
    <w:p w14:paraId="7972D3E4">
      <w:pPr>
        <w:pStyle w:val="3"/>
        <w:rPr>
          <w:rFonts w:hint="eastAsia" w:ascii="宋体" w:hAnsi="宋体" w:eastAsia="宋体"/>
          <w:sz w:val="24"/>
        </w:rPr>
      </w:pPr>
      <w:r>
        <w:rPr>
          <w:rFonts w:hint="eastAsia" w:ascii="宋体" w:hAnsi="宋体" w:eastAsia="宋体"/>
          <w:sz w:val="24"/>
        </w:rPr>
        <w:t>4.1赎回份额限制</w:t>
      </w:r>
    </w:p>
    <w:p w14:paraId="20EDE86C">
      <w:pPr>
        <w:pStyle w:val="5"/>
        <w:spacing w:before="0" w:beforeAutospacing="0" w:after="0" w:afterAutospacing="0" w:line="360" w:lineRule="auto"/>
        <w:ind w:firstLine="420"/>
        <w:rPr>
          <w:rFonts w:hint="eastAsia"/>
        </w:rPr>
      </w:pPr>
      <w:r>
        <w:rPr>
          <w:rFonts w:hint="eastAsia"/>
        </w:rPr>
        <w:t xml:space="preserve">每个交易账户最低持有基金份额余额为1份，若某笔赎回导致单个交易账户的基金份额余额少于1份时，余额部分基金份额必须一同赎回。 </w:t>
      </w:r>
    </w:p>
    <w:p w14:paraId="3C7049C2">
      <w:pPr>
        <w:pStyle w:val="3"/>
        <w:rPr>
          <w:rFonts w:ascii="宋体" w:hAnsi="宋体" w:eastAsia="宋体"/>
          <w:sz w:val="24"/>
        </w:rPr>
      </w:pPr>
      <w:r>
        <w:rPr>
          <w:rFonts w:ascii="宋体" w:hAnsi="宋体" w:eastAsia="宋体"/>
          <w:sz w:val="24"/>
        </w:rPr>
        <w:t>4.2赎回费率</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8"/>
        <w:gridCol w:w="2414"/>
      </w:tblGrid>
      <w:tr w14:paraId="389F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1FE69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赎回份额持有时间 （Y） </w:t>
            </w:r>
          </w:p>
        </w:tc>
        <w:tc>
          <w:tcPr>
            <w:tcW w:w="0" w:type="auto"/>
            <w:shd w:val="clear" w:color="auto" w:fill="auto"/>
          </w:tcPr>
          <w:p w14:paraId="2F963546">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赎回费率 </w:t>
            </w:r>
          </w:p>
        </w:tc>
      </w:tr>
      <w:tr w14:paraId="7C2C6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BF46CB">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Y&lt;7日 </w:t>
            </w:r>
          </w:p>
        </w:tc>
        <w:tc>
          <w:tcPr>
            <w:tcW w:w="0" w:type="auto"/>
            <w:shd w:val="clear" w:color="auto" w:fill="auto"/>
          </w:tcPr>
          <w:p w14:paraId="31E456BE">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1.50% </w:t>
            </w:r>
          </w:p>
        </w:tc>
      </w:tr>
      <w:tr w14:paraId="5123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5ABE0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7日≤Y&lt;30日 </w:t>
            </w:r>
          </w:p>
        </w:tc>
        <w:tc>
          <w:tcPr>
            <w:tcW w:w="0" w:type="auto"/>
            <w:shd w:val="clear" w:color="auto" w:fill="auto"/>
          </w:tcPr>
          <w:p w14:paraId="61E29E5F">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0.05% </w:t>
            </w:r>
          </w:p>
        </w:tc>
      </w:tr>
      <w:tr w14:paraId="7820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7D67A6">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Y≥30日 </w:t>
            </w:r>
          </w:p>
        </w:tc>
        <w:tc>
          <w:tcPr>
            <w:tcW w:w="0" w:type="auto"/>
            <w:shd w:val="clear" w:color="auto" w:fill="auto"/>
          </w:tcPr>
          <w:p w14:paraId="6A4D5427">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0 </w:t>
            </w:r>
          </w:p>
        </w:tc>
      </w:tr>
    </w:tbl>
    <w:p w14:paraId="1161DC6C">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本基金的赎回费用由赎回基金份额的基金份额持有人承担，在基金份额持有人赎回基金份额时收取。其中，对持续持有期少于7日的投资者收取不低于1.5%的赎回费并全额计入基金财产；其他赎回费中不低于赎回费总额的25%归入基金财产，未归入基金财产的部分用于支付登记费和其他必要的手续费。 </w:t>
      </w:r>
    </w:p>
    <w:p w14:paraId="49C8C850">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基金管理人可以针对特定投资人（如养老金客户等）开展费率优惠活动，具体见基金管理人相关公告。 </w:t>
      </w:r>
    </w:p>
    <w:p w14:paraId="26DBA01F">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对于每份申购份额，持有期指自该基金份额申购确认日至赎回确认日（不含该日）。 </w:t>
      </w:r>
    </w:p>
    <w:p w14:paraId="50238A3D">
      <w:pPr>
        <w:pStyle w:val="3"/>
        <w:rPr>
          <w:rFonts w:hint="eastAsia" w:ascii="宋体" w:hAnsi="宋体" w:eastAsia="宋体"/>
          <w:sz w:val="24"/>
        </w:rPr>
      </w:pPr>
      <w:r>
        <w:rPr>
          <w:rFonts w:hint="eastAsia" w:ascii="宋体" w:hAnsi="宋体" w:eastAsia="宋体"/>
          <w:sz w:val="24"/>
        </w:rPr>
        <w:t>4.3其他与赎回相关的事项</w:t>
      </w:r>
    </w:p>
    <w:p w14:paraId="520E9954">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7E0037B5">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1C1863E6">
      <w:pPr>
        <w:pStyle w:val="2"/>
        <w:rPr>
          <w:rFonts w:ascii="宋体" w:hAnsi="宋体" w:eastAsia="宋体"/>
          <w:sz w:val="24"/>
        </w:rPr>
      </w:pPr>
      <w:r>
        <w:rPr>
          <w:rFonts w:ascii="宋体" w:hAnsi="宋体" w:eastAsia="宋体"/>
          <w:sz w:val="24"/>
        </w:rPr>
        <w:t>5、基金销售机构</w:t>
      </w:r>
    </w:p>
    <w:p w14:paraId="44C4611A">
      <w:pPr>
        <w:pStyle w:val="3"/>
        <w:rPr>
          <w:rFonts w:hint="eastAsia" w:ascii="宋体" w:hAnsi="宋体" w:eastAsia="宋体"/>
          <w:sz w:val="24"/>
        </w:rPr>
      </w:pPr>
      <w:r>
        <w:rPr>
          <w:rFonts w:hint="eastAsia" w:ascii="宋体" w:hAnsi="宋体" w:eastAsia="宋体"/>
          <w:sz w:val="24"/>
        </w:rPr>
        <w:t>5.1场外销售机构</w:t>
      </w:r>
    </w:p>
    <w:p w14:paraId="4FBBEA51">
      <w:pPr>
        <w:pStyle w:val="4"/>
        <w:rPr>
          <w:rFonts w:hint="eastAsia" w:ascii="宋体" w:hAnsi="宋体" w:eastAsia="宋体"/>
          <w:sz w:val="24"/>
        </w:rPr>
      </w:pPr>
      <w:r>
        <w:rPr>
          <w:rFonts w:hint="eastAsia" w:ascii="宋体" w:hAnsi="宋体" w:eastAsia="宋体"/>
          <w:sz w:val="24"/>
        </w:rPr>
        <w:t>5.1.1直销机构</w:t>
      </w:r>
    </w:p>
    <w:p w14:paraId="2E25DA6D">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5082890A">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6498761A">
      <w:pPr>
        <w:pStyle w:val="4"/>
        <w:rPr>
          <w:rFonts w:ascii="宋体" w:hAnsi="宋体" w:eastAsia="宋体"/>
          <w:sz w:val="24"/>
        </w:rPr>
      </w:pPr>
      <w:r>
        <w:rPr>
          <w:rFonts w:ascii="宋体" w:hAnsi="宋体" w:eastAsia="宋体"/>
          <w:sz w:val="24"/>
        </w:rPr>
        <w:t>5.1.2场外非直销机构</w:t>
      </w:r>
    </w:p>
    <w:p w14:paraId="43A48C87">
      <w:pPr>
        <w:pStyle w:val="5"/>
        <w:spacing w:before="0" w:beforeAutospacing="0" w:after="0" w:afterAutospacing="0" w:line="360" w:lineRule="auto"/>
        <w:ind w:firstLine="420"/>
      </w:pPr>
      <w:r>
        <w:rPr>
          <w:rFonts w:hint="eastAsia"/>
        </w:rPr>
        <w:t xml:space="preserve">博时财富基金销售有限公司、上海利得基金销售有限公司、京东肯特瑞基金销售有限公司 </w:t>
      </w:r>
    </w:p>
    <w:p w14:paraId="45DB064A">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4E173F37">
      <w:pPr>
        <w:pStyle w:val="2"/>
        <w:rPr>
          <w:rFonts w:ascii="宋体" w:hAnsi="宋体" w:eastAsia="宋体"/>
          <w:sz w:val="24"/>
        </w:rPr>
      </w:pPr>
      <w:r>
        <w:rPr>
          <w:rFonts w:ascii="宋体" w:hAnsi="宋体" w:eastAsia="宋体"/>
          <w:sz w:val="24"/>
        </w:rPr>
        <w:t xml:space="preserve">6、基金份额净值公告/基金收益公告的披露安排 </w:t>
      </w:r>
    </w:p>
    <w:p w14:paraId="737EC7CA">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21802BAC">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328BDE6A">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68E24A0E">
      <w:pPr>
        <w:pStyle w:val="2"/>
        <w:rPr>
          <w:rFonts w:ascii="宋体" w:hAnsi="宋体" w:eastAsia="宋体"/>
          <w:sz w:val="24"/>
        </w:rPr>
      </w:pPr>
      <w:r>
        <w:rPr>
          <w:rFonts w:ascii="宋体" w:hAnsi="宋体" w:eastAsia="宋体"/>
          <w:sz w:val="24"/>
        </w:rPr>
        <w:t>7、其他需要提示的事项</w:t>
      </w:r>
    </w:p>
    <w:p w14:paraId="6D417D3B">
      <w:pPr>
        <w:pStyle w:val="5"/>
        <w:spacing w:before="0" w:beforeAutospacing="0" w:after="0" w:afterAutospacing="0" w:line="360" w:lineRule="auto"/>
        <w:ind w:firstLine="420"/>
      </w:pPr>
      <w:r>
        <w:rPr>
          <w:rFonts w:hint="eastAsia"/>
        </w:rPr>
        <w:t xml:space="preserve">（1）本公告仅对博时富耀纯债一年定期开放债券型发起式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5DB9F8B7">
      <w:pPr>
        <w:pStyle w:val="5"/>
        <w:spacing w:before="0" w:beforeAutospacing="0" w:after="0" w:afterAutospacing="0" w:line="360" w:lineRule="auto"/>
        <w:ind w:firstLine="420"/>
        <w:rPr>
          <w:rFonts w:hint="eastAsia"/>
        </w:rPr>
      </w:pPr>
      <w:r>
        <w:rPr>
          <w:rFonts w:hint="eastAsia"/>
        </w:rPr>
        <w:t xml:space="preserve">（2）2026年6月22日至2026年7月17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18C129CB">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7A4B1612">
      <w:pPr>
        <w:pStyle w:val="5"/>
        <w:spacing w:before="0" w:beforeAutospacing="0" w:after="0" w:afterAutospacing="0" w:line="360" w:lineRule="auto"/>
        <w:ind w:firstLine="420"/>
        <w:rPr>
          <w:rFonts w:hint="eastAsia"/>
        </w:rPr>
      </w:pPr>
      <w:r>
        <w:rPr>
          <w:rFonts w:hint="eastAsia"/>
        </w:rPr>
        <w:t xml:space="preserve">特此公告。 </w:t>
      </w:r>
    </w:p>
    <w:p w14:paraId="6739EED4">
      <w:pPr>
        <w:pStyle w:val="5"/>
        <w:spacing w:before="0" w:beforeAutospacing="0" w:after="0" w:afterAutospacing="0" w:line="360" w:lineRule="auto"/>
      </w:pPr>
    </w:p>
    <w:p w14:paraId="76D5F35D">
      <w:pPr>
        <w:pStyle w:val="5"/>
        <w:spacing w:before="0" w:beforeAutospacing="0" w:after="0" w:afterAutospacing="0" w:line="360" w:lineRule="auto"/>
        <w:ind w:firstLine="420"/>
        <w:jc w:val="right"/>
        <w:rPr>
          <w:rFonts w:hint="eastAsia"/>
        </w:rPr>
      </w:pPr>
      <w:bookmarkStart w:id="0" w:name="_GoBack"/>
      <w:bookmarkEnd w:id="0"/>
      <w:r>
        <w:rPr>
          <w:rFonts w:hint="eastAsia"/>
        </w:rPr>
        <w:t>博时基金管理有限公司</w:t>
      </w:r>
    </w:p>
    <w:p w14:paraId="4A3A4FEA">
      <w:pPr>
        <w:pStyle w:val="5"/>
        <w:spacing w:before="0" w:beforeAutospacing="0" w:after="0" w:afterAutospacing="0" w:line="360" w:lineRule="auto"/>
        <w:ind w:firstLine="420"/>
        <w:jc w:val="right"/>
      </w:pPr>
      <w:r>
        <w:t>2026年6月17日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7ED"/>
    <w:rsid w:val="0040167E"/>
    <w:rsid w:val="00E157ED"/>
    <w:rsid w:val="37CC5132"/>
    <w:rsid w:val="38141D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6</Pages>
  <Words>440</Words>
  <Characters>2509</Characters>
  <Lines>20</Lines>
  <Paragraphs>5</Paragraphs>
  <TotalTime>0</TotalTime>
  <ScaleCrop>false</ScaleCrop>
  <LinksUpToDate>false</LinksUpToDate>
  <CharactersWithSpaces>2944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2026-06-16T01:45:00Z</dcterms:created>
  <dc:creator>BSKMadminDev</dc:creator>
  <cp:lastModifiedBy>panan</cp:lastModifiedBy>
  <dcterms:modified xsi:type="dcterms:W3CDTF">2026-06-16T01:49:58Z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E9C6375939F644D9B7C1A7F00F171164_13</vt:lpwstr>
  </property>
</Properties>
</file>