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CB134D">
      <w:pPr>
        <w:spacing w:line="360" w:lineRule="auto"/>
        <w:jc w:val="center"/>
        <w:rPr>
          <w:rFonts w:asciiTheme="minorEastAsia" w:hAnsiTheme="minorEastAsia" w:eastAsiaTheme="minorEastAsia"/>
          <w:b/>
          <w:bCs/>
          <w:color w:val="2B2B2B"/>
          <w:sz w:val="28"/>
          <w:szCs w:val="28"/>
        </w:rPr>
      </w:pPr>
      <w:bookmarkStart w:id="0" w:name="_GoBack"/>
      <w:bookmarkEnd w:id="0"/>
      <w:r>
        <w:rPr>
          <w:rFonts w:hint="eastAsia" w:asciiTheme="minorEastAsia" w:hAnsiTheme="minorEastAsia" w:eastAsiaTheme="minorEastAsia"/>
          <w:b/>
          <w:bCs/>
          <w:color w:val="2B2B2B"/>
          <w:sz w:val="28"/>
          <w:szCs w:val="28"/>
        </w:rPr>
        <w:t>博时基金管理有限公司关于旗下基金持有的长期停牌股票调整估值方法的公告</w:t>
      </w:r>
    </w:p>
    <w:p w14:paraId="0F2BBBB1">
      <w:pPr>
        <w:spacing w:line="360" w:lineRule="auto"/>
        <w:jc w:val="center"/>
        <w:rPr>
          <w:rFonts w:asciiTheme="minorEastAsia" w:hAnsiTheme="minorEastAsia" w:eastAsiaTheme="minorEastAsia"/>
          <w:b/>
          <w:bCs/>
          <w:color w:val="2B2B2B"/>
          <w:sz w:val="28"/>
          <w:szCs w:val="28"/>
        </w:rPr>
      </w:pPr>
    </w:p>
    <w:p w14:paraId="14646E2E">
      <w:pPr>
        <w:spacing w:line="360" w:lineRule="auto"/>
        <w:ind w:firstLine="420" w:firstLineChars="200"/>
        <w:rPr>
          <w:color w:val="000000"/>
        </w:rPr>
      </w:pPr>
      <w:r>
        <w:rPr>
          <w:rFonts w:hint="eastAsia"/>
          <w:color w:val="000000"/>
        </w:rPr>
        <w:t>根据中国证监会《中国证监会关于证券投资基金估值业务的指导意见》（中国证监会发  [2017]第13号）、中国证券业协会基金估值工作小组《关于停牌股票估值的参考方法》以及中国证券投资基金业协会《关于发布中基协（AMAC）基金行业股票估值指数的通知》(中基协发[2013] 第13号)的有关规定，经博时基金管理有限公司（以下简称"本公司"）与托管银行协商一致，决定于</w:t>
      </w:r>
      <w:r>
        <w:rPr>
          <w:rFonts w:hint="eastAsia"/>
          <w:color w:val="000000"/>
          <w:lang w:val="en-US" w:eastAsia="zh-CN"/>
        </w:rPr>
        <w:t>2026年07月13日</w:t>
      </w:r>
      <w:r>
        <w:rPr>
          <w:rFonts w:hint="eastAsia"/>
          <w:color w:val="000000"/>
        </w:rPr>
        <w:t>起对本公司旗下</w:t>
      </w:r>
      <w:r>
        <w:rPr>
          <w:rFonts w:hint="eastAsia"/>
          <w:color w:val="000000"/>
          <w:lang w:eastAsia="zh-CN"/>
        </w:rPr>
        <w:t>证券投资</w:t>
      </w:r>
      <w:r>
        <w:rPr>
          <w:rFonts w:hint="eastAsia"/>
          <w:color w:val="000000"/>
        </w:rPr>
        <w:t>基金</w:t>
      </w:r>
      <w:r>
        <w:rPr>
          <w:rFonts w:hint="eastAsia"/>
          <w:color w:val="000000"/>
          <w:lang w:eastAsia="zh-CN"/>
        </w:rPr>
        <w:t>（</w:t>
      </w:r>
      <w:r>
        <w:rPr>
          <w:rFonts w:hint="eastAsia"/>
          <w:color w:val="000000"/>
          <w:lang w:val="en-US" w:eastAsia="zh-CN"/>
        </w:rPr>
        <w:t>ETF基金除外</w:t>
      </w:r>
      <w:r>
        <w:rPr>
          <w:rFonts w:hint="eastAsia"/>
          <w:color w:val="000000"/>
          <w:lang w:eastAsia="zh-CN"/>
        </w:rPr>
        <w:t>）</w:t>
      </w:r>
      <w:r>
        <w:rPr>
          <w:rFonts w:hint="eastAsia"/>
          <w:color w:val="000000"/>
        </w:rPr>
        <w:t>所持有"</w:t>
      </w:r>
      <w:r>
        <w:rPr>
          <w:rFonts w:hint="eastAsia"/>
          <w:color w:val="000000"/>
          <w:lang w:val="en-US" w:eastAsia="zh-CN"/>
        </w:rPr>
        <w:t>精测电子（股票代码300567）</w:t>
      </w:r>
      <w:r>
        <w:rPr>
          <w:rFonts w:hint="eastAsia"/>
          <w:color w:val="000000"/>
        </w:rPr>
        <w:t>"采用"指数收益法"进行估值，并采用中基协AMAC行业指数作为计算依据。</w:t>
      </w:r>
      <w:r>
        <w:rPr>
          <w:color w:val="000000"/>
        </w:rPr>
        <w:t xml:space="preserve">  </w:t>
      </w:r>
    </w:p>
    <w:p w14:paraId="0FD4F2AE">
      <w:pPr>
        <w:spacing w:line="360" w:lineRule="auto"/>
        <w:ind w:firstLine="420" w:firstLineChars="200"/>
        <w:rPr>
          <w:color w:val="000000"/>
        </w:rPr>
      </w:pPr>
      <w:r>
        <w:rPr>
          <w:rFonts w:hint="eastAsia"/>
          <w:color w:val="000000"/>
        </w:rPr>
        <w:t>在"</w:t>
      </w:r>
      <w:r>
        <w:rPr>
          <w:rFonts w:hint="eastAsia"/>
          <w:color w:val="000000"/>
          <w:lang w:val="en-US" w:eastAsia="zh-CN"/>
        </w:rPr>
        <w:t>精测电子</w:t>
      </w:r>
      <w:r>
        <w:rPr>
          <w:rFonts w:hint="eastAsia"/>
          <w:color w:val="000000"/>
        </w:rPr>
        <w:t xml:space="preserve">"复牌且其交易体现了活跃市场交易特征后，恢复按市场价格进行估值，届时不再另行公告。敬请投资者予以关注。 </w:t>
      </w:r>
    </w:p>
    <w:p w14:paraId="263B4EA3">
      <w:pPr>
        <w:spacing w:line="360" w:lineRule="auto"/>
        <w:ind w:firstLine="420" w:firstLineChars="200"/>
        <w:rPr>
          <w:color w:val="000000"/>
        </w:rPr>
      </w:pPr>
      <w:r>
        <w:rPr>
          <w:rFonts w:hint="eastAsia"/>
          <w:color w:val="000000"/>
        </w:rPr>
        <w:t>特此公告。</w:t>
      </w:r>
    </w:p>
    <w:p w14:paraId="0EDA309D">
      <w:pPr>
        <w:spacing w:line="360" w:lineRule="auto"/>
        <w:jc w:val="center"/>
        <w:rPr>
          <w:rFonts w:asciiTheme="minorEastAsia" w:hAnsiTheme="minorEastAsia" w:eastAsiaTheme="minorEastAsia"/>
          <w:b/>
          <w:bCs/>
          <w:color w:val="2B2B2B"/>
          <w:sz w:val="28"/>
          <w:szCs w:val="28"/>
        </w:rPr>
      </w:pPr>
    </w:p>
    <w:p w14:paraId="2B246445">
      <w:pPr>
        <w:spacing w:line="360" w:lineRule="auto"/>
        <w:ind w:firstLine="420" w:firstLineChars="200"/>
        <w:jc w:val="right"/>
        <w:rPr>
          <w:rFonts w:ascii="宋体" w:hAnsi="宋体"/>
        </w:rPr>
      </w:pPr>
    </w:p>
    <w:p w14:paraId="22DAF995">
      <w:pPr>
        <w:spacing w:line="360" w:lineRule="auto"/>
        <w:ind w:firstLine="420" w:firstLineChars="200"/>
        <w:jc w:val="right"/>
        <w:rPr>
          <w:rFonts w:ascii="宋体" w:hAnsi="宋体"/>
        </w:rPr>
      </w:pPr>
      <w:r>
        <w:rPr>
          <w:rFonts w:hint="eastAsia" w:ascii="宋体" w:hAnsi="宋体"/>
        </w:rPr>
        <w:t xml:space="preserve">博时基金管理有限公司 </w:t>
      </w:r>
    </w:p>
    <w:p w14:paraId="0540E008">
      <w:pPr>
        <w:spacing w:line="360" w:lineRule="auto"/>
        <w:ind w:firstLine="420" w:firstLineChars="200"/>
        <w:jc w:val="right"/>
        <w:rPr>
          <w:rFonts w:hint="default" w:ascii="宋体" w:hAnsi="宋体" w:eastAsia="宋体"/>
          <w:lang w:val="en-US" w:eastAsia="zh-CN"/>
        </w:rPr>
      </w:pPr>
      <w:r>
        <w:rPr>
          <w:rFonts w:hint="eastAsia" w:ascii="宋体" w:hAnsi="宋体"/>
          <w:lang w:val="en-US" w:eastAsia="zh-CN"/>
        </w:rPr>
        <w:t>2026年07月14日</w:t>
      </w:r>
    </w:p>
    <w:p w14:paraId="2D3F06F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C921849"/>
    <w:rsid w:val="25172291"/>
    <w:rsid w:val="35136554"/>
    <w:rsid w:val="5B7F31F9"/>
    <w:rsid w:val="5C921849"/>
    <w:rsid w:val="7FDF10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Calibri" w:hAnsi="Calibri" w:eastAsia="宋体" w:cs="宋体"/>
      <w:kern w:val="0"/>
      <w:sz w:val="21"/>
      <w:szCs w:val="21"/>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15</TotalTime>
  <ScaleCrop>false</ScaleCrop>
  <LinksUpToDate>false</LinksUpToDate>
  <CharactersWithSpaces>0</CharactersWithSpaces>
  <Application>WPS Office_12.1.0.24655_F1E327BC-269C-435d-A152-05C5408002CA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2023-06-14T17:25:00Z</dcterms:created>
  <dc:creator>huihe10</dc:creator>
  <cp:lastModifiedBy>jiangmy483</cp:lastModifiedBy>
  <dcterms:modified xsi:type="dcterms:W3CDTF">2026-07-13T09:06:06Z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2052-12.1.0.24655</vt:lpwstr>
  </property>
  <property fmtid="{D5CDD505-2E9C-101B-9397-08002B2CF9AE}" pid="3" name="ICV">
    <vt:lpwstr>731B3526BCD44799ACF57EFDCE118508_13</vt:lpwstr>
  </property>
</Properties>
</file>