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A4BE45"/>
    <w:p w14:paraId="2A4ECE9E">
      <w:pPr>
        <w:jc w:val="center"/>
        <w:rPr>
          <w:rFonts w:hint="eastAsia" w:ascii="宋体" w:hAnsi="宋体" w:eastAsia="宋体"/>
          <w:b/>
          <w:sz w:val="28"/>
        </w:rPr>
      </w:pPr>
      <w:r>
        <w:rPr>
          <w:rFonts w:hint="eastAsia" w:ascii="宋体" w:hAnsi="宋体" w:eastAsia="宋体"/>
          <w:b/>
          <w:sz w:val="28"/>
        </w:rPr>
        <w:t>博时基金管理有限公司关于博时</w:t>
      </w:r>
      <w:r>
        <w:rPr>
          <w:rFonts w:hint="eastAsia" w:ascii="宋体" w:hAnsi="宋体" w:eastAsia="宋体"/>
          <w:b/>
          <w:sz w:val="28"/>
          <w:lang w:eastAsia="zh-CN"/>
        </w:rPr>
        <w:t>津开科工</w:t>
      </w:r>
      <w:r>
        <w:rPr>
          <w:rFonts w:hint="eastAsia" w:ascii="宋体" w:hAnsi="宋体" w:eastAsia="宋体"/>
          <w:b/>
          <w:sz w:val="28"/>
        </w:rPr>
        <w:t>产业园封闭式基础设施证券投资基金收益分配的公告</w:t>
      </w:r>
    </w:p>
    <w:p w14:paraId="52A35090">
      <w:pPr>
        <w:jc w:val="center"/>
        <w:rPr>
          <w:rFonts w:hint="eastAsia" w:ascii="宋体" w:hAnsi="宋体" w:eastAsia="宋体"/>
          <w:b/>
          <w:sz w:val="24"/>
          <w:lang w:eastAsia="zh-CN"/>
        </w:rPr>
      </w:pPr>
      <w:r>
        <w:rPr>
          <w:rFonts w:hint="eastAsia" w:ascii="宋体" w:hAnsi="宋体" w:eastAsia="宋体"/>
          <w:b/>
          <w:sz w:val="24"/>
        </w:rPr>
        <w:t>公告送出日期：2026年8月21日</w:t>
      </w:r>
    </w:p>
    <w:p w14:paraId="54A4C368">
      <w:pPr>
        <w:jc w:val="center"/>
        <w:rPr>
          <w:rFonts w:ascii="宋体" w:hAnsi="宋体" w:eastAsia="宋体"/>
          <w:b/>
          <w:sz w:val="24"/>
        </w:rPr>
      </w:pPr>
    </w:p>
    <w:p w14:paraId="6D747DD0">
      <w:pPr>
        <w:pStyle w:val="2"/>
        <w:rPr>
          <w:rFonts w:ascii="宋体" w:hAnsi="宋体" w:eastAsia="宋体"/>
          <w:sz w:val="21"/>
        </w:rPr>
      </w:pPr>
      <w:r>
        <w:rPr>
          <w:rFonts w:ascii="宋体" w:hAnsi="宋体" w:eastAsia="宋体"/>
          <w:sz w:val="21"/>
        </w:rPr>
        <w:t>1</w:t>
      </w:r>
      <w:r>
        <w:rPr>
          <w:rFonts w:hint="eastAsia" w:ascii="宋体" w:hAnsi="宋体" w:eastAsia="宋体"/>
          <w:sz w:val="21"/>
          <w:lang w:eastAsia="zh-CN"/>
        </w:rPr>
        <w:t>、</w:t>
      </w:r>
      <w:r>
        <w:rPr>
          <w:rFonts w:hint="eastAsia" w:ascii="宋体" w:hAnsi="宋体" w:eastAsia="宋体"/>
          <w:sz w:val="21"/>
        </w:rPr>
        <w:t>公募REITs</w:t>
      </w:r>
      <w:r>
        <w:rPr>
          <w:rFonts w:ascii="宋体" w:hAnsi="宋体" w:eastAsia="宋体"/>
          <w:sz w:val="21"/>
        </w:rPr>
        <w:t>基本信息</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14:paraId="39F7E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3C9E6A85">
            <w:pPr>
              <w:rPr>
                <w:rFonts w:ascii="宋体" w:hAnsi="宋体" w:eastAsia="宋体"/>
              </w:rPr>
            </w:pPr>
            <w:r>
              <w:rPr>
                <w:rFonts w:hint="eastAsia" w:ascii="宋体" w:hAnsi="宋体" w:eastAsia="宋体"/>
                <w:sz w:val="21"/>
                <w:highlight w:val="none"/>
              </w:rPr>
              <w:t>公募R</w:t>
            </w:r>
            <w:r>
              <w:rPr>
                <w:rFonts w:ascii="宋体" w:hAnsi="宋体" w:eastAsia="宋体"/>
                <w:sz w:val="21"/>
                <w:highlight w:val="none"/>
              </w:rPr>
              <w:t>EIT</w:t>
            </w:r>
            <w:r>
              <w:rPr>
                <w:rFonts w:hint="eastAsia" w:ascii="宋体" w:hAnsi="宋体" w:eastAsia="宋体"/>
                <w:sz w:val="21"/>
                <w:highlight w:val="none"/>
              </w:rPr>
              <w:t>s</w:t>
            </w:r>
            <w:r>
              <w:rPr>
                <w:rFonts w:hint="eastAsia" w:ascii="宋体" w:hAnsi="宋体" w:eastAsia="宋体"/>
              </w:rPr>
              <w:t>名称</w:t>
            </w:r>
          </w:p>
        </w:tc>
        <w:tc>
          <w:tcPr>
            <w:tcW w:w="5682" w:type="dxa"/>
            <w:gridSpan w:val="2"/>
            <w:vAlign w:val="center"/>
          </w:tcPr>
          <w:p w14:paraId="079A2B84">
            <w:pPr>
              <w:rPr>
                <w:rFonts w:ascii="宋体" w:hAnsi="宋体" w:eastAsia="宋体"/>
              </w:rPr>
            </w:pPr>
            <w:r>
              <w:rPr>
                <w:rFonts w:hint="eastAsia" w:ascii="宋体" w:hAnsi="宋体" w:eastAsia="宋体"/>
              </w:rPr>
              <w:t>博时</w:t>
            </w:r>
            <w:r>
              <w:rPr>
                <w:rFonts w:hint="eastAsia" w:ascii="宋体" w:hAnsi="宋体" w:eastAsia="宋体"/>
                <w:lang w:eastAsia="zh-CN"/>
              </w:rPr>
              <w:t>津开科工</w:t>
            </w:r>
            <w:r>
              <w:rPr>
                <w:rFonts w:hint="eastAsia" w:ascii="宋体" w:hAnsi="宋体" w:eastAsia="宋体"/>
              </w:rPr>
              <w:t>产业园封闭式基础设施证券投资基金</w:t>
            </w:r>
          </w:p>
        </w:tc>
      </w:tr>
      <w:tr w14:paraId="34AE4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4FDB93BA">
            <w:pPr>
              <w:rPr>
                <w:rFonts w:ascii="宋体" w:hAnsi="宋体" w:eastAsia="宋体"/>
              </w:rPr>
            </w:pPr>
            <w:r>
              <w:rPr>
                <w:rFonts w:hint="eastAsia" w:ascii="宋体" w:hAnsi="宋体" w:eastAsia="宋体"/>
                <w:sz w:val="21"/>
                <w:highlight w:val="none"/>
              </w:rPr>
              <w:t>公募R</w:t>
            </w:r>
            <w:r>
              <w:rPr>
                <w:rFonts w:ascii="宋体" w:hAnsi="宋体" w:eastAsia="宋体"/>
                <w:sz w:val="21"/>
                <w:highlight w:val="none"/>
              </w:rPr>
              <w:t>EIT</w:t>
            </w:r>
            <w:r>
              <w:rPr>
                <w:rFonts w:hint="eastAsia" w:ascii="宋体" w:hAnsi="宋体" w:eastAsia="宋体"/>
                <w:sz w:val="21"/>
                <w:highlight w:val="none"/>
              </w:rPr>
              <w:t>s</w:t>
            </w:r>
            <w:r>
              <w:rPr>
                <w:rFonts w:hint="eastAsia" w:ascii="宋体" w:hAnsi="宋体" w:eastAsia="宋体"/>
              </w:rPr>
              <w:t>简称</w:t>
            </w:r>
          </w:p>
        </w:tc>
        <w:tc>
          <w:tcPr>
            <w:tcW w:w="5682" w:type="dxa"/>
            <w:gridSpan w:val="2"/>
            <w:vAlign w:val="center"/>
          </w:tcPr>
          <w:p w14:paraId="60FC7BDB">
            <w:pPr>
              <w:rPr>
                <w:rFonts w:ascii="宋体" w:hAnsi="宋体" w:eastAsia="宋体"/>
              </w:rPr>
            </w:pPr>
            <w:r>
              <w:rPr>
                <w:rFonts w:hint="eastAsia" w:ascii="宋体" w:hAnsi="宋体" w:eastAsia="宋体"/>
              </w:rPr>
              <w:t>博时</w:t>
            </w:r>
            <w:r>
              <w:rPr>
                <w:rFonts w:hint="eastAsia" w:ascii="宋体" w:hAnsi="宋体" w:eastAsia="宋体"/>
                <w:lang w:eastAsia="zh-CN"/>
              </w:rPr>
              <w:t>津开科工</w:t>
            </w:r>
            <w:r>
              <w:rPr>
                <w:rFonts w:hint="eastAsia" w:ascii="宋体" w:hAnsi="宋体" w:eastAsia="宋体"/>
              </w:rPr>
              <w:t>产业园</w:t>
            </w:r>
            <w:r>
              <w:rPr>
                <w:rFonts w:ascii="宋体" w:hAnsi="宋体" w:eastAsia="宋体"/>
              </w:rPr>
              <w:t>REIT</w:t>
            </w:r>
          </w:p>
        </w:tc>
      </w:tr>
      <w:tr w14:paraId="5CE7A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0440126F">
            <w:pPr>
              <w:rPr>
                <w:rFonts w:ascii="宋体" w:hAnsi="宋体" w:eastAsia="宋体"/>
              </w:rPr>
            </w:pPr>
            <w:r>
              <w:rPr>
                <w:rFonts w:hint="eastAsia" w:ascii="宋体" w:hAnsi="宋体" w:eastAsia="宋体"/>
                <w:sz w:val="21"/>
                <w:highlight w:val="none"/>
              </w:rPr>
              <w:t>公募R</w:t>
            </w:r>
            <w:r>
              <w:rPr>
                <w:rFonts w:ascii="宋体" w:hAnsi="宋体" w:eastAsia="宋体"/>
                <w:sz w:val="21"/>
                <w:highlight w:val="none"/>
              </w:rPr>
              <w:t>EIT</w:t>
            </w:r>
            <w:r>
              <w:rPr>
                <w:rFonts w:hint="eastAsia" w:ascii="宋体" w:hAnsi="宋体" w:eastAsia="宋体"/>
                <w:sz w:val="21"/>
                <w:highlight w:val="none"/>
              </w:rPr>
              <w:t>s</w:t>
            </w:r>
            <w:r>
              <w:rPr>
                <w:rFonts w:hint="eastAsia" w:ascii="宋体" w:hAnsi="宋体" w:eastAsia="宋体"/>
              </w:rPr>
              <w:t>代码</w:t>
            </w:r>
          </w:p>
        </w:tc>
        <w:tc>
          <w:tcPr>
            <w:tcW w:w="5682" w:type="dxa"/>
            <w:gridSpan w:val="2"/>
            <w:vAlign w:val="center"/>
          </w:tcPr>
          <w:p w14:paraId="519AB221">
            <w:pPr>
              <w:rPr>
                <w:rFonts w:hint="default" w:ascii="宋体" w:hAnsi="宋体" w:eastAsia="宋体"/>
                <w:lang w:val="en-US" w:eastAsia="zh-CN"/>
              </w:rPr>
            </w:pPr>
            <w:r>
              <w:rPr>
                <w:rFonts w:hint="eastAsia" w:ascii="宋体" w:hAnsi="宋体" w:eastAsia="宋体"/>
                <w:lang w:val="en-US" w:eastAsia="zh-CN"/>
              </w:rPr>
              <w:t>508022</w:t>
            </w:r>
          </w:p>
        </w:tc>
      </w:tr>
      <w:tr w14:paraId="543CAA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34A6F031">
            <w:pPr>
              <w:rPr>
                <w:rFonts w:ascii="宋体" w:hAnsi="宋体" w:eastAsia="宋体"/>
              </w:rPr>
            </w:pPr>
            <w:r>
              <w:rPr>
                <w:rFonts w:hint="eastAsia" w:ascii="宋体" w:hAnsi="宋体" w:eastAsia="宋体"/>
                <w:sz w:val="21"/>
                <w:highlight w:val="none"/>
              </w:rPr>
              <w:t>公募R</w:t>
            </w:r>
            <w:r>
              <w:rPr>
                <w:rFonts w:ascii="宋体" w:hAnsi="宋体" w:eastAsia="宋体"/>
                <w:sz w:val="21"/>
                <w:highlight w:val="none"/>
              </w:rPr>
              <w:t>EIT</w:t>
            </w:r>
            <w:r>
              <w:rPr>
                <w:rFonts w:hint="eastAsia" w:ascii="宋体" w:hAnsi="宋体" w:eastAsia="宋体"/>
                <w:sz w:val="21"/>
                <w:highlight w:val="none"/>
              </w:rPr>
              <w:t>s</w:t>
            </w:r>
            <w:r>
              <w:rPr>
                <w:rFonts w:hint="eastAsia" w:ascii="宋体" w:hAnsi="宋体" w:eastAsia="宋体"/>
              </w:rPr>
              <w:t>合同生效日</w:t>
            </w:r>
          </w:p>
        </w:tc>
        <w:tc>
          <w:tcPr>
            <w:tcW w:w="5682" w:type="dxa"/>
            <w:gridSpan w:val="2"/>
            <w:vAlign w:val="center"/>
          </w:tcPr>
          <w:p w14:paraId="1C74709C">
            <w:pPr>
              <w:rPr>
                <w:rFonts w:ascii="宋体" w:hAnsi="宋体" w:eastAsia="宋体"/>
              </w:rPr>
            </w:pPr>
            <w:r>
              <w:rPr>
                <w:rFonts w:ascii="宋体" w:hAnsi="宋体" w:eastAsia="宋体"/>
              </w:rPr>
              <w:t>202</w:t>
            </w:r>
            <w:r>
              <w:rPr>
                <w:rFonts w:hint="eastAsia" w:ascii="宋体" w:hAnsi="宋体" w:eastAsia="宋体"/>
                <w:lang w:val="en-US" w:eastAsia="zh-CN"/>
              </w:rPr>
              <w:t>4</w:t>
            </w:r>
            <w:r>
              <w:rPr>
                <w:rFonts w:ascii="宋体" w:hAnsi="宋体" w:eastAsia="宋体"/>
              </w:rPr>
              <w:t>年</w:t>
            </w:r>
            <w:r>
              <w:rPr>
                <w:rFonts w:hint="eastAsia" w:ascii="宋体" w:hAnsi="宋体" w:eastAsia="宋体"/>
                <w:lang w:val="en-US" w:eastAsia="zh-CN"/>
              </w:rPr>
              <w:t>8</w:t>
            </w:r>
            <w:r>
              <w:rPr>
                <w:rFonts w:ascii="宋体" w:hAnsi="宋体" w:eastAsia="宋体"/>
              </w:rPr>
              <w:t>月</w:t>
            </w:r>
            <w:r>
              <w:rPr>
                <w:rFonts w:hint="eastAsia" w:ascii="宋体" w:hAnsi="宋体" w:eastAsia="宋体"/>
                <w:lang w:val="en-US" w:eastAsia="zh-CN"/>
              </w:rPr>
              <w:t>28</w:t>
            </w:r>
            <w:r>
              <w:rPr>
                <w:rFonts w:ascii="宋体" w:hAnsi="宋体" w:eastAsia="宋体"/>
              </w:rPr>
              <w:t>日</w:t>
            </w:r>
          </w:p>
        </w:tc>
      </w:tr>
      <w:tr w14:paraId="3219F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71EC3843">
            <w:pPr>
              <w:rPr>
                <w:rFonts w:ascii="宋体" w:hAnsi="宋体" w:eastAsia="宋体"/>
              </w:rPr>
            </w:pPr>
            <w:r>
              <w:rPr>
                <w:rFonts w:hint="eastAsia" w:ascii="宋体" w:hAnsi="宋体" w:eastAsia="宋体"/>
              </w:rPr>
              <w:t>基金管理人名称</w:t>
            </w:r>
          </w:p>
        </w:tc>
        <w:tc>
          <w:tcPr>
            <w:tcW w:w="5682" w:type="dxa"/>
            <w:gridSpan w:val="2"/>
            <w:vAlign w:val="center"/>
          </w:tcPr>
          <w:p w14:paraId="48DAE7E4">
            <w:pPr>
              <w:rPr>
                <w:rFonts w:ascii="宋体" w:hAnsi="宋体" w:eastAsia="宋体"/>
              </w:rPr>
            </w:pPr>
            <w:r>
              <w:rPr>
                <w:rFonts w:hint="eastAsia" w:ascii="宋体" w:hAnsi="宋体" w:eastAsia="宋体"/>
              </w:rPr>
              <w:t>博时基金管理有限公司</w:t>
            </w:r>
          </w:p>
        </w:tc>
      </w:tr>
      <w:tr w14:paraId="53961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098017A6">
            <w:pPr>
              <w:rPr>
                <w:rFonts w:ascii="宋体" w:hAnsi="宋体" w:eastAsia="宋体"/>
              </w:rPr>
            </w:pPr>
            <w:r>
              <w:rPr>
                <w:rFonts w:hint="eastAsia" w:ascii="宋体" w:hAnsi="宋体" w:eastAsia="宋体"/>
              </w:rPr>
              <w:t>基金托管人名称</w:t>
            </w:r>
          </w:p>
        </w:tc>
        <w:tc>
          <w:tcPr>
            <w:tcW w:w="5682" w:type="dxa"/>
            <w:gridSpan w:val="2"/>
            <w:vAlign w:val="center"/>
          </w:tcPr>
          <w:p w14:paraId="4817EA7D">
            <w:pPr>
              <w:rPr>
                <w:rFonts w:ascii="宋体" w:hAnsi="宋体" w:eastAsia="宋体"/>
              </w:rPr>
            </w:pPr>
            <w:r>
              <w:rPr>
                <w:rFonts w:hint="eastAsia" w:ascii="宋体" w:hAnsi="宋体" w:eastAsia="宋体"/>
                <w:lang w:val="en-US" w:eastAsia="zh-CN"/>
              </w:rPr>
              <w:t>渤海</w:t>
            </w:r>
            <w:r>
              <w:rPr>
                <w:rFonts w:hint="eastAsia" w:ascii="宋体" w:hAnsi="宋体" w:eastAsia="宋体"/>
              </w:rPr>
              <w:t>银行股份有限公司</w:t>
            </w:r>
          </w:p>
        </w:tc>
      </w:tr>
      <w:tr w14:paraId="34322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3BF12EC8">
            <w:pPr>
              <w:rPr>
                <w:rFonts w:hint="eastAsia" w:ascii="宋体" w:hAnsi="宋体" w:eastAsia="宋体"/>
              </w:rPr>
            </w:pPr>
          </w:p>
          <w:p w14:paraId="3E97D476">
            <w:pPr>
              <w:rPr>
                <w:rFonts w:ascii="宋体" w:hAnsi="宋体" w:eastAsia="宋体"/>
              </w:rPr>
            </w:pPr>
          </w:p>
        </w:tc>
        <w:tc>
          <w:tcPr>
            <w:tcW w:w="5682" w:type="dxa"/>
            <w:gridSpan w:val="2"/>
            <w:vAlign w:val="center"/>
          </w:tcPr>
          <w:p w14:paraId="66951D96">
            <w:pPr>
              <w:rPr>
                <w:rFonts w:hint="eastAsia" w:ascii="宋体" w:hAnsi="宋体" w:eastAsia="宋体"/>
                <w:lang w:eastAsia="zh-CN"/>
              </w:rPr>
            </w:pPr>
            <w:r>
              <w:rPr>
                <w:rFonts w:hint="eastAsia" w:ascii="宋体" w:hAnsi="宋体" w:eastAsia="宋体"/>
              </w:rPr>
              <w:t>《中华人民共和国证券投资基金法》、《公开募集证券投资基金运作管理办法》、《公开募集基础设施证券投资基金指引（试行）》、</w:t>
            </w:r>
            <w:r>
              <w:rPr>
                <w:rFonts w:hint="eastAsia" w:ascii="宋体" w:hAnsi="宋体" w:eastAsia="宋体"/>
                <w:lang w:eastAsia="zh-CN"/>
              </w:rPr>
              <w:t>《</w:t>
            </w:r>
            <w:r>
              <w:rPr>
                <w:rFonts w:hint="eastAsia" w:ascii="宋体" w:hAnsi="宋体" w:eastAsia="宋体"/>
                <w:lang w:val="en-US" w:eastAsia="zh-CN"/>
              </w:rPr>
              <w:t>公开募集证券投资基金信息披露管理办法</w:t>
            </w:r>
            <w:r>
              <w:rPr>
                <w:rFonts w:hint="eastAsia" w:ascii="宋体" w:hAnsi="宋体" w:eastAsia="宋体"/>
                <w:lang w:eastAsia="zh-CN"/>
              </w:rPr>
              <w:t>》、《上海证券交易所公开募集不动产投资信托基金（REITs）业务指南第2号——存续业务》</w:t>
            </w:r>
            <w:r>
              <w:rPr>
                <w:rFonts w:hint="eastAsia" w:ascii="宋体" w:hAnsi="宋体" w:eastAsia="宋体"/>
                <w:lang w:val="en-US" w:eastAsia="zh-CN"/>
              </w:rPr>
              <w:t>等法律法规有关规定以及</w:t>
            </w:r>
            <w:r>
              <w:rPr>
                <w:rFonts w:hint="eastAsia" w:ascii="宋体" w:hAnsi="宋体" w:eastAsia="宋体"/>
              </w:rPr>
              <w:t>《博时</w:t>
            </w:r>
            <w:r>
              <w:rPr>
                <w:rFonts w:hint="eastAsia" w:ascii="宋体" w:hAnsi="宋体" w:eastAsia="宋体"/>
                <w:lang w:eastAsia="zh-CN"/>
              </w:rPr>
              <w:t>津开科工</w:t>
            </w:r>
            <w:r>
              <w:rPr>
                <w:rFonts w:hint="eastAsia" w:ascii="宋体" w:hAnsi="宋体" w:eastAsia="宋体"/>
              </w:rPr>
              <w:t>产业园封闭式基础设施证券投资基金基金合同》、《博时</w:t>
            </w:r>
            <w:r>
              <w:rPr>
                <w:rFonts w:hint="eastAsia" w:ascii="宋体" w:hAnsi="宋体" w:eastAsia="宋体"/>
                <w:lang w:eastAsia="zh-CN"/>
              </w:rPr>
              <w:t>津开科工</w:t>
            </w:r>
            <w:r>
              <w:rPr>
                <w:rFonts w:hint="eastAsia" w:ascii="宋体" w:hAnsi="宋体" w:eastAsia="宋体"/>
              </w:rPr>
              <w:t>产业园封闭式基础设施证券投资基金招募说明书》</w:t>
            </w:r>
            <w:r>
              <w:rPr>
                <w:rFonts w:hint="eastAsia" w:ascii="宋体" w:hAnsi="宋体" w:eastAsia="宋体"/>
                <w:lang w:val="en-US" w:eastAsia="zh-CN"/>
              </w:rPr>
              <w:t>及其更新</w:t>
            </w:r>
          </w:p>
        </w:tc>
      </w:tr>
      <w:tr w14:paraId="039B2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1BA109C4">
            <w:pPr>
              <w:rPr>
                <w:rFonts w:ascii="宋体" w:hAnsi="宋体" w:eastAsia="宋体"/>
              </w:rPr>
            </w:pPr>
            <w:r>
              <w:rPr>
                <w:rFonts w:hint="eastAsia" w:ascii="宋体" w:hAnsi="宋体" w:eastAsia="宋体"/>
              </w:rPr>
              <w:t>收益分配基准日</w:t>
            </w:r>
          </w:p>
        </w:tc>
        <w:tc>
          <w:tcPr>
            <w:tcW w:w="5682" w:type="dxa"/>
            <w:gridSpan w:val="2"/>
            <w:vAlign w:val="center"/>
          </w:tcPr>
          <w:p w14:paraId="4B3C7BCC">
            <w:pPr>
              <w:rPr>
                <w:rFonts w:ascii="宋体" w:hAnsi="宋体" w:eastAsia="宋体"/>
              </w:rPr>
            </w:pPr>
            <w:r>
              <w:rPr>
                <w:rFonts w:ascii="宋体" w:hAnsi="宋体" w:eastAsia="宋体"/>
              </w:rPr>
              <w:t>2026年6月30日</w:t>
            </w:r>
          </w:p>
        </w:tc>
      </w:tr>
      <w:tr w14:paraId="7E0D1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restart"/>
            <w:vAlign w:val="center"/>
          </w:tcPr>
          <w:p w14:paraId="4A9F7773">
            <w:pPr>
              <w:rPr>
                <w:rFonts w:ascii="宋体" w:hAnsi="宋体" w:eastAsia="宋体"/>
              </w:rPr>
            </w:pPr>
            <w:r>
              <w:rPr>
                <w:rFonts w:hint="eastAsia" w:ascii="宋体" w:hAnsi="宋体" w:eastAsia="宋体"/>
              </w:rPr>
              <w:t>截止收益分配基准日的相关指标</w:t>
            </w:r>
          </w:p>
        </w:tc>
        <w:tc>
          <w:tcPr>
            <w:tcW w:w="2841" w:type="dxa"/>
            <w:vAlign w:val="center"/>
          </w:tcPr>
          <w:p w14:paraId="20FE2E00">
            <w:pPr>
              <w:rPr>
                <w:rFonts w:ascii="宋体" w:hAnsi="宋体" w:eastAsia="宋体"/>
              </w:rPr>
            </w:pPr>
            <w:r>
              <w:rPr>
                <w:rFonts w:hint="eastAsia" w:ascii="宋体" w:hAnsi="宋体" w:eastAsia="宋体"/>
              </w:rPr>
              <w:t>基准日</w:t>
            </w:r>
            <w:r>
              <w:rPr>
                <w:rFonts w:hint="eastAsia" w:ascii="宋体" w:hAnsi="宋体" w:eastAsia="宋体"/>
                <w:sz w:val="21"/>
                <w:highlight w:val="none"/>
              </w:rPr>
              <w:t>公募R</w:t>
            </w:r>
            <w:r>
              <w:rPr>
                <w:rFonts w:ascii="宋体" w:hAnsi="宋体" w:eastAsia="宋体"/>
                <w:sz w:val="21"/>
                <w:highlight w:val="none"/>
              </w:rPr>
              <w:t>EIT</w:t>
            </w:r>
            <w:r>
              <w:rPr>
                <w:rFonts w:hint="eastAsia" w:ascii="宋体" w:hAnsi="宋体" w:eastAsia="宋体"/>
                <w:sz w:val="21"/>
                <w:highlight w:val="none"/>
              </w:rPr>
              <w:t>s</w:t>
            </w:r>
            <w:r>
              <w:rPr>
                <w:rFonts w:hint="eastAsia" w:ascii="宋体" w:hAnsi="宋体" w:eastAsia="宋体"/>
              </w:rPr>
              <w:t>份额净值（单位：元）</w:t>
            </w:r>
          </w:p>
        </w:tc>
        <w:tc>
          <w:tcPr>
            <w:tcW w:w="2841" w:type="dxa"/>
            <w:vAlign w:val="center"/>
          </w:tcPr>
          <w:p w14:paraId="11C8D51D">
            <w:pPr>
              <w:rPr>
                <w:rFonts w:hint="default" w:ascii="宋体" w:hAnsi="宋体" w:eastAsia="宋体"/>
                <w:lang w:val="en-US" w:eastAsia="zh-CN"/>
              </w:rPr>
            </w:pPr>
            <w:r>
              <w:rPr>
                <w:rFonts w:hint="eastAsia" w:ascii="宋体" w:hAnsi="宋体" w:eastAsia="宋体"/>
                <w:lang w:val="en-US" w:eastAsia="zh-CN"/>
              </w:rPr>
              <w:t>-</w:t>
            </w:r>
          </w:p>
        </w:tc>
      </w:tr>
      <w:tr w14:paraId="11877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continue"/>
            <w:vAlign w:val="center"/>
          </w:tcPr>
          <w:p w14:paraId="73659DEE"/>
        </w:tc>
        <w:tc>
          <w:tcPr>
            <w:tcW w:w="2841" w:type="dxa"/>
            <w:vAlign w:val="center"/>
          </w:tcPr>
          <w:p w14:paraId="316F21EE">
            <w:pPr>
              <w:rPr>
                <w:rFonts w:ascii="宋体" w:hAnsi="宋体" w:eastAsia="宋体"/>
              </w:rPr>
            </w:pPr>
            <w:r>
              <w:rPr>
                <w:rFonts w:hint="eastAsia" w:ascii="宋体" w:hAnsi="宋体" w:eastAsia="宋体"/>
              </w:rPr>
              <w:t>基准日</w:t>
            </w:r>
            <w:r>
              <w:rPr>
                <w:rFonts w:hint="eastAsia" w:ascii="宋体" w:hAnsi="宋体" w:eastAsia="宋体"/>
                <w:sz w:val="21"/>
                <w:highlight w:val="none"/>
              </w:rPr>
              <w:t>公募R</w:t>
            </w:r>
            <w:r>
              <w:rPr>
                <w:rFonts w:ascii="宋体" w:hAnsi="宋体" w:eastAsia="宋体"/>
                <w:sz w:val="21"/>
                <w:highlight w:val="none"/>
              </w:rPr>
              <w:t>EIT</w:t>
            </w:r>
            <w:r>
              <w:rPr>
                <w:rFonts w:hint="eastAsia" w:ascii="宋体" w:hAnsi="宋体" w:eastAsia="宋体"/>
                <w:sz w:val="21"/>
                <w:highlight w:val="none"/>
              </w:rPr>
              <w:t>s</w:t>
            </w:r>
            <w:r>
              <w:rPr>
                <w:rFonts w:hint="eastAsia" w:ascii="宋体" w:hAnsi="宋体" w:eastAsia="宋体"/>
              </w:rPr>
              <w:t>可供分配</w:t>
            </w:r>
            <w:r>
              <w:rPr>
                <w:rFonts w:hint="eastAsia" w:ascii="宋体" w:hAnsi="宋体" w:eastAsia="宋体"/>
                <w:lang w:val="en-US" w:eastAsia="zh-CN"/>
              </w:rPr>
              <w:t>金额</w:t>
            </w:r>
            <w:r>
              <w:rPr>
                <w:rFonts w:hint="eastAsia" w:ascii="宋体" w:hAnsi="宋体" w:eastAsia="宋体"/>
              </w:rPr>
              <w:t>（单位：元）</w:t>
            </w:r>
          </w:p>
        </w:tc>
        <w:tc>
          <w:tcPr>
            <w:tcW w:w="2841" w:type="dxa"/>
            <w:vAlign w:val="center"/>
          </w:tcPr>
          <w:p w14:paraId="32D354AF">
            <w:pPr>
              <w:rPr>
                <w:rFonts w:hint="default" w:ascii="宋体" w:hAnsi="宋体" w:eastAsia="宋体"/>
                <w:lang w:val="en-US" w:eastAsia="zh-CN"/>
              </w:rPr>
            </w:pPr>
            <w:r>
              <w:rPr>
                <w:rFonts w:hint="default" w:ascii="宋体" w:hAnsi="宋体" w:eastAsia="宋体"/>
                <w:lang w:val="en-US" w:eastAsia="zh-CN"/>
              </w:rPr>
              <w:t>45,223,776.00</w:t>
            </w:r>
          </w:p>
        </w:tc>
      </w:tr>
      <w:tr w14:paraId="32F605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continue"/>
            <w:vAlign w:val="center"/>
          </w:tcPr>
          <w:p w14:paraId="3B01833E"/>
        </w:tc>
        <w:tc>
          <w:tcPr>
            <w:tcW w:w="2841" w:type="dxa"/>
            <w:vAlign w:val="center"/>
          </w:tcPr>
          <w:p w14:paraId="09568865">
            <w:pPr>
              <w:rPr>
                <w:rFonts w:hint="eastAsia" w:ascii="宋体" w:hAnsi="宋体" w:eastAsia="宋体" w:cstheme="minorBidi"/>
                <w:szCs w:val="22"/>
                <w:highlight w:val="none"/>
                <w:lang w:eastAsia="zh-CN"/>
              </w:rPr>
            </w:pPr>
            <w:r>
              <w:rPr>
                <w:rFonts w:hint="eastAsia" w:ascii="宋体" w:hAnsi="宋体" w:eastAsia="宋体" w:cstheme="minorBidi"/>
                <w:szCs w:val="22"/>
                <w:highlight w:val="none"/>
                <w:lang w:val="en-US" w:eastAsia="zh-CN"/>
              </w:rPr>
              <w:t>截止基准日公募REITs按照本次分红比例计算的应分配金额（单位：元）</w:t>
            </w:r>
          </w:p>
        </w:tc>
        <w:tc>
          <w:tcPr>
            <w:tcW w:w="2841" w:type="dxa"/>
            <w:shd w:val="clear" w:color="auto" w:fill="auto"/>
            <w:vAlign w:val="center"/>
          </w:tcPr>
          <w:p w14:paraId="14D91422">
            <w:pPr>
              <w:keepNext w:val="0"/>
              <w:keepLines w:val="0"/>
              <w:widowControl/>
              <w:suppressLineNumbers w:val="0"/>
              <w:jc w:val="left"/>
              <w:textAlignment w:val="center"/>
              <w:rPr>
                <w:rFonts w:hint="default" w:ascii="宋体" w:hAnsi="宋体" w:eastAsia="宋体" w:cs="宋体"/>
                <w:i w:val="0"/>
                <w:iCs w:val="0"/>
                <w:color w:val="000000"/>
                <w:kern w:val="2"/>
                <w:sz w:val="22"/>
                <w:szCs w:val="22"/>
                <w:u w:val="none"/>
                <w:lang w:val="en-US" w:eastAsia="zh-CN" w:bidi="ar-SA"/>
              </w:rPr>
            </w:pPr>
            <w:r>
              <w:rPr>
                <w:rFonts w:hint="eastAsia" w:ascii="宋体" w:hAnsi="宋体" w:eastAsia="宋体"/>
                <w:lang w:val="en-US" w:eastAsia="zh-CN"/>
              </w:rPr>
              <w:t>42</w:t>
            </w:r>
            <w:r>
              <w:rPr>
                <w:rFonts w:hint="default" w:ascii="宋体" w:hAnsi="宋体" w:eastAsia="宋体"/>
                <w:lang w:val="en-US" w:eastAsia="zh-CN"/>
              </w:rPr>
              <w:t>,000,000.00</w:t>
            </w:r>
          </w:p>
        </w:tc>
      </w:tr>
      <w:tr w14:paraId="3469F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567A59E5">
            <w:pPr>
              <w:rPr>
                <w:rFonts w:ascii="宋体" w:hAnsi="宋体" w:eastAsia="宋体"/>
              </w:rPr>
            </w:pPr>
            <w:r>
              <w:rPr>
                <w:rFonts w:hint="eastAsia" w:ascii="宋体" w:hAnsi="宋体" w:eastAsia="宋体"/>
              </w:rPr>
              <w:t>本次分红方案（单位：元</w:t>
            </w:r>
            <w:r>
              <w:rPr>
                <w:rFonts w:ascii="宋体" w:hAnsi="宋体" w:eastAsia="宋体"/>
              </w:rPr>
              <w:t>/10份基金份额）</w:t>
            </w:r>
          </w:p>
        </w:tc>
        <w:tc>
          <w:tcPr>
            <w:tcW w:w="5682" w:type="dxa"/>
            <w:gridSpan w:val="2"/>
            <w:vAlign w:val="center"/>
          </w:tcPr>
          <w:p w14:paraId="3AF974A1">
            <w:pPr>
              <w:rPr>
                <w:rFonts w:hint="default" w:ascii="宋体" w:hAnsi="宋体" w:eastAsia="宋体" w:cstheme="minorBidi"/>
                <w:szCs w:val="22"/>
                <w:highlight w:val="none"/>
                <w:lang w:val="en-US" w:eastAsia="zh-CN"/>
              </w:rPr>
            </w:pPr>
            <w:r>
              <w:rPr>
                <w:rFonts w:hint="eastAsia" w:ascii="宋体" w:hAnsi="宋体" w:eastAsia="宋体" w:cstheme="minorBidi"/>
                <w:szCs w:val="22"/>
                <w:highlight w:val="none"/>
                <w:lang w:val="en-US" w:eastAsia="zh-CN"/>
              </w:rPr>
              <w:t>0.8400</w:t>
            </w:r>
          </w:p>
        </w:tc>
      </w:tr>
      <w:tr w14:paraId="60E27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731A65F3">
            <w:pPr>
              <w:rPr>
                <w:rFonts w:ascii="宋体" w:hAnsi="宋体" w:eastAsia="宋体"/>
              </w:rPr>
            </w:pPr>
            <w:r>
              <w:rPr>
                <w:rFonts w:hint="eastAsia" w:ascii="宋体" w:hAnsi="宋体" w:eastAsia="宋体"/>
              </w:rPr>
              <w:t>有关年度分红次数的说明</w:t>
            </w:r>
          </w:p>
        </w:tc>
        <w:tc>
          <w:tcPr>
            <w:tcW w:w="5682" w:type="dxa"/>
            <w:gridSpan w:val="2"/>
            <w:vAlign w:val="center"/>
          </w:tcPr>
          <w:p w14:paraId="4A1F7873">
            <w:pPr>
              <w:rPr>
                <w:rFonts w:hint="default" w:ascii="宋体" w:hAnsi="宋体" w:eastAsia="宋体"/>
                <w:lang w:val="en-US" w:eastAsia="zh-CN"/>
              </w:rPr>
            </w:pPr>
            <w:r>
              <w:rPr>
                <w:rFonts w:hint="eastAsia" w:ascii="宋体" w:hAnsi="宋体" w:eastAsia="宋体"/>
                <w:lang w:val="en-US" w:eastAsia="zh-CN"/>
              </w:rPr>
              <w:t>本次分红为2026年度的第1次分红</w:t>
            </w:r>
          </w:p>
        </w:tc>
      </w:tr>
    </w:tbl>
    <w:p w14:paraId="3996ECB7">
      <w:pPr>
        <w:pStyle w:val="4"/>
        <w:spacing w:before="0" w:beforeAutospacing="0" w:after="0" w:afterAutospacing="0" w:line="360" w:lineRule="auto"/>
        <w:rPr>
          <w:rFonts w:hint="eastAsia"/>
          <w:sz w:val="21"/>
        </w:rPr>
      </w:pPr>
      <w:r>
        <w:rPr>
          <w:rFonts w:hint="eastAsia"/>
          <w:sz w:val="21"/>
        </w:rPr>
        <w:t>注：</w:t>
      </w:r>
      <w:r>
        <w:rPr>
          <w:rFonts w:hint="eastAsia"/>
          <w:sz w:val="21"/>
          <w:lang w:eastAsia="zh-CN"/>
        </w:rPr>
        <w:t>（</w:t>
      </w:r>
      <w:r>
        <w:rPr>
          <w:rFonts w:hint="eastAsia"/>
          <w:sz w:val="21"/>
          <w:lang w:val="en-US" w:eastAsia="zh-CN"/>
        </w:rPr>
        <w:t>1</w:t>
      </w:r>
      <w:r>
        <w:rPr>
          <w:rFonts w:hint="eastAsia"/>
          <w:sz w:val="21"/>
          <w:lang w:eastAsia="zh-CN"/>
        </w:rPr>
        <w:t>）</w:t>
      </w:r>
      <w:r>
        <w:rPr>
          <w:rFonts w:hint="eastAsia"/>
          <w:sz w:val="21"/>
        </w:rPr>
        <w:t>本基金场内简称：</w:t>
      </w:r>
      <w:r>
        <w:rPr>
          <w:rFonts w:hint="eastAsia"/>
          <w:sz w:val="21"/>
          <w:lang w:val="en-US" w:eastAsia="zh-CN"/>
        </w:rPr>
        <w:t>津开产园</w:t>
      </w:r>
      <w:r>
        <w:rPr>
          <w:rFonts w:hint="eastAsia"/>
          <w:sz w:val="21"/>
        </w:rPr>
        <w:t>；扩位简称：</w:t>
      </w:r>
      <w:r>
        <w:rPr>
          <w:rFonts w:hint="eastAsia"/>
          <w:sz w:val="21"/>
          <w:lang w:val="en-US" w:eastAsia="zh-CN"/>
        </w:rPr>
        <w:t>博时津开产园</w:t>
      </w:r>
      <w:r>
        <w:rPr>
          <w:rFonts w:hint="eastAsia"/>
          <w:sz w:val="21"/>
        </w:rPr>
        <w:t>REIT。</w:t>
      </w:r>
    </w:p>
    <w:p w14:paraId="08D71674">
      <w:pPr>
        <w:pStyle w:val="4"/>
        <w:spacing w:before="0" w:beforeAutospacing="0" w:after="0" w:afterAutospacing="0" w:line="360" w:lineRule="auto"/>
        <w:ind w:firstLine="420" w:firstLineChars="200"/>
        <w:rPr>
          <w:rFonts w:hint="eastAsia"/>
          <w:sz w:val="21"/>
          <w:szCs w:val="21"/>
        </w:rPr>
      </w:pPr>
      <w:r>
        <w:rPr>
          <w:rFonts w:hint="eastAsia"/>
          <w:sz w:val="21"/>
          <w:szCs w:val="21"/>
        </w:rPr>
        <w:t>（</w:t>
      </w:r>
      <w:r>
        <w:rPr>
          <w:rFonts w:hint="eastAsia"/>
          <w:sz w:val="21"/>
          <w:szCs w:val="21"/>
          <w:lang w:val="en-US" w:eastAsia="zh-CN"/>
        </w:rPr>
        <w:t>2</w:t>
      </w:r>
      <w:r>
        <w:rPr>
          <w:rFonts w:hint="eastAsia"/>
          <w:sz w:val="21"/>
          <w:szCs w:val="21"/>
        </w:rPr>
        <w:t>）本次收益分配方案已经基金托管人复核。</w:t>
      </w:r>
    </w:p>
    <w:p w14:paraId="60FD3B7E">
      <w:pPr>
        <w:pStyle w:val="4"/>
        <w:spacing w:before="0" w:beforeAutospacing="0" w:after="0" w:afterAutospacing="0" w:line="360" w:lineRule="auto"/>
        <w:ind w:firstLine="420"/>
        <w:jc w:val="both"/>
        <w:rPr>
          <w:rFonts w:hint="default"/>
          <w:sz w:val="21"/>
          <w:szCs w:val="21"/>
          <w:lang w:val="en-US" w:eastAsia="zh-CN"/>
        </w:rPr>
      </w:pPr>
      <w:r>
        <w:rPr>
          <w:rFonts w:hint="eastAsia"/>
          <w:sz w:val="21"/>
          <w:szCs w:val="21"/>
          <w:lang w:eastAsia="zh-CN"/>
        </w:rPr>
        <w:t>（</w:t>
      </w:r>
      <w:r>
        <w:rPr>
          <w:rFonts w:hint="eastAsia"/>
          <w:sz w:val="21"/>
          <w:szCs w:val="21"/>
          <w:lang w:val="en-US" w:eastAsia="zh-CN"/>
        </w:rPr>
        <w:t>3</w:t>
      </w:r>
      <w:r>
        <w:rPr>
          <w:rFonts w:hint="eastAsia"/>
          <w:sz w:val="21"/>
          <w:szCs w:val="21"/>
          <w:lang w:eastAsia="zh-CN"/>
        </w:rPr>
        <w:t>）根据本基金《基金合同》约定，在符合有关基金分红的条件下，本基金每年至少进行收益分配1次，每年收益分配的比例应不低于合并后基金年度可供分配金额的90%。若《基金合同》生效不满6个月可不进行收益分配。本基金本次收益分配基准日为2026年6月30日，本次可供分配金额为45,223,776.00元，包括基金2025年末剩余可供分配金额7,956,102.07元及2026年上半年可供分配金额37,267,673.93元。本次拟分配金额为42,000,000.00元（</w:t>
      </w:r>
      <w:r>
        <w:rPr>
          <w:rFonts w:hint="eastAsia"/>
          <w:sz w:val="21"/>
          <w:szCs w:val="21"/>
          <w:lang w:val="en-US" w:eastAsia="zh-CN"/>
        </w:rPr>
        <w:t>拟分配2025年末剩余可供分配金额4,732,326.07</w:t>
      </w:r>
      <w:bookmarkStart w:id="0" w:name="_GoBack"/>
      <w:bookmarkEnd w:id="0"/>
      <w:r>
        <w:rPr>
          <w:rFonts w:hint="eastAsia"/>
          <w:sz w:val="21"/>
          <w:szCs w:val="21"/>
          <w:lang w:val="en-US" w:eastAsia="zh-CN"/>
        </w:rPr>
        <w:t>元，拟分配2026年上半年可供分配金额为 37,267,673.93元</w:t>
      </w:r>
      <w:r>
        <w:rPr>
          <w:rFonts w:hint="eastAsia"/>
          <w:sz w:val="21"/>
          <w:szCs w:val="21"/>
          <w:lang w:eastAsia="zh-CN"/>
        </w:rPr>
        <w:t>），占本次可供分配金额的比例为92.87%。</w:t>
      </w:r>
    </w:p>
    <w:p w14:paraId="10F3D22F">
      <w:pPr>
        <w:pStyle w:val="4"/>
        <w:spacing w:before="0" w:beforeAutospacing="0" w:after="0" w:afterAutospacing="0" w:line="360" w:lineRule="auto"/>
        <w:ind w:firstLine="420"/>
        <w:rPr>
          <w:rFonts w:hint="default" w:eastAsia="宋体"/>
          <w:sz w:val="21"/>
          <w:szCs w:val="21"/>
          <w:lang w:val="en-US" w:eastAsia="zh-CN"/>
        </w:rPr>
      </w:pPr>
      <w:r>
        <w:rPr>
          <w:rFonts w:hint="eastAsia"/>
          <w:sz w:val="21"/>
          <w:szCs w:val="21"/>
          <w:lang w:eastAsia="zh-CN"/>
        </w:rPr>
        <w:t>（</w:t>
      </w:r>
      <w:r>
        <w:rPr>
          <w:rFonts w:hint="eastAsia"/>
          <w:sz w:val="21"/>
          <w:szCs w:val="21"/>
          <w:lang w:val="en-US" w:eastAsia="zh-CN"/>
        </w:rPr>
        <w:t>4</w:t>
      </w:r>
      <w:r>
        <w:rPr>
          <w:rFonts w:hint="eastAsia"/>
          <w:sz w:val="21"/>
          <w:szCs w:val="21"/>
          <w:lang w:eastAsia="zh-CN"/>
        </w:rPr>
        <w:t>）本次拟分配金额为42,000,000.00元，即本基金每10份基金份额发放红利0.8400元人民币。本次分红实施后，本基金2026年度累计收益分配金额符合《基金合同》约定。</w:t>
      </w:r>
    </w:p>
    <w:p w14:paraId="2DBA352B">
      <w:pPr>
        <w:pStyle w:val="4"/>
        <w:spacing w:before="0" w:beforeAutospacing="0" w:after="0" w:afterAutospacing="0" w:line="360" w:lineRule="auto"/>
        <w:ind w:firstLine="420"/>
        <w:rPr>
          <w:rFonts w:hint="default"/>
          <w:sz w:val="21"/>
          <w:szCs w:val="21"/>
          <w:lang w:val="en-US" w:eastAsia="zh-CN"/>
        </w:rPr>
      </w:pPr>
      <w:r>
        <w:rPr>
          <w:rFonts w:hint="eastAsia"/>
          <w:sz w:val="21"/>
          <w:szCs w:val="21"/>
          <w:lang w:eastAsia="zh-CN"/>
        </w:rPr>
        <w:t>（</w:t>
      </w:r>
      <w:r>
        <w:rPr>
          <w:rFonts w:hint="eastAsia"/>
          <w:sz w:val="21"/>
          <w:szCs w:val="21"/>
          <w:lang w:val="en-US" w:eastAsia="zh-CN"/>
        </w:rPr>
        <w:t>5</w:t>
      </w:r>
      <w:r>
        <w:rPr>
          <w:rFonts w:hint="eastAsia"/>
          <w:sz w:val="21"/>
          <w:szCs w:val="21"/>
          <w:lang w:eastAsia="zh-CN"/>
        </w:rPr>
        <w:t>）</w:t>
      </w:r>
      <w:r>
        <w:rPr>
          <w:rFonts w:hint="eastAsia"/>
          <w:sz w:val="21"/>
          <w:szCs w:val="21"/>
          <w:lang w:val="en-US" w:eastAsia="zh-CN"/>
        </w:rPr>
        <w:t>截至基准日本基金按照本次分红比例计算的应分配金额与实际分配金额间可能存在尾差，具体以注册登记机构的规则为准。</w:t>
      </w:r>
    </w:p>
    <w:p w14:paraId="69FD46EC">
      <w:pPr>
        <w:pStyle w:val="2"/>
        <w:rPr>
          <w:rFonts w:ascii="宋体" w:hAnsi="宋体" w:eastAsia="宋体"/>
          <w:sz w:val="21"/>
        </w:rPr>
      </w:pPr>
      <w:r>
        <w:rPr>
          <w:rFonts w:ascii="宋体" w:hAnsi="宋体" w:eastAsia="宋体"/>
          <w:sz w:val="21"/>
        </w:rPr>
        <w:t>2</w:t>
      </w:r>
      <w:r>
        <w:rPr>
          <w:rFonts w:hint="eastAsia" w:ascii="宋体" w:hAnsi="宋体" w:eastAsia="宋体"/>
          <w:sz w:val="21"/>
          <w:lang w:eastAsia="zh-CN"/>
        </w:rPr>
        <w:t>、</w:t>
      </w:r>
      <w:r>
        <w:rPr>
          <w:rFonts w:ascii="宋体" w:hAnsi="宋体" w:eastAsia="宋体"/>
          <w:sz w:val="21"/>
        </w:rPr>
        <w:t>与分红相关的其他信息</w:t>
      </w:r>
    </w:p>
    <w:tbl>
      <w:tblPr>
        <w:tblStyle w:val="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2841"/>
        <w:gridCol w:w="2841"/>
      </w:tblGrid>
      <w:tr w14:paraId="71876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0E0E71E4">
            <w:pPr>
              <w:rPr>
                <w:rFonts w:ascii="宋体" w:hAnsi="宋体" w:eastAsia="宋体"/>
              </w:rPr>
            </w:pPr>
            <w:r>
              <w:rPr>
                <w:rFonts w:hint="eastAsia" w:ascii="宋体" w:hAnsi="宋体" w:eastAsia="宋体"/>
              </w:rPr>
              <w:t>权益登记日</w:t>
            </w:r>
          </w:p>
        </w:tc>
        <w:tc>
          <w:tcPr>
            <w:tcW w:w="5682" w:type="dxa"/>
            <w:gridSpan w:val="2"/>
            <w:vAlign w:val="center"/>
          </w:tcPr>
          <w:p w14:paraId="4DC16E55">
            <w:pPr>
              <w:rPr>
                <w:rFonts w:ascii="宋体" w:hAnsi="宋体" w:eastAsia="宋体"/>
              </w:rPr>
            </w:pPr>
            <w:r>
              <w:rPr>
                <w:rFonts w:ascii="宋体" w:hAnsi="宋体" w:eastAsia="宋体"/>
              </w:rPr>
              <w:t>2026年8月25日</w:t>
            </w:r>
          </w:p>
        </w:tc>
      </w:tr>
      <w:tr w14:paraId="0FA1B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0794AF94">
            <w:pPr>
              <w:rPr>
                <w:rFonts w:ascii="宋体" w:hAnsi="宋体" w:eastAsia="宋体"/>
              </w:rPr>
            </w:pPr>
            <w:r>
              <w:rPr>
                <w:rFonts w:hint="eastAsia" w:ascii="宋体" w:hAnsi="宋体" w:eastAsia="宋体"/>
              </w:rPr>
              <w:t>除息日</w:t>
            </w:r>
          </w:p>
        </w:tc>
        <w:tc>
          <w:tcPr>
            <w:tcW w:w="2841" w:type="dxa"/>
            <w:vAlign w:val="center"/>
          </w:tcPr>
          <w:p w14:paraId="49B242DF">
            <w:pPr>
              <w:rPr>
                <w:rFonts w:ascii="宋体" w:hAnsi="宋体" w:eastAsia="宋体"/>
              </w:rPr>
            </w:pPr>
            <w:r>
              <w:rPr>
                <w:rFonts w:ascii="宋体" w:hAnsi="宋体" w:eastAsia="宋体"/>
              </w:rPr>
              <w:t>2026年8月26日（场内）</w:t>
            </w:r>
          </w:p>
        </w:tc>
        <w:tc>
          <w:tcPr>
            <w:tcW w:w="2841" w:type="dxa"/>
            <w:vAlign w:val="center"/>
          </w:tcPr>
          <w:p w14:paraId="0D89A1EB">
            <w:pPr>
              <w:rPr>
                <w:rFonts w:ascii="宋体" w:hAnsi="宋体" w:eastAsia="宋体"/>
              </w:rPr>
            </w:pPr>
            <w:r>
              <w:rPr>
                <w:rFonts w:ascii="宋体" w:hAnsi="宋体" w:eastAsia="宋体"/>
              </w:rPr>
              <w:t>2026年8月25日（场外）</w:t>
            </w:r>
          </w:p>
        </w:tc>
      </w:tr>
      <w:tr w14:paraId="546A9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729FE7C5">
            <w:pPr>
              <w:rPr>
                <w:rFonts w:ascii="宋体" w:hAnsi="宋体" w:eastAsia="宋体"/>
              </w:rPr>
            </w:pPr>
            <w:r>
              <w:rPr>
                <w:rFonts w:hint="eastAsia" w:ascii="宋体" w:hAnsi="宋体" w:eastAsia="宋体"/>
              </w:rPr>
              <w:t>现金红利发放日</w:t>
            </w:r>
          </w:p>
        </w:tc>
        <w:tc>
          <w:tcPr>
            <w:tcW w:w="2841" w:type="dxa"/>
            <w:vAlign w:val="center"/>
          </w:tcPr>
          <w:p w14:paraId="3C49A5B6">
            <w:pPr>
              <w:rPr>
                <w:rFonts w:ascii="宋体" w:hAnsi="宋体" w:eastAsia="宋体"/>
              </w:rPr>
            </w:pPr>
            <w:r>
              <w:rPr>
                <w:rFonts w:ascii="宋体" w:hAnsi="宋体" w:eastAsia="宋体"/>
              </w:rPr>
              <w:t>2026年8月31日（场内）</w:t>
            </w:r>
          </w:p>
        </w:tc>
        <w:tc>
          <w:tcPr>
            <w:tcW w:w="2841" w:type="dxa"/>
            <w:vAlign w:val="center"/>
          </w:tcPr>
          <w:p w14:paraId="6549F4DF">
            <w:pPr>
              <w:rPr>
                <w:rFonts w:ascii="宋体" w:hAnsi="宋体" w:eastAsia="宋体"/>
              </w:rPr>
            </w:pPr>
            <w:r>
              <w:rPr>
                <w:rFonts w:ascii="宋体" w:hAnsi="宋体" w:eastAsia="宋体"/>
              </w:rPr>
              <w:t>2026年8月27日（场外）</w:t>
            </w:r>
          </w:p>
        </w:tc>
      </w:tr>
      <w:tr w14:paraId="5EAA3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1B46016E">
            <w:pPr>
              <w:rPr>
                <w:rFonts w:ascii="宋体" w:hAnsi="宋体" w:eastAsia="宋体"/>
              </w:rPr>
            </w:pPr>
            <w:r>
              <w:rPr>
                <w:rFonts w:hint="eastAsia" w:ascii="宋体" w:hAnsi="宋体" w:eastAsia="宋体"/>
              </w:rPr>
              <w:t>分红对象</w:t>
            </w:r>
          </w:p>
        </w:tc>
        <w:tc>
          <w:tcPr>
            <w:tcW w:w="5682" w:type="dxa"/>
            <w:gridSpan w:val="2"/>
            <w:vAlign w:val="center"/>
          </w:tcPr>
          <w:p w14:paraId="3A162E37">
            <w:pPr>
              <w:rPr>
                <w:rFonts w:ascii="宋体" w:hAnsi="宋体" w:eastAsia="宋体"/>
              </w:rPr>
            </w:pPr>
            <w:r>
              <w:rPr>
                <w:rFonts w:hint="eastAsia" w:ascii="宋体" w:hAnsi="宋体" w:eastAsia="宋体"/>
              </w:rPr>
              <w:t>权益登记日登记在册的本基金份额持有人</w:t>
            </w:r>
          </w:p>
        </w:tc>
      </w:tr>
      <w:tr w14:paraId="3F9347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5B189E0F">
            <w:pPr>
              <w:rPr>
                <w:rFonts w:ascii="宋体" w:hAnsi="宋体" w:eastAsia="宋体"/>
              </w:rPr>
            </w:pPr>
            <w:r>
              <w:rPr>
                <w:rFonts w:hint="eastAsia" w:ascii="宋体" w:hAnsi="宋体" w:eastAsia="宋体"/>
              </w:rPr>
              <w:t>红利再投资相关事项的说明</w:t>
            </w:r>
          </w:p>
        </w:tc>
        <w:tc>
          <w:tcPr>
            <w:tcW w:w="5682" w:type="dxa"/>
            <w:gridSpan w:val="2"/>
            <w:vAlign w:val="center"/>
          </w:tcPr>
          <w:p w14:paraId="0A605F23">
            <w:pPr>
              <w:rPr>
                <w:rFonts w:ascii="宋体" w:hAnsi="宋体" w:eastAsia="宋体"/>
              </w:rPr>
            </w:pPr>
            <w:r>
              <w:rPr>
                <w:rFonts w:hint="eastAsia" w:ascii="宋体" w:hAnsi="宋体" w:eastAsia="宋体"/>
              </w:rPr>
              <w:t>本基金收益分配采取现金分红方式，不支持红利再投资。</w:t>
            </w:r>
          </w:p>
        </w:tc>
      </w:tr>
      <w:tr w14:paraId="662507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06BDE310">
            <w:pPr>
              <w:rPr>
                <w:rFonts w:ascii="宋体" w:hAnsi="宋体" w:eastAsia="宋体"/>
              </w:rPr>
            </w:pPr>
            <w:r>
              <w:rPr>
                <w:rFonts w:hint="eastAsia" w:ascii="宋体" w:hAnsi="宋体" w:eastAsia="宋体"/>
              </w:rPr>
              <w:t>税收相关事项的说明</w:t>
            </w:r>
          </w:p>
        </w:tc>
        <w:tc>
          <w:tcPr>
            <w:tcW w:w="5682" w:type="dxa"/>
            <w:gridSpan w:val="2"/>
            <w:vAlign w:val="center"/>
          </w:tcPr>
          <w:p w14:paraId="64AADE25">
            <w:pPr>
              <w:rPr>
                <w:rFonts w:ascii="宋体" w:hAnsi="宋体" w:eastAsia="宋体"/>
              </w:rPr>
            </w:pPr>
            <w:r>
              <w:rPr>
                <w:rFonts w:hint="eastAsia" w:ascii="宋体" w:hAnsi="宋体" w:eastAsia="宋体"/>
              </w:rPr>
              <w:t>根据财政部、国家税务总局的财税</w:t>
            </w:r>
            <w:r>
              <w:rPr>
                <w:rFonts w:ascii="宋体" w:hAnsi="宋体" w:eastAsia="宋体"/>
              </w:rPr>
              <w:t>[2002]128号《财政部 国家税务总局关于开放式证券投资基金有关税收问题的通知》及财税[2008]1号《关于企业所得税若干优惠政策的通知》的规定，基金向投资者分配的基金利润，暂免征收所得税。</w:t>
            </w:r>
          </w:p>
        </w:tc>
      </w:tr>
      <w:tr w14:paraId="54C54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Align w:val="center"/>
          </w:tcPr>
          <w:p w14:paraId="3165B236">
            <w:pPr>
              <w:rPr>
                <w:rFonts w:ascii="宋体" w:hAnsi="宋体" w:eastAsia="宋体"/>
              </w:rPr>
            </w:pPr>
            <w:r>
              <w:rPr>
                <w:rFonts w:hint="eastAsia" w:ascii="宋体" w:hAnsi="宋体" w:eastAsia="宋体"/>
              </w:rPr>
              <w:t>费用相关事项的说明</w:t>
            </w:r>
          </w:p>
        </w:tc>
        <w:tc>
          <w:tcPr>
            <w:tcW w:w="5682" w:type="dxa"/>
            <w:gridSpan w:val="2"/>
            <w:vAlign w:val="center"/>
          </w:tcPr>
          <w:p w14:paraId="34FABC45">
            <w:pPr>
              <w:rPr>
                <w:rFonts w:ascii="宋体" w:hAnsi="宋体" w:eastAsia="宋体"/>
              </w:rPr>
            </w:pPr>
            <w:r>
              <w:rPr>
                <w:rFonts w:hint="eastAsia" w:ascii="宋体" w:hAnsi="宋体" w:eastAsia="宋体"/>
              </w:rPr>
              <w:t>本基金本次分红免收分红手续费。</w:t>
            </w:r>
          </w:p>
        </w:tc>
      </w:tr>
    </w:tbl>
    <w:p w14:paraId="7379CA96"/>
    <w:p w14:paraId="24BF79B8">
      <w:pPr>
        <w:pStyle w:val="2"/>
        <w:rPr>
          <w:rFonts w:hint="eastAsia" w:ascii="宋体" w:hAnsi="宋体" w:eastAsia="宋体"/>
          <w:sz w:val="21"/>
        </w:rPr>
      </w:pPr>
      <w:r>
        <w:rPr>
          <w:rFonts w:hint="eastAsia" w:ascii="宋体" w:hAnsi="宋体" w:eastAsia="宋体"/>
          <w:sz w:val="21"/>
        </w:rPr>
        <w:t>3</w:t>
      </w:r>
      <w:r>
        <w:rPr>
          <w:rFonts w:hint="eastAsia" w:ascii="宋体" w:hAnsi="宋体" w:eastAsia="宋体"/>
          <w:sz w:val="21"/>
          <w:lang w:eastAsia="zh-CN"/>
        </w:rPr>
        <w:t>、</w:t>
      </w:r>
      <w:r>
        <w:rPr>
          <w:rFonts w:hint="eastAsia" w:ascii="宋体" w:hAnsi="宋体" w:eastAsia="宋体"/>
          <w:sz w:val="21"/>
        </w:rPr>
        <w:t>其他需要提示的事项</w:t>
      </w:r>
    </w:p>
    <w:p w14:paraId="5251CCA2">
      <w:pPr>
        <w:pStyle w:val="4"/>
        <w:spacing w:before="0" w:beforeAutospacing="0" w:after="0" w:afterAutospacing="0" w:line="360" w:lineRule="auto"/>
        <w:ind w:firstLine="420"/>
        <w:rPr>
          <w:rFonts w:hint="eastAsia" w:eastAsia="宋体"/>
          <w:sz w:val="21"/>
          <w:szCs w:val="21"/>
          <w:lang w:eastAsia="zh-CN"/>
        </w:rPr>
      </w:pPr>
      <w:r>
        <w:rPr>
          <w:rFonts w:hint="eastAsia"/>
          <w:sz w:val="21"/>
          <w:szCs w:val="21"/>
        </w:rPr>
        <w:t>（1）权益分派期间（2026年8月21日至2026年8月25日）暂停跨系统转托管业务。</w:t>
      </w:r>
    </w:p>
    <w:p w14:paraId="55047E9B">
      <w:pPr>
        <w:pStyle w:val="4"/>
        <w:spacing w:before="0" w:beforeAutospacing="0" w:after="0" w:afterAutospacing="0" w:line="360" w:lineRule="auto"/>
        <w:ind w:firstLine="420"/>
        <w:rPr>
          <w:rFonts w:hint="eastAsia"/>
          <w:sz w:val="21"/>
          <w:szCs w:val="21"/>
        </w:rPr>
      </w:pPr>
      <w:r>
        <w:rPr>
          <w:rFonts w:hint="eastAsia"/>
          <w:sz w:val="21"/>
          <w:szCs w:val="21"/>
        </w:rPr>
        <w:t xml:space="preserve">（2）权益登记日当天买入的基金份额享有本次分红权益，权益登记日当天卖出的基金份额不享有本次分红权益。   </w:t>
      </w:r>
    </w:p>
    <w:p w14:paraId="4C8A8FFF">
      <w:pPr>
        <w:pStyle w:val="4"/>
        <w:spacing w:before="0" w:beforeAutospacing="0" w:after="0" w:afterAutospacing="0" w:line="360" w:lineRule="auto"/>
        <w:ind w:firstLine="420"/>
        <w:rPr>
          <w:rFonts w:hint="eastAsia"/>
          <w:sz w:val="21"/>
          <w:szCs w:val="21"/>
          <w:highlight w:val="none"/>
        </w:rPr>
      </w:pPr>
      <w:r>
        <w:rPr>
          <w:rFonts w:hint="eastAsia"/>
          <w:sz w:val="21"/>
          <w:szCs w:val="21"/>
        </w:rPr>
        <w:t>（</w:t>
      </w:r>
      <w:r>
        <w:rPr>
          <w:rFonts w:hint="eastAsia"/>
          <w:sz w:val="21"/>
          <w:szCs w:val="21"/>
          <w:lang w:val="en-US" w:eastAsia="zh-CN"/>
        </w:rPr>
        <w:t>3</w:t>
      </w:r>
      <w:r>
        <w:rPr>
          <w:rFonts w:hint="eastAsia"/>
          <w:sz w:val="21"/>
          <w:szCs w:val="21"/>
        </w:rPr>
        <w:t>）本</w:t>
      </w:r>
      <w:r>
        <w:rPr>
          <w:rFonts w:hint="eastAsia"/>
          <w:sz w:val="21"/>
          <w:szCs w:val="21"/>
          <w:highlight w:val="none"/>
        </w:rPr>
        <w:t xml:space="preserve">基金收益分配采取现金分红方式。 </w:t>
      </w:r>
    </w:p>
    <w:p w14:paraId="632DB5E6">
      <w:pPr>
        <w:pStyle w:val="4"/>
        <w:spacing w:before="0" w:beforeAutospacing="0" w:after="0" w:afterAutospacing="0" w:line="360" w:lineRule="auto"/>
        <w:ind w:firstLine="420"/>
        <w:jc w:val="both"/>
        <w:rPr>
          <w:rFonts w:hint="eastAsia"/>
          <w:sz w:val="21"/>
          <w:szCs w:val="21"/>
          <w:highlight w:val="none"/>
        </w:rPr>
      </w:pPr>
      <w:r>
        <w:rPr>
          <w:rFonts w:hint="eastAsia"/>
          <w:sz w:val="21"/>
          <w:szCs w:val="21"/>
          <w:highlight w:val="none"/>
        </w:rPr>
        <w:t>（</w:t>
      </w:r>
      <w:r>
        <w:rPr>
          <w:rFonts w:hint="eastAsia"/>
          <w:sz w:val="21"/>
          <w:szCs w:val="21"/>
          <w:highlight w:val="none"/>
          <w:lang w:val="en-US" w:eastAsia="zh-CN"/>
        </w:rPr>
        <w:t>4</w:t>
      </w:r>
      <w:r>
        <w:rPr>
          <w:rFonts w:hint="eastAsia"/>
          <w:sz w:val="21"/>
          <w:szCs w:val="21"/>
          <w:highlight w:val="none"/>
        </w:rPr>
        <w:t xml:space="preserve">）本基金可供分配金额是指在基金合并财务报表净利润基础上通过合理调整计算得出的金额，在可供分配金额计算过程中，应当先将合并财务报表净利润调整为息税折旧及摊销前利润（EBITDA），并在此基础上综合考虑项目公司持续发展、经营现金流等因素后确定可供分配金额计算调整项。本基金可供分配金额计算调整项如下：本基金发行份额募集的资金、购买基础设施项目的支出、应收和应付项目的变动、未来合理的相关支出预留、交割日流动资产和流动负债的净额等。 </w:t>
      </w:r>
    </w:p>
    <w:p w14:paraId="5BEE4D92">
      <w:pPr>
        <w:pStyle w:val="4"/>
        <w:spacing w:before="0" w:beforeAutospacing="0" w:after="0" w:afterAutospacing="0" w:line="360" w:lineRule="auto"/>
        <w:ind w:firstLine="420"/>
        <w:jc w:val="both"/>
        <w:rPr>
          <w:rFonts w:hint="eastAsia"/>
          <w:sz w:val="21"/>
          <w:szCs w:val="21"/>
          <w:highlight w:val="none"/>
        </w:rPr>
      </w:pPr>
      <w:r>
        <w:rPr>
          <w:sz w:val="21"/>
          <w:szCs w:val="21"/>
          <w:highlight w:val="none"/>
        </w:rPr>
        <w:t>经上述项目调整后，本基金2025年度可供分配金额为80,526,102.48元，2025年度累计实际分配金额为72,570,000.41元，2025年末结转可供分配金额为7,956,102.07元；本基金自2026年1月1日至收益分配基准日2026年6月30日期间的可供分配金额为37,267,673.93元。截至基准日，本基金可供分配金额为45,223,776.00元，本次拟分红金额为42,000,000.00元。本次分红实施后，本基金2026年度累计收益分配金额为42,000,000.00元。</w:t>
      </w:r>
    </w:p>
    <w:p w14:paraId="59F93406">
      <w:pPr>
        <w:pStyle w:val="2"/>
        <w:rPr>
          <w:rFonts w:hint="eastAsia" w:ascii="宋体" w:hAnsi="宋体" w:eastAsia="宋体"/>
          <w:sz w:val="21"/>
        </w:rPr>
      </w:pPr>
      <w:r>
        <w:rPr>
          <w:rFonts w:hint="eastAsia" w:ascii="宋体" w:hAnsi="宋体" w:eastAsia="宋体"/>
          <w:sz w:val="21"/>
        </w:rPr>
        <w:t xml:space="preserve">4、相关机构联系方式  </w:t>
      </w:r>
    </w:p>
    <w:p w14:paraId="25733608">
      <w:pPr>
        <w:pStyle w:val="4"/>
        <w:spacing w:before="0" w:beforeAutospacing="0" w:after="0" w:afterAutospacing="0" w:line="360" w:lineRule="auto"/>
        <w:ind w:firstLine="420"/>
        <w:rPr>
          <w:sz w:val="21"/>
          <w:szCs w:val="21"/>
        </w:rPr>
      </w:pPr>
      <w:r>
        <w:rPr>
          <w:rFonts w:hint="eastAsia"/>
          <w:sz w:val="21"/>
          <w:szCs w:val="21"/>
        </w:rPr>
        <w:t>本基金份额持有人及希望了解本基金其他有关信息的投资者，可以登录本基金管理人网站（http</w:t>
      </w:r>
      <w:r>
        <w:rPr>
          <w:rFonts w:hint="eastAsia"/>
          <w:sz w:val="21"/>
          <w:szCs w:val="21"/>
          <w:lang w:val="en-US" w:eastAsia="zh-CN"/>
        </w:rPr>
        <w:t>s</w:t>
      </w:r>
      <w:r>
        <w:rPr>
          <w:rFonts w:hint="eastAsia"/>
          <w:sz w:val="21"/>
          <w:szCs w:val="21"/>
        </w:rPr>
        <w:t xml:space="preserve">://www.bosera.com）或拨打博时一线通95105568（免长途费）咨询相关事宜。  </w:t>
      </w:r>
    </w:p>
    <w:p w14:paraId="6FBDFAAC">
      <w:pPr>
        <w:pStyle w:val="2"/>
        <w:rPr>
          <w:rFonts w:hint="eastAsia" w:ascii="宋体" w:hAnsi="宋体" w:eastAsia="宋体"/>
          <w:sz w:val="21"/>
        </w:rPr>
      </w:pPr>
      <w:r>
        <w:rPr>
          <w:rFonts w:hint="eastAsia" w:ascii="宋体" w:hAnsi="宋体" w:eastAsia="宋体"/>
          <w:sz w:val="21"/>
        </w:rPr>
        <w:t xml:space="preserve">5、风险提示  </w:t>
      </w:r>
    </w:p>
    <w:p w14:paraId="44251321">
      <w:pPr>
        <w:pStyle w:val="4"/>
        <w:spacing w:before="0" w:beforeAutospacing="0" w:after="0" w:afterAutospacing="0" w:line="360" w:lineRule="auto"/>
        <w:ind w:firstLine="420"/>
        <w:rPr>
          <w:sz w:val="21"/>
          <w:szCs w:val="21"/>
        </w:rPr>
      </w:pPr>
      <w:r>
        <w:rPr>
          <w:rFonts w:hint="eastAsia"/>
          <w:sz w:val="21"/>
          <w:szCs w:val="21"/>
        </w:rPr>
        <w:t xml:space="preserve">本基金管理人承诺以诚实信用、勤勉尽责的原则管理和运用基金财产，但不保证基金一定盈利，也不保证最低收益。因基金分红导致基金份额净值变化，不会改变基金的风险收益特征，不会降低基金投资风险或提高基金投资收益。基金的过往业绩不代表未来表现，敬请投资者注意投资风险。  </w:t>
      </w:r>
    </w:p>
    <w:p w14:paraId="2889E789">
      <w:pPr>
        <w:pStyle w:val="4"/>
        <w:spacing w:before="0" w:beforeAutospacing="0" w:after="0" w:afterAutospacing="0" w:line="360" w:lineRule="auto"/>
        <w:ind w:firstLine="420"/>
        <w:rPr>
          <w:rFonts w:hint="eastAsia"/>
          <w:sz w:val="21"/>
          <w:szCs w:val="21"/>
        </w:rPr>
      </w:pPr>
      <w:r>
        <w:rPr>
          <w:rFonts w:hint="eastAsia"/>
          <w:sz w:val="21"/>
          <w:szCs w:val="21"/>
        </w:rPr>
        <w:t xml:space="preserve">特此公告。  </w:t>
      </w:r>
    </w:p>
    <w:p w14:paraId="3044465D">
      <w:pPr>
        <w:pStyle w:val="4"/>
        <w:spacing w:before="0" w:beforeAutospacing="0" w:after="0" w:afterAutospacing="0" w:line="360" w:lineRule="auto"/>
        <w:ind w:firstLine="420"/>
        <w:rPr>
          <w:rFonts w:hint="eastAsia"/>
          <w:sz w:val="21"/>
          <w:szCs w:val="21"/>
        </w:rPr>
      </w:pPr>
    </w:p>
    <w:p w14:paraId="0C42C6E0">
      <w:pPr>
        <w:pStyle w:val="4"/>
        <w:spacing w:before="0" w:beforeAutospacing="0" w:after="0" w:afterAutospacing="0" w:line="360" w:lineRule="auto"/>
        <w:ind w:firstLine="420"/>
        <w:rPr>
          <w:rFonts w:hint="eastAsia"/>
          <w:sz w:val="21"/>
          <w:szCs w:val="21"/>
        </w:rPr>
      </w:pPr>
    </w:p>
    <w:p w14:paraId="0F4BA2AB">
      <w:pPr>
        <w:rPr>
          <w:rFonts w:hint="eastAsia" w:ascii="宋体" w:hAnsi="宋体" w:eastAsia="宋体" w:cs="宋体"/>
          <w:kern w:val="0"/>
          <w:szCs w:val="21"/>
        </w:rPr>
      </w:pPr>
    </w:p>
    <w:p w14:paraId="6C6270ED"/>
    <w:p w14:paraId="74093E11"/>
    <w:p w14:paraId="46D456E7"/>
    <w:p w14:paraId="3DCB9EC7">
      <w:pPr>
        <w:jc w:val="right"/>
        <w:rPr>
          <w:rFonts w:hint="eastAsia" w:ascii="宋体" w:hAnsi="宋体" w:eastAsia="宋体"/>
        </w:rPr>
      </w:pPr>
      <w:r>
        <w:rPr>
          <w:rFonts w:hint="eastAsia" w:ascii="宋体" w:hAnsi="宋体" w:eastAsia="宋体"/>
        </w:rPr>
        <w:t>博时基金管理有限公司</w:t>
      </w:r>
    </w:p>
    <w:p w14:paraId="72748E2B">
      <w:pPr>
        <w:jc w:val="right"/>
        <w:rPr>
          <w:rFonts w:hint="eastAsia" w:ascii="宋体" w:hAnsi="宋体" w:eastAsia="宋体"/>
          <w:lang w:eastAsia="zh-CN"/>
        </w:rPr>
      </w:pPr>
      <w:r>
        <w:rPr>
          <w:rFonts w:hint="eastAsia" w:ascii="宋体" w:hAnsi="宋体" w:eastAsia="宋体"/>
          <w:lang w:eastAsia="zh-CN"/>
        </w:rPr>
        <w:t>2026年8月21日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4794"/>
    <w:rsid w:val="002A120F"/>
    <w:rsid w:val="0039276B"/>
    <w:rsid w:val="006B1AEC"/>
    <w:rsid w:val="009D0291"/>
    <w:rsid w:val="00A34AA1"/>
    <w:rsid w:val="00A74794"/>
    <w:rsid w:val="00E42C03"/>
    <w:rsid w:val="014E4831"/>
    <w:rsid w:val="01D65751"/>
    <w:rsid w:val="022105D8"/>
    <w:rsid w:val="02990FD0"/>
    <w:rsid w:val="02C0152D"/>
    <w:rsid w:val="03292E3E"/>
    <w:rsid w:val="032F7F62"/>
    <w:rsid w:val="041848D0"/>
    <w:rsid w:val="047E7EEC"/>
    <w:rsid w:val="04A07C4B"/>
    <w:rsid w:val="04D36DD3"/>
    <w:rsid w:val="06606195"/>
    <w:rsid w:val="06F10CE3"/>
    <w:rsid w:val="073316DF"/>
    <w:rsid w:val="07873EBA"/>
    <w:rsid w:val="07A55EE8"/>
    <w:rsid w:val="08685C57"/>
    <w:rsid w:val="08A1449E"/>
    <w:rsid w:val="090B4EFE"/>
    <w:rsid w:val="09957DB6"/>
    <w:rsid w:val="09ED18D7"/>
    <w:rsid w:val="0A565A84"/>
    <w:rsid w:val="0A8D1916"/>
    <w:rsid w:val="0AE16099"/>
    <w:rsid w:val="0B74626B"/>
    <w:rsid w:val="0B8900B1"/>
    <w:rsid w:val="0C483CB5"/>
    <w:rsid w:val="0C946488"/>
    <w:rsid w:val="0D7630A2"/>
    <w:rsid w:val="0D7A4BC3"/>
    <w:rsid w:val="0D7E334D"/>
    <w:rsid w:val="0D7E3D32"/>
    <w:rsid w:val="0DC9092E"/>
    <w:rsid w:val="0E4449F4"/>
    <w:rsid w:val="0EC42733"/>
    <w:rsid w:val="0F785FB9"/>
    <w:rsid w:val="106815A9"/>
    <w:rsid w:val="10A122D5"/>
    <w:rsid w:val="11280833"/>
    <w:rsid w:val="115B2D88"/>
    <w:rsid w:val="1203449B"/>
    <w:rsid w:val="122E2D61"/>
    <w:rsid w:val="122F6941"/>
    <w:rsid w:val="126F3983"/>
    <w:rsid w:val="13642DDD"/>
    <w:rsid w:val="13A875C4"/>
    <w:rsid w:val="13DC3D21"/>
    <w:rsid w:val="15B10D98"/>
    <w:rsid w:val="16563B6D"/>
    <w:rsid w:val="16A63E2C"/>
    <w:rsid w:val="17C15C05"/>
    <w:rsid w:val="181628F9"/>
    <w:rsid w:val="18887A2E"/>
    <w:rsid w:val="19024013"/>
    <w:rsid w:val="19133F6D"/>
    <w:rsid w:val="19221075"/>
    <w:rsid w:val="19CD395C"/>
    <w:rsid w:val="1A101FD2"/>
    <w:rsid w:val="1B4B4E84"/>
    <w:rsid w:val="1BCE3730"/>
    <w:rsid w:val="1C10784D"/>
    <w:rsid w:val="1D024317"/>
    <w:rsid w:val="1D0725B4"/>
    <w:rsid w:val="1D097731"/>
    <w:rsid w:val="1DB83ED8"/>
    <w:rsid w:val="1DF42BB2"/>
    <w:rsid w:val="1FC53E3E"/>
    <w:rsid w:val="20BC471C"/>
    <w:rsid w:val="218C5CBF"/>
    <w:rsid w:val="21A92086"/>
    <w:rsid w:val="232C1EE7"/>
    <w:rsid w:val="241D144D"/>
    <w:rsid w:val="245C44F9"/>
    <w:rsid w:val="24D460D7"/>
    <w:rsid w:val="24E22490"/>
    <w:rsid w:val="24E64719"/>
    <w:rsid w:val="25AB345F"/>
    <w:rsid w:val="25E60A39"/>
    <w:rsid w:val="262322F6"/>
    <w:rsid w:val="2722020A"/>
    <w:rsid w:val="279F108F"/>
    <w:rsid w:val="27D305E4"/>
    <w:rsid w:val="280D3671"/>
    <w:rsid w:val="286E43EA"/>
    <w:rsid w:val="28BD5FE3"/>
    <w:rsid w:val="28E45EA3"/>
    <w:rsid w:val="298732AC"/>
    <w:rsid w:val="299D6956"/>
    <w:rsid w:val="29C1751A"/>
    <w:rsid w:val="2A5906FD"/>
    <w:rsid w:val="2ADA2ADB"/>
    <w:rsid w:val="2BE31D1C"/>
    <w:rsid w:val="2BF74C43"/>
    <w:rsid w:val="2C0026F0"/>
    <w:rsid w:val="2D614A83"/>
    <w:rsid w:val="2E10009F"/>
    <w:rsid w:val="2E456DBF"/>
    <w:rsid w:val="2EDE7EE6"/>
    <w:rsid w:val="2F0E760F"/>
    <w:rsid w:val="303119B2"/>
    <w:rsid w:val="31094BB2"/>
    <w:rsid w:val="31CF55C7"/>
    <w:rsid w:val="336C18DC"/>
    <w:rsid w:val="33752BC3"/>
    <w:rsid w:val="338B0EAB"/>
    <w:rsid w:val="33C44FAB"/>
    <w:rsid w:val="33EC6C65"/>
    <w:rsid w:val="343D0BC3"/>
    <w:rsid w:val="3528559A"/>
    <w:rsid w:val="35F52493"/>
    <w:rsid w:val="367367C2"/>
    <w:rsid w:val="36DE2411"/>
    <w:rsid w:val="37381826"/>
    <w:rsid w:val="37583B59"/>
    <w:rsid w:val="379C3AC9"/>
    <w:rsid w:val="37AB0110"/>
    <w:rsid w:val="380556F6"/>
    <w:rsid w:val="381416F6"/>
    <w:rsid w:val="381F1BC2"/>
    <w:rsid w:val="38D62BC9"/>
    <w:rsid w:val="38D65DCF"/>
    <w:rsid w:val="39910796"/>
    <w:rsid w:val="3A705B70"/>
    <w:rsid w:val="3AFF372F"/>
    <w:rsid w:val="3B5847E9"/>
    <w:rsid w:val="3B5A7E9A"/>
    <w:rsid w:val="3C764FC0"/>
    <w:rsid w:val="3C812926"/>
    <w:rsid w:val="3CE242F0"/>
    <w:rsid w:val="3D4E5980"/>
    <w:rsid w:val="3FC80830"/>
    <w:rsid w:val="403768E5"/>
    <w:rsid w:val="411841B3"/>
    <w:rsid w:val="41271A71"/>
    <w:rsid w:val="41B17B5D"/>
    <w:rsid w:val="42677E7F"/>
    <w:rsid w:val="42EA1159"/>
    <w:rsid w:val="42F14560"/>
    <w:rsid w:val="42F76E83"/>
    <w:rsid w:val="434B1776"/>
    <w:rsid w:val="44521A4C"/>
    <w:rsid w:val="44B646D1"/>
    <w:rsid w:val="453B44DF"/>
    <w:rsid w:val="46640E53"/>
    <w:rsid w:val="46ED18ED"/>
    <w:rsid w:val="48287661"/>
    <w:rsid w:val="48353751"/>
    <w:rsid w:val="4975249B"/>
    <w:rsid w:val="49990F6C"/>
    <w:rsid w:val="4A3755B9"/>
    <w:rsid w:val="4A375B51"/>
    <w:rsid w:val="4A547680"/>
    <w:rsid w:val="4A8A6194"/>
    <w:rsid w:val="4BE67E16"/>
    <w:rsid w:val="4C60645B"/>
    <w:rsid w:val="4CDB3DD0"/>
    <w:rsid w:val="4D233F9A"/>
    <w:rsid w:val="4D910D42"/>
    <w:rsid w:val="4EDA75F2"/>
    <w:rsid w:val="4F0A253C"/>
    <w:rsid w:val="4F247AD0"/>
    <w:rsid w:val="50137FBB"/>
    <w:rsid w:val="51E7F72F"/>
    <w:rsid w:val="528C0D0D"/>
    <w:rsid w:val="53B17155"/>
    <w:rsid w:val="541C25ED"/>
    <w:rsid w:val="54B43966"/>
    <w:rsid w:val="54D83641"/>
    <w:rsid w:val="5522237F"/>
    <w:rsid w:val="5525504B"/>
    <w:rsid w:val="553D6C3A"/>
    <w:rsid w:val="562F36CF"/>
    <w:rsid w:val="56557053"/>
    <w:rsid w:val="569B7D3A"/>
    <w:rsid w:val="57375CDC"/>
    <w:rsid w:val="574511BD"/>
    <w:rsid w:val="58767330"/>
    <w:rsid w:val="58800D6B"/>
    <w:rsid w:val="5AAC50E0"/>
    <w:rsid w:val="5B20148D"/>
    <w:rsid w:val="5BF56698"/>
    <w:rsid w:val="5C00536A"/>
    <w:rsid w:val="5CC35C4B"/>
    <w:rsid w:val="5CF709BF"/>
    <w:rsid w:val="5D8A74CA"/>
    <w:rsid w:val="5D91564F"/>
    <w:rsid w:val="5E030D89"/>
    <w:rsid w:val="5E346C9C"/>
    <w:rsid w:val="5E50194A"/>
    <w:rsid w:val="5E723E03"/>
    <w:rsid w:val="5F3535F0"/>
    <w:rsid w:val="60B419E5"/>
    <w:rsid w:val="629B19C1"/>
    <w:rsid w:val="630B32EB"/>
    <w:rsid w:val="63195DA5"/>
    <w:rsid w:val="63D23FA5"/>
    <w:rsid w:val="63D464D8"/>
    <w:rsid w:val="64184643"/>
    <w:rsid w:val="651A2F6C"/>
    <w:rsid w:val="652E26AD"/>
    <w:rsid w:val="65AA0B5D"/>
    <w:rsid w:val="66B56591"/>
    <w:rsid w:val="66B961E0"/>
    <w:rsid w:val="67DA3B6E"/>
    <w:rsid w:val="681B5AD6"/>
    <w:rsid w:val="68693D84"/>
    <w:rsid w:val="68862300"/>
    <w:rsid w:val="68CD6C00"/>
    <w:rsid w:val="699851AD"/>
    <w:rsid w:val="6A1C1B84"/>
    <w:rsid w:val="6B75585A"/>
    <w:rsid w:val="6BB84F15"/>
    <w:rsid w:val="6CE73473"/>
    <w:rsid w:val="6D0F7B79"/>
    <w:rsid w:val="6D85303B"/>
    <w:rsid w:val="6E1B6319"/>
    <w:rsid w:val="6EA31A25"/>
    <w:rsid w:val="6ECF7B5A"/>
    <w:rsid w:val="6F643E01"/>
    <w:rsid w:val="6F8F4715"/>
    <w:rsid w:val="70192C51"/>
    <w:rsid w:val="7028360F"/>
    <w:rsid w:val="70DC047A"/>
    <w:rsid w:val="70E02065"/>
    <w:rsid w:val="71381023"/>
    <w:rsid w:val="71FB52F1"/>
    <w:rsid w:val="72255653"/>
    <w:rsid w:val="745067E4"/>
    <w:rsid w:val="75C73DD7"/>
    <w:rsid w:val="76564592"/>
    <w:rsid w:val="76D46C00"/>
    <w:rsid w:val="76E21497"/>
    <w:rsid w:val="7773527D"/>
    <w:rsid w:val="77D8682E"/>
    <w:rsid w:val="78424BD9"/>
    <w:rsid w:val="7909569A"/>
    <w:rsid w:val="79A44820"/>
    <w:rsid w:val="7C8C7AE7"/>
    <w:rsid w:val="7CE710FA"/>
    <w:rsid w:val="7E3C0A9F"/>
    <w:rsid w:val="7E524FCC"/>
    <w:rsid w:val="7EF8215F"/>
    <w:rsid w:val="7F9B4CB4"/>
    <w:rsid w:val="7F9E4E03"/>
    <w:rsid w:val="7FD065BE"/>
    <w:rsid w:val="EEF6AD80"/>
    <w:rsid w:val="FF7F8F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link w:val="8"/>
    <w:unhideWhenUsed/>
    <w:qFormat/>
    <w:uiPriority w:val="9"/>
    <w:pPr>
      <w:keepNext/>
      <w:keepLines/>
      <w:spacing w:before="260" w:after="260" w:line="416" w:lineRule="auto"/>
      <w:outlineLvl w:val="2"/>
    </w:pPr>
    <w:rPr>
      <w:b/>
      <w:bCs/>
      <w:sz w:val="32"/>
      <w:szCs w:val="32"/>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6">
    <w:name w:val="Table Grid"/>
    <w:basedOn w:val="5"/>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8">
    <w:name w:val="标题 3 Char"/>
    <w:basedOn w:val="7"/>
    <w:link w:val="2"/>
    <w:qFormat/>
    <w:uiPriority w:val="9"/>
    <w:rPr>
      <w:b/>
      <w:bCs/>
      <w:sz w:val="32"/>
      <w:szCs w:val="32"/>
    </w:rPr>
  </w:style>
  <w:style w:type="character" w:customStyle="1" w:styleId="9">
    <w:name w:val="fontstyle01"/>
    <w:basedOn w:val="7"/>
    <w:qFormat/>
    <w:uiPriority w:val="0"/>
    <w:rPr>
      <w:rFonts w:hint="eastAsia" w:ascii="宋体" w:hAnsi="宋体" w:eastAsia="宋体" w:cs="宋体"/>
      <w:color w:val="000000"/>
      <w:sz w:val="22"/>
      <w:szCs w:val="22"/>
    </w:rPr>
  </w:style>
  <w:style w:type="character" w:customStyle="1" w:styleId="10">
    <w:name w:val="fontstyle11"/>
    <w:basedOn w:val="7"/>
    <w:qFormat/>
    <w:uiPriority w:val="0"/>
    <w:rPr>
      <w:rFonts w:hint="default" w:ascii="Times New Roman" w:hAnsi="Times New Roman" w:cs="Times New Roman"/>
      <w:color w:val="000000"/>
      <w:sz w:val="22"/>
      <w:szCs w:val="22"/>
    </w:rPr>
  </w:style>
  <w:style w:type="character" w:customStyle="1" w:styleId="11">
    <w:name w:val="fontstyle21"/>
    <w:basedOn w:val="7"/>
    <w:qFormat/>
    <w:uiPriority w:val="0"/>
    <w:rPr>
      <w:rFonts w:hint="default" w:ascii="Times New Roman" w:hAnsi="Times New Roman" w:cs="Times New Roman"/>
      <w:color w:val="00000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3</Pages>
  <Words>279</Words>
  <Characters>1592</Characters>
  <Lines>13</Lines>
  <Paragraphs>3</Paragraphs>
  <TotalTime>42</TotalTime>
  <ScaleCrop>false</ScaleCrop>
  <LinksUpToDate>false</LinksUpToDate>
  <CharactersWithSpaces>1868</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2024-12-06T08:53:00Z</dcterms:created>
  <dc:creator>BSKMadminDev</dc:creator>
  <cp:lastModifiedBy>fuxj</cp:lastModifiedBy>
  <cp:lastPrinted>2026-08-05T07:42:00Z</cp:lastPrinted>
  <dcterms:modified xsi:type="dcterms:W3CDTF">2026-08-14T03:27:32Z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8C87E18C9BB04B96B525F60CF0B79CF9_13</vt:lpwstr>
  </property>
</Properties>
</file>