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bookmarkStart w:id="232" w:name="_GoBack"/>
      <w:bookmarkEnd w:id="232"/>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博时裕诚纯债债券型证券投资基金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中国邮政储蓄银行股份有限公司</w:t>
      </w:r>
      <w:r>
        <w:rPr>
          <w:rFonts w:ascii="宋体" w:hAnsi="宋体" w:eastAsia="宋体"/>
          <w:b/>
          <w:sz w:val="30"/>
        </w:rPr>
        <w:br w:type="page"/>
      </w:r>
    </w:p>
    <w:p>
      <w:pPr>
        <w:pStyle w:val="2"/>
        <w:jc w:val="center"/>
        <w:rPr>
          <w:rFonts w:ascii="宋体" w:hAnsi="宋体" w:eastAsia="宋体"/>
          <w:sz w:val="30"/>
        </w:rPr>
      </w:pPr>
      <w:bookmarkStart w:id="0" w:name="_Toc207981726"/>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2015年11月10日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博时裕诚纯债债券型证券投资基金</w:t>
      </w:r>
      <w:bookmarkEnd w:id="2"/>
      <w:r>
        <w:rPr>
          <w:rFonts w:hint="eastAsia"/>
          <w:sz w:val="21"/>
          <w:szCs w:val="21"/>
        </w:rPr>
        <w:t>注册的批复》（证监许可</w:t>
      </w:r>
      <w:bookmarkStart w:id="3" w:name="field_2343_lotnumber_1"/>
      <w:r>
        <w:rPr>
          <w:sz w:val="21"/>
          <w:szCs w:val="21"/>
        </w:rPr>
        <w:t>[2015]2558</w:t>
      </w:r>
      <w:bookmarkEnd w:id="3"/>
      <w:r>
        <w:rPr>
          <w:rFonts w:hint="eastAsia"/>
          <w:sz w:val="21"/>
          <w:szCs w:val="21"/>
        </w:rPr>
        <w:t xml:space="preserve">号）进行募集。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3、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5、本基金为债券型基金，预期收益和预期风险高于货币市场基金，但低于混合型基金、股票型基金，属于较低预期风险/收益的产品。 </w:t>
      </w:r>
    </w:p>
    <w:p>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9、本基金初始募集面值为人民币</w:t>
      </w:r>
      <w:bookmarkStart w:id="4" w:name="field_2343_facevalue_1"/>
      <w:r>
        <w:rPr>
          <w:sz w:val="21"/>
          <w:szCs w:val="21"/>
        </w:rPr>
        <w:t>1.00</w:t>
      </w:r>
      <w:bookmarkEnd w:id="4"/>
      <w:r>
        <w:rPr>
          <w:rFonts w:hint="eastAsia"/>
          <w:sz w:val="21"/>
          <w:szCs w:val="21"/>
        </w:rPr>
        <w:t xml:space="preserve"> 元。在市场波动因素影响下，本基金净值可能低于初始面值，本基金投资者有可能出现亏损。 </w:t>
      </w:r>
    </w:p>
    <w:p>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12、本招募说明书（更新）所载内容截止日为</w:t>
      </w:r>
      <w:bookmarkStart w:id="5"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12</w:t>
      </w:r>
      <w:r>
        <w:rPr>
          <w:sz w:val="21"/>
          <w:szCs w:val="21"/>
        </w:rPr>
        <w:t>日</w:t>
      </w:r>
      <w:bookmarkEnd w:id="5"/>
      <w:r>
        <w:rPr>
          <w:rFonts w:hint="eastAsia"/>
          <w:sz w:val="21"/>
          <w:szCs w:val="21"/>
        </w:rPr>
        <w:t>，有关财务数据和净值表现截止日为</w:t>
      </w:r>
      <w:bookmarkStart w:id="6" w:name="field_2343_financeendday_1"/>
      <w:r>
        <w:rPr>
          <w:sz w:val="21"/>
          <w:szCs w:val="21"/>
        </w:rPr>
        <w:t>2025年6月30日</w:t>
      </w:r>
      <w:bookmarkEnd w:id="6"/>
      <w:r>
        <w:rPr>
          <w:rFonts w:hint="eastAsia"/>
          <w:sz w:val="21"/>
          <w:szCs w:val="21"/>
        </w:rPr>
        <w:t xml:space="preserve"> (财务数据未经审计)。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"_Toc207981726"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_Toc207981726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"_Toc207981727"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_Toc207981727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"_Toc207981728"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_Toc207981728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"_Toc207981729"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_Toc207981729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"_Toc207981730"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_Toc207981730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"_Toc207981731"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_Toc207981731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"_Toc207981732"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_Toc207981732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"_Toc207981733"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_Toc207981733 \h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"_Toc207981734"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_Toc207981734 \h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"_Toc207981735"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_Toc207981735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"_Toc207981736"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_Toc207981736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"_Toc207981737"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_Toc207981737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"_Toc207981738"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_Toc207981738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"_Toc207981739"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_Toc207981739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"_Toc207981740"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_Toc207981740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"_Toc207981741"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_Toc207981741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"_Toc207981742"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_Toc207981742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"_Toc207981743"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_Toc207981743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"_Toc207981744"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_Toc207981744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"_Toc207981745"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_Toc207981745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"_Toc207981746"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_Toc207981746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"_Toc207981747"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_Toc207981747 \h </w:instrText>
      </w:r>
      <w:r>
        <w:rPr>
          <w:rFonts w:ascii="宋体" w:hAnsi="宋体" w:eastAsia="宋体"/>
        </w:rPr>
        <w:fldChar w:fldCharType="separate"/>
      </w:r>
      <w:r>
        <w:rPr>
          <w:rFonts w:ascii="宋体" w:hAnsi="宋体" w:eastAsia="宋体"/>
        </w:rPr>
        <w:t>122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"_Toc207981748"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_Toc207981748 \h </w:instrText>
      </w:r>
      <w:r>
        <w:rPr>
          <w:rFonts w:ascii="宋体" w:hAnsi="宋体" w:eastAsia="宋体"/>
        </w:rPr>
        <w:fldChar w:fldCharType="separate"/>
      </w:r>
      <w:r>
        <w:rPr>
          <w:rFonts w:ascii="宋体" w:hAnsi="宋体" w:eastAsia="宋体"/>
        </w:rPr>
        <w:t>125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"_Toc207981749"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_Toc207981749 \h </w:instrText>
      </w:r>
      <w:r>
        <w:rPr>
          <w:rFonts w:ascii="宋体" w:hAnsi="宋体" w:eastAsia="宋体"/>
        </w:rPr>
        <w:fldChar w:fldCharType="separate"/>
      </w:r>
      <w:r>
        <w:rPr>
          <w:rFonts w:ascii="宋体" w:hAnsi="宋体" w:eastAsia="宋体"/>
        </w:rPr>
        <w:t>127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"_Toc207981750"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_Toc207981750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7" w:name="_Toc207981727"/>
      <w:bookmarkStart w:id="8" w:name="chapter_level1_3_2344"/>
      <w:r>
        <w:rPr>
          <w:rFonts w:hint="eastAsia" w:ascii="宋体" w:hAnsi="宋体" w:eastAsia="宋体"/>
          <w:sz w:val="30"/>
        </w:rPr>
        <w:t>第一部分  绪言</w:t>
      </w:r>
      <w:bookmarkEnd w:id="7"/>
      <w:bookmarkEnd w:id="8"/>
    </w:p>
    <w:p>
      <w:pPr>
        <w:pStyle w:val="7"/>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博时裕诚纯债债券型证券投资基金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博时裕诚纯债债券型证券投资基金</w:t>
      </w:r>
      <w:bookmarkEnd w:id="11"/>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博时裕诚纯债债券型证券投资基金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3" w:name="field_0_productfullname_5"/>
      <w:r>
        <w:rPr>
          <w:rFonts w:hint="eastAsia"/>
          <w:sz w:val="21"/>
          <w:szCs w:val="21"/>
        </w:rPr>
        <w:t>博时裕诚纯债债券型证券投资基金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 w:name="chapter_level1_4_49"/>
      <w:bookmarkStart w:id="16" w:name="_Toc207981728"/>
      <w:r>
        <w:rPr>
          <w:rFonts w:hint="eastAsia" w:ascii="宋体" w:hAnsi="宋体" w:eastAsia="宋体"/>
          <w:sz w:val="30"/>
        </w:rPr>
        <w:t>第二部分  释义</w:t>
      </w:r>
      <w:bookmarkEnd w:id="15"/>
      <w:bookmarkEnd w:id="16"/>
    </w:p>
    <w:p>
      <w:pPr>
        <w:pStyle w:val="7"/>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在本招募说明书中，除非文义另有所指，下列词语具有以下含义：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博时裕诚纯债债券型证券投资基金</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中国邮政储蓄银行股份有限公司</w:t>
      </w:r>
      <w:bookmarkEnd w:id="2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博时裕诚纯债债券型证券投资基金</w:t>
      </w:r>
      <w:bookmarkEnd w:id="21"/>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博时裕诚纯债债券型证券投资基金</w:t>
      </w:r>
      <w:bookmarkEnd w:id="22"/>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博时裕诚纯债债券型证券投资基金</w:t>
      </w:r>
      <w:bookmarkEnd w:id="23"/>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4" w:name="field_0_productfullname_10"/>
      <w:r>
        <w:rPr>
          <w:rFonts w:hint="eastAsia"/>
          <w:sz w:val="21"/>
          <w:szCs w:val="21"/>
        </w:rPr>
        <w:t>博时裕诚纯债债券型证券投资基金</w:t>
      </w:r>
      <w:bookmarkEnd w:id="24"/>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5" w:name="field_0_productfullname_11"/>
      <w:r>
        <w:rPr>
          <w:rFonts w:hint="eastAsia"/>
          <w:sz w:val="21"/>
          <w:szCs w:val="21"/>
        </w:rPr>
        <w:t>博时裕诚纯债债券型证券投资基金</w:t>
      </w:r>
      <w:bookmarkEnd w:id="25"/>
      <w:r>
        <w:rPr>
          <w:rFonts w:hint="eastAsia"/>
          <w:sz w:val="21"/>
          <w:szCs w:val="21"/>
        </w:rPr>
        <w:t xml:space="preserve">基金产品资料概要》及其更新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16、银行业监督管理机构：指中国人民银行和/或国家金融监督管理总局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pPr>
        <w:pStyle w:val="7"/>
        <w:spacing w:before="0" w:beforeAutospacing="0" w:after="0" w:afterAutospacing="0" w:line="360" w:lineRule="auto"/>
        <w:ind w:firstLine="420"/>
        <w:rPr>
          <w:sz w:val="21"/>
          <w:szCs w:val="21"/>
        </w:rPr>
      </w:pPr>
      <w:r>
        <w:rPr>
          <w:rFonts w:hint="eastAsia"/>
          <w:sz w:val="21"/>
          <w:szCs w:val="21"/>
        </w:rPr>
        <w:t>25、直销机构：指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7" w:name="chapter_level1_4_49_section_1_end"/>
      <w:bookmarkEnd w:id="27"/>
      <w:r>
        <w:rPr>
          <w:rFonts w:hint="eastAsia"/>
          <w:sz w:val="21"/>
          <w:szCs w:val="21"/>
        </w:rPr>
        <w:t xml:space="preserve">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bookmarkStart w:id="28" w:name="chapter_level1_4_49_section_2"/>
      <w:bookmarkEnd w:id="28"/>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 xml:space="preserve">委托代为办理登记业务的机构 </w:t>
      </w:r>
    </w:p>
    <w:p>
      <w:pPr>
        <w:pStyle w:val="7"/>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pPr>
        <w:pStyle w:val="7"/>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pPr>
        <w:pStyle w:val="7"/>
        <w:spacing w:before="0" w:beforeAutospacing="0" w:after="0" w:afterAutospacing="0" w:line="360" w:lineRule="auto"/>
        <w:ind w:firstLine="420"/>
        <w:rPr>
          <w:sz w:val="21"/>
          <w:szCs w:val="21"/>
        </w:rPr>
      </w:pPr>
      <w:r>
        <w:rPr>
          <w:rFonts w:hint="eastAsia"/>
          <w:sz w:val="21"/>
          <w:szCs w:val="21"/>
        </w:rPr>
        <w:t>40、《业务规则》：指《</w:t>
      </w:r>
      <w:bookmarkStart w:id="31" w:name="field_0_managerorgfullname_5"/>
      <w:r>
        <w:rPr>
          <w:rFonts w:hint="eastAsia"/>
          <w:sz w:val="21"/>
          <w:szCs w:val="21"/>
        </w:rPr>
        <w:t>博时基金管理有限公司</w:t>
      </w:r>
      <w:bookmarkEnd w:id="31"/>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2" w:name="field_49_mintredeemscale_1"/>
      <w:r>
        <w:rPr>
          <w:sz w:val="21"/>
          <w:szCs w:val="21"/>
        </w:rPr>
        <w:t>10</w:t>
      </w:r>
      <w:bookmarkEnd w:id="32"/>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 xml:space="preserve">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pPr>
        <w:pStyle w:val="7"/>
        <w:spacing w:before="0" w:beforeAutospacing="0" w:after="0" w:afterAutospacing="0" w:line="360" w:lineRule="auto"/>
        <w:ind w:firstLine="420"/>
        <w:rPr>
          <w:sz w:val="21"/>
          <w:szCs w:val="21"/>
        </w:rPr>
      </w:pPr>
      <w:r>
        <w:rPr>
          <w:rFonts w:hint="eastAsia"/>
          <w:sz w:val="21"/>
          <w:szCs w:val="21"/>
        </w:rPr>
        <w:t xml:space="preserve">60、基金份额类别：指本基金根据申购费用与销售服务费收取方式等不同，将基金份额分为不同的类别  </w:t>
      </w:r>
    </w:p>
    <w:p>
      <w:pPr>
        <w:pStyle w:val="7"/>
        <w:spacing w:before="0" w:beforeAutospacing="0" w:after="0" w:afterAutospacing="0" w:line="360" w:lineRule="auto"/>
        <w:ind w:firstLine="420"/>
        <w:rPr>
          <w:sz w:val="21"/>
          <w:szCs w:val="21"/>
        </w:rPr>
      </w:pPr>
      <w:r>
        <w:rPr>
          <w:rFonts w:hint="eastAsia"/>
          <w:sz w:val="21"/>
          <w:szCs w:val="21"/>
        </w:rPr>
        <w:t xml:space="preserve">61、A类基金份额：指本基金在投资者申购基金时收取申购费，不收取销售服务费的基金份额  </w:t>
      </w:r>
    </w:p>
    <w:p>
      <w:pPr>
        <w:pStyle w:val="7"/>
        <w:spacing w:before="0" w:beforeAutospacing="0" w:after="0" w:afterAutospacing="0" w:line="360" w:lineRule="auto"/>
        <w:ind w:firstLine="420"/>
        <w:rPr>
          <w:sz w:val="21"/>
          <w:szCs w:val="21"/>
        </w:rPr>
      </w:pPr>
      <w:r>
        <w:rPr>
          <w:rFonts w:hint="eastAsia"/>
          <w:sz w:val="21"/>
          <w:szCs w:val="21"/>
        </w:rPr>
        <w:t>62、C类基金份额：指本基金在投资者申购基金时不收取申购费，而是从本类别基金资</w:t>
      </w:r>
      <w:bookmarkStart w:id="33" w:name="chapter_level1_4_49_section_2_end"/>
      <w:bookmarkEnd w:id="33"/>
      <w:r>
        <w:rPr>
          <w:rFonts w:hint="eastAsia"/>
          <w:sz w:val="21"/>
          <w:szCs w:val="21"/>
        </w:rPr>
        <w:t xml:space="preserve">产中计提销售服务费的基金份额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4" w:name="chapter_level1_5_53"/>
      <w:bookmarkStart w:id="35" w:name="_Toc207981729"/>
      <w:r>
        <w:rPr>
          <w:rFonts w:hint="eastAsia" w:ascii="宋体" w:hAnsi="宋体" w:eastAsia="宋体"/>
          <w:sz w:val="30"/>
        </w:rPr>
        <w:t>第三部分  基金管理人</w:t>
      </w:r>
      <w:bookmarkEnd w:id="34"/>
      <w:bookmarkEnd w:id="35"/>
    </w:p>
    <w:p>
      <w:pPr>
        <w:pStyle w:val="7"/>
        <w:spacing w:before="0" w:beforeAutospacing="0" w:after="0" w:afterAutospacing="0" w:line="360" w:lineRule="auto"/>
        <w:ind w:firstLine="420"/>
        <w:rPr>
          <w:sz w:val="21"/>
          <w:szCs w:val="21"/>
          <w:highlight w:val="none"/>
        </w:rPr>
      </w:pPr>
      <w:bookmarkStart w:id="36" w:name="chapter_level1_5_53_section_1"/>
      <w:bookmarkEnd w:id="36"/>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37"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7"/>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3</w:t>
      </w:r>
      <w:r>
        <w:rPr>
          <w:rFonts w:hint="eastAsia"/>
          <w:sz w:val="21"/>
          <w:szCs w:val="21"/>
          <w:highlight w:val="none"/>
        </w:rPr>
        <w:t xml:space="preserve">、本基金基金经理 </w:t>
      </w:r>
    </w:p>
    <w:p>
      <w:pPr>
        <w:pStyle w:val="7"/>
        <w:spacing w:before="0" w:beforeAutospacing="0" w:after="0" w:afterAutospacing="0" w:line="360" w:lineRule="auto"/>
        <w:ind w:firstLine="420"/>
        <w:rPr>
          <w:sz w:val="21"/>
          <w:szCs w:val="21"/>
        </w:rPr>
      </w:pPr>
      <w:r>
        <w:rPr>
          <w:rStyle w:val="11"/>
          <w:rFonts w:hint="eastAsia"/>
          <w:b w:val="0"/>
          <w:bCs w:val="0"/>
          <w:sz w:val="21"/>
          <w:szCs w:val="21"/>
        </w:rPr>
        <w:t>胥艺女士，硕士。2015年至2020年在泰康资产管理有限责任公司工作。2020年加入博时基金管理有限公司。曾任固定收益总部基金经理助理。现任博时安康18个月定期开放债券型证券投资基金(LOF)(2022年12月9日—至今)、博时富乐纯债债券型证券投资基金(2022年12月9日—至今)、博时双月薪定期支付债券型证券投资基金(2023年7月26日—至今)、博时富鸿金融债3个月定期开放债券型证券投资基金(2023年9月1日—至今)、博时聚源纯债债券型证券投资基金(2025年8月14日—至今)、博时裕康纯债债券型证券投资基金(2026年2月6日—至今)、博时裕利纯债债券型证券投资基金(2026年3月24日—至今)</w:t>
      </w:r>
      <w:r>
        <w:rPr>
          <w:rStyle w:val="11"/>
          <w:rFonts w:hint="eastAsia"/>
          <w:b w:val="0"/>
          <w:bCs w:val="0"/>
          <w:sz w:val="21"/>
          <w:szCs w:val="21"/>
          <w:lang w:eastAsia="zh-CN"/>
        </w:rPr>
        <w:t>、</w:t>
      </w:r>
      <w:r>
        <w:rPr>
          <w:rFonts w:hint="eastAsia"/>
          <w:sz w:val="21"/>
          <w:szCs w:val="21"/>
        </w:rPr>
        <w:t>博时裕诚纯债债券型证券投资基金(202</w:t>
      </w:r>
      <w:r>
        <w:rPr>
          <w:rFonts w:hint="eastAsia"/>
          <w:sz w:val="21"/>
          <w:szCs w:val="21"/>
          <w:lang w:val="en-US" w:eastAsia="zh-CN"/>
        </w:rPr>
        <w:t>6</w:t>
      </w:r>
      <w:r>
        <w:rPr>
          <w:rFonts w:hint="eastAsia"/>
          <w:sz w:val="21"/>
          <w:szCs w:val="21"/>
        </w:rPr>
        <w:t>年5月</w:t>
      </w:r>
      <w:r>
        <w:rPr>
          <w:rFonts w:hint="eastAsia"/>
          <w:sz w:val="21"/>
          <w:szCs w:val="21"/>
          <w:lang w:val="en-US" w:eastAsia="zh-CN"/>
        </w:rPr>
        <w:t>12</w:t>
      </w:r>
      <w:r>
        <w:rPr>
          <w:rFonts w:hint="eastAsia"/>
          <w:sz w:val="21"/>
          <w:szCs w:val="21"/>
        </w:rPr>
        <w:t>日—至今)</w:t>
      </w:r>
      <w:r>
        <w:rPr>
          <w:rStyle w:val="11"/>
          <w:rFonts w:hint="eastAsia"/>
          <w:b w:val="0"/>
          <w:bCs w:val="0"/>
          <w:sz w:val="21"/>
          <w:szCs w:val="21"/>
        </w:rPr>
        <w:t>的基金经理。</w:t>
      </w:r>
      <w:r>
        <w:rPr>
          <w:rFonts w:hint="eastAsia"/>
          <w:sz w:val="21"/>
          <w:szCs w:val="21"/>
        </w:rPr>
        <w:t xml:space="preserve"> </w:t>
      </w:r>
    </w:p>
    <w:p>
      <w:pPr>
        <w:pStyle w:val="7"/>
        <w:spacing w:before="0" w:beforeAutospacing="0" w:after="0" w:afterAutospacing="0" w:line="360" w:lineRule="auto"/>
        <w:ind w:firstLine="420"/>
        <w:rPr>
          <w:sz w:val="21"/>
          <w:szCs w:val="21"/>
        </w:rPr>
      </w:pPr>
      <w:bookmarkStart w:id="38" w:name="field_0_fundmanagerresume_1_start"/>
      <w:bookmarkEnd w:id="38"/>
      <w:bookmarkStart w:id="39" w:name="field_0_fundmanagershis_1_start"/>
      <w:bookmarkEnd w:id="39"/>
      <w:r>
        <w:rPr>
          <w:rFonts w:hint="eastAsia"/>
          <w:sz w:val="21"/>
          <w:szCs w:val="21"/>
        </w:rPr>
        <w:t>本基金历任基金经理：陈凯杨（2016年10月31日-2020年5月</w:t>
      </w:r>
      <w:bookmarkStart w:id="40" w:name="chapter_level1_5_53_section_2_end"/>
      <w:bookmarkEnd w:id="40"/>
      <w:r>
        <w:rPr>
          <w:rFonts w:hint="eastAsia"/>
          <w:sz w:val="21"/>
          <w:szCs w:val="21"/>
        </w:rPr>
        <w:t>13日）</w:t>
      </w:r>
      <w:r>
        <w:rPr>
          <w:rFonts w:hint="eastAsia"/>
          <w:sz w:val="21"/>
          <w:szCs w:val="21"/>
          <w:lang w:eastAsia="zh-CN"/>
        </w:rPr>
        <w:t>、</w:t>
      </w:r>
      <w:r>
        <w:rPr>
          <w:rFonts w:hint="eastAsia"/>
          <w:sz w:val="21"/>
          <w:szCs w:val="21"/>
          <w:lang w:val="en-US" w:eastAsia="zh-CN"/>
        </w:rPr>
        <w:t>郭思洁（</w:t>
      </w:r>
      <w:r>
        <w:rPr>
          <w:rFonts w:hint="eastAsia"/>
          <w:sz w:val="21"/>
          <w:szCs w:val="21"/>
        </w:rPr>
        <w:t>2020年5月13日—202</w:t>
      </w:r>
      <w:r>
        <w:rPr>
          <w:rFonts w:hint="eastAsia"/>
          <w:sz w:val="21"/>
          <w:szCs w:val="21"/>
          <w:lang w:val="en-US" w:eastAsia="zh-CN"/>
        </w:rPr>
        <w:t>6</w:t>
      </w:r>
      <w:r>
        <w:rPr>
          <w:rFonts w:hint="eastAsia"/>
          <w:sz w:val="21"/>
          <w:szCs w:val="21"/>
        </w:rPr>
        <w:t>年5月</w:t>
      </w:r>
      <w:r>
        <w:rPr>
          <w:rFonts w:hint="eastAsia"/>
          <w:sz w:val="21"/>
          <w:szCs w:val="21"/>
          <w:lang w:val="en-US" w:eastAsia="zh-CN"/>
        </w:rPr>
        <w:t>12</w:t>
      </w:r>
      <w:r>
        <w:rPr>
          <w:rFonts w:hint="eastAsia"/>
          <w:sz w:val="21"/>
          <w:szCs w:val="21"/>
        </w:rPr>
        <w:t>日</w:t>
      </w:r>
      <w:r>
        <w:rPr>
          <w:rFonts w:hint="eastAsia"/>
          <w:sz w:val="21"/>
          <w:szCs w:val="21"/>
          <w:lang w:val="en-US" w:eastAsia="zh-CN"/>
        </w:rPr>
        <w:t>）</w:t>
      </w:r>
      <w:r>
        <w:rPr>
          <w:rFonts w:hint="eastAsia"/>
          <w:sz w:val="21"/>
          <w:szCs w:val="21"/>
        </w:rPr>
        <w:t>。</w:t>
      </w:r>
      <w:bookmarkStart w:id="41" w:name="field_0_fundmanagershis_1_end"/>
      <w:bookmarkEnd w:id="41"/>
      <w:r>
        <w:rPr>
          <w:rFonts w:hint="eastAsia"/>
          <w:sz w:val="21"/>
          <w:szCs w:val="21"/>
        </w:rPr>
        <w:t xml:space="preserve">  </w:t>
      </w:r>
    </w:p>
    <w:p>
      <w:pPr>
        <w:pStyle w:val="7"/>
        <w:spacing w:before="0" w:beforeAutospacing="0" w:after="0" w:afterAutospacing="0" w:line="360" w:lineRule="auto"/>
        <w:ind w:firstLine="420"/>
        <w:rPr>
          <w:sz w:val="21"/>
          <w:szCs w:val="21"/>
        </w:rPr>
      </w:pPr>
      <w:bookmarkStart w:id="42" w:name="field_0_managerpersoninfo2_1_start"/>
      <w:bookmarkEnd w:id="42"/>
      <w:bookmarkStart w:id="43" w:name="chapter_level1_5_53_section_3"/>
      <w:bookmarkEnd w:id="43"/>
      <w:r>
        <w:rPr>
          <w:rFonts w:hint="eastAsia"/>
          <w:sz w:val="21"/>
          <w:szCs w:val="21"/>
          <w:lang w:val="en-US" w:eastAsia="zh-CN"/>
        </w:rPr>
        <w:t>4</w:t>
      </w:r>
      <w:r>
        <w:rPr>
          <w:rFonts w:hint="eastAsia"/>
          <w:sz w:val="21"/>
          <w:szCs w:val="21"/>
        </w:rPr>
        <w:t xml:space="preserve">、投资决策委员会成员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44" w:name="chapter_level1_5_53_section_3_end"/>
      <w:bookmarkEnd w:id="44"/>
      <w:r>
        <w:rPr>
          <w:rFonts w:hint="eastAsia"/>
          <w:sz w:val="21"/>
          <w:szCs w:val="21"/>
          <w:lang w:val="en-US" w:eastAsia="zh-CN"/>
        </w:rPr>
        <w:t>5</w:t>
      </w:r>
      <w:r>
        <w:rPr>
          <w:rFonts w:hint="eastAsia"/>
          <w:sz w:val="21"/>
          <w:szCs w:val="21"/>
        </w:rPr>
        <w:t xml:space="preserve">、上述人员之间均不存在近亲属关系。 </w:t>
      </w:r>
      <w:bookmarkStart w:id="45" w:name="field_0_managerpersoninfo2_1_end"/>
      <w:bookmarkEnd w:id="45"/>
      <w:r>
        <w:rPr>
          <w:rFonts w:hint="eastAsia"/>
          <w:sz w:val="21"/>
          <w:szCs w:val="21"/>
        </w:rPr>
        <w:t xml:space="preserve">  </w:t>
      </w:r>
    </w:p>
    <w:p>
      <w:pPr>
        <w:pStyle w:val="7"/>
        <w:spacing w:before="0" w:beforeAutospacing="0" w:after="0" w:afterAutospacing="0" w:line="360" w:lineRule="auto"/>
        <w:ind w:firstLine="420"/>
        <w:rPr>
          <w:sz w:val="21"/>
          <w:szCs w:val="21"/>
        </w:rPr>
      </w:pPr>
      <w:bookmarkStart w:id="46" w:name="chapter_level1_5_53_section_4"/>
      <w:bookmarkEnd w:id="46"/>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7" w:name="_Toc207981730"/>
      <w:bookmarkStart w:id="48" w:name="chapter_level1_6_55"/>
      <w:r>
        <w:rPr>
          <w:rFonts w:hint="eastAsia" w:ascii="宋体" w:hAnsi="宋体" w:eastAsia="宋体"/>
          <w:sz w:val="30"/>
        </w:rPr>
        <w:t>第四部分  基金托管人</w:t>
      </w:r>
      <w:bookmarkEnd w:id="47"/>
      <w:bookmarkEnd w:id="48"/>
    </w:p>
    <w:p>
      <w:pPr>
        <w:pStyle w:val="7"/>
        <w:spacing w:before="0" w:beforeAutospacing="0" w:after="0" w:afterAutospacing="0" w:line="360" w:lineRule="auto"/>
        <w:ind w:firstLine="420"/>
        <w:rPr>
          <w:sz w:val="21"/>
          <w:szCs w:val="21"/>
        </w:rPr>
      </w:pPr>
      <w:bookmarkStart w:id="49" w:name="chapter_level1_6_55_section_1"/>
      <w:bookmarkEnd w:id="49"/>
      <w:bookmarkStart w:id="50" w:name="field_0_trustcompanyinfo_1_start"/>
      <w:bookmarkEnd w:id="50"/>
      <w:r>
        <w:rPr>
          <w:rFonts w:hint="eastAsia"/>
          <w:sz w:val="21"/>
          <w:szCs w:val="21"/>
        </w:rPr>
        <w:t xml:space="preserve">(一)基金托管人情况 </w:t>
      </w:r>
    </w:p>
    <w:p>
      <w:pPr>
        <w:pStyle w:val="7"/>
        <w:spacing w:before="0" w:beforeAutospacing="0" w:after="0" w:afterAutospacing="0" w:line="360" w:lineRule="auto"/>
        <w:ind w:firstLine="420"/>
        <w:rPr>
          <w:sz w:val="21"/>
          <w:szCs w:val="21"/>
        </w:rPr>
      </w:pPr>
      <w:r>
        <w:rPr>
          <w:rFonts w:hint="eastAsia"/>
          <w:sz w:val="21"/>
          <w:szCs w:val="21"/>
        </w:rPr>
        <w:t xml:space="preserve">1.基本情况 </w:t>
      </w:r>
    </w:p>
    <w:p>
      <w:pPr>
        <w:pStyle w:val="7"/>
        <w:spacing w:before="0" w:beforeAutospacing="0" w:after="0" w:afterAutospacing="0" w:line="360" w:lineRule="auto"/>
        <w:ind w:firstLine="420"/>
        <w:rPr>
          <w:sz w:val="21"/>
          <w:szCs w:val="21"/>
        </w:rPr>
      </w:pPr>
      <w:r>
        <w:rPr>
          <w:rFonts w:hint="eastAsia"/>
          <w:sz w:val="21"/>
          <w:szCs w:val="21"/>
        </w:rPr>
        <w:t xml:space="preserve">名称：中国邮政储蓄银行股份有限公司(简称：中国邮政储蓄银行)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住所：北京市西城区金融大街3号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办公地址：北京市西城区金融大街3号A座 </w:t>
      </w:r>
    </w:p>
    <w:p>
      <w:pPr>
        <w:pStyle w:val="7"/>
        <w:spacing w:before="0" w:beforeAutospacing="0" w:after="0" w:afterAutospacing="0" w:line="360" w:lineRule="auto"/>
        <w:ind w:firstLine="420"/>
        <w:rPr>
          <w:sz w:val="21"/>
          <w:szCs w:val="21"/>
        </w:rPr>
      </w:pPr>
      <w:r>
        <w:rPr>
          <w:rFonts w:hint="eastAsia"/>
          <w:sz w:val="21"/>
          <w:szCs w:val="21"/>
        </w:rPr>
        <w:t xml:space="preserve">法定代表人：郑国雨 </w:t>
      </w:r>
    </w:p>
    <w:p>
      <w:pPr>
        <w:pStyle w:val="7"/>
        <w:spacing w:before="0" w:beforeAutospacing="0" w:after="0" w:afterAutospacing="0" w:line="360" w:lineRule="auto"/>
        <w:ind w:firstLine="420"/>
        <w:rPr>
          <w:sz w:val="21"/>
          <w:szCs w:val="21"/>
        </w:rPr>
      </w:pPr>
      <w:r>
        <w:rPr>
          <w:rFonts w:hint="eastAsia"/>
          <w:sz w:val="21"/>
          <w:szCs w:val="21"/>
        </w:rPr>
        <w:t xml:space="preserve">成立时间：2007年3月6日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注册资本：991.61亿元人民币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批准设立机关及批准设立文号：中国银监会银监复〔2006〕484号 </w:t>
      </w:r>
    </w:p>
    <w:p>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基金托管资格批文及文号：证监许可〔2009〕673号 </w:t>
      </w:r>
    </w:p>
    <w:p>
      <w:pPr>
        <w:pStyle w:val="7"/>
        <w:spacing w:before="0" w:beforeAutospacing="0" w:after="0" w:afterAutospacing="0" w:line="360" w:lineRule="auto"/>
        <w:ind w:firstLine="420"/>
        <w:rPr>
          <w:sz w:val="21"/>
          <w:szCs w:val="21"/>
        </w:rPr>
      </w:pPr>
      <w:r>
        <w:rPr>
          <w:rFonts w:hint="eastAsia"/>
          <w:sz w:val="21"/>
          <w:szCs w:val="21"/>
        </w:rPr>
        <w:t xml:space="preserve">联系人：马强 </w:t>
      </w:r>
    </w:p>
    <w:p>
      <w:pPr>
        <w:pStyle w:val="7"/>
        <w:spacing w:before="0" w:beforeAutospacing="0" w:after="0" w:afterAutospacing="0" w:line="360" w:lineRule="auto"/>
        <w:ind w:firstLine="420"/>
        <w:rPr>
          <w:sz w:val="21"/>
          <w:szCs w:val="21"/>
        </w:rPr>
      </w:pPr>
      <w:r>
        <w:rPr>
          <w:rFonts w:hint="eastAsia"/>
          <w:sz w:val="21"/>
          <w:szCs w:val="21"/>
        </w:rPr>
        <w:t xml:space="preserve">联系电话：010－68857221 </w:t>
      </w:r>
    </w:p>
    <w:p>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和贴现；发行金融债券；代理发行、代理兑付、承销政府债券；买卖政府债券、金融债券；从事同业拆借；买卖、代理买卖外汇；从事银行卡业务；提供信用证服务及担保；代理收付款项及代理保险业务；提供保险箱服务；经中国银行业监督管理机构等监管部门批准的其他业务。 </w:t>
      </w:r>
    </w:p>
    <w:p>
      <w:pPr>
        <w:pStyle w:val="7"/>
        <w:spacing w:before="0" w:beforeAutospacing="0" w:after="0" w:afterAutospacing="0" w:line="360" w:lineRule="auto"/>
        <w:ind w:firstLine="420"/>
        <w:rPr>
          <w:sz w:val="21"/>
          <w:szCs w:val="21"/>
        </w:rPr>
      </w:pPr>
      <w:r>
        <w:rPr>
          <w:rFonts w:hint="eastAsia"/>
          <w:sz w:val="21"/>
          <w:szCs w:val="21"/>
        </w:rPr>
        <w:t xml:space="preserve">经国务院同意并经中国银行业监督管理委员会批准，中国邮政储蓄银行有限责任公司（成立于2007年3月6日）于2012年1月21日依法整体变更为中国邮政储蓄银行股份有限公司。中国邮政储蓄银行股份有限公司依法承继原中国邮政储蓄银行有限责任公司全部资产、负债、机构、业务和人员，依法承担和履行原中国邮政储蓄银行有限责任公司在有关具有法律效力的合同或协议中的权利、义务，以及相应的债权债务关系和法律责任。中国邮政储蓄银行股份有限公司坚持服务“三农”、服务中小企业、服务城乡居民的大型零售商业银行定位，发挥邮政网络优势，强化内部控制，合规稳健经营，为广大城乡居民及企业提供优质金融服务，实现股东价值最大化，支持国民经济发展和社会进步。 </w:t>
      </w:r>
    </w:p>
    <w:p>
      <w:pPr>
        <w:pStyle w:val="7"/>
        <w:spacing w:before="0" w:beforeAutospacing="0" w:after="0" w:afterAutospacing="0" w:line="360" w:lineRule="auto"/>
        <w:ind w:firstLine="420"/>
        <w:rPr>
          <w:sz w:val="21"/>
          <w:szCs w:val="21"/>
        </w:rPr>
      </w:pPr>
      <w:r>
        <w:rPr>
          <w:rFonts w:hint="eastAsia"/>
          <w:sz w:val="21"/>
          <w:szCs w:val="21"/>
        </w:rPr>
        <w:t xml:space="preserve">2.主要人员情况 </w:t>
      </w:r>
    </w:p>
    <w:p>
      <w:pPr>
        <w:pStyle w:val="7"/>
        <w:spacing w:before="0" w:beforeAutospacing="0" w:after="0" w:afterAutospacing="0" w:line="360" w:lineRule="auto"/>
        <w:ind w:firstLine="420"/>
        <w:rPr>
          <w:sz w:val="21"/>
          <w:szCs w:val="21"/>
        </w:rPr>
      </w:pPr>
      <w:r>
        <w:rPr>
          <w:rFonts w:hint="eastAsia"/>
          <w:sz w:val="21"/>
          <w:szCs w:val="21"/>
        </w:rPr>
        <w:t xml:space="preserve">中国邮政储蓄银行股份有限公司总行设托管业务部，下设资产托管处、产品管理处、风险管理处、运营管理处、运营一处等处室。现有员工101人，全部员工拥有大学本科以上学历，具备丰富的托管服务经验。 </w:t>
      </w:r>
    </w:p>
    <w:p>
      <w:pPr>
        <w:pStyle w:val="7"/>
        <w:spacing w:before="0" w:beforeAutospacing="0" w:after="0" w:afterAutospacing="0" w:line="360" w:lineRule="auto"/>
        <w:ind w:firstLine="420"/>
        <w:rPr>
          <w:sz w:val="21"/>
          <w:szCs w:val="21"/>
        </w:rPr>
      </w:pPr>
      <w:r>
        <w:rPr>
          <w:rFonts w:hint="eastAsia"/>
          <w:sz w:val="21"/>
          <w:szCs w:val="21"/>
        </w:rPr>
        <w:t xml:space="preserve">3.托管业务经营情况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2009年7月23日，中国邮政储蓄银行经中国证券监督管理委员会和中国银行业监督管理委员会联合批准，获得证券投资基金托管资格，是我国第16家托管银行。2012年7月19日，中国邮政储蓄银行经中国保险业监督管理委员会批准，获得保险资金托管资格。中国邮政储蓄银行坚持以客户为中心、以服务为基础的经营理念，依托专业的托管团队、灵活的托管业务系统、规范的托管管理制度、健全的内控体系、运作高效的业务处理模式，为广大基金份额持有人和众多资产管理机构提供安全、高效、专业、全面的托管服务，并获得了合作伙伴一致好评。 </w:t>
      </w:r>
    </w:p>
    <w:p>
      <w:pPr>
        <w:pStyle w:val="7"/>
        <w:spacing w:before="0" w:beforeAutospacing="0" w:after="0" w:afterAutospacing="0" w:line="360" w:lineRule="auto"/>
        <w:ind w:firstLine="420"/>
        <w:rPr>
          <w:sz w:val="21"/>
          <w:szCs w:val="21"/>
        </w:rPr>
      </w:pPr>
      <w:r>
        <w:rPr>
          <w:rFonts w:hint="eastAsia"/>
          <w:sz w:val="21"/>
          <w:szCs w:val="21"/>
        </w:rPr>
        <w:t>截至2025年6月30日，中国邮政储蓄银行托管的证券投资基金共409只。至今，中国邮政储蓄银行已形成涵盖证券投资基金、证券期货经营机构私募资产管理计划、信托计划、银行理财产品、保险资金、保险资产管理计划、私募投资基金等多种资产类型的托管产品体</w:t>
      </w:r>
      <w:bookmarkStart w:id="51" w:name="chapter_level1_6_55_section_1_end"/>
      <w:bookmarkEnd w:id="51"/>
      <w:r>
        <w:rPr>
          <w:rFonts w:hint="eastAsia"/>
          <w:sz w:val="21"/>
          <w:szCs w:val="21"/>
        </w:rPr>
        <w:t xml:space="preserve">系。 </w:t>
      </w:r>
      <w:bookmarkStart w:id="52" w:name="field_0_trustcompanyinfo_1_end"/>
      <w:bookmarkEnd w:id="52"/>
      <w:r>
        <w:rPr>
          <w:rFonts w:hint="eastAsia"/>
          <w:sz w:val="21"/>
          <w:szCs w:val="21"/>
        </w:rPr>
        <w:t xml:space="preserve">  </w:t>
      </w:r>
    </w:p>
    <w:p>
      <w:pPr>
        <w:pStyle w:val="7"/>
        <w:spacing w:before="0" w:beforeAutospacing="0" w:after="0" w:afterAutospacing="0" w:line="360" w:lineRule="auto"/>
        <w:ind w:firstLine="420"/>
        <w:rPr>
          <w:sz w:val="21"/>
          <w:szCs w:val="21"/>
        </w:rPr>
      </w:pPr>
      <w:bookmarkStart w:id="53" w:name="field_0_trustcontrollawinfo_1_start"/>
      <w:bookmarkEnd w:id="53"/>
      <w:bookmarkStart w:id="54" w:name="chapter_level1_6_55_section_2"/>
      <w:bookmarkEnd w:id="54"/>
      <w:r>
        <w:rPr>
          <w:rFonts w:hint="eastAsia"/>
          <w:sz w:val="21"/>
          <w:szCs w:val="21"/>
        </w:rPr>
        <w:t xml:space="preserve">(二)基金托管人的内部控制制度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作为基金托管人，中国邮政储蓄银行严格遵守国家有关托管业务的法律法规、行业监管规章和行内有关管理规定，守法经营、规范运作、严格监察，确保业务的稳健运行，保证基金财产的安全完整，确保有关信息的真实、准确、完整、及时，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中国邮政储蓄银行设有风险管理委员会，负责全行风险管理与内部控制工作，对托管业务风险控制工作进行检查指导。托管业务部专门设置内部风险控制处室，配备专职内控监督人员负责托管业务的内控监督工作，具有独立行使监督稽核的工作职权和能力。 </w:t>
      </w:r>
    </w:p>
    <w:p>
      <w:pPr>
        <w:pStyle w:val="7"/>
        <w:spacing w:before="0" w:beforeAutospacing="0" w:after="0" w:afterAutospacing="0" w:line="360" w:lineRule="auto"/>
        <w:ind w:firstLine="420"/>
        <w:rPr>
          <w:sz w:val="21"/>
          <w:szCs w:val="21"/>
        </w:rPr>
      </w:pPr>
      <w:r>
        <w:rPr>
          <w:rFonts w:hint="eastAsia"/>
          <w:sz w:val="21"/>
          <w:szCs w:val="21"/>
        </w:rPr>
        <w:t xml:space="preserve">3.内部控制制度及措施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员负责，防止泄密；业务实现自动化操作，防止人为事故的发生，技术系统完整、独立。 </w:t>
      </w:r>
    </w:p>
    <w:p>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1.监督方法 </w:t>
      </w:r>
    </w:p>
    <w:p>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严格按照现行法律法规以及基金合同规定，对基金管理人运作基金的投资比例、投资范围、投资组合等情况进行监督，对违法违规行为及时予以风险提示，要求其限期纠正，同时报告中国证监会。在日常为基金投资运作所提供的基金清算和核算服务环节中，对基金管理人发送的投资指令、基金管理人对各基金费用的提取与开支情况进行检查监督。 </w:t>
      </w:r>
    </w:p>
    <w:p>
      <w:pPr>
        <w:pStyle w:val="7"/>
        <w:spacing w:before="0" w:beforeAutospacing="0" w:after="0" w:afterAutospacing="0" w:line="360" w:lineRule="auto"/>
        <w:ind w:firstLine="420"/>
        <w:rPr>
          <w:sz w:val="21"/>
          <w:szCs w:val="21"/>
        </w:rPr>
      </w:pPr>
      <w:r>
        <w:rPr>
          <w:rFonts w:hint="eastAsia"/>
          <w:sz w:val="21"/>
          <w:szCs w:val="21"/>
        </w:rPr>
        <w:t xml:space="preserve">2.监督流程 </w:t>
      </w:r>
    </w:p>
    <w:p>
      <w:pPr>
        <w:pStyle w:val="7"/>
        <w:spacing w:before="0" w:beforeAutospacing="0" w:after="0" w:afterAutospacing="0" w:line="360" w:lineRule="auto"/>
        <w:ind w:firstLine="420"/>
        <w:rPr>
          <w:sz w:val="21"/>
          <w:szCs w:val="21"/>
        </w:rPr>
      </w:pPr>
      <w:r>
        <w:rPr>
          <w:rFonts w:hint="eastAsia"/>
          <w:sz w:val="21"/>
          <w:szCs w:val="21"/>
        </w:rPr>
        <w:t xml:space="preserve">(1)每工作日按时通过基金监督子系统，对各基金投资运作比例控制指标进行例行监控，发现投资比例超标等异常情况，向基金管理人发出书面通知，与基金管理人进行情况核实，督促其纠正，并及时报告中国证监会。 </w:t>
      </w:r>
    </w:p>
    <w:p>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(2)收到基金管理人的划款指令后，对涉及各基金的投资范围、投资对象及交易对手等内容进行合法合规性监督。 </w:t>
      </w:r>
    </w:p>
    <w:p>
      <w:pPr>
        <w:pStyle w:val="7"/>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(3)通过技术或非技术手段发现基金涉嫌违规交易，电话或书面要求管理人进行解释或</w:t>
      </w:r>
      <w:bookmarkStart w:id="55" w:name="chapter_level1_6_55_section_2_end"/>
      <w:bookmarkEnd w:id="55"/>
      <w:r>
        <w:rPr>
          <w:rFonts w:hint="eastAsia"/>
          <w:sz w:val="21"/>
          <w:szCs w:val="21"/>
        </w:rPr>
        <w:t xml:space="preserve">举证，要求限期纠正，并及时报告中国证监会。 </w:t>
      </w:r>
      <w:bookmarkStart w:id="56" w:name="field_0_trustcontrollawinfo_1_end"/>
      <w:bookmarkEnd w:id="5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7" w:name="_Toc207981731"/>
      <w:bookmarkStart w:id="58" w:name="chapter_level1_7_56"/>
      <w:r>
        <w:rPr>
          <w:rFonts w:hint="eastAsia" w:ascii="宋体" w:hAnsi="宋体" w:eastAsia="宋体"/>
          <w:sz w:val="30"/>
        </w:rPr>
        <w:t>第五部分  相关服务机构</w:t>
      </w:r>
      <w:bookmarkEnd w:id="57"/>
      <w:bookmarkEnd w:id="58"/>
    </w:p>
    <w:p>
      <w:pPr>
        <w:pStyle w:val="7"/>
        <w:spacing w:before="0" w:beforeAutospacing="0" w:after="0" w:afterAutospacing="0" w:line="360" w:lineRule="auto"/>
        <w:ind w:firstLine="420"/>
        <w:rPr>
          <w:sz w:val="21"/>
          <w:szCs w:val="21"/>
        </w:rPr>
      </w:pPr>
      <w:bookmarkStart w:id="59" w:name="chapter_level1_7_56_section_1"/>
      <w:bookmarkEnd w:id="59"/>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60" w:name="field_0_marketcompanyinfo_1_start"/>
      <w:bookmarkEnd w:id="60"/>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1" w:name="chapter_level1_7_56_section_1_end"/>
      <w:bookmarkEnd w:id="61"/>
      <w:r>
        <w:rPr>
          <w:rFonts w:hint="eastAsia"/>
          <w:sz w:val="21"/>
          <w:szCs w:val="21"/>
        </w:rPr>
        <w:t xml:space="preserve">博时一线通：95105568（免长途话费） </w:t>
      </w:r>
      <w:bookmarkStart w:id="62" w:name="field_0_marketcompanyinfo_1_end"/>
      <w:bookmarkEnd w:id="62"/>
      <w:r>
        <w:rPr>
          <w:rFonts w:hint="eastAsia"/>
          <w:sz w:val="21"/>
          <w:szCs w:val="21"/>
        </w:rPr>
        <w:t xml:space="preserve">  </w:t>
      </w:r>
    </w:p>
    <w:p>
      <w:pPr>
        <w:pStyle w:val="7"/>
        <w:spacing w:before="0" w:beforeAutospacing="0" w:after="0" w:afterAutospacing="0" w:line="360" w:lineRule="auto"/>
        <w:ind w:firstLine="420"/>
        <w:rPr>
          <w:sz w:val="21"/>
          <w:szCs w:val="21"/>
        </w:rPr>
      </w:pPr>
      <w:bookmarkStart w:id="63" w:name="chapter_level1_7_56_section_2"/>
      <w:bookmarkEnd w:id="63"/>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4" w:name="field_0_allproxysaletables_1_start"/>
      <w:bookmarkEnd w:id="64"/>
      <w:r>
        <w:rPr>
          <w:rFonts w:hint="eastAsia"/>
          <w:b/>
          <w:bCs/>
          <w:sz w:val="21"/>
          <w:szCs w:val="21"/>
        </w:rPr>
        <w:t>(1)中国邮政储蓄银行股份有限公司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(2)晋商银行股份有限公司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阎俊生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董嘉文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95105588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http://www.jshbank.com </w:t>
            </w:r>
          </w:p>
        </w:tc>
      </w:tr>
    </w:tbl>
    <w:p>
      <w:pPr>
        <w:pStyle w:val="7"/>
        <w:spacing w:before="0" w:beforeAutospacing="0" w:after="0" w:afterAutospacing="0" w:line="360" w:lineRule="auto"/>
        <w:ind w:firstLine="420"/>
        <w:rPr>
          <w:sz w:val="21"/>
          <w:szCs w:val="21"/>
        </w:rPr>
      </w:pPr>
      <w:r>
        <w:rPr>
          <w:rFonts w:hint="eastAsia"/>
          <w:b/>
          <w:bCs/>
          <w:sz w:val="21"/>
          <w:szCs w:val="21"/>
        </w:rPr>
        <w:t>(3)和讯信息科技有限公司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http://Licaike.hexun.com </w:t>
            </w:r>
          </w:p>
        </w:tc>
      </w:tr>
    </w:tbl>
    <w:p>
      <w:pPr>
        <w:pStyle w:val="7"/>
        <w:spacing w:before="0" w:beforeAutospacing="0" w:after="0" w:afterAutospacing="0" w:line="360" w:lineRule="auto"/>
        <w:ind w:firstLine="420"/>
        <w:rPr>
          <w:sz w:val="21"/>
          <w:szCs w:val="21"/>
        </w:rPr>
      </w:pPr>
      <w:r>
        <w:rPr>
          <w:rFonts w:hint="eastAsia"/>
          <w:b/>
          <w:bCs/>
          <w:sz w:val="21"/>
          <w:szCs w:val="21"/>
        </w:rPr>
        <w:t>(4)博时财富基金销售有限公司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(5)深圳众禄基金销售股份有限公司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(6)上海天天基金销售有限公司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(7)上海好买基金销售有限公司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(8)蚂蚁（杭州）基金销售有限公司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(9)浙江同花顺基金销售有限公司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(10)嘉实财富管理有限公司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(11)深圳腾元基金销售有限公司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www.tenyuanfund.com </w:t>
            </w:r>
          </w:p>
        </w:tc>
      </w:tr>
    </w:tbl>
    <w:p>
      <w:pPr>
        <w:pStyle w:val="7"/>
        <w:spacing w:before="0" w:beforeAutospacing="0" w:after="0" w:afterAutospacing="0" w:line="360" w:lineRule="auto"/>
        <w:ind w:firstLine="420"/>
        <w:rPr>
          <w:sz w:val="21"/>
          <w:szCs w:val="21"/>
        </w:rPr>
      </w:pPr>
      <w:r>
        <w:rPr>
          <w:rFonts w:hint="eastAsia"/>
          <w:b/>
          <w:bCs/>
          <w:sz w:val="21"/>
          <w:szCs w:val="21"/>
        </w:rPr>
        <w:t>(12)华源证券股份有限公司（鑫理财）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(13)北京汇成基金销售有限公司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(14)北京钱景基金销售有限公司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www.qianjing.com </w:t>
            </w:r>
          </w:p>
        </w:tc>
      </w:tr>
    </w:tbl>
    <w:p>
      <w:pPr>
        <w:pStyle w:val="7"/>
        <w:spacing w:before="0" w:beforeAutospacing="0" w:after="0" w:afterAutospacing="0" w:line="360" w:lineRule="auto"/>
        <w:ind w:firstLine="420"/>
        <w:rPr>
          <w:sz w:val="21"/>
          <w:szCs w:val="21"/>
        </w:rPr>
      </w:pPr>
      <w:r>
        <w:rPr>
          <w:rFonts w:hint="eastAsia"/>
          <w:b/>
          <w:bCs/>
          <w:sz w:val="21"/>
          <w:szCs w:val="21"/>
        </w:rPr>
        <w:t>(15)北京新浪仓石基金销售有限公司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(16)上海万得基金销售有限公司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(17)上海基煜基金销售有限公司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(18)上海凯石财富基金销售有限公司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上海市黄浦区西藏南路765号602-115室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上海市黄浦区延安东路1号凯石大厦四楼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陈继武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李晓明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021-63333319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021-63332523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400-643-3389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www.vstonewealth.com </w:t>
            </w:r>
          </w:p>
        </w:tc>
      </w:tr>
    </w:tbl>
    <w:p>
      <w:pPr>
        <w:pStyle w:val="7"/>
        <w:spacing w:before="0" w:beforeAutospacing="0" w:after="0" w:afterAutospacing="0" w:line="360" w:lineRule="auto"/>
        <w:ind w:firstLine="420"/>
        <w:rPr>
          <w:sz w:val="21"/>
          <w:szCs w:val="21"/>
        </w:rPr>
      </w:pPr>
      <w:r>
        <w:rPr>
          <w:rFonts w:hint="eastAsia"/>
          <w:b/>
          <w:bCs/>
          <w:sz w:val="21"/>
          <w:szCs w:val="21"/>
        </w:rPr>
        <w:t>(19)深圳富济基金销售有限公司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(20)上海陆金所基金销售有限公司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(21)珠海盈米基金销售有限公司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(22)和耕传承基金销售有限公司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(23)深圳市金斧子基金销售有限公司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(24)北京雪球基金销售有限公司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rPr>
          <w:rFonts w:ascii="宋体" w:hAnsi="宋体" w:eastAsia="宋体"/>
          <w:sz w:val="24"/>
          <w:szCs w:val="24"/>
        </w:rPr>
      </w:pPr>
      <w:bookmarkStart w:id="65" w:name="chapter_level1_7_56_section_2_end"/>
      <w:bookmarkEnd w:id="65"/>
      <w:bookmarkStart w:id="66" w:name="field_0_allproxysaletables_1_end"/>
      <w:bookmarkEnd w:id="66"/>
    </w:p>
    <w:p>
      <w:pPr>
        <w:pStyle w:val="7"/>
        <w:spacing w:before="0" w:beforeAutospacing="0" w:after="0" w:afterAutospacing="0" w:line="360" w:lineRule="auto"/>
        <w:ind w:firstLine="420"/>
        <w:rPr>
          <w:sz w:val="21"/>
          <w:szCs w:val="21"/>
        </w:rPr>
      </w:pPr>
      <w:bookmarkStart w:id="67" w:name="chapter_level1_7_56_section_3"/>
      <w:bookmarkEnd w:id="67"/>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8" w:name="field_0_registercompanyinfo_1_start"/>
      <w:bookmarkEnd w:id="68"/>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9" w:name="field_0_registercompanyinfo_1_end"/>
      <w:bookmarkEnd w:id="6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pPr>
        <w:pStyle w:val="7"/>
        <w:spacing w:before="0" w:beforeAutospacing="0" w:after="0" w:afterAutospacing="0" w:line="360" w:lineRule="auto"/>
        <w:ind w:firstLine="420"/>
        <w:rPr>
          <w:sz w:val="21"/>
          <w:szCs w:val="21"/>
        </w:rPr>
      </w:pPr>
      <w:r>
        <w:rPr>
          <w:rFonts w:hint="eastAsia"/>
          <w:sz w:val="21"/>
          <w:szCs w:val="21"/>
        </w:rPr>
        <w:t xml:space="preserve">负责人：廖海 </w:t>
      </w:r>
    </w:p>
    <w:p>
      <w:pPr>
        <w:pStyle w:val="7"/>
        <w:spacing w:before="0" w:beforeAutospacing="0" w:after="0" w:afterAutospacing="0" w:line="360" w:lineRule="auto"/>
        <w:ind w:firstLine="420"/>
        <w:rPr>
          <w:sz w:val="21"/>
          <w:szCs w:val="21"/>
        </w:rPr>
      </w:pPr>
      <w:r>
        <w:rPr>
          <w:rFonts w:hint="eastAsia"/>
          <w:sz w:val="21"/>
          <w:szCs w:val="21"/>
        </w:rPr>
        <w:t xml:space="preserve">电话： 021- 51150298 </w:t>
      </w:r>
    </w:p>
    <w:p>
      <w:pPr>
        <w:pStyle w:val="7"/>
        <w:spacing w:before="0" w:beforeAutospacing="0" w:after="0" w:afterAutospacing="0" w:line="360" w:lineRule="auto"/>
        <w:ind w:firstLine="420"/>
        <w:rPr>
          <w:sz w:val="21"/>
          <w:szCs w:val="21"/>
        </w:rPr>
      </w:pPr>
      <w:r>
        <w:rPr>
          <w:rFonts w:hint="eastAsia"/>
          <w:sz w:val="21"/>
          <w:szCs w:val="21"/>
        </w:rPr>
        <w:t xml:space="preserve">传真： 021- 51150398 </w:t>
      </w:r>
    </w:p>
    <w:p>
      <w:pPr>
        <w:pStyle w:val="7"/>
        <w:spacing w:before="0" w:beforeAutospacing="0" w:after="0" w:afterAutospacing="0" w:line="360" w:lineRule="auto"/>
        <w:ind w:firstLine="420"/>
        <w:rPr>
          <w:sz w:val="21"/>
          <w:szCs w:val="21"/>
        </w:rPr>
      </w:pPr>
      <w:r>
        <w:rPr>
          <w:rFonts w:hint="eastAsia"/>
          <w:sz w:val="21"/>
          <w:szCs w:val="21"/>
        </w:rPr>
        <w:t xml:space="preserve">联系人：刘佳 </w:t>
      </w:r>
    </w:p>
    <w:p>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70" w:name="field_0_accountingcompanyinfo_1_start"/>
      <w:bookmarkEnd w:id="70"/>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71" w:name="chapter_level1_7_56_section_3_end"/>
      <w:bookmarkEnd w:id="71"/>
      <w:r>
        <w:rPr>
          <w:rFonts w:hint="eastAsia"/>
          <w:sz w:val="21"/>
          <w:szCs w:val="21"/>
        </w:rPr>
        <w:t xml:space="preserve">经办注册会计师：薛竞 吴琳杰 </w:t>
      </w:r>
      <w:bookmarkStart w:id="72" w:name="field_0_accountingcompanyinfo_1_end"/>
      <w:bookmarkEnd w:id="7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3" w:name="_Toc207981732"/>
      <w:bookmarkStart w:id="74" w:name="chapter_level1_9_58"/>
      <w:r>
        <w:rPr>
          <w:rFonts w:hint="eastAsia" w:ascii="宋体" w:hAnsi="宋体" w:eastAsia="宋体"/>
          <w:sz w:val="30"/>
        </w:rPr>
        <w:t>第六部分 基金的募集与基金合同的生效</w:t>
      </w:r>
      <w:bookmarkEnd w:id="73"/>
      <w:bookmarkEnd w:id="74"/>
    </w:p>
    <w:p>
      <w:pPr>
        <w:pStyle w:val="7"/>
        <w:spacing w:before="0" w:beforeAutospacing="0" w:after="0" w:afterAutospacing="0" w:line="360" w:lineRule="auto"/>
        <w:ind w:firstLine="420"/>
        <w:rPr>
          <w:sz w:val="21"/>
          <w:szCs w:val="21"/>
        </w:rPr>
      </w:pPr>
      <w:bookmarkStart w:id="75" w:name="chapter_level1_9_58_section_1"/>
      <w:bookmarkEnd w:id="75"/>
      <w:r>
        <w:rPr>
          <w:rStyle w:val="11"/>
          <w:rFonts w:hint="eastAsia"/>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基金管理人按照《基金法》、《运作办法》、《销售办法》、基金合同及其他有关规定募集本基金，并于经中国证监会证监许可文准予募集注册。本基金募集期从</w:t>
      </w:r>
      <w:bookmarkStart w:id="76" w:name="field_58_raisebegindate_1"/>
      <w:r>
        <w:rPr>
          <w:sz w:val="21"/>
          <w:szCs w:val="21"/>
        </w:rPr>
        <w:t>2016年10月17日</w:t>
      </w:r>
      <w:bookmarkEnd w:id="76"/>
      <w:r>
        <w:rPr>
          <w:rFonts w:hint="eastAsia"/>
          <w:sz w:val="21"/>
          <w:szCs w:val="21"/>
        </w:rPr>
        <w:t>起至</w:t>
      </w:r>
      <w:bookmarkStart w:id="77" w:name="field_58_raiseenddate_1"/>
      <w:r>
        <w:rPr>
          <w:sz w:val="21"/>
          <w:szCs w:val="21"/>
        </w:rPr>
        <w:t>2016年10月26日</w:t>
      </w:r>
      <w:bookmarkEnd w:id="77"/>
      <w:r>
        <w:rPr>
          <w:rFonts w:hint="eastAsia"/>
          <w:sz w:val="21"/>
          <w:szCs w:val="21"/>
        </w:rPr>
        <w:t>止，共募集</w:t>
      </w:r>
      <w:bookmarkStart w:id="78" w:name="field_58_raisetotal_1"/>
      <w:r>
        <w:rPr>
          <w:sz w:val="21"/>
          <w:szCs w:val="21"/>
        </w:rPr>
        <w:t>200,977,173.09</w:t>
      </w:r>
      <w:bookmarkEnd w:id="78"/>
      <w:r>
        <w:rPr>
          <w:rFonts w:hint="eastAsia"/>
          <w:sz w:val="21"/>
          <w:szCs w:val="21"/>
        </w:rPr>
        <w:t>份（含利息结转的份额），有效认购户数为</w:t>
      </w:r>
      <w:bookmarkStart w:id="79" w:name="field_58_effectivetotal_1"/>
      <w:r>
        <w:rPr>
          <w:sz w:val="21"/>
          <w:szCs w:val="21"/>
        </w:rPr>
        <w:t>285</w:t>
      </w:r>
      <w:bookmarkEnd w:id="79"/>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本基金运作方式为</w:t>
      </w:r>
      <w:bookmarkStart w:id="80" w:name="field_58_operation_1"/>
      <w:r>
        <w:rPr>
          <w:rFonts w:hint="eastAsia"/>
          <w:sz w:val="21"/>
          <w:szCs w:val="21"/>
        </w:rPr>
        <w:t>契约型开放式</w:t>
      </w:r>
      <w:bookmarkEnd w:id="80"/>
      <w:r>
        <w:rPr>
          <w:rFonts w:hint="eastAsia"/>
          <w:sz w:val="21"/>
          <w:szCs w:val="21"/>
        </w:rPr>
        <w:t>，存续期间为</w:t>
      </w:r>
      <w:bookmarkStart w:id="81" w:name="field_58_duration_1"/>
      <w:r>
        <w:rPr>
          <w:rFonts w:hint="eastAsia"/>
          <w:sz w:val="21"/>
          <w:szCs w:val="21"/>
        </w:rPr>
        <w:t>不定期</w:t>
      </w:r>
      <w:bookmarkEnd w:id="8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二、基金合同的生效</w:t>
      </w:r>
    </w:p>
    <w:p>
      <w:pPr>
        <w:pStyle w:val="7"/>
        <w:spacing w:before="0" w:beforeAutospacing="0" w:after="0" w:afterAutospacing="0" w:line="360" w:lineRule="auto"/>
        <w:ind w:firstLine="420"/>
        <w:rPr>
          <w:sz w:val="21"/>
          <w:szCs w:val="21"/>
        </w:rPr>
      </w:pPr>
      <w:bookmarkStart w:id="82" w:name="chapter_level1_9_58_section_1_end"/>
      <w:bookmarkEnd w:id="82"/>
      <w:r>
        <w:rPr>
          <w:rFonts w:hint="eastAsia"/>
          <w:sz w:val="21"/>
          <w:szCs w:val="21"/>
        </w:rPr>
        <w:t>本基金的基金合同已于</w:t>
      </w:r>
      <w:bookmarkStart w:id="83" w:name="field_0_foundday_1"/>
      <w:r>
        <w:rPr>
          <w:sz w:val="21"/>
          <w:szCs w:val="21"/>
        </w:rPr>
        <w:t>2016年10月31日</w:t>
      </w:r>
      <w:bookmarkEnd w:id="83"/>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4" w:name="chapter_level1_9_58_section_2"/>
      <w:bookmarkEnd w:id="84"/>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85" w:name="field_58_minsubnumber_1"/>
      <w:r>
        <w:rPr>
          <w:rFonts w:hint="eastAsia"/>
          <w:sz w:val="21"/>
          <w:szCs w:val="21"/>
        </w:rPr>
        <w:t>二百</w:t>
      </w:r>
      <w:bookmarkEnd w:id="85"/>
      <w:r>
        <w:rPr>
          <w:rFonts w:hint="eastAsia"/>
          <w:sz w:val="21"/>
          <w:szCs w:val="21"/>
        </w:rPr>
        <w:t xml:space="preserve">人或者基金资产净值低于五千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 </w:t>
      </w:r>
    </w:p>
    <w:p>
      <w:pPr>
        <w:pStyle w:val="7"/>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7" w:name="_Toc207981733"/>
      <w:bookmarkStart w:id="88" w:name="chapter_level1_10_59"/>
      <w:r>
        <w:rPr>
          <w:rFonts w:hint="eastAsia" w:ascii="宋体" w:hAnsi="宋体" w:eastAsia="宋体"/>
          <w:sz w:val="30"/>
        </w:rPr>
        <w:t>第七部分  基金份额的申购与赎回</w:t>
      </w:r>
      <w:bookmarkEnd w:id="87"/>
      <w:bookmarkEnd w:id="88"/>
    </w:p>
    <w:p>
      <w:pPr>
        <w:pStyle w:val="7"/>
        <w:spacing w:before="0" w:beforeAutospacing="0" w:after="0" w:afterAutospacing="0" w:line="360" w:lineRule="auto"/>
        <w:ind w:firstLine="420"/>
        <w:rPr>
          <w:sz w:val="21"/>
          <w:szCs w:val="21"/>
        </w:rPr>
      </w:pPr>
      <w:bookmarkStart w:id="89" w:name="chapter_level1_10_59_section_1"/>
      <w:bookmarkEnd w:id="89"/>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其他销售机构。基金管理人可根据情况变更或增减销售机构，并在基金管理人网站公示。基金投资者应当在销售机构办理基金销售业务的营业场所或按销售机构提供的其他</w:t>
      </w:r>
      <w:bookmarkStart w:id="90" w:name="chapter_level1_10_59_section_1_end"/>
      <w:bookmarkEnd w:id="90"/>
      <w:r>
        <w:rPr>
          <w:rFonts w:hint="eastAsia"/>
          <w:sz w:val="21"/>
          <w:szCs w:val="21"/>
        </w:rPr>
        <w:t xml:space="preserve">方式办理基金份额的申购与赎回。 </w:t>
      </w:r>
    </w:p>
    <w:p>
      <w:pPr>
        <w:pStyle w:val="7"/>
        <w:spacing w:before="0" w:beforeAutospacing="0" w:after="0" w:afterAutospacing="0" w:line="360" w:lineRule="auto"/>
        <w:ind w:firstLine="420"/>
        <w:rPr>
          <w:sz w:val="21"/>
          <w:szCs w:val="21"/>
        </w:rPr>
      </w:pPr>
      <w:bookmarkStart w:id="91" w:name="chapter_level1_10_59_section_2"/>
      <w:bookmarkEnd w:id="91"/>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本基金已于2016年11月3日开通日常申购、赎回业务。基金管理人不得在基金合同约定之外的日期或者时间办理基金份额的申购、赎回或者转换。投资人在基金合同约定之外的日期和时间提出申购、赎回、转换申请且登记机构确认接受的，其基金份额申购、赎回价格</w:t>
      </w:r>
      <w:bookmarkStart w:id="92" w:name="chapter_level1_10_59_section_2_end"/>
      <w:bookmarkEnd w:id="92"/>
      <w:r>
        <w:rPr>
          <w:rFonts w:hint="eastAsia"/>
          <w:sz w:val="21"/>
          <w:szCs w:val="21"/>
        </w:rPr>
        <w:t xml:space="preserve">为下一开放日该类基金份额申购、赎回的价格。 </w:t>
      </w:r>
    </w:p>
    <w:p>
      <w:pPr>
        <w:pStyle w:val="7"/>
        <w:spacing w:before="0" w:beforeAutospacing="0" w:after="0" w:afterAutospacing="0" w:line="360" w:lineRule="auto"/>
        <w:ind w:firstLine="420"/>
        <w:rPr>
          <w:sz w:val="21"/>
          <w:szCs w:val="21"/>
        </w:rPr>
      </w:pPr>
      <w:bookmarkStart w:id="93" w:name="chapter_level1_10_59_section_3"/>
      <w:bookmarkEnd w:id="93"/>
      <w:r>
        <w:rPr>
          <w:rFonts w:hint="eastAsia"/>
          <w:b/>
          <w:bCs/>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四、申购与赎回的数额限制</w:t>
      </w:r>
    </w:p>
    <w:p>
      <w:pPr>
        <w:pStyle w:val="7"/>
        <w:spacing w:before="0" w:beforeAutospacing="0" w:after="0" w:afterAutospacing="0" w:line="360" w:lineRule="auto"/>
        <w:ind w:firstLine="420"/>
        <w:rPr>
          <w:sz w:val="21"/>
          <w:szCs w:val="21"/>
        </w:rPr>
      </w:pPr>
      <w:r>
        <w:rPr>
          <w:rFonts w:hint="eastAsia"/>
          <w:sz w:val="21"/>
          <w:szCs w:val="21"/>
        </w:rPr>
        <w:t xml:space="preserve">1、首次购买基金份额的最低金额为1.00元，追加购买最低金额为1.00元；详情请见当地销售机构公告； </w:t>
      </w:r>
    </w:p>
    <w:p>
      <w:pPr>
        <w:pStyle w:val="7"/>
        <w:spacing w:before="0" w:beforeAutospacing="0" w:after="0" w:afterAutospacing="0" w:line="360" w:lineRule="auto"/>
        <w:ind w:firstLine="420"/>
        <w:rPr>
          <w:sz w:val="21"/>
          <w:szCs w:val="21"/>
        </w:rPr>
      </w:pPr>
      <w:r>
        <w:rPr>
          <w:rFonts w:hint="eastAsia"/>
          <w:sz w:val="21"/>
          <w:szCs w:val="21"/>
        </w:rPr>
        <w:t xml:space="preserve">2、每个交易账户最低持有基金份额余额为1份，若某笔赎回导致单个交易账户的基金份额余额少于1份时，余额部分基金份额必须一同赎回；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需符合法律法规、监管机构的规定或基金合同的约定； </w:t>
      </w:r>
    </w:p>
    <w:p>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pPr>
        <w:pStyle w:val="7"/>
        <w:spacing w:before="0" w:beforeAutospacing="0" w:after="0" w:afterAutospacing="0" w:line="360" w:lineRule="auto"/>
        <w:ind w:firstLine="420"/>
        <w:rPr>
          <w:sz w:val="21"/>
          <w:szCs w:val="21"/>
        </w:rPr>
      </w:pPr>
      <w:r>
        <w:rPr>
          <w:rFonts w:hint="eastAsia"/>
          <w:b/>
          <w:bCs/>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本基金A类基金份额采用前端收费模式收取基金申购费用，C类基金份额不收取申购费用。投资者的申购费用如下：  </w:t>
      </w:r>
    </w:p>
    <w:p>
      <w:pPr>
        <w:pStyle w:val="7"/>
        <w:spacing w:before="0" w:beforeAutospacing="0" w:after="0" w:afterAutospacing="0" w:line="360" w:lineRule="auto"/>
        <w:ind w:firstLine="420"/>
        <w:jc w:val="center"/>
        <w:rPr>
          <w:sz w:val="21"/>
          <w:szCs w:val="21"/>
        </w:rPr>
      </w:pPr>
      <w:r>
        <w:rPr>
          <w:rFonts w:hint="eastAsia"/>
          <w:sz w:val="21"/>
          <w:szCs w:val="21"/>
        </w:rPr>
        <w:t xml:space="preserve">表2：本基金各类基金份额的申购费率  </w:t>
      </w:r>
    </w:p>
    <w:tbl>
      <w:tblPr>
        <w:tblStyle w:val="9"/>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888"/>
        <w:gridCol w:w="2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金额（M）    </w:t>
            </w:r>
          </w:p>
        </w:tc>
        <w:tc>
          <w:tcPr>
            <w:tcW w:w="1700" w:type="pct"/>
            <w:shd w:val="clear" w:color="auto" w:fill="auto"/>
          </w:tcPr>
          <w:p>
            <w:pPr>
              <w:pStyle w:val="7"/>
            </w:pPr>
            <w:r>
              <w:rPr>
                <w:rFonts w:hint="eastAsia"/>
              </w:rPr>
              <w:t xml:space="preserve">A类基金份额申购费率   </w:t>
            </w:r>
          </w:p>
        </w:tc>
        <w:tc>
          <w:tcPr>
            <w:tcW w:w="1700" w:type="pct"/>
            <w:shd w:val="clear" w:color="auto" w:fill="auto"/>
          </w:tcPr>
          <w:p>
            <w:pPr>
              <w:pStyle w:val="7"/>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M＜100万    </w:t>
            </w:r>
          </w:p>
        </w:tc>
        <w:tc>
          <w:tcPr>
            <w:tcW w:w="1700" w:type="pct"/>
            <w:shd w:val="clear" w:color="auto" w:fill="auto"/>
          </w:tcPr>
          <w:p>
            <w:pPr>
              <w:pStyle w:val="7"/>
              <w:jc w:val="center"/>
            </w:pPr>
            <w:r>
              <w:rPr>
                <w:rFonts w:hint="eastAsia"/>
              </w:rPr>
              <w:t xml:space="preserve">0.80%    </w:t>
            </w:r>
          </w:p>
        </w:tc>
        <w:tc>
          <w:tcPr>
            <w:tcW w:w="1700" w:type="pct"/>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100万≤M＜300万    </w:t>
            </w:r>
          </w:p>
        </w:tc>
        <w:tc>
          <w:tcPr>
            <w:tcW w:w="1700" w:type="pct"/>
            <w:shd w:val="clear" w:color="auto" w:fill="auto"/>
          </w:tcPr>
          <w:p>
            <w:pPr>
              <w:pStyle w:val="7"/>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300万≤M＜500万    </w:t>
            </w:r>
          </w:p>
        </w:tc>
        <w:tc>
          <w:tcPr>
            <w:tcW w:w="1700" w:type="pct"/>
            <w:shd w:val="clear" w:color="auto" w:fill="auto"/>
          </w:tcPr>
          <w:p>
            <w:pPr>
              <w:pStyle w:val="7"/>
              <w:jc w:val="center"/>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M≥500万    </w:t>
            </w:r>
          </w:p>
        </w:tc>
        <w:tc>
          <w:tcPr>
            <w:tcW w:w="1700" w:type="pct"/>
            <w:shd w:val="clear" w:color="auto" w:fill="auto"/>
          </w:tcPr>
          <w:p>
            <w:pPr>
              <w:pStyle w:val="7"/>
              <w:jc w:val="center"/>
            </w:pPr>
            <w:r>
              <w:rPr>
                <w:rFonts w:hint="eastAsia"/>
              </w:rPr>
              <w:t xml:space="preserve">每笔1000元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2、赎回费率见下表：  </w:t>
      </w:r>
    </w:p>
    <w:p>
      <w:pPr>
        <w:pStyle w:val="7"/>
        <w:spacing w:before="0" w:beforeAutospacing="0" w:after="0" w:afterAutospacing="0" w:line="360" w:lineRule="auto"/>
        <w:ind w:firstLine="420"/>
        <w:jc w:val="center"/>
        <w:rPr>
          <w:sz w:val="21"/>
          <w:szCs w:val="21"/>
        </w:rPr>
      </w:pPr>
      <w:r>
        <w:rPr>
          <w:rFonts w:hint="eastAsia"/>
          <w:sz w:val="21"/>
          <w:szCs w:val="21"/>
        </w:rPr>
        <w:t xml:space="preserve">表3：本基金各类基金份额的赎回费率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4"/>
        <w:gridCol w:w="3034"/>
        <w:gridCol w:w="2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5" w:type="dxa"/>
            <w:shd w:val="clear" w:color="auto" w:fill="auto"/>
          </w:tcPr>
          <w:p>
            <w:pPr>
              <w:pStyle w:val="7"/>
              <w:jc w:val="center"/>
            </w:pPr>
            <w:r>
              <w:rPr>
                <w:rFonts w:hint="eastAsia"/>
              </w:rPr>
              <w:t xml:space="preserve">持有期间（Y）    </w:t>
            </w:r>
          </w:p>
        </w:tc>
        <w:tc>
          <w:tcPr>
            <w:tcW w:w="4275" w:type="dxa"/>
            <w:shd w:val="clear" w:color="auto" w:fill="auto"/>
          </w:tcPr>
          <w:p>
            <w:pPr>
              <w:pStyle w:val="7"/>
              <w:jc w:val="center"/>
            </w:pPr>
            <w:r>
              <w:rPr>
                <w:rFonts w:hint="eastAsia"/>
              </w:rPr>
              <w:t xml:space="preserve">A类基金份额赎回费率     </w:t>
            </w:r>
          </w:p>
        </w:tc>
        <w:tc>
          <w:tcPr>
            <w:tcW w:w="4320" w:type="dxa"/>
            <w:shd w:val="clear" w:color="auto" w:fill="auto"/>
          </w:tcPr>
          <w:p>
            <w:pPr>
              <w:pStyle w:val="7"/>
              <w:jc w:val="center"/>
            </w:pPr>
            <w:r>
              <w:rPr>
                <w:rFonts w:hint="eastAsia"/>
              </w:rPr>
              <w:t xml:space="preserve">C类基金份额赎回费率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5" w:type="dxa"/>
            <w:shd w:val="clear" w:color="auto" w:fill="auto"/>
          </w:tcPr>
          <w:p>
            <w:pPr>
              <w:pStyle w:val="7"/>
              <w:jc w:val="center"/>
            </w:pPr>
            <w:r>
              <w:rPr>
                <w:rFonts w:hint="eastAsia"/>
              </w:rPr>
              <w:t xml:space="preserve">Y＜7日    </w:t>
            </w:r>
          </w:p>
        </w:tc>
        <w:tc>
          <w:tcPr>
            <w:tcW w:w="4275" w:type="dxa"/>
            <w:shd w:val="clear" w:color="auto" w:fill="auto"/>
          </w:tcPr>
          <w:p>
            <w:pPr>
              <w:pStyle w:val="7"/>
              <w:ind w:firstLine="420"/>
            </w:pPr>
            <w:r>
              <w:rPr>
                <w:rFonts w:hint="eastAsia"/>
              </w:rPr>
              <w:t xml:space="preserve">1.50%    </w:t>
            </w:r>
          </w:p>
        </w:tc>
        <w:tc>
          <w:tcPr>
            <w:tcW w:w="4320" w:type="dxa"/>
            <w:shd w:val="clear" w:color="auto" w:fill="auto"/>
          </w:tcPr>
          <w:p>
            <w:pPr>
              <w:pStyle w:val="7"/>
              <w:ind w:firstLine="420"/>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5" w:type="dxa"/>
            <w:shd w:val="clear" w:color="auto" w:fill="auto"/>
          </w:tcPr>
          <w:p>
            <w:pPr>
              <w:pStyle w:val="7"/>
              <w:jc w:val="center"/>
            </w:pPr>
            <w:r>
              <w:rPr>
                <w:rFonts w:hint="eastAsia"/>
              </w:rPr>
              <w:t xml:space="preserve">7日≤Y＜30日    </w:t>
            </w:r>
          </w:p>
        </w:tc>
        <w:tc>
          <w:tcPr>
            <w:tcW w:w="4275" w:type="dxa"/>
            <w:shd w:val="clear" w:color="auto" w:fill="auto"/>
          </w:tcPr>
          <w:p>
            <w:pPr>
              <w:pStyle w:val="7"/>
              <w:ind w:firstLine="420"/>
            </w:pPr>
            <w:r>
              <w:rPr>
                <w:rFonts w:hint="eastAsia"/>
              </w:rPr>
              <w:t xml:space="preserve">0.10%    </w:t>
            </w:r>
          </w:p>
        </w:tc>
        <w:tc>
          <w:tcPr>
            <w:tcW w:w="4320" w:type="dxa"/>
            <w:vMerge w:val="restart"/>
            <w:shd w:val="clear" w:color="auto" w:fill="auto"/>
          </w:tcPr>
          <w:p>
            <w:pPr>
              <w:pStyle w:val="7"/>
              <w:ind w:firstLine="420"/>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5" w:type="dxa"/>
            <w:shd w:val="clear" w:color="auto" w:fill="auto"/>
          </w:tcPr>
          <w:p>
            <w:pPr>
              <w:pStyle w:val="7"/>
              <w:jc w:val="center"/>
            </w:pPr>
            <w:r>
              <w:rPr>
                <w:rFonts w:hint="eastAsia"/>
              </w:rPr>
              <w:t xml:space="preserve">Y≥30日    </w:t>
            </w:r>
          </w:p>
        </w:tc>
        <w:tc>
          <w:tcPr>
            <w:tcW w:w="4275" w:type="dxa"/>
            <w:shd w:val="clear" w:color="auto" w:fill="auto"/>
          </w:tcPr>
          <w:p>
            <w:pPr>
              <w:pStyle w:val="7"/>
              <w:ind w:firstLine="420"/>
            </w:pPr>
            <w:r>
              <w:rPr>
                <w:rFonts w:hint="eastAsia"/>
              </w:rPr>
              <w:t xml:space="preserve">0.00%    </w:t>
            </w:r>
          </w:p>
        </w:tc>
        <w:tc>
          <w:tcPr>
            <w:tcW w:w="0" w:type="auto"/>
            <w:vMerge w:val="continue"/>
            <w:shd w:val="clear" w:color="auto" w:fill="auto"/>
          </w:tcPr>
          <w:p>
            <w:pPr>
              <w:rPr>
                <w:rFonts w:ascii="宋体" w:hAnsi="宋体" w:eastAsia="宋体" w:cs="宋体"/>
                <w:sz w:val="24"/>
                <w:szCs w:val="24"/>
              </w:rPr>
            </w:pPr>
          </w:p>
        </w:tc>
      </w:tr>
    </w:tbl>
    <w:p>
      <w:pPr>
        <w:rPr>
          <w:rFonts w:ascii="宋体" w:hAnsi="宋体" w:eastAsia="宋体"/>
          <w:sz w:val="24"/>
          <w:szCs w:val="24"/>
        </w:rPr>
      </w:pPr>
      <w:r>
        <w:rPr>
          <w:rFonts w:ascii="宋体" w:hAnsi="宋体" w:eastAsia="宋体"/>
        </w:rPr>
        <w:t xml:space="preserve">       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本基金的赎回费用由基金份额持有人承担，赎回费100%计入基金财产。  </w:t>
      </w:r>
    </w:p>
    <w:p>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净申购金额=申购金额-固定金额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 例3：假定T日A类基金份额净值为1.0560元，某投资人本次申购本基金A类基金份额40万元，对应的本次申购费率为0.80%，该投资人可得到的A类基金份额为：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即：投资人投资40万元申购本基金A类基金份额，假定申购当日A类基金份额净值为1.0560元，可得到375,781.63份A类基金份额。   </w:t>
      </w:r>
    </w:p>
    <w:p>
      <w:pPr>
        <w:pStyle w:val="7"/>
        <w:spacing w:before="0" w:beforeAutospacing="0" w:after="0" w:afterAutospacing="0" w:line="360" w:lineRule="auto"/>
        <w:ind w:firstLine="420"/>
        <w:rPr>
          <w:sz w:val="21"/>
          <w:szCs w:val="21"/>
        </w:rPr>
      </w:pPr>
      <w:r>
        <w:rPr>
          <w:rFonts w:hint="eastAsia"/>
          <w:sz w:val="21"/>
          <w:szCs w:val="21"/>
        </w:rPr>
        <w:t xml:space="preserve">例4：假定T日A类基金份额净值为1.0560元，某投资人投资600万元申购本基金A类基金份额，其对应的申购费用为1000元，则其可得到的A类基金份额为：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即，投资人投资600万元申购本基金A类基金份额，假定申购当日A类基金份额净值为1.0560元，可得到5,680,871.21份A类基金份额。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例3：假定T日C类基金份额净值为1.0600元，某投资人本次申购本基金C类基金份额10万元，则可得到的申购份额为：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即：投资人投资10万元申购本基金C类基金份额，假定申购当日C类基金份额净值为1.0600元，可得到94,339.62份C类基金份额。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例5：某投资者赎回本基金1万份A类基金份额，持有时间为三年，对应的赎回费率为0.00%，假设赎回当日A类基金份额净值是1.2500 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赎回费用=12,500.00×0%=0.00 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净赎回金额=12,500.00-0=12,500.00 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pPr>
        <w:pStyle w:val="7"/>
        <w:spacing w:before="0" w:beforeAutospacing="0" w:after="0" w:afterAutospacing="0" w:line="360" w:lineRule="auto"/>
        <w:ind w:firstLine="420"/>
        <w:rPr>
          <w:sz w:val="21"/>
          <w:szCs w:val="21"/>
        </w:rPr>
      </w:pPr>
      <w:r>
        <w:rPr>
          <w:rFonts w:hint="eastAsia"/>
          <w:b/>
          <w:bCs/>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7"/>
        <w:spacing w:before="0" w:beforeAutospacing="0" w:after="0" w:afterAutospacing="0" w:line="360" w:lineRule="auto"/>
        <w:ind w:firstLine="420"/>
        <w:rPr>
          <w:sz w:val="21"/>
          <w:szCs w:val="21"/>
        </w:rPr>
      </w:pPr>
      <w:r>
        <w:rPr>
          <w:rFonts w:hint="eastAsia"/>
          <w:b/>
          <w:bCs/>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4" w:name="field_49_mintredeemscale_2"/>
      <w:r>
        <w:rPr>
          <w:sz w:val="21"/>
          <w:szCs w:val="21"/>
        </w:rPr>
        <w:t>10</w:t>
      </w:r>
      <w:bookmarkEnd w:id="94"/>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5" w:name="field_49_mintredeemscale_3"/>
      <w:r>
        <w:rPr>
          <w:sz w:val="21"/>
          <w:szCs w:val="21"/>
        </w:rPr>
        <w:t>10</w:t>
      </w:r>
      <w:bookmarkEnd w:id="95"/>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96" w:name="chapter_level1_10_59_section_3_end"/>
      <w:bookmarkEnd w:id="96"/>
      <w:r>
        <w:rPr>
          <w:rFonts w:hint="eastAsia"/>
          <w:sz w:val="21"/>
          <w:szCs w:val="21"/>
        </w:rPr>
        <w:t xml:space="preserve">开放的公告。 </w:t>
      </w:r>
    </w:p>
    <w:p>
      <w:pPr>
        <w:pStyle w:val="7"/>
        <w:spacing w:before="0" w:beforeAutospacing="0" w:after="0" w:afterAutospacing="0" w:line="360" w:lineRule="auto"/>
        <w:ind w:firstLine="420"/>
        <w:rPr>
          <w:sz w:val="21"/>
          <w:szCs w:val="21"/>
        </w:rPr>
      </w:pPr>
      <w:bookmarkStart w:id="97" w:name="chapter_level1_10_59_section_4"/>
      <w:bookmarkEnd w:id="97"/>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1、业务开放时间 </w:t>
      </w:r>
    </w:p>
    <w:p>
      <w:pPr>
        <w:pStyle w:val="7"/>
        <w:spacing w:before="0" w:beforeAutospacing="0" w:after="0" w:afterAutospacing="0" w:line="360" w:lineRule="auto"/>
        <w:ind w:firstLine="420"/>
        <w:rPr>
          <w:sz w:val="21"/>
          <w:szCs w:val="21"/>
        </w:rPr>
      </w:pPr>
      <w:r>
        <w:rPr>
          <w:rFonts w:hint="eastAsia"/>
          <w:sz w:val="21"/>
          <w:szCs w:val="21"/>
        </w:rPr>
        <w:t xml:space="preserve">本基金已于2016年11月3日开通日常转换业务。 </w:t>
      </w:r>
    </w:p>
    <w:p>
      <w:pPr>
        <w:pStyle w:val="7"/>
        <w:spacing w:before="0" w:beforeAutospacing="0" w:after="0" w:afterAutospacing="0" w:line="360" w:lineRule="auto"/>
        <w:ind w:firstLine="420"/>
        <w:rPr>
          <w:sz w:val="21"/>
          <w:szCs w:val="21"/>
        </w:rPr>
      </w:pPr>
      <w:r>
        <w:rPr>
          <w:rFonts w:hint="eastAsia"/>
          <w:sz w:val="21"/>
          <w:szCs w:val="21"/>
        </w:rPr>
        <w:t xml:space="preserve">2、日常转换、定期定额投资业务的办理时间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开放日对投资者的业务办理时间是9：30-15：00，具体以销售网点的公告和安排为准。 </w:t>
      </w:r>
    </w:p>
    <w:p>
      <w:pPr>
        <w:pStyle w:val="7"/>
        <w:spacing w:before="0" w:beforeAutospacing="0" w:after="0" w:afterAutospacing="0" w:line="360" w:lineRule="auto"/>
        <w:ind w:firstLine="420"/>
        <w:rPr>
          <w:sz w:val="21"/>
          <w:szCs w:val="21"/>
        </w:rPr>
      </w:pPr>
      <w:r>
        <w:rPr>
          <w:rFonts w:hint="eastAsia"/>
          <w:sz w:val="21"/>
          <w:szCs w:val="21"/>
        </w:rPr>
        <w:t xml:space="preserve">3、日常转换业务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（1）转换费用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⑤基金转换以申请当日各类基金份额净值为基础计算。投资者采用“份额转换”的原则提交申请。转出基金份额必须是可用份额，并遵循“先进先出”的原则。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98" w:name="field_0_productfullname_12"/>
      <w:r>
        <w:rPr>
          <w:rFonts w:hint="eastAsia"/>
          <w:sz w:val="21"/>
          <w:szCs w:val="21"/>
        </w:rPr>
        <w:t>博时裕诚纯债债券型证券投资基金</w:t>
      </w:r>
      <w:bookmarkEnd w:id="98"/>
      <w:r>
        <w:rPr>
          <w:rFonts w:hint="eastAsia"/>
          <w:sz w:val="21"/>
          <w:szCs w:val="21"/>
        </w:rPr>
        <w:t xml:space="preserve">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99" w:name="field_0_managerorgfullname_6"/>
      <w:r>
        <w:rPr>
          <w:rFonts w:hint="eastAsia"/>
          <w:sz w:val="21"/>
          <w:szCs w:val="21"/>
        </w:rPr>
        <w:t>博时基金管理有限公司</w:t>
      </w:r>
      <w:bookmarkEnd w:id="99"/>
      <w:r>
        <w:rPr>
          <w:rFonts w:hint="eastAsia"/>
          <w:sz w:val="21"/>
          <w:szCs w:val="21"/>
        </w:rPr>
        <w:t xml:space="preserve">关于旗下开放式基金转换业务的公告》。 </w:t>
      </w:r>
    </w:p>
    <w:p>
      <w:pPr>
        <w:pStyle w:val="7"/>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bookmarkStart w:id="101" w:name="chapter_level1_10_59_section_5"/>
      <w:bookmarkEnd w:id="101"/>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3" w:name="chapter_level1_10_59_section_6"/>
      <w:bookmarkEnd w:id="103"/>
      <w:r>
        <w:rPr>
          <w:rFonts w:hint="eastAsia"/>
          <w:b/>
          <w:bCs/>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本基金已于2016年11月3日开通定期定额投资业务。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表：本基金各类基金份额的申购费率结构表  </w:t>
      </w:r>
    </w:p>
    <w:tbl>
      <w:tblPr>
        <w:tblStyle w:val="9"/>
        <w:tblW w:w="49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888"/>
        <w:gridCol w:w="2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金额（M）    </w:t>
            </w:r>
          </w:p>
        </w:tc>
        <w:tc>
          <w:tcPr>
            <w:tcW w:w="1700" w:type="pct"/>
            <w:shd w:val="clear" w:color="auto" w:fill="auto"/>
          </w:tcPr>
          <w:p>
            <w:pPr>
              <w:pStyle w:val="7"/>
            </w:pPr>
            <w:r>
              <w:rPr>
                <w:rFonts w:hint="eastAsia"/>
              </w:rPr>
              <w:t xml:space="preserve">A类基金份额申购费率   </w:t>
            </w:r>
          </w:p>
        </w:tc>
        <w:tc>
          <w:tcPr>
            <w:tcW w:w="1700" w:type="pct"/>
            <w:shd w:val="clear" w:color="auto" w:fill="auto"/>
          </w:tcPr>
          <w:p>
            <w:pPr>
              <w:pStyle w:val="7"/>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M＜100万    </w:t>
            </w:r>
          </w:p>
        </w:tc>
        <w:tc>
          <w:tcPr>
            <w:tcW w:w="1700" w:type="pct"/>
            <w:shd w:val="clear" w:color="auto" w:fill="auto"/>
          </w:tcPr>
          <w:p>
            <w:pPr>
              <w:pStyle w:val="7"/>
              <w:jc w:val="center"/>
            </w:pPr>
            <w:r>
              <w:rPr>
                <w:rFonts w:hint="eastAsia"/>
              </w:rPr>
              <w:t xml:space="preserve">0.80%    </w:t>
            </w:r>
          </w:p>
        </w:tc>
        <w:tc>
          <w:tcPr>
            <w:tcW w:w="1700" w:type="pct"/>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100万≤M＜300万    </w:t>
            </w:r>
          </w:p>
        </w:tc>
        <w:tc>
          <w:tcPr>
            <w:tcW w:w="1700" w:type="pct"/>
            <w:shd w:val="clear" w:color="auto" w:fill="auto"/>
          </w:tcPr>
          <w:p>
            <w:pPr>
              <w:pStyle w:val="7"/>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300万≤M＜500万    </w:t>
            </w:r>
          </w:p>
        </w:tc>
        <w:tc>
          <w:tcPr>
            <w:tcW w:w="1700" w:type="pct"/>
            <w:shd w:val="clear" w:color="auto" w:fill="auto"/>
          </w:tcPr>
          <w:p>
            <w:pPr>
              <w:pStyle w:val="7"/>
              <w:jc w:val="center"/>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shd w:val="clear" w:color="auto" w:fill="auto"/>
          </w:tcPr>
          <w:p>
            <w:pPr>
              <w:pStyle w:val="7"/>
              <w:jc w:val="center"/>
            </w:pPr>
            <w:r>
              <w:rPr>
                <w:rFonts w:hint="eastAsia"/>
              </w:rPr>
              <w:t xml:space="preserve">M≥500万    </w:t>
            </w:r>
          </w:p>
        </w:tc>
        <w:tc>
          <w:tcPr>
            <w:tcW w:w="1700" w:type="pct"/>
            <w:shd w:val="clear" w:color="auto" w:fill="auto"/>
          </w:tcPr>
          <w:p>
            <w:pPr>
              <w:pStyle w:val="7"/>
              <w:jc w:val="center"/>
            </w:pPr>
            <w:r>
              <w:rPr>
                <w:rFonts w:hint="eastAsia"/>
              </w:rPr>
              <w:t xml:space="preserve">每笔 1000元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投资者须遵循各销售机构有关扣款日期的规定，定投金额每次不少于人民币1元（含1元）。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各类基金份额净值为基准计算申购份额。投资者可以从T+2日起通过本定期定额投资计划办理网点、致电本公司客服电话或登录本公司网站查询其每次申购申请的确认情况。申购份</w:t>
      </w:r>
      <w:bookmarkStart w:id="104" w:name="chapter_level1_10_59_section_6_end"/>
      <w:bookmarkEnd w:id="104"/>
      <w:r>
        <w:rPr>
          <w:rFonts w:hint="eastAsia"/>
          <w:sz w:val="21"/>
          <w:szCs w:val="21"/>
        </w:rPr>
        <w:t xml:space="preserve">额将在确认成功后直接计入投资者的基金账户。  </w:t>
      </w:r>
    </w:p>
    <w:p>
      <w:pPr>
        <w:pStyle w:val="7"/>
        <w:spacing w:before="0" w:beforeAutospacing="0" w:after="0" w:afterAutospacing="0" w:line="360" w:lineRule="auto"/>
        <w:ind w:firstLine="420"/>
        <w:rPr>
          <w:sz w:val="21"/>
          <w:szCs w:val="21"/>
        </w:rPr>
      </w:pPr>
      <w:bookmarkStart w:id="105" w:name="chapter_level1_10_59_section_7"/>
      <w:bookmarkEnd w:id="105"/>
      <w:r>
        <w:rPr>
          <w:rStyle w:val="11"/>
          <w:rFonts w:hint="eastAsia"/>
          <w:sz w:val="21"/>
          <w:szCs w:val="21"/>
        </w:rPr>
        <w:t>十八、基金份额的冻结、解冻和质押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06" w:name="chapter_level1_10_59_section_7_end"/>
      <w:bookmarkEnd w:id="106"/>
      <w:r>
        <w:rPr>
          <w:rFonts w:hint="eastAsia"/>
          <w:sz w:val="21"/>
          <w:szCs w:val="21"/>
        </w:rPr>
        <w:t xml:space="preserve">或届时发布的相关公告。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7" w:name="_Toc207981734"/>
      <w:bookmarkStart w:id="108" w:name="chapter_level1_11_60"/>
      <w:r>
        <w:rPr>
          <w:rFonts w:hint="eastAsia" w:ascii="宋体" w:hAnsi="宋体" w:eastAsia="宋体"/>
          <w:sz w:val="30"/>
        </w:rPr>
        <w:t>第八部分  基金的投资</w:t>
      </w:r>
      <w:bookmarkEnd w:id="107"/>
      <w:bookmarkEnd w:id="108"/>
    </w:p>
    <w:p>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在有效控制投资组合风险的前提下，力争长期内实现超越业绩比较基准的投资回报。 </w:t>
      </w:r>
      <w:bookmarkStart w:id="111" w:name="field_60_investmenttarget_1_end"/>
      <w:bookmarkEnd w:id="11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13" w:name="field_60_investmentrange_1_end"/>
      <w:bookmarkEnd w:id="113"/>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pPr>
        <w:pStyle w:val="7"/>
        <w:spacing w:before="0" w:beforeAutospacing="0" w:after="0" w:afterAutospacing="0" w:line="360" w:lineRule="auto"/>
        <w:ind w:firstLine="420"/>
        <w:rPr>
          <w:sz w:val="21"/>
          <w:szCs w:val="21"/>
        </w:rPr>
      </w:pPr>
      <w:r>
        <w:rPr>
          <w:rFonts w:hint="eastAsia"/>
          <w:sz w:val="21"/>
          <w:szCs w:val="21"/>
        </w:rPr>
        <w:t xml:space="preserve">首先，本组合宏观周期研究的基础上，决定整体组合的久期、杠杆率策略。 </w:t>
      </w:r>
    </w:p>
    <w:p>
      <w:pPr>
        <w:pStyle w:val="7"/>
        <w:spacing w:before="0" w:beforeAutospacing="0" w:after="0" w:afterAutospacing="0" w:line="360" w:lineRule="auto"/>
        <w:ind w:firstLine="420"/>
        <w:rPr>
          <w:sz w:val="21"/>
          <w:szCs w:val="21"/>
        </w:rPr>
      </w:pPr>
      <w:r>
        <w:rPr>
          <w:rFonts w:hint="eastAsia"/>
          <w:sz w:val="21"/>
          <w:szCs w:val="21"/>
        </w:rPr>
        <w:t xml:space="preserve">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 </w:t>
      </w:r>
    </w:p>
    <w:p>
      <w:pPr>
        <w:pStyle w:val="7"/>
        <w:spacing w:before="0" w:beforeAutospacing="0" w:after="0" w:afterAutospacing="0" w:line="360" w:lineRule="auto"/>
        <w:ind w:firstLine="420"/>
        <w:rPr>
          <w:sz w:val="21"/>
          <w:szCs w:val="21"/>
        </w:rPr>
      </w:pPr>
      <w:r>
        <w:rPr>
          <w:rFonts w:hint="eastAsia"/>
          <w:sz w:val="21"/>
          <w:szCs w:val="21"/>
        </w:rPr>
        <w:t xml:space="preserve">其次，本组合将在期限结构策略、行业轮动策略的基础上获得债券市场整体回报率，通过息差策略、个券挖掘策略获得超额收益。 </w:t>
      </w:r>
    </w:p>
    <w:p>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7"/>
        <w:spacing w:before="0" w:beforeAutospacing="0" w:after="0" w:afterAutospacing="0" w:line="360" w:lineRule="auto"/>
        <w:ind w:firstLine="420"/>
        <w:rPr>
          <w:sz w:val="21"/>
          <w:szCs w:val="21"/>
        </w:rPr>
      </w:pPr>
      <w:r>
        <w:rPr>
          <w:rFonts w:hint="eastAsia"/>
          <w:sz w:val="21"/>
          <w:szCs w:val="21"/>
        </w:rPr>
        <w:t xml:space="preserve">2、行业配置策略。债券市场所涉及行业众多，同样宏观周期背景下不同行业的景气度的发生，本基金分别采用以下的分析策略： </w:t>
      </w:r>
    </w:p>
    <w:p>
      <w:pPr>
        <w:pStyle w:val="7"/>
        <w:spacing w:before="0" w:beforeAutospacing="0" w:after="0" w:afterAutospacing="0" w:line="360" w:lineRule="auto"/>
        <w:ind w:firstLine="420"/>
        <w:rPr>
          <w:sz w:val="21"/>
          <w:szCs w:val="21"/>
        </w:rPr>
      </w:pPr>
      <w:r>
        <w:rPr>
          <w:rFonts w:hint="eastAsia"/>
          <w:sz w:val="21"/>
          <w:szCs w:val="21"/>
        </w:rPr>
        <w:t xml:space="preserve">（1）分散化投资：发行人涉及众多行业，本组合将保持在各行业配置比例上的分散化结构，避免过度集中配置在产业链高度相关的上中下游行业。 </w:t>
      </w:r>
    </w:p>
    <w:p>
      <w:pPr>
        <w:pStyle w:val="7"/>
        <w:spacing w:before="0" w:beforeAutospacing="0" w:after="0" w:afterAutospacing="0" w:line="360" w:lineRule="auto"/>
        <w:ind w:firstLine="420"/>
        <w:rPr>
          <w:sz w:val="21"/>
          <w:szCs w:val="21"/>
        </w:rPr>
      </w:pPr>
      <w:r>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pPr>
        <w:pStyle w:val="7"/>
        <w:spacing w:before="0" w:beforeAutospacing="0" w:after="0" w:afterAutospacing="0" w:line="360" w:lineRule="auto"/>
        <w:ind w:firstLine="420"/>
        <w:rPr>
          <w:sz w:val="21"/>
          <w:szCs w:val="21"/>
        </w:rPr>
      </w:pPr>
      <w:r>
        <w:rPr>
          <w:rFonts w:hint="eastAsia"/>
          <w:sz w:val="21"/>
          <w:szCs w:val="21"/>
        </w:rPr>
        <w:t xml:space="preserve">3、息差策略。通过正回购，融资买入收益率高于回购成本的债券，从而获得杠杆放大收益。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pPr>
        <w:pStyle w:val="7"/>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本基金投资中小企业私募债，基金管理人将根据审慎原则，制定严格的投资决策流程、风险控制制度和信用风险、流动性风险处置预案，并经董事会批准，以防范信用风险、流动性风险等各种风险。 </w:t>
      </w:r>
    </w:p>
    <w:p>
      <w:pPr>
        <w:pStyle w:val="7"/>
        <w:spacing w:before="0" w:beforeAutospacing="0" w:after="0" w:afterAutospacing="0" w:line="360" w:lineRule="auto"/>
        <w:ind w:firstLine="420"/>
        <w:rPr>
          <w:sz w:val="21"/>
          <w:szCs w:val="21"/>
        </w:rPr>
      </w:pPr>
      <w:r>
        <w:rPr>
          <w:rFonts w:hint="eastAsia"/>
          <w:sz w:val="21"/>
          <w:szCs w:val="21"/>
        </w:rPr>
        <w:t xml:space="preserve">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bookmarkStart w:id="115" w:name="field_60_investmentstrategy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bookmarkStart w:id="116" w:name="chapter_level1_11_60_section_1_end"/>
      <w:bookmarkEnd w:id="116"/>
      <w:bookmarkStart w:id="117" w:name="chapter_level1_11_60_section_2"/>
      <w:bookmarkEnd w:id="117"/>
      <w:r>
        <w:rPr>
          <w:rStyle w:val="11"/>
          <w:rFonts w:hint="eastAsia"/>
          <w:sz w:val="21"/>
          <w:szCs w:val="21"/>
        </w:rPr>
        <w:t>四、投资决策流程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bookmarkStart w:id="118" w:name="chapter_level1_11_60_section_2_end"/>
      <w:bookmarkEnd w:id="118"/>
      <w:r>
        <w:rPr>
          <w:rStyle w:val="11"/>
          <w:rFonts w:hint="eastAsia"/>
          <w:sz w:val="21"/>
          <w:szCs w:val="21"/>
        </w:rPr>
        <w:t>六、业绩比较基准</w:t>
      </w:r>
    </w:p>
    <w:p>
      <w:pPr>
        <w:pStyle w:val="7"/>
        <w:spacing w:before="0" w:beforeAutospacing="0" w:after="0" w:afterAutospacing="0" w:line="360" w:lineRule="auto"/>
        <w:ind w:firstLine="420"/>
        <w:rPr>
          <w:sz w:val="21"/>
          <w:szCs w:val="21"/>
        </w:rPr>
      </w:pPr>
      <w:bookmarkStart w:id="119" w:name="chapter_level1_11_60_section_3"/>
      <w:bookmarkEnd w:id="119"/>
      <w:r>
        <w:rPr>
          <w:rFonts w:hint="eastAsia"/>
          <w:sz w:val="21"/>
          <w:szCs w:val="21"/>
        </w:rPr>
        <w:t>本基金的业绩比较基准为：</w:t>
      </w:r>
      <w:bookmarkStart w:id="120" w:name="field_60_benchmark_1_start"/>
      <w:bookmarkEnd w:id="120"/>
      <w:r>
        <w:rPr>
          <w:rFonts w:hint="eastAsia"/>
          <w:sz w:val="21"/>
          <w:szCs w:val="21"/>
        </w:rPr>
        <w:t xml:space="preserve">一年期银行定期存款收益率（税后）+1.2%。 </w:t>
      </w:r>
      <w:bookmarkStart w:id="121" w:name="field_60_benchmark_1_end"/>
      <w:bookmarkEnd w:id="121"/>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本基金选择上述业绩比较基准的原因为本基金是通过债券等固定收益资产来获取的收益，力争获取相对稳健的绝对回报，追求委托财产的保值增值。 </w:t>
      </w:r>
    </w:p>
    <w:p>
      <w:pPr>
        <w:pStyle w:val="7"/>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22" w:name="chapter_level1_11_60_section_3_end"/>
      <w:bookmarkEnd w:id="122"/>
      <w:r>
        <w:rPr>
          <w:rFonts w:hint="eastAsia"/>
          <w:sz w:val="21"/>
          <w:szCs w:val="21"/>
        </w:rPr>
        <w:t xml:space="preserve">当调整业绩比较基准并及时公告，而无需召开基金份额持有人大会。 </w:t>
      </w:r>
    </w:p>
    <w:p>
      <w:pPr>
        <w:pStyle w:val="7"/>
        <w:spacing w:before="0" w:beforeAutospacing="0" w:after="0" w:afterAutospacing="0" w:line="360" w:lineRule="auto"/>
        <w:ind w:firstLine="420"/>
        <w:rPr>
          <w:sz w:val="21"/>
          <w:szCs w:val="21"/>
        </w:rPr>
      </w:pPr>
      <w:bookmarkStart w:id="123" w:name="chapter_level1_11_60_section_4"/>
      <w:bookmarkEnd w:id="123"/>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24" w:name="field_60_riskyield_1_start"/>
      <w:bookmarkEnd w:id="124"/>
      <w:r>
        <w:rPr>
          <w:rFonts w:hint="eastAsia"/>
          <w:sz w:val="21"/>
          <w:szCs w:val="21"/>
        </w:rPr>
        <w:t xml:space="preserve">本基金为债券型基金，预期收益和预期风险高于货币市场基金，但低于混合型基金、股票型基金，属于较低预期风险/收益的产品。  </w:t>
      </w:r>
      <w:bookmarkStart w:id="125" w:name="field_60_riskyield_1_end"/>
      <w:bookmarkEnd w:id="12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 xml:space="preserve">侧袋账户的实施条件、实施程序、运作安排、投资安排、特定资产的处置变现和支付等对投资者权益有重大影响的事项详见本招募说明书“侧袋机制”章节的规定。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九、基金管理人代表基金行使相关权利的处理原则及方法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2、有利于基金资产的安全与增值； </w:t>
      </w:r>
    </w:p>
    <w:p>
      <w:pPr>
        <w:pStyle w:val="7"/>
        <w:spacing w:before="0" w:beforeAutospacing="0" w:after="0" w:afterAutospacing="0" w:line="360" w:lineRule="auto"/>
        <w:ind w:firstLine="420"/>
        <w:rPr>
          <w:sz w:val="21"/>
          <w:szCs w:val="21"/>
        </w:rPr>
      </w:pPr>
      <w:r>
        <w:rPr>
          <w:rFonts w:hint="eastAsia"/>
          <w:sz w:val="21"/>
          <w:szCs w:val="21"/>
        </w:rPr>
        <w:t>3、不通过关联交易为自身、雇员、授权代理人或任何存在利害关系的第三人牟取任何</w:t>
      </w:r>
      <w:bookmarkStart w:id="126" w:name="chapter_level1_11_60_section_4_end"/>
      <w:bookmarkEnd w:id="126"/>
      <w:r>
        <w:rPr>
          <w:rFonts w:hint="eastAsia"/>
          <w:sz w:val="21"/>
          <w:szCs w:val="21"/>
        </w:rPr>
        <w:t xml:space="preserve">不当利益。 </w:t>
      </w:r>
    </w:p>
    <w:p>
      <w:pPr>
        <w:pStyle w:val="7"/>
        <w:spacing w:before="0" w:beforeAutospacing="0" w:after="0" w:afterAutospacing="0" w:line="360" w:lineRule="auto"/>
        <w:ind w:firstLine="420"/>
        <w:rPr>
          <w:sz w:val="21"/>
          <w:szCs w:val="21"/>
        </w:rPr>
      </w:pPr>
      <w:bookmarkStart w:id="127" w:name="chapter_level1_11_60_section_5"/>
      <w:bookmarkEnd w:id="127"/>
      <w:bookmarkStart w:id="128" w:name="chapter_level1_11_60_section_5_end"/>
      <w:bookmarkEnd w:id="128"/>
      <w:r>
        <w:rPr>
          <w:rStyle w:val="11"/>
          <w:rFonts w:hint="eastAsia"/>
          <w:sz w:val="21"/>
          <w:szCs w:val="21"/>
        </w:rPr>
        <w:t>十、基金投资组合报告</w:t>
      </w:r>
    </w:p>
    <w:p>
      <w:pPr>
        <w:pStyle w:val="7"/>
        <w:spacing w:before="0" w:beforeAutospacing="0" w:after="0" w:afterAutospacing="0" w:line="360" w:lineRule="auto"/>
        <w:ind w:firstLine="420"/>
        <w:rPr>
          <w:sz w:val="21"/>
          <w:szCs w:val="21"/>
        </w:rPr>
      </w:pPr>
      <w:bookmarkStart w:id="129" w:name="chapter_level1_11_60_section_6"/>
      <w:bookmarkEnd w:id="129"/>
      <w:r>
        <w:rPr>
          <w:rFonts w:hint="eastAsia"/>
          <w:sz w:val="21"/>
          <w:szCs w:val="21"/>
        </w:rPr>
        <w:t xml:space="preserve">博时基金管理人的董事会及董事保证本报告所载资料不存在虚假记载、误导性陈述或重大遗漏，并对其内容的真实性、准确性和完整性承担个别及连带责任。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0" w:name="field_2343_financeendday_2"/>
      <w:r>
        <w:rPr>
          <w:sz w:val="21"/>
          <w:szCs w:val="21"/>
        </w:rPr>
        <w:t>2025年6月30日</w:t>
      </w:r>
      <w:bookmarkEnd w:id="130"/>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31" w:name="field_0_fundportfolio_1_start"/>
      <w:bookmarkEnd w:id="13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1,132,321,085.19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1,132,321,085.19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3,482,432.46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1,135,803,517.65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72,811,100.55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869,018,734.78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195,460,454.80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40,943,444.38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149,547,805.48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1,132,321,085.19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118.53</w:t>
            </w:r>
          </w:p>
        </w:tc>
      </w:tr>
    </w:tbl>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161"/>
        <w:gridCol w:w="1635"/>
        <w:gridCol w:w="1242"/>
        <w:gridCol w:w="15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112406283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24交通银行CD283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99,691,479.45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240023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24附息国债23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61,899,065.22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240208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24国开08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51,376,712.33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160405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16农发05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51,277,849.32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2528007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25浦发银行01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50,262,649.32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5.26</w:t>
            </w:r>
          </w:p>
        </w:tc>
      </w:tr>
    </w:tbl>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上海浦东发展银行股份有限公司在报告编制前一年受到中国人民银行河南省分行、中国人民银行浙江省分行、国家外汇管理局黑龙江省分局、安阳金融监管分局、青海银保监局的处罚。中国农业发展银行在报告编制前一年受到国家外汇管理局枣庄市分局、河南金融监管局、湖北金融监管局的处罚。中国银行股份有限公司在报告编制前一年受到中国人民银行重庆市分行、三明市市场监管局、国家外汇管理局安徽省分局、国家金融监督管理总局上海监管局的处罚。中山农村商业银行股份有限公司在报告编制前一年受到国家外汇管理局中山市分局的处罚。交通银行股份有限公司在报告编制前一年受到中国人民银行辽宁省分行、国家外汇管理局北京市分局、国家金融监督管理总局湖北监管局、大同市云冈区住房和城乡建设局的处罚。国家开发银行在报告编制前一年受到中国人民银行湖北省分行、北京金融监管局、吉林金融监管局的处罚。杭州银行股份有限公司在报告编制前一年受到国家外汇管理局浙江省分局、国家金融监督管理总局浙江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11.2其他资产构成</w:t>
      </w:r>
    </w:p>
    <w:p>
      <w:pPr>
        <w:pStyle w:val="7"/>
        <w:spacing w:before="0" w:beforeAutospacing="0" w:after="0" w:afterAutospacing="0" w:line="360" w:lineRule="auto"/>
        <w:ind w:firstLine="420"/>
        <w:rPr>
          <w:sz w:val="21"/>
          <w:szCs w:val="21"/>
        </w:rPr>
      </w:pPr>
      <w:r>
        <w:rPr>
          <w:rFonts w:hint="eastAsia"/>
          <w:sz w:val="21"/>
          <w:szCs w:val="21"/>
        </w:rPr>
        <w:t>本基金本报告期末未持有其他资产。</w:t>
      </w:r>
    </w:p>
    <w:p>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pPr>
        <w:pStyle w:val="7"/>
        <w:spacing w:before="0" w:beforeAutospacing="0" w:after="0" w:afterAutospacing="0" w:line="360" w:lineRule="auto"/>
        <w:ind w:firstLine="420"/>
        <w:rPr>
          <w:sz w:val="21"/>
          <w:szCs w:val="21"/>
        </w:rPr>
      </w:pPr>
      <w:bookmarkStart w:id="132" w:name="chapter_level1_11_60_section_6_end"/>
      <w:bookmarkEnd w:id="132"/>
      <w:r>
        <w:rPr>
          <w:rFonts w:hint="eastAsia"/>
          <w:sz w:val="21"/>
          <w:szCs w:val="21"/>
        </w:rPr>
        <w:t>由于四舍五入的原因，分项之和与合计项之间可能存在尾差。</w:t>
      </w:r>
      <w:bookmarkStart w:id="133" w:name="field_0_fundportfolio_1_end"/>
      <w:bookmarkEnd w:id="13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4" w:name="_Toc207981735"/>
      <w:bookmarkStart w:id="135" w:name="chapter_level1_12_3500"/>
      <w:r>
        <w:rPr>
          <w:rFonts w:hint="eastAsia" w:ascii="宋体" w:hAnsi="宋体" w:eastAsia="宋体"/>
          <w:sz w:val="30"/>
        </w:rPr>
        <w:t>第九部分 基金的业绩</w:t>
      </w:r>
      <w:bookmarkEnd w:id="134"/>
      <w:bookmarkEnd w:id="135"/>
    </w:p>
    <w:p>
      <w:pPr>
        <w:pStyle w:val="7"/>
        <w:spacing w:before="0" w:beforeAutospacing="0" w:after="0" w:afterAutospacing="0" w:line="360" w:lineRule="auto"/>
        <w:ind w:firstLine="420"/>
        <w:rPr>
          <w:sz w:val="21"/>
          <w:szCs w:val="21"/>
        </w:rPr>
      </w:pPr>
      <w:bookmarkStart w:id="136" w:name="chapter_level1_12_3500_section_1"/>
      <w:bookmarkEnd w:id="13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37" w:name="field_0_indatatable_1_start"/>
      <w:bookmarkEnd w:id="137"/>
      <w:r>
        <w:rPr>
          <w:rFonts w:hint="eastAsia"/>
          <w:sz w:val="21"/>
          <w:szCs w:val="21"/>
        </w:rPr>
        <w:t>博时裕诚纯债债券A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846"/>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2016.10.31-2016.12.31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3.84%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2016.10.31-2025.06.30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33.82%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bl>
    <w:p>
      <w:pPr>
        <w:pStyle w:val="7"/>
        <w:spacing w:before="0" w:beforeAutospacing="0" w:after="0" w:afterAutospacing="0" w:line="360" w:lineRule="auto"/>
        <w:ind w:firstLine="420"/>
        <w:rPr>
          <w:sz w:val="21"/>
          <w:szCs w:val="21"/>
        </w:rPr>
      </w:pPr>
      <w:r>
        <w:rPr>
          <w:rFonts w:hint="eastAsia"/>
          <w:sz w:val="21"/>
          <w:szCs w:val="21"/>
        </w:rPr>
        <w:t>博时裕诚纯债债券C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03"/>
        <w:gridCol w:w="1081"/>
        <w:gridCol w:w="1133"/>
        <w:gridCol w:w="1290"/>
        <w:gridCol w:w="84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2024.05.27-2024.12.31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2024.05.27-2025.06.30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bl>
    <w:p>
      <w:pPr>
        <w:pStyle w:val="7"/>
        <w:spacing w:before="0" w:beforeAutospacing="0" w:after="0" w:afterAutospacing="0" w:line="360" w:lineRule="auto"/>
        <w:ind w:firstLine="420"/>
        <w:rPr>
          <w:sz w:val="21"/>
          <w:szCs w:val="21"/>
        </w:rPr>
      </w:pPr>
      <w:bookmarkStart w:id="138" w:name="field_0_indatatable_1_end"/>
      <w:bookmarkEnd w:id="138"/>
      <w:bookmarkStart w:id="139" w:name="chapter_level1_12_3500_section_1_end"/>
      <w:bookmarkEnd w:id="13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0" w:name="chapter_level1_13_62"/>
      <w:bookmarkStart w:id="141" w:name="_Toc207981736"/>
      <w:r>
        <w:rPr>
          <w:rFonts w:hint="eastAsia" w:ascii="宋体" w:hAnsi="宋体" w:eastAsia="宋体"/>
          <w:sz w:val="30"/>
        </w:rPr>
        <w:t>第十部分  基金的财产</w:t>
      </w:r>
      <w:bookmarkEnd w:id="140"/>
      <w:bookmarkEnd w:id="141"/>
    </w:p>
    <w:p>
      <w:pPr>
        <w:pStyle w:val="7"/>
        <w:spacing w:before="0" w:beforeAutospacing="0" w:after="0" w:afterAutospacing="0" w:line="360" w:lineRule="auto"/>
        <w:ind w:firstLine="420"/>
        <w:rPr>
          <w:sz w:val="21"/>
          <w:szCs w:val="21"/>
        </w:rPr>
      </w:pPr>
      <w:bookmarkStart w:id="142" w:name="chapter_level1_13_62_section_1"/>
      <w:bookmarkEnd w:id="142"/>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对基金托管账户中的资金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3" w:name="chapter_level1_13_62_section_1_end"/>
      <w:bookmarkEnd w:id="143"/>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4" w:name="_Toc207981737"/>
      <w:bookmarkStart w:id="145" w:name="chapter_level1_14_63"/>
      <w:r>
        <w:rPr>
          <w:rFonts w:hint="eastAsia" w:ascii="宋体" w:hAnsi="宋体" w:eastAsia="宋体"/>
          <w:sz w:val="30"/>
        </w:rPr>
        <w:t>第十一部分  基金资产的估值</w:t>
      </w:r>
      <w:bookmarkEnd w:id="144"/>
      <w:bookmarkEnd w:id="145"/>
    </w:p>
    <w:p>
      <w:pPr>
        <w:pStyle w:val="7"/>
        <w:spacing w:before="0" w:beforeAutospacing="0" w:after="0" w:afterAutospacing="0" w:line="360" w:lineRule="auto"/>
        <w:ind w:firstLine="420"/>
        <w:rPr>
          <w:sz w:val="21"/>
          <w:szCs w:val="21"/>
        </w:rPr>
      </w:pPr>
      <w:bookmarkStart w:id="146" w:name="chapter_level1_14_63_section_1"/>
      <w:bookmarkEnd w:id="146"/>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47" w:name="chapter_level1_14_63_section_1_end"/>
      <w:bookmarkEnd w:id="147"/>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48" w:name="chapter_level1_14_63_section_2"/>
      <w:bookmarkEnd w:id="148"/>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49" w:name="field_63_netdecimalvalue_1"/>
      <w:r>
        <w:rPr>
          <w:sz w:val="21"/>
          <w:szCs w:val="21"/>
        </w:rPr>
        <w:t>0.0001</w:t>
      </w:r>
      <w:bookmarkEnd w:id="149"/>
      <w:r>
        <w:rPr>
          <w:rFonts w:hint="eastAsia"/>
          <w:sz w:val="21"/>
          <w:szCs w:val="21"/>
        </w:rPr>
        <w:t>元，小数点后第</w:t>
      </w:r>
      <w:bookmarkStart w:id="150" w:name="field_0_netdecimaladd1_1"/>
      <w:r>
        <w:rPr>
          <w:sz w:val="21"/>
          <w:szCs w:val="21"/>
        </w:rPr>
        <w:t>5</w:t>
      </w:r>
      <w:bookmarkEnd w:id="150"/>
      <w:r>
        <w:rPr>
          <w:rFonts w:hint="eastAsia"/>
          <w:sz w:val="21"/>
          <w:szCs w:val="21"/>
        </w:rPr>
        <w:t xml:space="preserve">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1" w:name="field_63_netdecimal_1"/>
      <w:r>
        <w:rPr>
          <w:sz w:val="21"/>
          <w:szCs w:val="21"/>
        </w:rPr>
        <w:t>4</w:t>
      </w:r>
      <w:bookmarkEnd w:id="151"/>
      <w:r>
        <w:rPr>
          <w:rFonts w:hint="eastAsia"/>
          <w:sz w:val="21"/>
          <w:szCs w:val="21"/>
        </w:rPr>
        <w:t>位以内（含第</w:t>
      </w:r>
      <w:bookmarkStart w:id="152" w:name="field_63_netdecimal_2"/>
      <w:r>
        <w:rPr>
          <w:sz w:val="21"/>
          <w:szCs w:val="21"/>
        </w:rPr>
        <w:t>4</w:t>
      </w:r>
      <w:bookmarkEnd w:id="152"/>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（3）当任何一类基金份额净值计算差错给基金和基金份额持有人造成损失需要进行赔偿时，基金管理人和基金托管人应根据实际情况界定双方承担的责任，经确认后按以下条款进行赔偿：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造成基金份额持有人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八、特殊情况的处理方法</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3" w:name="chapter_level1_14_63_section_2_end"/>
      <w:bookmarkEnd w:id="153"/>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4" w:name="chapter_level1_15_64"/>
      <w:bookmarkStart w:id="155" w:name="_Toc207981738"/>
      <w:r>
        <w:rPr>
          <w:rFonts w:hint="eastAsia" w:ascii="宋体" w:hAnsi="宋体" w:eastAsia="宋体"/>
          <w:sz w:val="30"/>
        </w:rPr>
        <w:t>第十二部分  基金的收益分配</w:t>
      </w:r>
      <w:bookmarkEnd w:id="154"/>
      <w:bookmarkEnd w:id="155"/>
    </w:p>
    <w:p>
      <w:pPr>
        <w:pStyle w:val="7"/>
        <w:spacing w:before="0" w:beforeAutospacing="0" w:after="0" w:afterAutospacing="0" w:line="360" w:lineRule="auto"/>
        <w:ind w:firstLine="420"/>
        <w:rPr>
          <w:sz w:val="21"/>
          <w:szCs w:val="21"/>
        </w:rPr>
      </w:pPr>
      <w:bookmarkStart w:id="156" w:name="chapter_level1_15_64_section_1"/>
      <w:bookmarkEnd w:id="156"/>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57" w:name="chapter_level1_15_64_section_1_end"/>
      <w:bookmarkEnd w:id="157"/>
      <w:r>
        <w:rPr>
          <w:rFonts w:hint="eastAsia"/>
          <w:sz w:val="21"/>
          <w:szCs w:val="21"/>
        </w:rPr>
        <w:t xml:space="preserve">基金管理人可对基金收益分配原则和支付方式进行调整，不需召开基金份额持有人大会。  </w:t>
      </w:r>
    </w:p>
    <w:p>
      <w:pPr>
        <w:pStyle w:val="7"/>
        <w:spacing w:before="0" w:beforeAutospacing="0" w:after="0" w:afterAutospacing="0" w:line="360" w:lineRule="auto"/>
        <w:ind w:firstLine="420"/>
        <w:rPr>
          <w:sz w:val="21"/>
          <w:szCs w:val="21"/>
        </w:rPr>
      </w:pPr>
      <w:bookmarkStart w:id="158" w:name="chapter_level1_15_64_section_2"/>
      <w:bookmarkEnd w:id="158"/>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59" w:name="chapter_level1_15_64_section_2_end"/>
      <w:bookmarkEnd w:id="159"/>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0" w:name="_Toc207981739"/>
      <w:bookmarkStart w:id="161" w:name="chapter_level1_16_65"/>
      <w:r>
        <w:rPr>
          <w:rFonts w:hint="eastAsia" w:ascii="宋体" w:hAnsi="宋体" w:eastAsia="宋体"/>
          <w:sz w:val="30"/>
        </w:rPr>
        <w:t>第十三部分  基金费用与税收</w:t>
      </w:r>
      <w:bookmarkEnd w:id="160"/>
      <w:bookmarkEnd w:id="161"/>
    </w:p>
    <w:p>
      <w:pPr>
        <w:pStyle w:val="7"/>
        <w:spacing w:before="0" w:beforeAutospacing="0" w:after="0" w:afterAutospacing="0" w:line="360" w:lineRule="auto"/>
        <w:ind w:firstLine="420"/>
        <w:rPr>
          <w:sz w:val="21"/>
          <w:szCs w:val="21"/>
        </w:rPr>
      </w:pPr>
      <w:bookmarkStart w:id="162" w:name="chapter_level1_16_65_section_1"/>
      <w:bookmarkEnd w:id="162"/>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pPr>
        <w:pStyle w:val="7"/>
        <w:spacing w:before="0" w:beforeAutospacing="0" w:after="0" w:afterAutospacing="0" w:line="360" w:lineRule="auto"/>
        <w:ind w:firstLine="420"/>
        <w:rPr>
          <w:sz w:val="21"/>
          <w:szCs w:val="21"/>
        </w:rPr>
      </w:pPr>
      <w:r>
        <w:rPr>
          <w:rFonts w:hint="eastAsia"/>
          <w:sz w:val="21"/>
          <w:szCs w:val="21"/>
        </w:rPr>
        <w:t>10、按照国家有关规定和《基金合同》约定，可以在基金财产中列支的其他费用。</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3" w:name="field_0_managementrate_1"/>
      <w:r>
        <w:rPr>
          <w:sz w:val="21"/>
          <w:szCs w:val="21"/>
        </w:rPr>
        <w:t>0.30</w:t>
      </w:r>
      <w:bookmarkEnd w:id="163"/>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4" w:name="field_0_managementrate_2"/>
      <w:r>
        <w:rPr>
          <w:sz w:val="21"/>
          <w:szCs w:val="21"/>
        </w:rPr>
        <w:t>0.30</w:t>
      </w:r>
      <w:bookmarkEnd w:id="164"/>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按照与基金管理人协商一致的方式在次月初3个工作日内从基金财产中一次性支付给基金管理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5" w:name="field_0_trusteerate_1"/>
      <w:r>
        <w:rPr>
          <w:sz w:val="21"/>
          <w:szCs w:val="21"/>
        </w:rPr>
        <w:t>0.10</w:t>
      </w:r>
      <w:bookmarkEnd w:id="165"/>
      <w:r>
        <w:rPr>
          <w:rFonts w:hint="eastAsia"/>
          <w:sz w:val="21"/>
          <w:szCs w:val="21"/>
        </w:rPr>
        <w:t xml:space="preserve">%的年费率计提。托管费的计算方法如下：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6" w:name="field_0_trusteerate_2"/>
      <w:r>
        <w:rPr>
          <w:sz w:val="21"/>
          <w:szCs w:val="21"/>
        </w:rPr>
        <w:t>0.10</w:t>
      </w:r>
      <w:bookmarkEnd w:id="166"/>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按照与基金管理人协商一致的方式于次月初3个工作日内从基金财产中一次性支取。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本基金A类基金份额不收取销售服务费，C类基金份额的销售服务费年费率为0.10%。本基金销售服务费主要用于本基金持续销售以及基金份额持有人服务等各项费用。 </w:t>
      </w:r>
    </w:p>
    <w:p>
      <w:pPr>
        <w:pStyle w:val="7"/>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本基金的销售服务费按前一日C类基金份额基金资产净值的0.10%年费率计提。销售服务费的计算方法如下：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与基金托管人核对一致后，基金托管人按照与基金管理人协商一致的方式在次月初3个工作日内从基金财产中一次性支付。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bookmarkStart w:id="167" w:name="chapter_level1_16_65_section_1_end"/>
      <w:bookmarkEnd w:id="167"/>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8" w:name="_Toc207981740"/>
      <w:bookmarkStart w:id="169" w:name="chapter_level1_17_66"/>
      <w:r>
        <w:rPr>
          <w:rFonts w:hint="eastAsia" w:ascii="宋体" w:hAnsi="宋体" w:eastAsia="宋体"/>
          <w:sz w:val="30"/>
        </w:rPr>
        <w:t>第十四部分  基金的会计与审计</w:t>
      </w:r>
      <w:bookmarkEnd w:id="168"/>
      <w:bookmarkEnd w:id="169"/>
    </w:p>
    <w:p>
      <w:pPr>
        <w:pStyle w:val="7"/>
        <w:spacing w:before="0" w:beforeAutospacing="0" w:after="0" w:afterAutospacing="0" w:line="360" w:lineRule="auto"/>
        <w:ind w:firstLine="420"/>
        <w:rPr>
          <w:sz w:val="21"/>
          <w:szCs w:val="21"/>
        </w:rPr>
      </w:pPr>
      <w:bookmarkStart w:id="170" w:name="chapter_level1_17_66_section_1"/>
      <w:bookmarkEnd w:id="170"/>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1" w:name="chapter_level1_17_66_section_1_end"/>
      <w:bookmarkEnd w:id="171"/>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2" w:name="chapter_level1_18_67"/>
      <w:bookmarkStart w:id="173" w:name="_Toc207981741"/>
      <w:r>
        <w:rPr>
          <w:rFonts w:hint="eastAsia" w:ascii="宋体" w:hAnsi="宋体" w:eastAsia="宋体"/>
          <w:sz w:val="30"/>
        </w:rPr>
        <w:t>第十五部分  基金的信息披露</w:t>
      </w:r>
      <w:bookmarkEnd w:id="172"/>
      <w:bookmarkEnd w:id="173"/>
    </w:p>
    <w:p>
      <w:pPr>
        <w:pStyle w:val="7"/>
        <w:spacing w:before="0" w:beforeAutospacing="0" w:after="0" w:afterAutospacing="0" w:line="360" w:lineRule="auto"/>
        <w:ind w:firstLine="420"/>
        <w:rPr>
          <w:sz w:val="21"/>
          <w:szCs w:val="21"/>
        </w:rPr>
      </w:pPr>
      <w:bookmarkStart w:id="174" w:name="chapter_level1_18_67_section_1"/>
      <w:bookmarkEnd w:id="174"/>
      <w:r>
        <w:rPr>
          <w:rStyle w:val="11"/>
          <w:rFonts w:hint="eastAsia"/>
          <w:sz w:val="21"/>
          <w:szCs w:val="21"/>
        </w:rPr>
        <w:t>一、本基金的信息披露应符合《基金法》、《运作办法》、《信息披露办法》、《基金合同》及其他有关规定。相关法律法规关于信息披露的规定发生变化时，本基金从其最新规定。 </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 </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 </w:t>
      </w:r>
    </w:p>
    <w:p>
      <w:pPr>
        <w:pStyle w:val="7"/>
        <w:spacing w:before="0" w:beforeAutospacing="0" w:after="0" w:afterAutospacing="0" w:line="360" w:lineRule="auto"/>
        <w:ind w:firstLine="420"/>
        <w:rPr>
          <w:sz w:val="21"/>
          <w:szCs w:val="21"/>
        </w:rPr>
      </w:pPr>
      <w:bookmarkStart w:id="175" w:name="chapter_level1_18_67_section_1_end"/>
      <w:bookmarkEnd w:id="175"/>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76" w:name="chapter_level1_18_67_section_2"/>
      <w:bookmarkEnd w:id="176"/>
      <w:r>
        <w:rPr>
          <w:rStyle w:val="11"/>
          <w:rFonts w:hint="eastAsia"/>
          <w:sz w:val="21"/>
          <w:szCs w:val="21"/>
        </w:rPr>
        <w:t>五、公开披露的基金信息 </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18、本基金开始办理申购、赎回；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22、发生涉及本基金申购、赎回事项调整或潜在影响投资者赎回等重大事项时；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（十二）资产支持证券的投资情况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bookmarkStart w:id="177" w:name="chapter_level1_18_67_section_2_end"/>
      <w:bookmarkEnd w:id="177"/>
      <w:r>
        <w:rPr>
          <w:rFonts w:hint="eastAsia"/>
          <w:sz w:val="21"/>
          <w:szCs w:val="21"/>
        </w:rPr>
        <w:t xml:space="preserve">（十四）中国证监会规定的其他信息 </w:t>
      </w:r>
    </w:p>
    <w:p>
      <w:pPr>
        <w:pStyle w:val="7"/>
        <w:spacing w:before="0" w:beforeAutospacing="0" w:after="0" w:afterAutospacing="0" w:line="360" w:lineRule="auto"/>
        <w:ind w:firstLine="420"/>
        <w:rPr>
          <w:sz w:val="21"/>
          <w:szCs w:val="21"/>
        </w:rPr>
      </w:pPr>
      <w:bookmarkStart w:id="178" w:name="chapter_level1_18_67_section_3"/>
      <w:bookmarkEnd w:id="178"/>
      <w:r>
        <w:rPr>
          <w:rStyle w:val="11"/>
          <w:rFonts w:hint="eastAsia"/>
          <w:sz w:val="21"/>
          <w:szCs w:val="21"/>
        </w:rPr>
        <w:t>六、信息披露事务管理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 </w:t>
      </w:r>
    </w:p>
    <w:p>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pPr>
        <w:pStyle w:val="7"/>
        <w:spacing w:before="0" w:beforeAutospacing="0" w:after="0" w:afterAutospacing="0" w:line="360" w:lineRule="auto"/>
        <w:ind w:firstLine="420"/>
        <w:rPr>
          <w:sz w:val="21"/>
          <w:szCs w:val="21"/>
        </w:rPr>
      </w:pPr>
      <w:r>
        <w:rPr>
          <w:rStyle w:val="11"/>
          <w:rFonts w:hint="eastAsia"/>
          <w:sz w:val="21"/>
          <w:szCs w:val="21"/>
        </w:rPr>
        <w:t>八、当出现下述情况时，基金管理人和基金托管人可暂停或延迟披露基金信息：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（3）占基金相当比例的投资品种的估值出现重大转变，基金管理人为保障基金份额持有人的利益，决定延迟估值； </w:t>
      </w:r>
    </w:p>
    <w:p>
      <w:pPr>
        <w:pStyle w:val="7"/>
        <w:spacing w:before="0" w:beforeAutospacing="0" w:after="0" w:afterAutospacing="0" w:line="360" w:lineRule="auto"/>
        <w:ind w:firstLine="420"/>
        <w:rPr>
          <w:sz w:val="21"/>
          <w:szCs w:val="21"/>
        </w:rPr>
      </w:pPr>
      <w:bookmarkStart w:id="179" w:name="chapter_level1_18_67_section_3_end"/>
      <w:bookmarkEnd w:id="179"/>
      <w:r>
        <w:rPr>
          <w:rFonts w:hint="eastAsia"/>
          <w:sz w:val="21"/>
          <w:szCs w:val="21"/>
        </w:rPr>
        <w:t xml:space="preserve">（4）法律法规、基金合同或中国证监会规定的情况。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0" w:name="_Toc207981742"/>
      <w:bookmarkStart w:id="181" w:name="chapter_level1_19_56021"/>
      <w:r>
        <w:rPr>
          <w:rFonts w:hint="eastAsia" w:ascii="宋体" w:hAnsi="宋体" w:eastAsia="宋体"/>
          <w:sz w:val="30"/>
        </w:rPr>
        <w:t>第十六部分  侧袋机制</w:t>
      </w:r>
      <w:bookmarkEnd w:id="180"/>
      <w:bookmarkEnd w:id="181"/>
    </w:p>
    <w:p>
      <w:pPr>
        <w:pStyle w:val="7"/>
        <w:spacing w:before="0" w:beforeAutospacing="0" w:after="0" w:afterAutospacing="0" w:line="360" w:lineRule="auto"/>
        <w:ind w:firstLine="420"/>
        <w:rPr>
          <w:sz w:val="21"/>
          <w:szCs w:val="21"/>
        </w:rPr>
      </w:pPr>
      <w:bookmarkStart w:id="182" w:name="chapter_level1_19_56021_section_1"/>
      <w:bookmarkEnd w:id="182"/>
      <w:r>
        <w:rPr>
          <w:rFonts w:hint="eastAsia"/>
          <w:b/>
          <w:bCs/>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w:t>
      </w:r>
      <w:bookmarkStart w:id="183" w:name="chapter_level1_19_56021_section_1_end"/>
      <w:bookmarkEnd w:id="183"/>
      <w:r>
        <w:rPr>
          <w:rFonts w:hint="eastAsia"/>
          <w:sz w:val="21"/>
          <w:szCs w:val="21"/>
        </w:rPr>
        <w:t xml:space="preserve">确定性的资产；（3）其他资产价值存在重大不确定性的资产。   </w:t>
      </w:r>
    </w:p>
    <w:p>
      <w:pPr>
        <w:pStyle w:val="7"/>
        <w:spacing w:before="0" w:beforeAutospacing="0" w:after="0" w:afterAutospacing="0" w:line="360" w:lineRule="auto"/>
        <w:ind w:firstLine="420"/>
        <w:rPr>
          <w:sz w:val="21"/>
          <w:szCs w:val="21"/>
        </w:rPr>
      </w:pPr>
      <w:bookmarkStart w:id="184" w:name="chapter_level1_19_56021_section_2"/>
      <w:bookmarkEnd w:id="184"/>
      <w:r>
        <w:rPr>
          <w:rFonts w:hint="eastAsia"/>
          <w:b/>
          <w:bCs/>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1、侧袋账户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2、主袋账户   </w:t>
      </w:r>
    </w:p>
    <w:p>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w:t>
      </w:r>
      <w:bookmarkStart w:id="185" w:name="chapter_level1_19_56021_section_2_end"/>
      <w:bookmarkEnd w:id="185"/>
      <w:r>
        <w:rPr>
          <w:rFonts w:hint="eastAsia"/>
          <w:sz w:val="21"/>
          <w:szCs w:val="21"/>
        </w:rPr>
        <w:t xml:space="preserve">合《证券法》规定的会计师事务所对侧袋账户进行审计并披露专项审计意见。   </w:t>
      </w:r>
    </w:p>
    <w:p>
      <w:pPr>
        <w:pStyle w:val="7"/>
        <w:spacing w:before="0" w:beforeAutospacing="0" w:after="0" w:afterAutospacing="0" w:line="360" w:lineRule="auto"/>
        <w:ind w:firstLine="420"/>
        <w:rPr>
          <w:sz w:val="21"/>
          <w:szCs w:val="21"/>
        </w:rPr>
      </w:pPr>
      <w:bookmarkStart w:id="186" w:name="chapter_level1_19_56021_section_3"/>
      <w:bookmarkEnd w:id="186"/>
      <w:r>
        <w:rPr>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187" w:name="chapter_level1_20_51982_section_1_end"/>
      <w:bookmarkEnd w:id="187"/>
      <w:r>
        <w:rPr>
          <w:rFonts w:hint="eastAsia"/>
          <w:sz w:val="21"/>
          <w:szCs w:val="21"/>
        </w:rPr>
        <w:t xml:space="preserve">无需召开基金份额持有人大会审议。  </w:t>
      </w:r>
    </w:p>
    <w:p>
      <w:pPr>
        <w:rPr>
          <w:rFonts w:ascii="宋体" w:hAnsi="宋体" w:eastAsia="宋体"/>
          <w:sz w:val="24"/>
          <w:szCs w:val="24"/>
        </w:rPr>
      </w:pPr>
      <w:bookmarkStart w:id="188" w:name="chapter_level1_19_56021_section_3_end"/>
      <w:bookmarkEnd w:id="188"/>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9" w:name="chapter_level1_20_68"/>
      <w:bookmarkStart w:id="190" w:name="_Toc207981743"/>
      <w:r>
        <w:rPr>
          <w:rFonts w:hint="eastAsia" w:ascii="宋体" w:hAnsi="宋体" w:eastAsia="宋体"/>
          <w:sz w:val="30"/>
        </w:rPr>
        <w:t>第十七部分  风险揭示</w:t>
      </w:r>
      <w:bookmarkEnd w:id="189"/>
      <w:bookmarkEnd w:id="190"/>
    </w:p>
    <w:p>
      <w:pPr>
        <w:pStyle w:val="7"/>
        <w:spacing w:before="0" w:beforeAutospacing="0" w:after="0" w:afterAutospacing="0" w:line="360" w:lineRule="auto"/>
        <w:ind w:firstLine="420"/>
        <w:rPr>
          <w:sz w:val="21"/>
          <w:szCs w:val="21"/>
        </w:rPr>
      </w:pPr>
      <w:bookmarkStart w:id="191" w:name="chapter_level1_20_68_section_1"/>
      <w:bookmarkEnd w:id="191"/>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pPr>
        <w:pStyle w:val="7"/>
        <w:spacing w:before="0" w:beforeAutospacing="0" w:after="0" w:afterAutospacing="0" w:line="360" w:lineRule="auto"/>
        <w:ind w:firstLine="420"/>
        <w:rPr>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2" w:name="chapter_level1_20_68_section_1_end"/>
      <w:bookmarkEnd w:id="192"/>
      <w:r>
        <w:rPr>
          <w:rFonts w:hint="eastAsia"/>
          <w:sz w:val="21"/>
          <w:szCs w:val="21"/>
        </w:rPr>
        <w:t xml:space="preserve">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3" w:name="chapter_level1_22_69"/>
      <w:bookmarkStart w:id="194" w:name="_Toc207981744"/>
      <w:r>
        <w:rPr>
          <w:rFonts w:hint="eastAsia" w:ascii="宋体" w:hAnsi="宋体" w:eastAsia="宋体"/>
          <w:sz w:val="30"/>
        </w:rPr>
        <w:t>第十八部分  基金合同的变更、终止与基金财产的清算</w:t>
      </w:r>
      <w:bookmarkEnd w:id="193"/>
      <w:bookmarkEnd w:id="194"/>
    </w:p>
    <w:p>
      <w:pPr>
        <w:pStyle w:val="7"/>
        <w:spacing w:before="0" w:beforeAutospacing="0" w:after="0" w:afterAutospacing="0" w:line="360" w:lineRule="auto"/>
        <w:ind w:firstLine="420"/>
        <w:rPr>
          <w:sz w:val="21"/>
          <w:szCs w:val="21"/>
        </w:rPr>
      </w:pPr>
      <w:bookmarkStart w:id="195" w:name="chapter_level1_22_69_section_1"/>
      <w:bookmarkEnd w:id="195"/>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2、关于《基金合同》变更的基金份额持有人大会决议须报中国证监会备案，自表决通过之日起生效后方可执行，并自决议生效后按规定在指定媒介公告。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196" w:name="chapter_level1_22_69_section_1_end"/>
      <w:bookmarkEnd w:id="196"/>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7" w:name="chapter_level1_24_71"/>
      <w:bookmarkStart w:id="198" w:name="_Toc207981745"/>
      <w:r>
        <w:rPr>
          <w:rFonts w:hint="eastAsia" w:ascii="宋体" w:hAnsi="宋体" w:eastAsia="宋体"/>
          <w:sz w:val="30"/>
        </w:rPr>
        <w:t>第十九部分  基金合同的内容摘要</w:t>
      </w:r>
      <w:bookmarkEnd w:id="197"/>
      <w:bookmarkEnd w:id="198"/>
    </w:p>
    <w:p>
      <w:pPr>
        <w:pStyle w:val="7"/>
        <w:spacing w:before="0" w:beforeAutospacing="0" w:after="0" w:afterAutospacing="0" w:line="360" w:lineRule="auto"/>
        <w:ind w:firstLine="420"/>
        <w:rPr>
          <w:sz w:val="21"/>
          <w:szCs w:val="21"/>
        </w:rPr>
      </w:pPr>
      <w:bookmarkStart w:id="199" w:name="chapter_level1_24_71_section_1"/>
      <w:bookmarkEnd w:id="199"/>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（4）根据相关市场规则，为基金开设资金账户、证券账户等投资所需的其他账户，为基金办理证券交易资金清算；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（5）提高基金管理人、基金托管人的报酬标准或调高销售服务费率；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2、在不违反法律法规、基金合同以及在不损害已有基金份额持有人权益的前提下，以下情况可由基金管理人和基金托管人协商后修改，不需召开基金份额持有人大会：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（1）调低基金管理费、基金托管费和其他应由基金承担的费用；  </w:t>
      </w:r>
    </w:p>
    <w:p>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调整本基金的申购费率、调低赎回费率、调低销售服务费率或在对现有基金份额持有人利益无实质性不利影响的前提下变更收费方式或调整基金份额类别设置、对基金份额分类办法及规则进行调整；  </w:t>
      </w:r>
    </w:p>
    <w:p>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（7）在不违反法律法规、基金合同以及在不损害已有基金份额持有人权益的前提下，基金推出新业务或服务；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在符合法律法规及基金合同约定，并对基金份额持有人利益无实质不利影响的前提下，基金管理人可对基金收益分配原则和支付方式进行调整，不需召开基金份额持有人大会。 </w:t>
      </w:r>
    </w:p>
    <w:p>
      <w:pPr>
        <w:pStyle w:val="7"/>
        <w:spacing w:before="0" w:beforeAutospacing="0" w:after="0" w:afterAutospacing="0" w:line="360" w:lineRule="auto"/>
        <w:ind w:firstLine="420"/>
        <w:rPr>
          <w:sz w:val="21"/>
          <w:szCs w:val="21"/>
        </w:rPr>
      </w:pPr>
      <w:r>
        <w:rPr>
          <w:rStyle w:val="11"/>
          <w:rFonts w:hint="eastAsia"/>
          <w:sz w:val="21"/>
          <w:szCs w:val="21"/>
        </w:rPr>
        <w:t>四、与基金财产管理、运用有关费用的提取、支付方式与比例</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本基金的管理费按前一日基金资产净值的 0.30%年费率计提。管理费的计算方法如下：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H＝E×0.30%÷当年天数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按照与基金管理人协商一致的方式在次月初三个工作日内从基金财产中一次性支付给基金管理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本基金的托管费按前一日基金资产净值的0.10%的年费率计提。托管费的计算方法如下：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按照与基金管理人协商一致的方式于次月初三个工作日内从基金财产中一次性支取。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本基金A类基金份额不收取销售服务费，C类基金份额的销售服务费年费率为0.10%。本基金销售服务费主要用于本基金持续销售以及基金份额持有人服务等各项费用。 </w:t>
      </w:r>
    </w:p>
    <w:p>
      <w:pPr>
        <w:pStyle w:val="7"/>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本基金的销售服务费按前一日C类基金份额基金资产净值的0.10%年费率计提。销售服务费的计算方法如下：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与基金托管人核对一致后，基金托管人按照与基金管理人协商一致的方式在次月初3个工作日内从基金财产中一次性支付。若遇法定节假日、公休假或不可抗力等，支付日期顺延。 </w:t>
      </w:r>
    </w:p>
    <w:p>
      <w:pPr>
        <w:pStyle w:val="7"/>
        <w:spacing w:before="0" w:beforeAutospacing="0" w:after="0" w:afterAutospacing="0" w:line="360" w:lineRule="auto"/>
        <w:ind w:firstLine="420"/>
        <w:rPr>
          <w:sz w:val="21"/>
          <w:szCs w:val="21"/>
        </w:rPr>
      </w:pPr>
      <w:r>
        <w:rPr>
          <w:rStyle w:val="11"/>
          <w:rFonts w:hint="eastAsia"/>
          <w:sz w:val="21"/>
          <w:szCs w:val="21"/>
        </w:rPr>
        <w:t>五、基金财产的投资方向和投资限制</w:t>
      </w:r>
    </w:p>
    <w:p>
      <w:pPr>
        <w:pStyle w:val="7"/>
        <w:spacing w:before="0" w:beforeAutospacing="0" w:after="0" w:afterAutospacing="0" w:line="360" w:lineRule="auto"/>
        <w:ind w:firstLine="420"/>
        <w:rPr>
          <w:sz w:val="21"/>
          <w:szCs w:val="21"/>
        </w:rPr>
      </w:pPr>
      <w:r>
        <w:rPr>
          <w:rFonts w:hint="eastAsia"/>
          <w:sz w:val="21"/>
          <w:szCs w:val="21"/>
        </w:rPr>
        <w:t xml:space="preserve">（一）投资范围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（二）投资限制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10）、（13）、（14）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7"/>
        <w:spacing w:before="0" w:beforeAutospacing="0" w:after="0" w:afterAutospacing="0" w:line="360" w:lineRule="auto"/>
        <w:ind w:firstLine="420"/>
        <w:rPr>
          <w:sz w:val="21"/>
          <w:szCs w:val="21"/>
        </w:rPr>
      </w:pPr>
      <w:r>
        <w:rPr>
          <w:rStyle w:val="11"/>
          <w:rFonts w:hint="eastAsia"/>
          <w:sz w:val="21"/>
          <w:szCs w:val="21"/>
        </w:rPr>
        <w:t>六、基金合同解除和终止的事由、程序以及基金财产清算方式</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2、关于《基金合同》变更的基金份额持有人大会决议须报中国证监会备案，自表决通过之日起生效后方可执行，并自决议生效后按规定在指定媒介公告。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pPr>
        <w:pStyle w:val="7"/>
        <w:spacing w:before="0" w:beforeAutospacing="0" w:after="0" w:afterAutospacing="0" w:line="360" w:lineRule="auto"/>
        <w:ind w:firstLine="420"/>
        <w:rPr>
          <w:sz w:val="21"/>
          <w:szCs w:val="21"/>
        </w:rPr>
      </w:pPr>
      <w:r>
        <w:rPr>
          <w:rStyle w:val="11"/>
          <w:rFonts w:hint="eastAsia"/>
          <w:sz w:val="21"/>
          <w:szCs w:val="21"/>
        </w:rPr>
        <w:t>八、基金合同存放地和投资人取得基金合同的方式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0" w:name="chapter_level1_24_71_section_1_end"/>
      <w:bookmarkEnd w:id="200"/>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1" w:name="chapter_level1_25_72"/>
      <w:bookmarkStart w:id="202" w:name="_Toc207981746"/>
      <w:r>
        <w:rPr>
          <w:rFonts w:hint="eastAsia" w:ascii="宋体" w:hAnsi="宋体" w:eastAsia="宋体"/>
          <w:sz w:val="30"/>
        </w:rPr>
        <w:t>第二十部分  基金托管协议的内容摘要</w:t>
      </w:r>
      <w:bookmarkEnd w:id="201"/>
      <w:bookmarkEnd w:id="202"/>
    </w:p>
    <w:p>
      <w:pPr>
        <w:pStyle w:val="7"/>
        <w:spacing w:before="0" w:beforeAutospacing="0" w:after="0" w:afterAutospacing="0" w:line="360" w:lineRule="auto"/>
        <w:ind w:firstLine="420"/>
        <w:rPr>
          <w:sz w:val="21"/>
          <w:szCs w:val="21"/>
        </w:rPr>
      </w:pPr>
      <w:bookmarkStart w:id="203" w:name="chapter_level1_25_72_section_1"/>
      <w:bookmarkEnd w:id="203"/>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04" w:name="field_0_managerorgfullname_7"/>
      <w:r>
        <w:rPr>
          <w:rFonts w:hint="eastAsia"/>
          <w:sz w:val="21"/>
          <w:szCs w:val="21"/>
        </w:rPr>
        <w:t>博时基金管理有限公司</w:t>
      </w:r>
      <w:bookmarkEnd w:id="204"/>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邮政编码：518040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 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批准设立文号：证监基字【1998】26号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 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205" w:name="field_0_trustorgfullname_2"/>
      <w:r>
        <w:rPr>
          <w:rFonts w:hint="eastAsia"/>
          <w:sz w:val="21"/>
          <w:szCs w:val="21"/>
        </w:rPr>
        <w:t>中国邮政储蓄银行股份有限公司</w:t>
      </w:r>
      <w:bookmarkEnd w:id="20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住所：北京市西城区金融大街3号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办公地址：北京市西城区金融大街3号A座 </w:t>
      </w:r>
    </w:p>
    <w:p>
      <w:pPr>
        <w:pStyle w:val="7"/>
        <w:spacing w:before="0" w:beforeAutospacing="0" w:after="0" w:afterAutospacing="0" w:line="360" w:lineRule="auto"/>
        <w:ind w:firstLine="420"/>
        <w:rPr>
          <w:sz w:val="21"/>
          <w:szCs w:val="21"/>
        </w:rPr>
      </w:pPr>
      <w:r>
        <w:rPr>
          <w:rFonts w:hint="eastAsia"/>
          <w:sz w:val="21"/>
          <w:szCs w:val="21"/>
        </w:rPr>
        <w:t xml:space="preserve">邮政编码：100808 </w:t>
      </w:r>
    </w:p>
    <w:p>
      <w:pPr>
        <w:pStyle w:val="7"/>
        <w:spacing w:before="0" w:beforeAutospacing="0" w:after="0" w:afterAutospacing="0" w:line="360" w:lineRule="auto"/>
        <w:ind w:firstLine="420"/>
        <w:rPr>
          <w:sz w:val="21"/>
          <w:szCs w:val="21"/>
        </w:rPr>
      </w:pPr>
      <w:r>
        <w:rPr>
          <w:rFonts w:hint="eastAsia"/>
          <w:sz w:val="21"/>
          <w:szCs w:val="21"/>
        </w:rPr>
        <w:t xml:space="preserve">法定代表人/负责人：刘建军 </w:t>
      </w:r>
    </w:p>
    <w:p>
      <w:pPr>
        <w:pStyle w:val="7"/>
        <w:spacing w:before="0" w:beforeAutospacing="0" w:after="0" w:afterAutospacing="0" w:line="360" w:lineRule="auto"/>
        <w:ind w:firstLine="420"/>
        <w:rPr>
          <w:sz w:val="21"/>
          <w:szCs w:val="21"/>
        </w:rPr>
      </w:pPr>
      <w:r>
        <w:rPr>
          <w:rFonts w:hint="eastAsia"/>
          <w:sz w:val="21"/>
          <w:szCs w:val="21"/>
        </w:rPr>
        <w:t xml:space="preserve">成立时间：2007年3月6日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批准设立机关及批准设立文号：中国银监会银监复[2006]484号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基金托管业务批准文号：证监许可[2009]673号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注册资本：923.84亿元人民币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和贴现；发行金融债劵；代理发行、代理兑付、承销政府债券；买卖政府债券、金融债券；从事同业拆借；买卖、代理买卖外汇；从事银行卡业务；提供信用证服务及担保；代理收付款项及代理保险业务；提供保险箱服务；经中国银行业监督管理机构等监管部门批准的其他业务。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托管人运用相关技术系统，对基金实际投资是否符合基金合同的约定进行监督，对存在疑义的事项进行核查。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（11）本基金投资于中小企业私募债券比例合计不高于基金资产的10%； </w:t>
      </w:r>
    </w:p>
    <w:p>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在符合相关法律法规规定的前提下，除上述第（2）、（10）、（13）、（14）项外，因证券市场波动、证券发行人合并、基金规模变动等非本基金管理人的因素致使基金的投资组合不符合上述规定的投资比例的，基金管理人应当在10个交易日内进行调整。法律法规或中国证监会 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（三）基金托管人根据有关法律法规的规定及基金合同的约定对下述基金投资禁止行为进行监督。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法律、行政法规或监管部门取消或调整上述限制，如适用于本基金，基金管理人在履行适当程序后，则本基金投资不再受相关限制或按调整后的规定执行。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基金合同及托管协议约定履行了监督职责，基金管理人仍违反法律法规规定或基金合同约定的投资禁止行为而造成基金财产损失的，由基金管理人承担责任，基金托管人不承担任何责任。 </w:t>
      </w:r>
    </w:p>
    <w:p>
      <w:pPr>
        <w:pStyle w:val="7"/>
        <w:spacing w:before="0" w:beforeAutospacing="0" w:after="0" w:afterAutospacing="0" w:line="360" w:lineRule="auto"/>
        <w:ind w:firstLine="420"/>
        <w:rPr>
          <w:sz w:val="21"/>
          <w:szCs w:val="21"/>
        </w:rPr>
      </w:pPr>
      <w:r>
        <w:rPr>
          <w:rFonts w:hint="eastAsia"/>
          <w:sz w:val="21"/>
          <w:szCs w:val="21"/>
        </w:rPr>
        <w:t xml:space="preserve">（四）基金托管人依据有关法律法规的规定和基金合同的约定对于基金关联投资限制进行监督。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经慎重选择的、本基金适用的银行间债券市场交易对手名单，并按照审慎的风险控制原则在该名单中约定各交易对手所适用的交易结算方式。基金托管人在收到名单后2个工作日内电话确认收到该名单。基金托管人监督基金管理人是否按事前提供的银行间债券市场交易对手名单进行交易。基金管理人可以定期对银行间债券市场交易对手名单进行更新，如基金管理人根据市场情况需要临时调整银行间债券市场交易对手名单，应向基金托管人说明理由，在与交易对手发生交易前2个工作日内与基金托管人确认，基金托管人于1个工作日内向基金管理人电话确认，新名单自基金托管人确认当日生效。新名单生效前已与本次剔除的交易对手所进行但尚未结算的交易，仍应按照协议进行结算。 </w:t>
      </w:r>
    </w:p>
    <w:p>
      <w:pPr>
        <w:pStyle w:val="7"/>
        <w:spacing w:before="0" w:beforeAutospacing="0" w:after="0" w:afterAutospacing="0" w:line="360" w:lineRule="auto"/>
        <w:ind w:firstLine="420"/>
        <w:rPr>
          <w:sz w:val="21"/>
          <w:szCs w:val="21"/>
        </w:rPr>
      </w:pPr>
      <w:r>
        <w:rPr>
          <w:rFonts w:hint="eastAsia"/>
          <w:sz w:val="21"/>
          <w:szCs w:val="21"/>
        </w:rPr>
        <w:t xml:space="preserve">如果基金托管人发现基金管理人与不在名单内的银行间市场交易对手进行交易，应及时提醒基金管理人撤销交易，经提醒后基金管理人仍执行交易并造成基金资产损失的，基金托管人不承担责任，发生此种情形时，基金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2．基金托管人对于基金管理人参与银行间市场交易的交易方式的控制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和交易方式进行控制，按银行间债券市场的交易规则进行交易，基金托管人则根据银行间债券市场成交单对合同履行情况进行监督。如基金托管人发现基金管理人没有按照事先约定的交易对手或交易方式进行交易时，基金托管人应及时提醒基金管理人撤销交易，基金管理人仍不撤销的，基金托管人不承担由此造成的任何损失和责任，法律法规另有规定的除外。因交易对手不履行合同造成的基金财产的损失，基金托管人不承担责任，但有权报告中国证监会，法律法规另有规定的除外。 </w:t>
      </w:r>
    </w:p>
    <w:p>
      <w:pPr>
        <w:pStyle w:val="7"/>
        <w:spacing w:before="0" w:beforeAutospacing="0" w:after="0" w:afterAutospacing="0" w:line="360" w:lineRule="auto"/>
        <w:ind w:firstLine="420"/>
        <w:rPr>
          <w:sz w:val="21"/>
          <w:szCs w:val="21"/>
        </w:rPr>
      </w:pPr>
      <w:r>
        <w:rPr>
          <w:rFonts w:hint="eastAsia"/>
          <w:sz w:val="21"/>
          <w:szCs w:val="21"/>
        </w:rPr>
        <w:t xml:space="preserve">基金管理人在银行间市场进行现券买卖和回购交易时，需按交易对手名单中约定的该交易对手所适用的交易结算方式进行交易。如果基金托管人发现基金管理人没有按照事先约定的有利于信用风险控制的交易方式进行交易时，基金托管人应及时提醒基金管理人与交易对手重新确定交易方式。基金管理人仍不重新确定交易方式的，基金托管人不承担由此造成的任何损失和责任，法律法规另有规定的除外。 </w:t>
      </w:r>
    </w:p>
    <w:p>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（六）基金托管人根据有关法律法规的规定及基金合同的约定，对基金管理人选择存款银行进行监督。 </w:t>
      </w:r>
    </w:p>
    <w:p>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基金管理人拒不执行造成基金财产的损失，基金托管人不承担任何责任。 </w:t>
      </w:r>
    </w:p>
    <w:p>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如果基金管理人未经基金托管人的审核擅自将不实的业绩表现数据印制在宣传推介材料上，则基金托管人对此不承担任何责任，并将在发现后立即报告中国证监会。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中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督促基金管理人改正。基金管理人对基金托管人通知的违规事项未能在上述规定期限内纠正的，基金托管人有权报告中国证监会。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视情况暂缓或拒绝执行，并立即通知基金管理人及时改正。如基金管理人拒绝改正的，基金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基金托管人发现基金管理人依据交易程序已经生效的指令违反法律、行政法规和其他有关规定，或者违反基金合同约定的，应当立即通知基金管理人，并及时向中国证监会报告。 </w:t>
      </w:r>
    </w:p>
    <w:p>
      <w:pPr>
        <w:pStyle w:val="7"/>
        <w:spacing w:before="0" w:beforeAutospacing="0" w:after="0" w:afterAutospacing="0" w:line="360" w:lineRule="auto"/>
        <w:ind w:firstLine="420"/>
        <w:rPr>
          <w:sz w:val="21"/>
          <w:szCs w:val="21"/>
        </w:rPr>
      </w:pPr>
      <w:r>
        <w:rPr>
          <w:rFonts w:hint="eastAsia"/>
          <w:sz w:val="21"/>
          <w:szCs w:val="21"/>
        </w:rPr>
        <w:t xml:space="preserve">（九）对基金托管人按照法规要求需向中国证监会报送基金监督报告的事项，基金管理人应积极配合提供相关数据资料和制度等。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十）基金托管人发现基金管理人有重大违法、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一）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但不限于基金托管人安全保管基金财产、开设基金财产的资金账户和证券账户等投资所需账户、及时、准确复核基金管理人计算的基金资产净值、各类基金份额净值，根据基金管理人指令办理清算交收且如遇到问题应及时反馈、相关信息披露和监督基金投资运作是否对非公开信息保密等行为。 </w:t>
      </w:r>
    </w:p>
    <w:p>
      <w:pPr>
        <w:pStyle w:val="7"/>
        <w:spacing w:before="0" w:beforeAutospacing="0" w:after="0" w:afterAutospacing="0" w:line="360" w:lineRule="auto"/>
        <w:ind w:firstLine="420"/>
        <w:rPr>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前及时核对并以书面形式给基金管理人发出回函，说明违规原因，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等。基金管理人有权要求基金托管人赔偿基金因此所遭受的损失。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和银行业监督管理机构，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2．基金托管人应安全保管基金财产。未经基金管理人的正当指令，不得自行运用、处分、分配基金的任何财产。如果基金财产在基金托管人保管期间损坏、灭失的，应由该基金托管人承担赔偿责任。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3．基金托管人按照规定开设基金财产的资金账户、证券账户和债券托管账户等投资所需账户。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5．基金托管人根据基金管理人的指令，按照法律法规的规定、基金合同和本协议的约定保管基金财产。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和基金认购、申购过程中产生的应收资产，如基金托管人无法从公开信息或基金管理人提供的书面资料中获取到账日期信息的，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的损失，基金托管人对此不承担任何责任。 </w:t>
      </w:r>
    </w:p>
    <w:p>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开设的基金募集专户，在基金募集行为结束前，任何人不得动用。有效认购款项在基金募集期内产生的利息将折合成基金份额，归基金份额持有人所有。基金募集期产生的利息的具体数额以登记机构 的记录为准。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提前结束募集时，募集的基金份额总额、基金募集金额、基金份额持有人人数符合《基金法》、《运作办法》等有关规定后，基金管理人应将属于基金财产的全部资金划入基金托管人为本基金开立的基金银行账户，基金托管人在收到资金当日出具相关证明文件，基金管理人在规定时间内，聘请具有从事证券相关业务资格的会计师事务所进行验资，出具验资报告，验资报告中需对基金募集的资金进行确认。出具的验资报告由参加验资的2名或2名以上中国注册会计师签字方为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3．若基金募集期限届满，未能达到基金备案的条件，由基金管理人按规定办理退款等事宜，基金托管人应提供充分协助。 </w:t>
      </w:r>
    </w:p>
    <w:p>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1．基金托管人应负责本基金的银行账户的开设和管理。 </w:t>
      </w:r>
    </w:p>
    <w:p>
      <w:pPr>
        <w:pStyle w:val="7"/>
        <w:spacing w:before="0" w:beforeAutospacing="0" w:after="0" w:afterAutospacing="0" w:line="360" w:lineRule="auto"/>
        <w:ind w:firstLine="420"/>
        <w:rPr>
          <w:sz w:val="21"/>
          <w:szCs w:val="21"/>
        </w:rPr>
      </w:pPr>
      <w:r>
        <w:rPr>
          <w:rFonts w:hint="eastAsia"/>
          <w:sz w:val="21"/>
          <w:szCs w:val="21"/>
        </w:rPr>
        <w:t xml:space="preserve">2．基金托管人可以本基金的名义在其营业机构开设本基金的银行账户，并根据基金管理人合法合规的指令办理资金收付。本基金的银行预留印鉴由基金托管人保管和使用。本基金的一切货币收支活动，包括但不限于投资、支付赎回金额、支付基金收益、收取申购款，均需通过本基金的银行账户进行。 </w:t>
      </w:r>
    </w:p>
    <w:p>
      <w:pPr>
        <w:pStyle w:val="7"/>
        <w:spacing w:before="0" w:beforeAutospacing="0" w:after="0" w:afterAutospacing="0" w:line="360" w:lineRule="auto"/>
        <w:ind w:firstLine="420"/>
        <w:rPr>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4．基金银行账户的开立和管理应符合相关法律法规的有关规定。 </w:t>
      </w:r>
    </w:p>
    <w:p>
      <w:pPr>
        <w:pStyle w:val="7"/>
        <w:spacing w:before="0" w:beforeAutospacing="0" w:after="0" w:afterAutospacing="0" w:line="360" w:lineRule="auto"/>
        <w:ind w:firstLine="420"/>
        <w:rPr>
          <w:sz w:val="21"/>
          <w:szCs w:val="21"/>
        </w:rPr>
      </w:pPr>
      <w:r>
        <w:rPr>
          <w:rFonts w:hint="eastAsia"/>
          <w:sz w:val="21"/>
          <w:szCs w:val="21"/>
        </w:rPr>
        <w:t xml:space="preserve">（四）基金证券交收账户和结算备付金账户的开立和管理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1．基金托管人在中国证券登记结算有限责任公司上海分公司、深圳分公司为基金开立基金托管人与本基金联名的证券账户，账户名称以实际开立为准。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托管人以自身法人名义在中国证券登记结算有限责任公司开立结算备付金账户，以本基金的名义在基金托管人托管系统中开立二级结算备付金账户，并代表所托管的基金完成与中国证券登记结算有限责任公司的一级法人清算工作，基金管理人应予以积极协助。结算备付金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4．基金证券账户的开立和证券账户卡的保管由基金托管人负责，账户资产的管理和运用由基金管理人负责。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生效日之后允许基金从事其他投资品种的投资业务，涉及相关账户的开设、使用的，按有关规定开设、使用并管理；若无相关规定，则基金托管人应当比照并遵守上述关于账户开设、使用的规定。 </w:t>
      </w:r>
    </w:p>
    <w:p>
      <w:pPr>
        <w:pStyle w:val="7"/>
        <w:spacing w:before="0" w:beforeAutospacing="0" w:after="0" w:afterAutospacing="0" w:line="360" w:lineRule="auto"/>
        <w:ind w:firstLine="420"/>
        <w:rPr>
          <w:sz w:val="21"/>
          <w:szCs w:val="21"/>
        </w:rPr>
      </w:pPr>
      <w:r>
        <w:rPr>
          <w:rFonts w:hint="eastAsia"/>
          <w:sz w:val="21"/>
          <w:szCs w:val="21"/>
        </w:rPr>
        <w:t xml:space="preserve">（五）债券托管专户的开设和管理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市场清算所股份有限公司开立债券托管与结算账户并报中国人民银行备案，并代表基金进行银行间市场债券的结算。基金管理人和基金托管人同时代表基金签订全国银行间债券市场债券回购主协议，协议正本由基金托管人保管，协议副本由基金管理人保存。 </w:t>
      </w:r>
    </w:p>
    <w:p>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1．因业务发展需要而开立的其他账户，可以根据法律法规和基金合同的规定，在基金管理人和基金托管人商议后由基金托管人负责开立。新账户按有关规则使用并管理。 </w:t>
      </w:r>
    </w:p>
    <w:p>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定期存款证实书等有价凭证由基金托管人负责妥善保管，保管凭证由基金托管人持有，其中实物证券由基金托管人存放于托管银行的保管库，应与非本基金的其他实物证券分开保管；也可存入登记结算机构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及其他基金财产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管理人、基金托管人保管，相关业务程序另有限制除外。除协议另有规定外，基金管理人在代表基金签署与基金有关的重大合同时应保证基金一方持有两份以上的正本，以便基金管理人和基金托管人至少各持有一份正本的原件。基金管理人应在重大合同签署后及时以加密方式或双方同意的其他方式将重大合同传真给基金托管人，并在10个工作日内将正本送达基金托管人处。重大合同的保管期限为基金合同终止后15年。对于无法取得二份以上的正本的，基金管理人应向基金托管人提供加盖授权业务章的合同传真件或复印件，未经双方协商或未在合同约定范围内，合同原件不得转移。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（一）基金资产净值的计算及复核程序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基金资产净值是指基金资产总值减去负债后的金额。  </w:t>
      </w:r>
    </w:p>
    <w:p>
      <w:pPr>
        <w:pStyle w:val="7"/>
        <w:spacing w:before="0" w:beforeAutospacing="0" w:after="0" w:afterAutospacing="0" w:line="360" w:lineRule="auto"/>
        <w:ind w:firstLine="420"/>
        <w:rPr>
          <w:sz w:val="21"/>
          <w:szCs w:val="21"/>
        </w:rPr>
      </w:pPr>
      <w:r>
        <w:rPr>
          <w:rFonts w:hint="eastAsia"/>
          <w:sz w:val="21"/>
          <w:szCs w:val="21"/>
        </w:rPr>
        <w:t xml:space="preserve">各类基金份额净值是指计算日各类基金份额的基金资产净值除以该计算日该类基金份额余额后的数值。  </w:t>
      </w:r>
    </w:p>
    <w:p>
      <w:pPr>
        <w:pStyle w:val="7"/>
        <w:spacing w:before="0" w:beforeAutospacing="0" w:after="0" w:afterAutospacing="0" w:line="360" w:lineRule="auto"/>
        <w:ind w:firstLine="420"/>
        <w:rPr>
          <w:sz w:val="21"/>
          <w:szCs w:val="21"/>
        </w:rPr>
      </w:pPr>
      <w:r>
        <w:rPr>
          <w:rFonts w:hint="eastAsia"/>
          <w:sz w:val="21"/>
          <w:szCs w:val="21"/>
        </w:rPr>
        <w:t xml:space="preserve">各类基金份额净值的计算，精确到0.0001元，小数点后第五位四舍五入，由此产生的误差计入基金财产。国家另有规定的，从其规定。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基金管理人每个工作日计算各类基金份额净值，经基金托管人复核无误后，按规定公告。  </w:t>
      </w:r>
    </w:p>
    <w:p>
      <w:pPr>
        <w:pStyle w:val="7"/>
        <w:spacing w:before="0" w:beforeAutospacing="0" w:after="0" w:afterAutospacing="0" w:line="360" w:lineRule="auto"/>
        <w:ind w:firstLine="420"/>
        <w:rPr>
          <w:sz w:val="21"/>
          <w:szCs w:val="21"/>
        </w:rPr>
      </w:pPr>
      <w:r>
        <w:rPr>
          <w:rFonts w:hint="eastAsia"/>
          <w:sz w:val="21"/>
          <w:szCs w:val="21"/>
        </w:rPr>
        <w:t xml:space="preserve">2．复核程序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基金管理人每个工作日对基金资产进行估值后，将各类基金份额净值结果发送基金托管人，经基金托管人复核无误后，由基金管理人对外公布。但基金管理人根据法律法规或基金合同的规定暂停估值时除外。  </w:t>
      </w:r>
    </w:p>
    <w:p>
      <w:pPr>
        <w:pStyle w:val="7"/>
        <w:spacing w:before="0" w:beforeAutospacing="0" w:after="0" w:afterAutospacing="0" w:line="360" w:lineRule="auto"/>
        <w:ind w:firstLine="420"/>
        <w:rPr>
          <w:sz w:val="21"/>
          <w:szCs w:val="21"/>
        </w:rPr>
      </w:pPr>
      <w:r>
        <w:rPr>
          <w:rFonts w:hint="eastAsia"/>
          <w:sz w:val="21"/>
          <w:szCs w:val="21"/>
        </w:rPr>
        <w:t xml:space="preserve">3．根据有关法律法规，基金资产净值、各类基金份额净值计算和基金会计核算的义务由基金管理人承担。本基金的基金会计责任方由基金管理人担任，因此，就与本基金有关的会计问题，如经相关各方在平等基础上充分讨论后，仍无法达成一致意见的，按照基金管理人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pPr>
        <w:pStyle w:val="7"/>
        <w:spacing w:before="0" w:beforeAutospacing="0" w:after="0" w:afterAutospacing="0" w:line="360" w:lineRule="auto"/>
        <w:ind w:firstLine="420"/>
        <w:rPr>
          <w:sz w:val="21"/>
          <w:szCs w:val="21"/>
        </w:rPr>
      </w:pPr>
      <w:r>
        <w:rPr>
          <w:rFonts w:hint="eastAsia"/>
          <w:sz w:val="21"/>
          <w:szCs w:val="21"/>
        </w:rPr>
        <w:t xml:space="preserve">1．估值对象 </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7"/>
        <w:spacing w:before="0" w:beforeAutospacing="0" w:after="0" w:afterAutospacing="0" w:line="360" w:lineRule="auto"/>
        <w:ind w:firstLine="420"/>
        <w:rPr>
          <w:sz w:val="21"/>
          <w:szCs w:val="21"/>
        </w:rPr>
      </w:pPr>
      <w:r>
        <w:rPr>
          <w:rFonts w:hint="eastAsia"/>
          <w:sz w:val="21"/>
          <w:szCs w:val="21"/>
        </w:rPr>
        <w:t xml:space="preserve">2．估值方法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基金管理人、基金托管人按第2条第（6）款进行估值时，所造成的误差不作为基金份额净值错误处理。 </w:t>
      </w:r>
    </w:p>
    <w:p>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交易所及登记结算公司发送的数据错误等，基金管理人和基金托管人虽然已经采取必要、适当、合理的措施进行检查，但未能发现错误的，由此造成的基金财产估值错误，基金管理人和基金托管人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（三）估值错误的处理方式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基金管理人和基金托管人将采取必要、适当、合理的措施确保基金资产估值的准确性、及时性。当任何一类基金份额净值小数点后4位以内(含第4位)发生估值错误时，视为该类基金份额净值错误。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（3）当任何一类基金份额净值计算差错给基金和基金份额持有人造成损失需要进行赔偿时，基金管理人和基金托管人应根据实际情况界定双方承担的责任，经确认后按以下条款进行赔偿：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pPr>
        <w:pStyle w:val="7"/>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 法律法规规定、中国证监会和基金合同认定的其他情形。 </w:t>
      </w:r>
    </w:p>
    <w:p>
      <w:pPr>
        <w:pStyle w:val="7"/>
        <w:spacing w:before="0" w:beforeAutospacing="0" w:after="0" w:afterAutospacing="0" w:line="360" w:lineRule="auto"/>
        <w:ind w:firstLine="420"/>
        <w:rPr>
          <w:sz w:val="21"/>
          <w:szCs w:val="21"/>
        </w:rPr>
      </w:pPr>
      <w:r>
        <w:rPr>
          <w:rFonts w:hint="eastAsia"/>
          <w:sz w:val="21"/>
          <w:szCs w:val="21"/>
        </w:rPr>
        <w:t xml:space="preserve">（五）基金会计制度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及时编制并对外提供真实、完整的基金财务会计报告。月度报表的编制，基金管理人应于每月终了后5工作日内完成；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季度报告应在每个季度结束之日起15个工作日内完成季度报告编制并予以公告；中期报告在每个上半年结束之日起两个月内完成中期报告编制并予以公告；年度报告在每年结束之日起三个月内完成年度报告编制并予以公告。基金年度报告中的财务会计报告应当经过具有证券、期货相关业务资格的会计师事务所审计。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2．报表复核 </w:t>
      </w:r>
    </w:p>
    <w:p>
      <w:pPr>
        <w:pStyle w:val="7"/>
        <w:spacing w:before="0" w:beforeAutospacing="0" w:after="0" w:afterAutospacing="0" w:line="360" w:lineRule="auto"/>
        <w:ind w:firstLine="420"/>
        <w:rPr>
          <w:sz w:val="21"/>
          <w:szCs w:val="21"/>
        </w:rPr>
      </w:pPr>
      <w:r>
        <w:rPr>
          <w:rFonts w:hint="eastAsia"/>
          <w:sz w:val="21"/>
          <w:szCs w:val="21"/>
        </w:rPr>
        <w:t xml:space="preserve">基金管理人在月度报表完成当日，将报表盖章后提供给基金托管人复核；基金托管人在收到后应在3个工作日内进行复核。基金管理人在季度报告完成当日，将有关报告提供给基金托管人复核，基金托管人应在收到后7个工作日内完成复核。基金管理人在中期报告完成当日，将有关报告提供给基金托管人复核，基金托管人应在收到后30日内完成复核。基金管理人在年度报告完成当日，将有关报告提供基金托管人复核，基金托管人应在收到后45日内完成复核。基金管理人和基金托管人之间的上述文件往来均以传真的方式或双方商定的其他方式进行。 </w:t>
      </w:r>
    </w:p>
    <w:p>
      <w:pPr>
        <w:pStyle w:val="7"/>
        <w:spacing w:before="0" w:beforeAutospacing="0" w:after="0" w:afterAutospacing="0" w:line="360" w:lineRule="auto"/>
        <w:ind w:firstLine="420"/>
        <w:rPr>
          <w:sz w:val="21"/>
          <w:szCs w:val="21"/>
        </w:rPr>
      </w:pPr>
      <w:r>
        <w:rPr>
          <w:rFonts w:hint="eastAsia"/>
          <w:sz w:val="21"/>
          <w:szCs w:val="21"/>
        </w:rPr>
        <w:t xml:space="preserve">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向基金管理人进行书面或者电子确认。如果基金管理人与基金托管人不能于应当发布公告之日之前就相关报表达成一致，基金管理人有权按照其编制的报表对外发布公告，基金托管人有权就相关情况报中国证监会备案。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六、基金份额持有人名册的登记与保管</w:t>
      </w:r>
    </w:p>
    <w:p>
      <w:pPr>
        <w:pStyle w:val="7"/>
        <w:spacing w:before="0" w:beforeAutospacing="0" w:after="0" w:afterAutospacing="0" w:line="360" w:lineRule="auto"/>
        <w:ind w:firstLine="420"/>
        <w:rPr>
          <w:sz w:val="21"/>
          <w:szCs w:val="21"/>
        </w:rPr>
      </w:pPr>
      <w:r>
        <w:rPr>
          <w:rFonts w:hint="eastAsia"/>
          <w:sz w:val="21"/>
          <w:szCs w:val="21"/>
        </w:rPr>
        <w:t xml:space="preserve">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 </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基金份额持有人名册由登记机构编制，由基金管理人审核并提交基金托管人保管。基金托管人有权要求基金管理人提供基金份额持有人名册，基金管理人应及时提供，不得拖延或拒绝提供。 </w:t>
      </w:r>
    </w:p>
    <w:p>
      <w:pPr>
        <w:pStyle w:val="7"/>
        <w:spacing w:before="0" w:beforeAutospacing="0" w:after="0" w:afterAutospacing="0" w:line="360" w:lineRule="auto"/>
        <w:ind w:firstLine="420"/>
        <w:rPr>
          <w:sz w:val="21"/>
          <w:szCs w:val="21"/>
        </w:rPr>
      </w:pPr>
      <w:r>
        <w:rPr>
          <w:rFonts w:hint="eastAsia"/>
          <w:sz w:val="21"/>
          <w:szCs w:val="21"/>
        </w:rPr>
        <w:t xml:space="preserve">基金管理人应及时向基金托管人提交基金份额持有人名册。每年6月30日和12月31日的基金份额持有人名册应于下月前十个工作日内提交；基金合同生效日、基金合同终止日、基金权益登记日、基金份额持有人大会权益登记日等涉及到基金重要事项日期的基金份额持有人名册应于发生日后十个工作日内提交。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基金管理人和基金托管人应妥善保管基金份额持有人名册，保存期限为20 年，法律法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托管协议而产生的或与托管协议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仲裁费用、律师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本协议适用中华人民共和国法律（为本协议之目的，在此不包括香港、澳门特别行政区和台湾地区法律）并从其解释。 </w:t>
      </w:r>
    </w:p>
    <w:p>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本协议双方当事人经协商一致，可以对协议进行修改。修改后的新协议，其内容不得与基金合同的规定有任何冲突。基金托管协议的变更应报中国证监会备案。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bookmarkStart w:id="206" w:name="chapter_level1_25_72_section_1_end"/>
      <w:bookmarkEnd w:id="206"/>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7" w:name="chapter_level1_26_75"/>
      <w:bookmarkStart w:id="208" w:name="_Toc207981747"/>
      <w:r>
        <w:rPr>
          <w:rFonts w:hint="eastAsia" w:ascii="宋体" w:hAnsi="宋体" w:eastAsia="宋体"/>
          <w:sz w:val="30"/>
        </w:rPr>
        <w:t>第二十一部分  对基金份额持有人的服务</w:t>
      </w:r>
      <w:bookmarkEnd w:id="207"/>
      <w:bookmarkEnd w:id="208"/>
    </w:p>
    <w:p>
      <w:pPr>
        <w:pStyle w:val="7"/>
        <w:spacing w:before="0" w:beforeAutospacing="0" w:after="0" w:afterAutospacing="0" w:line="360" w:lineRule="auto"/>
        <w:ind w:firstLine="420"/>
        <w:rPr>
          <w:sz w:val="21"/>
          <w:szCs w:val="21"/>
        </w:rPr>
      </w:pPr>
      <w:bookmarkStart w:id="209" w:name="chapter_level1_26_75_section_1"/>
      <w:bookmarkEnd w:id="20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0" w:name="chapter_level1_26_75_section_1_end"/>
      <w:bookmarkEnd w:id="210"/>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1" w:name="_Toc207981748"/>
      <w:bookmarkStart w:id="212" w:name="chapter_level1_27_3499"/>
      <w:r>
        <w:rPr>
          <w:rFonts w:hint="eastAsia" w:ascii="宋体" w:hAnsi="宋体" w:eastAsia="宋体"/>
          <w:sz w:val="30"/>
        </w:rPr>
        <w:t>第二十二部分 其他应披露的事项</w:t>
      </w:r>
      <w:bookmarkEnd w:id="211"/>
      <w:bookmarkEnd w:id="212"/>
    </w:p>
    <w:p>
      <w:pPr>
        <w:pStyle w:val="7"/>
        <w:spacing w:before="0" w:beforeAutospacing="0" w:after="0" w:afterAutospacing="0" w:line="360" w:lineRule="auto"/>
        <w:ind w:firstLine="420"/>
        <w:rPr>
          <w:sz w:val="21"/>
          <w:szCs w:val="21"/>
        </w:rPr>
      </w:pPr>
      <w:bookmarkStart w:id="213" w:name="chapter_level1_27_3499_section_1"/>
      <w:bookmarkEnd w:id="213"/>
      <w:bookmarkStart w:id="214" w:name="field_0_bsrevealinfo_1_start"/>
      <w:bookmarkEnd w:id="214"/>
      <w:r>
        <w:rPr>
          <w:rFonts w:hint="eastAsia"/>
          <w:sz w:val="21"/>
          <w:szCs w:val="21"/>
        </w:rPr>
        <w:t>（一）、2025年8月29日，我公司公告了《博时裕诚纯债债券型证券投资基金2025年中期报告》；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（二）、2025年8月20日，我公司公告了《博时裕诚纯债债券型证券投资基金分红公告》；</w:t>
      </w:r>
    </w:p>
    <w:p>
      <w:pPr>
        <w:pStyle w:val="7"/>
        <w:spacing w:before="0" w:beforeAutospacing="0" w:after="0" w:afterAutospacing="0" w:line="360" w:lineRule="auto"/>
        <w:ind w:firstLine="420"/>
        <w:rPr>
          <w:sz w:val="21"/>
          <w:szCs w:val="21"/>
        </w:rPr>
      </w:pPr>
      <w:r>
        <w:rPr>
          <w:rFonts w:hint="eastAsia"/>
          <w:sz w:val="21"/>
          <w:szCs w:val="21"/>
        </w:rPr>
        <w:t>（三）、2025年7月21日，我公司公告了《博时裕诚纯债债券型证券投资基金2025年第2季度报告》；</w:t>
      </w:r>
    </w:p>
    <w:p>
      <w:pPr>
        <w:pStyle w:val="7"/>
        <w:spacing w:before="0" w:beforeAutospacing="0" w:after="0" w:afterAutospacing="0" w:line="360" w:lineRule="auto"/>
        <w:ind w:firstLine="420"/>
        <w:rPr>
          <w:sz w:val="21"/>
          <w:szCs w:val="21"/>
        </w:rPr>
      </w:pPr>
      <w:r>
        <w:rPr>
          <w:rFonts w:hint="eastAsia"/>
          <w:sz w:val="21"/>
          <w:szCs w:val="21"/>
        </w:rPr>
        <w:t>（四）、2025年6月26日，我公司公告了《博时裕诚纯债债券型证券投资基金（博时裕诚纯债债券C）基金产品资料概要更新》、《博时裕诚纯债债券型证券投资基金（博时裕诚纯债债券A）基金产品资料概要更新》；</w:t>
      </w:r>
    </w:p>
    <w:p>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（七）、2025年4月22日，我公司公告了《博时裕诚纯债债券型证券投资基金2025年第1季度报告》；</w:t>
      </w:r>
    </w:p>
    <w:p>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（九）、2025年3月31日，我公司公告了《博时基金管理有限公司旗下公募基金通过证券公司证券交易及佣金支付情况（2024年度）》、《博时裕诚纯债债券型证券投资基金2024年年度报告》；</w:t>
      </w:r>
    </w:p>
    <w:p>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（十一）、2025年1月22日，我公司公告了《博时裕诚纯债债券型证券投资基金2024年第4季度报告》；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（十五）、2024年11月6日，我公司公告了《博时基金管理有限公司关于旗下基金持有的长期停牌股票调整估值方法的公告-20241106》；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（十六）、2024年10月25日，我公司公告了《博时裕诚纯债债券型证券投资基金2024年第3季度报告》；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（十七）、2024年9月30日，我公司公告了《博时裕诚纯债债券型证券投资基金更新招募说明书》；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（十八）、2024年9月25日，我公司公告了《博时基金管理有限公司关于旗下基金持有的长期停牌股票调整估值方法的公告-20240925》；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（十九）、2024年9月21日，我公司公告了《博时基金管理有限公司关于董事会成员</w:t>
      </w:r>
      <w:bookmarkStart w:id="215" w:name="chapter_level1_27_3499_section_1_end"/>
      <w:bookmarkEnd w:id="215"/>
      <w:r>
        <w:rPr>
          <w:rFonts w:hint="eastAsia"/>
          <w:sz w:val="21"/>
          <w:szCs w:val="21"/>
        </w:rPr>
        <w:t>变更的公告》。</w:t>
      </w:r>
      <w:bookmarkStart w:id="216" w:name="field_0_bsrevealinfo_1_end"/>
      <w:bookmarkEnd w:id="21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7" w:name="_Toc207981749"/>
      <w:bookmarkStart w:id="218" w:name="chapter_level1_28_77"/>
      <w:r>
        <w:rPr>
          <w:rFonts w:hint="eastAsia" w:ascii="宋体" w:hAnsi="宋体" w:eastAsia="宋体"/>
          <w:sz w:val="30"/>
        </w:rPr>
        <w:t>第二十三部分  招募说明书存放及查阅方式</w:t>
      </w:r>
      <w:bookmarkEnd w:id="217"/>
      <w:bookmarkEnd w:id="218"/>
    </w:p>
    <w:p>
      <w:pPr>
        <w:pStyle w:val="7"/>
        <w:spacing w:before="0" w:beforeAutospacing="0" w:after="0" w:afterAutospacing="0" w:line="360" w:lineRule="auto"/>
        <w:ind w:firstLine="420"/>
        <w:rPr>
          <w:sz w:val="21"/>
          <w:szCs w:val="21"/>
        </w:rPr>
      </w:pPr>
      <w:bookmarkStart w:id="219" w:name="chapter_level1_28_77_section_1"/>
      <w:bookmarkEnd w:id="219"/>
      <w:r>
        <w:rPr>
          <w:rFonts w:hint="eastAsia"/>
          <w:sz w:val="21"/>
          <w:szCs w:val="21"/>
        </w:rPr>
        <w:t xml:space="preserve">依法必须披露的信息发布后，基金管理人、基金托管人应当按照相关法律法规规定将信息置备于各自住所，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20" w:name="chapter_level1_28_77_section_1_end"/>
      <w:bookmarkEnd w:id="220"/>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1" w:name="_Toc207981750"/>
      <w:bookmarkStart w:id="222" w:name="chapter_level1_29_332"/>
      <w:r>
        <w:rPr>
          <w:rFonts w:hint="eastAsia" w:ascii="宋体" w:hAnsi="宋体" w:eastAsia="宋体"/>
          <w:sz w:val="30"/>
        </w:rPr>
        <w:t>第二十四部分  备查文件</w:t>
      </w:r>
      <w:bookmarkEnd w:id="221"/>
      <w:bookmarkEnd w:id="222"/>
    </w:p>
    <w:p>
      <w:pPr>
        <w:pStyle w:val="7"/>
        <w:spacing w:before="0" w:beforeAutospacing="0" w:after="0" w:afterAutospacing="0" w:line="360" w:lineRule="auto"/>
        <w:ind w:firstLine="420"/>
        <w:rPr>
          <w:sz w:val="21"/>
          <w:szCs w:val="21"/>
        </w:rPr>
      </w:pPr>
      <w:bookmarkStart w:id="223" w:name="chapter_level1_29_332_section_1"/>
      <w:bookmarkEnd w:id="223"/>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24" w:name="field_0_productfullname_13"/>
      <w:r>
        <w:rPr>
          <w:rFonts w:hint="eastAsia"/>
          <w:sz w:val="21"/>
          <w:szCs w:val="21"/>
        </w:rPr>
        <w:t>博时裕诚纯债债券型证券投资基金</w:t>
      </w:r>
      <w:bookmarkEnd w:id="224"/>
      <w:r>
        <w:rPr>
          <w:rFonts w:hint="eastAsia"/>
          <w:sz w:val="21"/>
          <w:szCs w:val="21"/>
        </w:rPr>
        <w:t xml:space="preserve">募集的文件 </w:t>
      </w:r>
    </w:p>
    <w:p>
      <w:pPr>
        <w:pStyle w:val="7"/>
        <w:spacing w:before="0" w:beforeAutospacing="0" w:after="0" w:afterAutospacing="0" w:line="360" w:lineRule="auto"/>
        <w:ind w:firstLine="420"/>
        <w:rPr>
          <w:sz w:val="21"/>
          <w:szCs w:val="21"/>
        </w:rPr>
      </w:pPr>
      <w:r>
        <w:rPr>
          <w:rFonts w:hint="eastAsia"/>
          <w:sz w:val="21"/>
          <w:szCs w:val="21"/>
        </w:rPr>
        <w:t>（二）《</w:t>
      </w:r>
      <w:bookmarkStart w:id="225" w:name="field_0_productfullname_14"/>
      <w:r>
        <w:rPr>
          <w:rFonts w:hint="eastAsia"/>
          <w:sz w:val="21"/>
          <w:szCs w:val="21"/>
        </w:rPr>
        <w:t>博时裕诚纯债债券型证券投资基金</w:t>
      </w:r>
      <w:bookmarkEnd w:id="225"/>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26" w:name="field_0_productfullname_15"/>
      <w:r>
        <w:rPr>
          <w:rFonts w:hint="eastAsia"/>
          <w:sz w:val="21"/>
          <w:szCs w:val="21"/>
        </w:rPr>
        <w:t>博时裕诚纯债债券型证券投资基金</w:t>
      </w:r>
      <w:bookmarkEnd w:id="226"/>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7" w:name="field_0_productfullname_16"/>
      <w:r>
        <w:rPr>
          <w:rFonts w:hint="eastAsia"/>
          <w:sz w:val="21"/>
          <w:szCs w:val="21"/>
        </w:rPr>
        <w:t>博时裕诚纯债债券型证券投资基金</w:t>
      </w:r>
      <w:bookmarkEnd w:id="227"/>
      <w:r>
        <w:rPr>
          <w:rFonts w:hint="eastAsia"/>
          <w:sz w:val="21"/>
          <w:szCs w:val="21"/>
        </w:rPr>
        <w:t xml:space="preserve">之法律意见书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28" w:name="field_0_managerorgfullname_8"/>
      <w:r>
        <w:rPr>
          <w:rFonts w:hint="eastAsia"/>
          <w:sz w:val="21"/>
          <w:szCs w:val="21"/>
        </w:rPr>
        <w:t>博时基金管理有限公司</w:t>
      </w:r>
      <w:bookmarkEnd w:id="228"/>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29" w:name="chapter_level1_29_332_section_1_end"/>
      <w:bookmarkEnd w:id="229"/>
      <w:bookmarkStart w:id="230" w:name="field_0_commitmenttime_1"/>
      <w:r>
        <w:rPr>
          <w:sz w:val="21"/>
          <w:szCs w:val="21"/>
        </w:rPr>
        <w:t>20</w:t>
      </w:r>
      <w:r>
        <w:rPr>
          <w:rFonts w:hint="eastAsia"/>
          <w:sz w:val="21"/>
          <w:szCs w:val="21"/>
          <w:lang w:val="en-US" w:eastAsia="zh-CN"/>
        </w:rPr>
        <w:t>26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12</w:t>
      </w:r>
      <w:r>
        <w:rPr>
          <w:sz w:val="21"/>
          <w:szCs w:val="21"/>
        </w:rPr>
        <w:t>日</w:t>
      </w:r>
      <w:bookmarkEnd w:id="230"/>
      <w:r>
        <w:rPr>
          <w:rFonts w:hint="eastAsia"/>
          <w:sz w:val="21"/>
          <w:szCs w:val="21"/>
        </w:rPr>
        <w:t xml:space="preserve">  </w:t>
      </w:r>
    </w:p>
    <w:p>
      <w:pPr>
        <w:rPr>
          <w:rFonts w:ascii="宋体" w:hAnsi="宋体" w:eastAsia="宋体"/>
        </w:rPr>
      </w:pPr>
      <w:bookmarkStart w:id="231" w:name="end"/>
      <w:bookmarkEnd w:id="23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128</w:t>
    </w:r>
    <w:r>
      <w:fldChar w:fldCharType="end"/>
    </w:r>
    <w:r>
      <w:rPr>
        <w:rFonts w:hint="eastAsia"/>
      </w:rPr>
      <w:t>页 共</w:t>
    </w:r>
    <w:r>
      <w:fldChar w:fldCharType="begin"/>
    </w:r>
    <w:r>
      <w:instrText xml:space="preserve"> NumPages \* MERGEFORMAT </w:instrText>
    </w:r>
    <w:r>
      <w:fldChar w:fldCharType="separate"/>
    </w:r>
    <w:r>
      <w:t>128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博时裕诚纯债债券型证券投资基金更新招募说明书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936"/>
    <w:rsid w:val="003A364D"/>
    <w:rsid w:val="00497936"/>
    <w:rsid w:val="0075678D"/>
    <w:rsid w:val="1F2D26F0"/>
    <w:rsid w:val="459545CD"/>
    <w:rsid w:val="6DB82A73"/>
    <w:rsid w:val="74521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uiPriority w:val="39"/>
    <w:pPr>
      <w:ind w:left="420" w:leftChars="200"/>
    </w:p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uiPriority w:val="99"/>
    <w:rPr>
      <w:color w:val="0000FF"/>
      <w:u w:val="single"/>
    </w:rPr>
  </w:style>
  <w:style w:type="character" w:customStyle="1" w:styleId="13">
    <w:name w:val="标题 2 Char"/>
    <w:basedOn w:val="10"/>
    <w:link w:val="2"/>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128</Pages>
  <Words>14510</Words>
  <Characters>82712</Characters>
  <Lines>689</Lines>
  <Paragraphs>194</Paragraphs>
  <TotalTime>1</TotalTime>
  <ScaleCrop>false</ScaleCrop>
  <LinksUpToDate>false</LinksUpToDate>
  <CharactersWithSpaces>97028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2025-09-05T08:21:00Z</dcterms:created>
  <dc:creator>BSKMadminDev</dc:creator>
  <cp:lastModifiedBy>huangzw</cp:lastModifiedBy>
  <dcterms:modified xsi:type="dcterms:W3CDTF">2026-05-11T07:19:46Z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38C7C37D57474CD5BF9DED0B9887EDCC</vt:lpwstr>
  </property>
</Properties>
</file>