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125BC">
      <w:pPr>
        <w:spacing w:line="360" w:lineRule="auto"/>
        <w:rPr>
          <w:rFonts w:hint="eastAsia"/>
          <w:sz w:val="24"/>
        </w:rPr>
      </w:pPr>
    </w:p>
    <w:p w14:paraId="47BC6973">
      <w:pPr>
        <w:spacing w:line="360" w:lineRule="auto"/>
        <w:rPr>
          <w:sz w:val="24"/>
        </w:rPr>
      </w:pPr>
    </w:p>
    <w:p w14:paraId="73A8551E">
      <w:pPr>
        <w:tabs>
          <w:tab w:val="left" w:pos="7071"/>
        </w:tabs>
        <w:spacing w:line="360" w:lineRule="auto"/>
        <w:ind w:left="8880" w:hanging="8880" w:hangingChars="3700"/>
        <w:rPr>
          <w:rFonts w:hint="eastAsia"/>
          <w:sz w:val="24"/>
        </w:rPr>
      </w:pPr>
      <w:r>
        <w:rPr>
          <w:rFonts w:hint="eastAsia"/>
          <w:sz w:val="24"/>
        </w:rPr>
        <w:tab/>
      </w:r>
    </w:p>
    <w:p w14:paraId="309814CA">
      <w:pPr>
        <w:spacing w:line="360" w:lineRule="auto"/>
        <w:ind w:left="8880" w:hanging="8880" w:hangingChars="3700"/>
        <w:rPr>
          <w:sz w:val="24"/>
        </w:rPr>
      </w:pPr>
    </w:p>
    <w:p w14:paraId="67B91D6A">
      <w:pPr>
        <w:spacing w:line="360" w:lineRule="auto"/>
        <w:ind w:left="8880" w:hanging="8880" w:hangingChars="3700"/>
        <w:rPr>
          <w:sz w:val="24"/>
        </w:rPr>
      </w:pPr>
    </w:p>
    <w:p w14:paraId="698ECA31">
      <w:pPr>
        <w:spacing w:line="360" w:lineRule="auto"/>
        <w:ind w:left="8880" w:hanging="8880" w:hangingChars="3700"/>
        <w:rPr>
          <w:sz w:val="24"/>
        </w:rPr>
      </w:pPr>
    </w:p>
    <w:p w14:paraId="54918816">
      <w:pPr>
        <w:spacing w:line="360" w:lineRule="auto"/>
        <w:ind w:left="8880" w:hanging="8880" w:hangingChars="3700"/>
        <w:rPr>
          <w:sz w:val="24"/>
        </w:rPr>
      </w:pPr>
    </w:p>
    <w:p w14:paraId="25A2E2DA">
      <w:pPr>
        <w:spacing w:before="120" w:beforeLines="50" w:after="120" w:afterLines="50" w:line="360" w:lineRule="auto"/>
        <w:jc w:val="center"/>
        <w:rPr>
          <w:rFonts w:hint="eastAsia"/>
          <w:spacing w:val="-20"/>
          <w:kern w:val="0"/>
          <w:sz w:val="52"/>
          <w:szCs w:val="52"/>
        </w:rPr>
      </w:pPr>
      <w:r>
        <w:rPr>
          <w:rFonts w:hint="eastAsia"/>
          <w:spacing w:val="-20"/>
          <w:kern w:val="0"/>
          <w:sz w:val="52"/>
          <w:szCs w:val="52"/>
        </w:rPr>
        <w:t>博时安慧臻选3个月持有期混合型基金中基金（FOF）招募说明书</w:t>
      </w:r>
    </w:p>
    <w:p w14:paraId="53E5017A">
      <w:pPr>
        <w:pStyle w:val="17"/>
        <w:spacing w:line="360" w:lineRule="auto"/>
        <w:rPr>
          <w:rFonts w:ascii="Times New Roman" w:hAnsi="Times New Roman" w:cs="宋体"/>
          <w:sz w:val="24"/>
          <w:szCs w:val="24"/>
        </w:rPr>
      </w:pPr>
    </w:p>
    <w:p w14:paraId="3A56768C">
      <w:pPr>
        <w:pStyle w:val="17"/>
        <w:spacing w:line="360" w:lineRule="auto"/>
        <w:rPr>
          <w:rFonts w:ascii="Times New Roman" w:hAnsi="Times New Roman"/>
        </w:rPr>
      </w:pPr>
    </w:p>
    <w:p w14:paraId="3516AB5A">
      <w:pPr>
        <w:pStyle w:val="87"/>
        <w:ind w:left="7770" w:hanging="7770"/>
        <w:rPr>
          <w:rFonts w:ascii="Times New Roman" w:hAnsi="Times New Roman" w:cs="Times New Roman"/>
          <w:sz w:val="21"/>
        </w:rPr>
      </w:pPr>
    </w:p>
    <w:p w14:paraId="0EC91A9C">
      <w:pPr>
        <w:pStyle w:val="87"/>
        <w:ind w:left="7770" w:hanging="7770"/>
        <w:rPr>
          <w:rFonts w:hint="eastAsia" w:ascii="Times New Roman" w:hAnsi="Times New Roman" w:cs="Times New Roman"/>
          <w:sz w:val="21"/>
        </w:rPr>
      </w:pPr>
    </w:p>
    <w:p w14:paraId="26A03E2D">
      <w:pPr>
        <w:pStyle w:val="87"/>
        <w:ind w:left="7770" w:hanging="7770"/>
        <w:rPr>
          <w:rFonts w:ascii="Times New Roman" w:hAnsi="Times New Roman" w:cs="Times New Roman"/>
          <w:sz w:val="21"/>
        </w:rPr>
      </w:pPr>
    </w:p>
    <w:p w14:paraId="4D10719B">
      <w:pPr>
        <w:pStyle w:val="87"/>
        <w:ind w:left="7770" w:hanging="7770"/>
        <w:rPr>
          <w:rFonts w:ascii="Times New Roman" w:hAnsi="Times New Roman" w:cs="Times New Roman"/>
          <w:sz w:val="21"/>
        </w:rPr>
      </w:pPr>
    </w:p>
    <w:p w14:paraId="0CCFE4EE">
      <w:pPr>
        <w:pStyle w:val="87"/>
        <w:ind w:left="7770" w:hanging="7770"/>
        <w:rPr>
          <w:rFonts w:ascii="Times New Roman" w:hAnsi="Times New Roman" w:cs="Times New Roman"/>
          <w:sz w:val="21"/>
        </w:rPr>
      </w:pPr>
    </w:p>
    <w:p w14:paraId="4C73E41C">
      <w:pPr>
        <w:pStyle w:val="87"/>
        <w:ind w:left="7770" w:hanging="7770"/>
        <w:rPr>
          <w:rFonts w:ascii="Times New Roman" w:hAnsi="Times New Roman" w:cs="Times New Roman"/>
          <w:sz w:val="21"/>
        </w:rPr>
      </w:pPr>
    </w:p>
    <w:p w14:paraId="0EEE5499">
      <w:pPr>
        <w:pStyle w:val="87"/>
        <w:ind w:left="7770" w:hanging="7770"/>
        <w:rPr>
          <w:rFonts w:ascii="Times New Roman" w:hAnsi="Times New Roman" w:cs="Times New Roman"/>
          <w:sz w:val="21"/>
        </w:rPr>
      </w:pPr>
    </w:p>
    <w:p w14:paraId="09A0F882">
      <w:pPr>
        <w:pStyle w:val="87"/>
        <w:ind w:left="7770" w:hanging="7770"/>
        <w:rPr>
          <w:rFonts w:ascii="Times New Roman" w:hAnsi="Times New Roman" w:cs="Times New Roman"/>
          <w:sz w:val="21"/>
        </w:rPr>
      </w:pPr>
    </w:p>
    <w:p w14:paraId="1C27596D">
      <w:pPr>
        <w:pStyle w:val="87"/>
        <w:ind w:left="7770" w:hanging="7770"/>
        <w:rPr>
          <w:rFonts w:ascii="Times New Roman" w:hAnsi="Times New Roman" w:cs="Times New Roman"/>
          <w:sz w:val="21"/>
        </w:rPr>
      </w:pPr>
    </w:p>
    <w:p w14:paraId="0E5E8FFA">
      <w:pPr>
        <w:pStyle w:val="87"/>
        <w:ind w:left="7770" w:hanging="7770"/>
        <w:rPr>
          <w:rFonts w:ascii="Times New Roman" w:hAnsi="Times New Roman" w:cs="Times New Roman"/>
          <w:sz w:val="21"/>
        </w:rPr>
      </w:pPr>
    </w:p>
    <w:p w14:paraId="2288F24F">
      <w:pPr>
        <w:pStyle w:val="87"/>
        <w:ind w:left="7770" w:hanging="7770"/>
        <w:rPr>
          <w:rFonts w:ascii="Times New Roman" w:hAnsi="Times New Roman" w:cs="Times New Roman"/>
          <w:sz w:val="21"/>
        </w:rPr>
      </w:pPr>
    </w:p>
    <w:p w14:paraId="19DCB94E">
      <w:pPr>
        <w:pStyle w:val="87"/>
        <w:rPr>
          <w:rFonts w:hint="eastAsia" w:ascii="Times New Roman" w:hAnsi="Times New Roman" w:cs="Times New Roman"/>
          <w:szCs w:val="24"/>
        </w:rPr>
      </w:pPr>
    </w:p>
    <w:p w14:paraId="2A6B05DD">
      <w:pPr>
        <w:pStyle w:val="87"/>
        <w:ind w:left="7770" w:hanging="7770"/>
        <w:rPr>
          <w:rFonts w:ascii="Times New Roman" w:hAnsi="Times New Roman" w:cs="Times New Roman"/>
          <w:sz w:val="21"/>
        </w:rPr>
      </w:pPr>
    </w:p>
    <w:p w14:paraId="54A33546">
      <w:pPr>
        <w:pStyle w:val="87"/>
        <w:ind w:left="7770" w:hanging="7770"/>
        <w:rPr>
          <w:rFonts w:ascii="Times New Roman" w:hAnsi="Times New Roman" w:cs="Times New Roman"/>
          <w:sz w:val="21"/>
        </w:rPr>
      </w:pPr>
    </w:p>
    <w:p w14:paraId="17C2E350">
      <w:pPr>
        <w:pStyle w:val="87"/>
        <w:rPr>
          <w:rFonts w:ascii="Times New Roman" w:hAnsi="Times New Roman" w:cs="Times New Roman"/>
          <w:szCs w:val="24"/>
        </w:rPr>
      </w:pPr>
    </w:p>
    <w:p w14:paraId="6B66C9B4">
      <w:pPr>
        <w:adjustRightInd/>
        <w:spacing w:line="360" w:lineRule="auto"/>
        <w:jc w:val="center"/>
        <w:rPr>
          <w:sz w:val="32"/>
          <w:szCs w:val="32"/>
        </w:rPr>
      </w:pPr>
      <w:r>
        <w:rPr>
          <w:rFonts w:hint="eastAsia"/>
          <w:sz w:val="32"/>
          <w:szCs w:val="32"/>
        </w:rPr>
        <w:t>基金管理人：博时基金管理有限公司</w:t>
      </w:r>
    </w:p>
    <w:p w14:paraId="1269C280">
      <w:pPr>
        <w:adjustRightInd/>
        <w:spacing w:line="360" w:lineRule="auto"/>
        <w:jc w:val="center"/>
        <w:rPr>
          <w:rFonts w:hint="eastAsia"/>
          <w:sz w:val="32"/>
          <w:szCs w:val="32"/>
        </w:rPr>
      </w:pPr>
      <w:r>
        <w:rPr>
          <w:rFonts w:hint="eastAsia"/>
          <w:sz w:val="32"/>
          <w:szCs w:val="32"/>
        </w:rPr>
        <w:t>基金托管人：招商银行股份有限公司</w:t>
      </w:r>
    </w:p>
    <w:p w14:paraId="26313AB4">
      <w:pPr>
        <w:widowControl/>
        <w:adjustRightInd/>
        <w:spacing w:line="360" w:lineRule="auto"/>
        <w:jc w:val="left"/>
        <w:textAlignment w:val="auto"/>
        <w:rPr>
          <w:bCs/>
          <w:sz w:val="36"/>
          <w:szCs w:val="36"/>
        </w:rPr>
      </w:pPr>
    </w:p>
    <w:p w14:paraId="195C252E">
      <w:pPr>
        <w:spacing w:after="240" w:line="360" w:lineRule="auto"/>
        <w:jc w:val="center"/>
        <w:rPr>
          <w:bCs/>
          <w:sz w:val="36"/>
          <w:szCs w:val="36"/>
        </w:rPr>
      </w:pPr>
    </w:p>
    <w:p w14:paraId="3A49FAA0">
      <w:pPr>
        <w:spacing w:after="240" w:line="360" w:lineRule="auto"/>
        <w:jc w:val="center"/>
        <w:rPr>
          <w:bCs/>
          <w:sz w:val="36"/>
          <w:szCs w:val="36"/>
        </w:rPr>
        <w:sectPr>
          <w:pgSz w:w="11906" w:h="16838"/>
          <w:pgMar w:top="1440" w:right="1797" w:bottom="1440" w:left="1797" w:header="851" w:footer="992" w:gutter="0"/>
          <w:pgNumType w:start="0" w:chapStyle="1"/>
          <w:cols w:space="720" w:num="1"/>
          <w:titlePg/>
          <w:docGrid w:linePitch="312" w:charSpace="0"/>
        </w:sectPr>
      </w:pPr>
    </w:p>
    <w:p w14:paraId="30B042BC">
      <w:pPr>
        <w:spacing w:after="240" w:line="360" w:lineRule="auto"/>
        <w:jc w:val="center"/>
        <w:rPr>
          <w:rFonts w:ascii="Times New Roman" w:hAnsi="Times New Roman"/>
        </w:rPr>
      </w:pPr>
      <w:r>
        <w:rPr>
          <w:b/>
          <w:sz w:val="28"/>
          <w:szCs w:val="28"/>
        </w:rPr>
        <w:t>重要提示</w:t>
      </w:r>
    </w:p>
    <w:p w14:paraId="21649C21">
      <w:pPr>
        <w:spacing w:line="360" w:lineRule="auto"/>
        <w:ind w:firstLine="420"/>
      </w:pPr>
      <w:r>
        <w:t>本基金经</w:t>
      </w:r>
      <w:r>
        <w:rPr>
          <w:rFonts w:hint="eastAsia"/>
        </w:rPr>
        <w:t>2026</w:t>
      </w:r>
      <w:r>
        <w:t>年</w:t>
      </w:r>
      <w:r>
        <w:rPr>
          <w:rFonts w:hint="eastAsia"/>
          <w:lang w:val="en-US" w:eastAsia="zh-CN"/>
        </w:rPr>
        <w:t>6</w:t>
      </w:r>
      <w:r>
        <w:t>月</w:t>
      </w:r>
      <w:r>
        <w:rPr>
          <w:rFonts w:hint="eastAsia"/>
          <w:lang w:val="en-US" w:eastAsia="zh-CN"/>
        </w:rPr>
        <w:t>19</w:t>
      </w:r>
      <w:r>
        <w:t>日中国证券监督管理委员会下发的证监许可[20</w:t>
      </w:r>
      <w:r>
        <w:rPr>
          <w:rFonts w:hint="eastAsia"/>
          <w:lang w:val="en-US" w:eastAsia="zh-CN"/>
        </w:rPr>
        <w:t>26</w:t>
      </w:r>
      <w:r>
        <w:t>]</w:t>
      </w:r>
      <w:r>
        <w:rPr>
          <w:rFonts w:hint="eastAsia"/>
          <w:lang w:val="en-US" w:eastAsia="zh-CN"/>
        </w:rPr>
        <w:t>1478</w:t>
      </w:r>
      <w:r>
        <w:t>号文</w:t>
      </w:r>
      <w:r>
        <w:rPr>
          <w:rFonts w:hint="eastAsia"/>
        </w:rPr>
        <w:t>准予注册</w:t>
      </w:r>
      <w:r>
        <w:t>。</w:t>
      </w:r>
    </w:p>
    <w:p w14:paraId="776CB693">
      <w:pPr>
        <w:spacing w:line="360" w:lineRule="auto"/>
        <w:ind w:firstLine="420"/>
      </w:pPr>
      <w:r>
        <w:t>基金管理人保证本招募说明书的内容真实、准确、完整。</w:t>
      </w:r>
      <w:r>
        <w:rPr>
          <w:rFonts w:hint="eastAsia"/>
        </w:rPr>
        <w:t>本招募说明书经中国证监会注册，但</w:t>
      </w:r>
      <w:r>
        <w:t>中国证监会对本基金募集的</w:t>
      </w:r>
      <w:r>
        <w:rPr>
          <w:rFonts w:hint="eastAsia"/>
        </w:rPr>
        <w:t>注册</w:t>
      </w:r>
      <w:r>
        <w:t>，并不表明其对本基金的价值和收益作出实质性判断或保证，也不表明投资于本基金没有风险。</w:t>
      </w:r>
      <w:r>
        <w:rPr>
          <w:rFonts w:hint="eastAsia"/>
        </w:rPr>
        <w:t>中国证监会不对基金的投资价值及市场前景等作出实质性判断或者保证。</w:t>
      </w:r>
    </w:p>
    <w:p w14:paraId="4AEE1DD4">
      <w:pPr>
        <w:spacing w:line="360" w:lineRule="auto"/>
        <w:ind w:firstLine="420"/>
        <w:rPr>
          <w:rFonts w:hint="eastAsia"/>
          <w:kern w:val="0"/>
        </w:rPr>
      </w:pPr>
      <w:r>
        <w:t>本基金投资于证券市场，基金净值会因为证券市场波动等因素产生波动，投资人在投资本基金前，应全面了解本基金的产品特性，充分考虑自身的风险承受能力，理性判断市场，并承担基金投资中出现的各类风险，包括但不限于：</w:t>
      </w:r>
      <w:r>
        <w:rPr>
          <w:rFonts w:hint="eastAsia"/>
          <w:kern w:val="0"/>
          <w:szCs w:val="21"/>
        </w:rPr>
        <w:t>市场风险</w:t>
      </w:r>
      <w:r>
        <w:rPr>
          <w:rFonts w:hint="eastAsia"/>
        </w:rPr>
        <w:t>、</w:t>
      </w:r>
      <w:r>
        <w:rPr>
          <w:rFonts w:hint="eastAsia"/>
          <w:kern w:val="0"/>
          <w:szCs w:val="21"/>
        </w:rPr>
        <w:t>信用风险</w:t>
      </w:r>
      <w:r>
        <w:rPr>
          <w:rFonts w:hint="eastAsia"/>
        </w:rPr>
        <w:t>、</w:t>
      </w:r>
      <w:r>
        <w:rPr>
          <w:rFonts w:hint="eastAsia"/>
          <w:kern w:val="0"/>
          <w:szCs w:val="21"/>
        </w:rPr>
        <w:t>管理风险、流动性风险、操作和技术风险、合规性风险、本基金特有的风险及</w:t>
      </w:r>
      <w:r>
        <w:rPr>
          <w:rFonts w:hint="eastAsia"/>
        </w:rPr>
        <w:t>其他风险</w:t>
      </w:r>
      <w:r>
        <w:rPr>
          <w:rFonts w:hint="eastAsia"/>
          <w:kern w:val="0"/>
        </w:rPr>
        <w:t>等。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p>
    <w:p w14:paraId="770D8EB7">
      <w:pPr>
        <w:spacing w:line="360" w:lineRule="auto"/>
        <w:ind w:firstLine="420"/>
        <w:rPr>
          <w:bCs/>
        </w:rPr>
      </w:pPr>
      <w:r>
        <w:rPr>
          <w:rFonts w:hint="eastAsia"/>
          <w:bCs/>
        </w:rPr>
        <w:t>本基金为混合型基金中基金，其预期收益和预期风险高于货币市场基金、货币型基金中基金、债券型基金和债券型基金中基金，低于股票型基金、股票型基金中基金。本基金可通过港股通机制投资港股通标的证券，需承担港股通机制下因交易规则等差异带来的特有风险。</w:t>
      </w:r>
    </w:p>
    <w:p w14:paraId="52C8C1EF">
      <w:pPr>
        <w:spacing w:line="360" w:lineRule="auto"/>
        <w:ind w:firstLine="420"/>
        <w:rPr>
          <w:rFonts w:hint="eastAsia"/>
        </w:rPr>
      </w:pPr>
      <w:r>
        <w:rPr>
          <w:rFonts w:hint="eastAsia"/>
          <w:bCs/>
        </w:rPr>
        <w:t>本基金</w:t>
      </w:r>
      <w:r>
        <w:rPr>
          <w:rFonts w:hint="eastAsia"/>
        </w:rPr>
        <w:t>主要投资于中国证监会依法核准或注册的公开募集证券投资基金（包含香港互认基金、QDII基金、公开募集不动产投资信托基金、商品基金，但具有复杂、衍生品性质的基金份额除外），基金净值会因为持有基金份额净值的变动而产生波动，持有基金的相关风险会直接或间接成为本基金的风险。</w:t>
      </w:r>
    </w:p>
    <w:p w14:paraId="67130450">
      <w:pPr>
        <w:spacing w:line="360" w:lineRule="auto"/>
        <w:ind w:firstLine="420"/>
        <w:rPr>
          <w:rFonts w:hint="eastAsia"/>
        </w:rPr>
      </w:pPr>
      <w:r>
        <w:rPr>
          <w:rFonts w:hint="eastAsia"/>
        </w:rPr>
        <w:t>本基金与普通基金不同，本基金采取基金中基金形式运作，申购和赎回确认时间晚于普通基金。不同于普通基金的T+1日内的交易有效性确认，本基金登记机构在T+3日内对该交易的有效性进行确认。正常情况下，不同于普通基金的T＋7日(包括该日)内支付赎回款项，本基金基金管理人将在T＋10日(包括该日)内支付赎回款项。</w:t>
      </w:r>
    </w:p>
    <w:p w14:paraId="5E8D6147">
      <w:pPr>
        <w:spacing w:line="360" w:lineRule="auto"/>
        <w:ind w:firstLine="420"/>
        <w:rPr>
          <w:rFonts w:hint="eastAsia"/>
        </w:rPr>
      </w:pPr>
      <w:bookmarkStart w:id="0" w:name="_Hlk117602797"/>
      <w:r>
        <w:rPr>
          <w:rFonts w:hint="eastAsia"/>
        </w:rPr>
        <w:t>本基金对每份基金份额设置3个月的最短持有期。在基金份额的最短持有期到期日之前（不含最短持有期到期日当日），投资者不能提出赎回申请，最短持有期期满后（含最短持有期到期日当日）投资者可以申请赎回。因此，对于基金份额持有人而言，存在投资本基金后，3个月内无法赎回的风险。</w:t>
      </w:r>
      <w:bookmarkEnd w:id="0"/>
    </w:p>
    <w:p w14:paraId="7BAA87AE">
      <w:pPr>
        <w:spacing w:line="360" w:lineRule="auto"/>
        <w:ind w:firstLine="420"/>
        <w:rPr>
          <w:rFonts w:hint="eastAsia"/>
        </w:rPr>
      </w:pPr>
      <w:r>
        <w:rPr>
          <w:rFonts w:hint="eastAsia"/>
        </w:rPr>
        <w:t>本基金基金资产若投资于港股通标的证券，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通标的证券不能及时卖出，可能带来一定的流动性风险）</w:t>
      </w:r>
      <w:r>
        <w:t>、港股通ETF价格较大波动的风险（因跟踪标的指数成份证券大幅波动、流动性不佳、受有关场外结构化产品影响、交易异常情形等原因而引起价格较大波动）</w:t>
      </w:r>
      <w:r>
        <w:rPr>
          <w:rFonts w:hint="eastAsia"/>
        </w:rPr>
        <w:t>等。本基金可根据投资策略需要或不同配置地市场环境的变化，选择将部分基金资产投资于港股通标的证券或选择不将基金资产投资于港股通标的证券，基金资产并非必然投资港股通标的证券。</w:t>
      </w:r>
    </w:p>
    <w:p w14:paraId="27B7EE5F">
      <w:pPr>
        <w:spacing w:line="360" w:lineRule="auto"/>
        <w:ind w:firstLine="420"/>
      </w:pPr>
      <w:r>
        <w:rPr>
          <w:rFonts w:hint="eastAsia"/>
        </w:rPr>
        <w:t>当本基金持有特定资产且存在或潜在大额赎回申请时，基金管理人履行相应程序后，可以启用侧袋机制。侧袋机制实施期间，基金管理人将对基金简称进行特殊标识，投资者不得办理侧袋账户份额的申购赎回等业务。请基金份额持有人仔细阅读本招募说明书中相关内容并关注本基金启用侧袋机制时的特定风险。</w:t>
      </w:r>
    </w:p>
    <w:p w14:paraId="31F3A1C7">
      <w:pPr>
        <w:spacing w:line="360" w:lineRule="auto"/>
        <w:ind w:firstLine="420"/>
        <w:rPr>
          <w:rFonts w:hint="eastAsia"/>
        </w:rPr>
      </w:pPr>
      <w:r>
        <w:rPr>
          <w:rFonts w:hint="eastAsia"/>
        </w:rPr>
        <w:t>本基金投资范围包括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10F0D40D">
      <w:pPr>
        <w:spacing w:line="360" w:lineRule="auto"/>
        <w:ind w:firstLine="420"/>
      </w:pPr>
      <w:r>
        <w:rPr>
          <w:rFonts w:hint="eastAsia"/>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3C36141">
      <w:pPr>
        <w:spacing w:line="360" w:lineRule="auto"/>
        <w:ind w:firstLine="420"/>
        <w:rPr>
          <w:rFonts w:hint="eastAsia"/>
        </w:rPr>
      </w:pPr>
      <w:r>
        <w:rPr>
          <w:rFonts w:hint="eastAsia"/>
        </w:rPr>
        <w:t>本基金单一投资者持有基金份额数不得达到或超过基金份额总数的50%，但在基金运作过程中因基金份额赎回等情形导致被动达到或超过50%的除外。法律法规、监管机构另有规定的，从其规定。</w:t>
      </w:r>
    </w:p>
    <w:p w14:paraId="23EB0DC8">
      <w:pPr>
        <w:spacing w:line="360" w:lineRule="auto"/>
        <w:ind w:firstLine="420"/>
      </w:pPr>
      <w:r>
        <w:t>基金的过往业绩并不预示其未来表现，基金管理人管理的其他基金的业绩并不构成对本基金表现的保证。</w:t>
      </w:r>
    </w:p>
    <w:p w14:paraId="52286C8F">
      <w:pPr>
        <w:spacing w:line="360" w:lineRule="auto"/>
        <w:ind w:firstLine="420"/>
        <w:rPr>
          <w:rFonts w:hint="eastAsia"/>
        </w:rPr>
      </w:pPr>
      <w:r>
        <w:t>基金管理人依照恪尽职守、诚实信用、谨慎勤勉的原则管理和运用基金财产，但不保证基金一定盈利，也不保证最低收益。基金管理人提醒投资人基金投资的</w:t>
      </w:r>
      <w:r>
        <w:rPr>
          <w:rFonts w:hint="eastAsia"/>
        </w:rPr>
        <w:t>“</w:t>
      </w:r>
      <w:r>
        <w:t>买者自负</w:t>
      </w:r>
      <w:r>
        <w:rPr>
          <w:rFonts w:hint="eastAsia"/>
        </w:rPr>
        <w:t>”</w:t>
      </w:r>
      <w:r>
        <w:t>原则，在投资人作出投资决策后，基金运营状况与基金净值变化引致的投资风险，由投资人自行承担。投资有风险，投资人在投资本基金前应认真阅读本基金的招募说明书</w:t>
      </w:r>
      <w:r>
        <w:rPr>
          <w:rFonts w:hint="eastAsia"/>
        </w:rPr>
        <w:t>、</w:t>
      </w:r>
      <w:r>
        <w:t>基金合同</w:t>
      </w:r>
      <w:r>
        <w:rPr>
          <w:rFonts w:hint="eastAsia"/>
        </w:rPr>
        <w:t>和产品资料概要等信息披露文件，自主判断基金的投资价值，自主做出投资决策，自行承担投资风险</w:t>
      </w:r>
      <w:r>
        <w:t>。</w:t>
      </w:r>
    </w:p>
    <w:p w14:paraId="6B55C2CE">
      <w:pPr>
        <w:spacing w:before="72" w:beforeLines="30" w:after="72" w:afterLines="30" w:line="360" w:lineRule="auto"/>
        <w:jc w:val="both"/>
        <w:rPr>
          <w:b/>
          <w:sz w:val="28"/>
          <w:szCs w:val="28"/>
        </w:rPr>
        <w:sectPr>
          <w:headerReference r:id="rId5" w:type="default"/>
          <w:footerReference r:id="rId6" w:type="default"/>
          <w:pgSz w:w="11906" w:h="16838"/>
          <w:pgMar w:top="1440" w:right="1797" w:bottom="1440" w:left="1797" w:header="851" w:footer="992" w:gutter="0"/>
          <w:pgNumType w:start="1" w:chapStyle="1"/>
          <w:cols w:space="720" w:num="1"/>
          <w:docGrid w:linePitch="312" w:charSpace="0"/>
        </w:sectPr>
      </w:pPr>
    </w:p>
    <w:p w14:paraId="3BAA7985">
      <w:pPr>
        <w:spacing w:before="72" w:beforeLines="30" w:after="72" w:afterLines="30" w:line="360" w:lineRule="auto"/>
        <w:jc w:val="center"/>
        <w:rPr>
          <w:b/>
          <w:sz w:val="28"/>
          <w:szCs w:val="28"/>
        </w:rPr>
      </w:pPr>
      <w:r>
        <w:rPr>
          <w:b/>
          <w:sz w:val="28"/>
          <w:szCs w:val="28"/>
        </w:rPr>
        <w:t>目   录</w:t>
      </w:r>
    </w:p>
    <w:p w14:paraId="65204B8E">
      <w:pPr>
        <w:pStyle w:val="22"/>
        <w:spacing w:line="360" w:lineRule="auto"/>
        <w:rPr>
          <w:rFonts w:ascii="等线" w:hAnsi="等线" w:eastAsia="等线"/>
          <w:b w:val="0"/>
          <w:kern w:val="2"/>
          <w:szCs w:val="22"/>
        </w:rPr>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r>
        <w:fldChar w:fldCharType="begin"/>
      </w:r>
      <w:r>
        <w:rPr>
          <w:rStyle w:val="34"/>
        </w:rPr>
        <w:instrText xml:space="preserve"> </w:instrText>
      </w:r>
      <w:r>
        <w:instrText xml:space="preserve">HYPERLINK \l "_Toc48231668"</w:instrText>
      </w:r>
      <w:r>
        <w:rPr>
          <w:rStyle w:val="34"/>
        </w:rPr>
        <w:instrText xml:space="preserve"> </w:instrText>
      </w:r>
      <w:r>
        <w:fldChar w:fldCharType="separate"/>
      </w:r>
      <w:r>
        <w:rPr>
          <w:rStyle w:val="34"/>
        </w:rPr>
        <w:t>第一部分 绪言</w:t>
      </w:r>
      <w:r>
        <w:tab/>
      </w:r>
      <w:r>
        <w:t>1-</w:t>
      </w:r>
      <w:r>
        <w:fldChar w:fldCharType="begin"/>
      </w:r>
      <w:r>
        <w:instrText xml:space="preserve"> PAGEREF _Toc48231668 \h </w:instrText>
      </w:r>
      <w:r>
        <w:fldChar w:fldCharType="separate"/>
      </w:r>
      <w:r>
        <w:t>1</w:t>
      </w:r>
      <w:r>
        <w:fldChar w:fldCharType="end"/>
      </w:r>
      <w:r>
        <w:fldChar w:fldCharType="end"/>
      </w:r>
    </w:p>
    <w:p w14:paraId="03F12115">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"_Toc48231669"</w:instrText>
      </w:r>
      <w:r>
        <w:rPr>
          <w:rStyle w:val="34"/>
        </w:rPr>
        <w:instrText xml:space="preserve"> </w:instrText>
      </w:r>
      <w:r>
        <w:fldChar w:fldCharType="separate"/>
      </w:r>
      <w:r>
        <w:rPr>
          <w:rStyle w:val="34"/>
        </w:rPr>
        <w:t>第二部分 释义</w:t>
      </w:r>
      <w:r>
        <w:tab/>
      </w:r>
      <w:r>
        <w:t>2-</w:t>
      </w:r>
      <w:r>
        <w:fldChar w:fldCharType="begin"/>
      </w:r>
      <w:r>
        <w:instrText xml:space="preserve"> PAGEREF _Toc48231669 \h </w:instrText>
      </w:r>
      <w:r>
        <w:fldChar w:fldCharType="separate"/>
      </w:r>
      <w:r>
        <w:t>1</w:t>
      </w:r>
      <w:r>
        <w:fldChar w:fldCharType="end"/>
      </w:r>
      <w:r>
        <w:fldChar w:fldCharType="end"/>
      </w:r>
    </w:p>
    <w:p w14:paraId="797AC6C5">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"_Toc48231670"</w:instrText>
      </w:r>
      <w:r>
        <w:rPr>
          <w:rStyle w:val="34"/>
        </w:rPr>
        <w:instrText xml:space="preserve"> </w:instrText>
      </w:r>
      <w:r>
        <w:fldChar w:fldCharType="separate"/>
      </w:r>
      <w:r>
        <w:rPr>
          <w:rStyle w:val="34"/>
        </w:rPr>
        <w:t>第三部分 基金管理人</w:t>
      </w:r>
      <w:r>
        <w:tab/>
      </w:r>
      <w:r>
        <w:t>3-</w:t>
      </w:r>
      <w:r>
        <w:fldChar w:fldCharType="begin"/>
      </w:r>
      <w:r>
        <w:instrText xml:space="preserve"> PAGEREF _Toc48231670 \h </w:instrText>
      </w:r>
      <w:r>
        <w:fldChar w:fldCharType="separate"/>
      </w:r>
      <w:r>
        <w:t>1</w:t>
      </w:r>
      <w:r>
        <w:fldChar w:fldCharType="end"/>
      </w:r>
      <w:r>
        <w:fldChar w:fldCharType="end"/>
      </w:r>
    </w:p>
    <w:p w14:paraId="28C76841">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"_Toc48231671"</w:instrText>
      </w:r>
      <w:r>
        <w:rPr>
          <w:rStyle w:val="34"/>
        </w:rPr>
        <w:instrText xml:space="preserve"> </w:instrText>
      </w:r>
      <w:r>
        <w:fldChar w:fldCharType="separate"/>
      </w:r>
      <w:r>
        <w:rPr>
          <w:rStyle w:val="34"/>
        </w:rPr>
        <w:t>第四部分 基金托管人</w:t>
      </w:r>
      <w:r>
        <w:tab/>
      </w:r>
      <w:r>
        <w:t>4</w:t>
      </w:r>
      <w:bookmarkStart w:id="1" w:name="_Hlt48231693"/>
      <w:bookmarkEnd w:id="1"/>
      <w:bookmarkStart w:id="2" w:name="_Hlt48231692"/>
      <w:bookmarkEnd w:id="2"/>
      <w:r>
        <w:t>-</w:t>
      </w:r>
      <w:r>
        <w:fldChar w:fldCharType="begin"/>
      </w:r>
      <w:r>
        <w:instrText xml:space="preserve"> PAGEREF _Toc48231671 \h </w:instrText>
      </w:r>
      <w:r>
        <w:fldChar w:fldCharType="separate"/>
      </w:r>
      <w:r>
        <w:t>1</w:t>
      </w:r>
      <w:r>
        <w:fldChar w:fldCharType="end"/>
      </w:r>
      <w:r>
        <w:fldChar w:fldCharType="end"/>
      </w:r>
    </w:p>
    <w:p w14:paraId="1FD65D67">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"_Toc48231672"</w:instrText>
      </w:r>
      <w:r>
        <w:rPr>
          <w:rStyle w:val="34"/>
        </w:rPr>
        <w:instrText xml:space="preserve"> </w:instrText>
      </w:r>
      <w:r>
        <w:fldChar w:fldCharType="separate"/>
      </w:r>
      <w:r>
        <w:rPr>
          <w:rStyle w:val="34"/>
        </w:rPr>
        <w:t>第五部分 相关服务机构</w:t>
      </w:r>
      <w:r>
        <w:tab/>
      </w:r>
      <w:r>
        <w:t>5-</w:t>
      </w:r>
      <w:r>
        <w:fldChar w:fldCharType="begin"/>
      </w:r>
      <w:r>
        <w:instrText xml:space="preserve"> PAGEREF _Toc48231672 \h </w:instrText>
      </w:r>
      <w:r>
        <w:fldChar w:fldCharType="separate"/>
      </w:r>
      <w:r>
        <w:t>1</w:t>
      </w:r>
      <w:r>
        <w:fldChar w:fldCharType="end"/>
      </w:r>
      <w:r>
        <w:fldChar w:fldCharType="end"/>
      </w:r>
    </w:p>
    <w:p w14:paraId="067C2757">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"_Toc48231673"</w:instrText>
      </w:r>
      <w:r>
        <w:rPr>
          <w:rStyle w:val="34"/>
        </w:rPr>
        <w:instrText xml:space="preserve"> </w:instrText>
      </w:r>
      <w:r>
        <w:fldChar w:fldCharType="separate"/>
      </w:r>
      <w:r>
        <w:rPr>
          <w:rStyle w:val="34"/>
        </w:rPr>
        <w:t>第六部分 基金的募集</w:t>
      </w:r>
      <w:r>
        <w:tab/>
      </w:r>
      <w:r>
        <w:t>6-</w:t>
      </w:r>
      <w:r>
        <w:fldChar w:fldCharType="begin"/>
      </w:r>
      <w:r>
        <w:instrText xml:space="preserve"> PAGEREF _Toc48231673 \h </w:instrText>
      </w:r>
      <w:r>
        <w:fldChar w:fldCharType="separate"/>
      </w:r>
      <w:r>
        <w:t>1</w:t>
      </w:r>
      <w:r>
        <w:fldChar w:fldCharType="end"/>
      </w:r>
      <w:r>
        <w:fldChar w:fldCharType="end"/>
      </w:r>
    </w:p>
    <w:p w14:paraId="3F54D112">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"_Toc48231674"</w:instrText>
      </w:r>
      <w:r>
        <w:rPr>
          <w:rStyle w:val="34"/>
        </w:rPr>
        <w:instrText xml:space="preserve"> </w:instrText>
      </w:r>
      <w:r>
        <w:fldChar w:fldCharType="separate"/>
      </w:r>
      <w:r>
        <w:rPr>
          <w:rStyle w:val="34"/>
        </w:rPr>
        <w:t>第七部分 基金合同的生效</w:t>
      </w:r>
      <w:r>
        <w:tab/>
      </w:r>
      <w:r>
        <w:t>7-</w:t>
      </w:r>
      <w:r>
        <w:fldChar w:fldCharType="begin"/>
      </w:r>
      <w:r>
        <w:instrText xml:space="preserve"> PAGEREF _Toc48231674 \h </w:instrText>
      </w:r>
      <w:r>
        <w:fldChar w:fldCharType="separate"/>
      </w:r>
      <w:r>
        <w:t>1</w:t>
      </w:r>
      <w:r>
        <w:fldChar w:fldCharType="end"/>
      </w:r>
      <w:r>
        <w:fldChar w:fldCharType="end"/>
      </w:r>
    </w:p>
    <w:p w14:paraId="52388F44">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"_Toc48231675"</w:instrText>
      </w:r>
      <w:r>
        <w:rPr>
          <w:rStyle w:val="34"/>
        </w:rPr>
        <w:instrText xml:space="preserve"> </w:instrText>
      </w:r>
      <w:r>
        <w:fldChar w:fldCharType="separate"/>
      </w:r>
      <w:r>
        <w:rPr>
          <w:rStyle w:val="34"/>
        </w:rPr>
        <w:t>第八部分 基金份额的申购与赎回</w:t>
      </w:r>
      <w:r>
        <w:tab/>
      </w:r>
      <w:r>
        <w:t>8-</w:t>
      </w:r>
      <w:r>
        <w:fldChar w:fldCharType="begin"/>
      </w:r>
      <w:r>
        <w:instrText xml:space="preserve"> PAGEREF _Toc48231675 \h </w:instrText>
      </w:r>
      <w:r>
        <w:fldChar w:fldCharType="separate"/>
      </w:r>
      <w:r>
        <w:t>1</w:t>
      </w:r>
      <w:r>
        <w:fldChar w:fldCharType="end"/>
      </w:r>
      <w:r>
        <w:fldChar w:fldCharType="end"/>
      </w:r>
    </w:p>
    <w:p w14:paraId="3EEF1879">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"_Toc48231676"</w:instrText>
      </w:r>
      <w:r>
        <w:rPr>
          <w:rStyle w:val="34"/>
        </w:rPr>
        <w:instrText xml:space="preserve"> </w:instrText>
      </w:r>
      <w:r>
        <w:fldChar w:fldCharType="separate"/>
      </w:r>
      <w:r>
        <w:rPr>
          <w:rStyle w:val="34"/>
        </w:rPr>
        <w:t>第九部分 基金的投资</w:t>
      </w:r>
      <w:r>
        <w:tab/>
      </w:r>
      <w:r>
        <w:t>9-</w:t>
      </w:r>
      <w:r>
        <w:fldChar w:fldCharType="begin"/>
      </w:r>
      <w:r>
        <w:instrText xml:space="preserve"> PAGEREF _Toc48231676 \h </w:instrText>
      </w:r>
      <w:r>
        <w:fldChar w:fldCharType="separate"/>
      </w:r>
      <w:r>
        <w:t>1</w:t>
      </w:r>
      <w:r>
        <w:fldChar w:fldCharType="end"/>
      </w:r>
      <w:r>
        <w:fldChar w:fldCharType="end"/>
      </w:r>
    </w:p>
    <w:p w14:paraId="0ABA11B8">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"_Toc48231677"</w:instrText>
      </w:r>
      <w:r>
        <w:rPr>
          <w:rStyle w:val="34"/>
        </w:rPr>
        <w:instrText xml:space="preserve"> </w:instrText>
      </w:r>
      <w:r>
        <w:fldChar w:fldCharType="separate"/>
      </w:r>
      <w:r>
        <w:rPr>
          <w:rStyle w:val="34"/>
        </w:rPr>
        <w:t>第十部分 基金的财产</w:t>
      </w:r>
      <w:r>
        <w:tab/>
      </w:r>
      <w:r>
        <w:t>10-</w:t>
      </w:r>
      <w:r>
        <w:fldChar w:fldCharType="begin"/>
      </w:r>
      <w:r>
        <w:instrText xml:space="preserve"> PAGEREF _Toc48231677 \h </w:instrText>
      </w:r>
      <w:r>
        <w:fldChar w:fldCharType="separate"/>
      </w:r>
      <w:r>
        <w:t>1</w:t>
      </w:r>
      <w:r>
        <w:fldChar w:fldCharType="end"/>
      </w:r>
      <w:r>
        <w:fldChar w:fldCharType="end"/>
      </w:r>
    </w:p>
    <w:p w14:paraId="6ADD0ADF">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"_Toc48231678"</w:instrText>
      </w:r>
      <w:r>
        <w:rPr>
          <w:rStyle w:val="34"/>
        </w:rPr>
        <w:instrText xml:space="preserve"> </w:instrText>
      </w:r>
      <w:r>
        <w:fldChar w:fldCharType="separate"/>
      </w:r>
      <w:r>
        <w:rPr>
          <w:rStyle w:val="34"/>
        </w:rPr>
        <w:t>第十一部分 基金资产的估值</w:t>
      </w:r>
      <w:r>
        <w:tab/>
      </w:r>
      <w:r>
        <w:t>11-</w:t>
      </w:r>
      <w:r>
        <w:fldChar w:fldCharType="begin"/>
      </w:r>
      <w:r>
        <w:instrText xml:space="preserve"> PAGEREF _Toc48231678 \h </w:instrText>
      </w:r>
      <w:r>
        <w:fldChar w:fldCharType="separate"/>
      </w:r>
      <w:r>
        <w:t>1</w:t>
      </w:r>
      <w:r>
        <w:fldChar w:fldCharType="end"/>
      </w:r>
      <w:r>
        <w:fldChar w:fldCharType="end"/>
      </w:r>
    </w:p>
    <w:p w14:paraId="2786B6DD">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"_Toc48231679"</w:instrText>
      </w:r>
      <w:r>
        <w:rPr>
          <w:rStyle w:val="34"/>
        </w:rPr>
        <w:instrText xml:space="preserve"> </w:instrText>
      </w:r>
      <w:r>
        <w:fldChar w:fldCharType="separate"/>
      </w:r>
      <w:r>
        <w:rPr>
          <w:rStyle w:val="34"/>
        </w:rPr>
        <w:t>第十二部分 基金的收益分配</w:t>
      </w:r>
      <w:r>
        <w:tab/>
      </w:r>
      <w:r>
        <w:t>12-</w:t>
      </w:r>
      <w:r>
        <w:fldChar w:fldCharType="begin"/>
      </w:r>
      <w:r>
        <w:instrText xml:space="preserve"> PAGEREF _Toc48231679 \h </w:instrText>
      </w:r>
      <w:r>
        <w:fldChar w:fldCharType="separate"/>
      </w:r>
      <w:r>
        <w:t>1</w:t>
      </w:r>
      <w:r>
        <w:fldChar w:fldCharType="end"/>
      </w:r>
      <w:r>
        <w:fldChar w:fldCharType="end"/>
      </w:r>
    </w:p>
    <w:p w14:paraId="55812C9D">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"_Toc48231680"</w:instrText>
      </w:r>
      <w:r>
        <w:rPr>
          <w:rStyle w:val="34"/>
        </w:rPr>
        <w:instrText xml:space="preserve"> </w:instrText>
      </w:r>
      <w:r>
        <w:fldChar w:fldCharType="separate"/>
      </w:r>
      <w:r>
        <w:rPr>
          <w:rStyle w:val="34"/>
        </w:rPr>
        <w:t>第十三部分 基金的费用与税收</w:t>
      </w:r>
      <w:r>
        <w:tab/>
      </w:r>
      <w:r>
        <w:t>13-</w:t>
      </w:r>
      <w:r>
        <w:fldChar w:fldCharType="begin"/>
      </w:r>
      <w:r>
        <w:instrText xml:space="preserve"> PAGEREF _Toc48231680 \h </w:instrText>
      </w:r>
      <w:r>
        <w:fldChar w:fldCharType="separate"/>
      </w:r>
      <w:r>
        <w:t>1</w:t>
      </w:r>
      <w:r>
        <w:fldChar w:fldCharType="end"/>
      </w:r>
      <w:r>
        <w:fldChar w:fldCharType="end"/>
      </w:r>
    </w:p>
    <w:p w14:paraId="690D181F">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"_Toc48231681"</w:instrText>
      </w:r>
      <w:r>
        <w:rPr>
          <w:rStyle w:val="34"/>
        </w:rPr>
        <w:instrText xml:space="preserve"> </w:instrText>
      </w:r>
      <w:r>
        <w:fldChar w:fldCharType="separate"/>
      </w:r>
      <w:r>
        <w:rPr>
          <w:rStyle w:val="34"/>
        </w:rPr>
        <w:t>第十四部分 基金的会计与审计</w:t>
      </w:r>
      <w:r>
        <w:tab/>
      </w:r>
      <w:r>
        <w:t>14-</w:t>
      </w:r>
      <w:r>
        <w:fldChar w:fldCharType="begin"/>
      </w:r>
      <w:r>
        <w:instrText xml:space="preserve"> PAGEREF _Toc48231681 \h </w:instrText>
      </w:r>
      <w:r>
        <w:fldChar w:fldCharType="separate"/>
      </w:r>
      <w:r>
        <w:t>1</w:t>
      </w:r>
      <w:r>
        <w:fldChar w:fldCharType="end"/>
      </w:r>
      <w:r>
        <w:fldChar w:fldCharType="end"/>
      </w:r>
    </w:p>
    <w:p w14:paraId="65CC2715">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"_Toc48231682"</w:instrText>
      </w:r>
      <w:r>
        <w:rPr>
          <w:rStyle w:val="34"/>
        </w:rPr>
        <w:instrText xml:space="preserve"> </w:instrText>
      </w:r>
      <w:r>
        <w:fldChar w:fldCharType="separate"/>
      </w:r>
      <w:r>
        <w:rPr>
          <w:rStyle w:val="34"/>
        </w:rPr>
        <w:t>第十五部分 基金的信息披露</w:t>
      </w:r>
      <w:r>
        <w:tab/>
      </w:r>
      <w:r>
        <w:t>15-</w:t>
      </w:r>
      <w:r>
        <w:fldChar w:fldCharType="begin"/>
      </w:r>
      <w:r>
        <w:instrText xml:space="preserve"> PAGEREF _Toc48231682 \h </w:instrText>
      </w:r>
      <w:r>
        <w:fldChar w:fldCharType="separate"/>
      </w:r>
      <w:r>
        <w:t>1</w:t>
      </w:r>
      <w:r>
        <w:fldChar w:fldCharType="end"/>
      </w:r>
      <w:r>
        <w:fldChar w:fldCharType="end"/>
      </w:r>
    </w:p>
    <w:p w14:paraId="3682850A">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"_Toc48231683"</w:instrText>
      </w:r>
      <w:r>
        <w:rPr>
          <w:rStyle w:val="34"/>
        </w:rPr>
        <w:instrText xml:space="preserve"> </w:instrText>
      </w:r>
      <w:r>
        <w:fldChar w:fldCharType="separate"/>
      </w:r>
      <w:r>
        <w:rPr>
          <w:rStyle w:val="34"/>
        </w:rPr>
        <w:t>第十六部分 侧袋机制</w:t>
      </w:r>
      <w:r>
        <w:tab/>
      </w:r>
      <w:r>
        <w:t>16-</w:t>
      </w:r>
      <w:r>
        <w:fldChar w:fldCharType="begin"/>
      </w:r>
      <w:r>
        <w:instrText xml:space="preserve"> PAGEREF _Toc48231683 \h </w:instrText>
      </w:r>
      <w:r>
        <w:fldChar w:fldCharType="separate"/>
      </w:r>
      <w:r>
        <w:t>1</w:t>
      </w:r>
      <w:r>
        <w:fldChar w:fldCharType="end"/>
      </w:r>
      <w:r>
        <w:fldChar w:fldCharType="end"/>
      </w:r>
    </w:p>
    <w:p w14:paraId="0317353E">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"_Toc48231684"</w:instrText>
      </w:r>
      <w:r>
        <w:rPr>
          <w:rStyle w:val="34"/>
        </w:rPr>
        <w:instrText xml:space="preserve"> </w:instrText>
      </w:r>
      <w:r>
        <w:fldChar w:fldCharType="separate"/>
      </w:r>
      <w:r>
        <w:rPr>
          <w:rStyle w:val="34"/>
        </w:rPr>
        <w:t>第十七部分 风险揭示</w:t>
      </w:r>
      <w:r>
        <w:tab/>
      </w:r>
      <w:r>
        <w:t>17-</w:t>
      </w:r>
      <w:r>
        <w:fldChar w:fldCharType="begin"/>
      </w:r>
      <w:r>
        <w:instrText xml:space="preserve"> PAGEREF _Toc48231684 \h </w:instrText>
      </w:r>
      <w:r>
        <w:fldChar w:fldCharType="separate"/>
      </w:r>
      <w:r>
        <w:t>1</w:t>
      </w:r>
      <w:r>
        <w:fldChar w:fldCharType="end"/>
      </w:r>
      <w:r>
        <w:fldChar w:fldCharType="end"/>
      </w:r>
    </w:p>
    <w:p w14:paraId="7FDF5BBA">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"_Toc48231685"</w:instrText>
      </w:r>
      <w:r>
        <w:rPr>
          <w:rStyle w:val="34"/>
        </w:rPr>
        <w:instrText xml:space="preserve"> </w:instrText>
      </w:r>
      <w:r>
        <w:fldChar w:fldCharType="separate"/>
      </w:r>
      <w:r>
        <w:rPr>
          <w:rStyle w:val="34"/>
        </w:rPr>
        <w:t>第十八部分 基金的终止与清算</w:t>
      </w:r>
      <w:r>
        <w:tab/>
      </w:r>
      <w:r>
        <w:t>18-</w:t>
      </w:r>
      <w:r>
        <w:fldChar w:fldCharType="begin"/>
      </w:r>
      <w:r>
        <w:instrText xml:space="preserve"> PAGEREF _Toc48231685 \h </w:instrText>
      </w:r>
      <w:r>
        <w:fldChar w:fldCharType="separate"/>
      </w:r>
      <w:r>
        <w:t>1</w:t>
      </w:r>
      <w:r>
        <w:fldChar w:fldCharType="end"/>
      </w:r>
      <w:r>
        <w:fldChar w:fldCharType="end"/>
      </w:r>
    </w:p>
    <w:p w14:paraId="58885477">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"_Toc48231686"</w:instrText>
      </w:r>
      <w:r>
        <w:rPr>
          <w:rStyle w:val="34"/>
        </w:rPr>
        <w:instrText xml:space="preserve"> </w:instrText>
      </w:r>
      <w:r>
        <w:fldChar w:fldCharType="separate"/>
      </w:r>
      <w:r>
        <w:rPr>
          <w:rStyle w:val="34"/>
        </w:rPr>
        <w:t>第十九部分 基金合同的内容摘要</w:t>
      </w:r>
      <w:r>
        <w:tab/>
      </w:r>
      <w:r>
        <w:t>19-</w:t>
      </w:r>
      <w:r>
        <w:fldChar w:fldCharType="begin"/>
      </w:r>
      <w:r>
        <w:instrText xml:space="preserve"> PAGEREF _Toc48231686 \h </w:instrText>
      </w:r>
      <w:r>
        <w:fldChar w:fldCharType="separate"/>
      </w:r>
      <w:r>
        <w:t>1</w:t>
      </w:r>
      <w:r>
        <w:fldChar w:fldCharType="end"/>
      </w:r>
      <w:r>
        <w:fldChar w:fldCharType="end"/>
      </w:r>
    </w:p>
    <w:p w14:paraId="7BD88549">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"_Toc48231687"</w:instrText>
      </w:r>
      <w:r>
        <w:rPr>
          <w:rStyle w:val="34"/>
        </w:rPr>
        <w:instrText xml:space="preserve"> </w:instrText>
      </w:r>
      <w:r>
        <w:fldChar w:fldCharType="separate"/>
      </w:r>
      <w:r>
        <w:rPr>
          <w:rStyle w:val="34"/>
        </w:rPr>
        <w:t>第二十部分 基金托管协议的内容摘要</w:t>
      </w:r>
      <w:r>
        <w:tab/>
      </w:r>
      <w:r>
        <w:t>20-</w:t>
      </w:r>
      <w:r>
        <w:fldChar w:fldCharType="begin"/>
      </w:r>
      <w:r>
        <w:instrText xml:space="preserve"> PAGEREF _Toc48231687 \h </w:instrText>
      </w:r>
      <w:r>
        <w:fldChar w:fldCharType="separate"/>
      </w:r>
      <w:r>
        <w:t>1</w:t>
      </w:r>
      <w:r>
        <w:fldChar w:fldCharType="end"/>
      </w:r>
      <w:r>
        <w:fldChar w:fldCharType="end"/>
      </w:r>
    </w:p>
    <w:p w14:paraId="14714954">
      <w:pPr>
        <w:pStyle w:val="22"/>
        <w:spacing w:line="360" w:lineRule="auto"/>
        <w:rPr>
          <w:rFonts w:ascii="等线" w:hAnsi="等线" w:eastAsia="等线"/>
          <w:b w:val="0"/>
          <w:kern w:val="2"/>
          <w:szCs w:val="22"/>
        </w:rPr>
      </w:pPr>
      <w:r>
        <w:fldChar w:fldCharType="begin"/>
      </w:r>
      <w:r>
        <w:rPr>
          <w:rStyle w:val="34"/>
        </w:rPr>
        <w:instrText xml:space="preserve"> </w:instrText>
      </w:r>
      <w:r>
        <w:instrText xml:space="preserve">HYPERLINK \l "_Toc48231688"</w:instrText>
      </w:r>
      <w:r>
        <w:rPr>
          <w:rStyle w:val="34"/>
        </w:rPr>
        <w:instrText xml:space="preserve"> </w:instrText>
      </w:r>
      <w:r>
        <w:fldChar w:fldCharType="separate"/>
      </w:r>
      <w:r>
        <w:rPr>
          <w:rStyle w:val="34"/>
        </w:rPr>
        <w:t>第二十一部分 对基金份额持有人的服务</w:t>
      </w:r>
      <w:r>
        <w:tab/>
      </w:r>
      <w:r>
        <w:t>21-</w:t>
      </w:r>
      <w:r>
        <w:fldChar w:fldCharType="begin"/>
      </w:r>
      <w:r>
        <w:instrText xml:space="preserve"> PAGEREF _Toc48231688 \h </w:instrText>
      </w:r>
      <w:r>
        <w:fldChar w:fldCharType="separate"/>
      </w:r>
      <w:r>
        <w:t>1</w:t>
      </w:r>
      <w:r>
        <w:fldChar w:fldCharType="end"/>
      </w:r>
      <w:r>
        <w:fldChar w:fldCharType="end"/>
      </w:r>
    </w:p>
    <w:p w14:paraId="783E70A8">
      <w:pPr>
        <w:pStyle w:val="22"/>
        <w:spacing w:line="360" w:lineRule="auto"/>
        <w:rPr>
          <w:rFonts w:ascii="等线" w:hAnsi="等线" w:eastAsia="等线"/>
          <w:b w:val="0"/>
          <w:kern w:val="2"/>
          <w:szCs w:val="22"/>
        </w:rPr>
      </w:pPr>
      <w:bookmarkStart w:id="61" w:name="_GoBack"/>
      <w:r>
        <w:fldChar w:fldCharType="begin"/>
      </w:r>
      <w:r>
        <w:rPr>
          <w:rStyle w:val="34"/>
        </w:rPr>
        <w:instrText xml:space="preserve"> </w:instrText>
      </w:r>
      <w:r>
        <w:instrText xml:space="preserve">HYPERLINK \l "_Toc48231690"</w:instrText>
      </w:r>
      <w:r>
        <w:rPr>
          <w:rStyle w:val="34"/>
        </w:rPr>
        <w:instrText xml:space="preserve"> </w:instrText>
      </w:r>
      <w:r>
        <w:fldChar w:fldCharType="separate"/>
      </w:r>
      <w:r>
        <w:rPr>
          <w:rStyle w:val="34"/>
        </w:rPr>
        <w:t>第二十</w:t>
      </w:r>
      <w:r>
        <w:rPr>
          <w:rStyle w:val="34"/>
          <w:rFonts w:hint="eastAsia"/>
          <w:lang w:val="en-US" w:eastAsia="zh-CN"/>
        </w:rPr>
        <w:t>二</w:t>
      </w:r>
      <w:r>
        <w:rPr>
          <w:rStyle w:val="34"/>
        </w:rPr>
        <w:t>部分 招募说明书的存放及查阅方式</w:t>
      </w:r>
      <w:r>
        <w:tab/>
      </w:r>
      <w:r>
        <w:t>2</w:t>
      </w:r>
      <w:bookmarkStart w:id="3" w:name="_Hlt48231742"/>
      <w:bookmarkEnd w:id="3"/>
      <w:r>
        <w:rPr>
          <w:rFonts w:hint="eastAsia"/>
          <w:lang w:val="en-US" w:eastAsia="zh-CN"/>
        </w:rPr>
        <w:t>2</w:t>
      </w:r>
      <w:r>
        <w:t>-</w:t>
      </w:r>
      <w:r>
        <w:fldChar w:fldCharType="begin"/>
      </w:r>
      <w:r>
        <w:instrText xml:space="preserve"> PAGEREF _Toc48231690 \h </w:instrText>
      </w:r>
      <w:r>
        <w:fldChar w:fldCharType="separate"/>
      </w:r>
      <w:r>
        <w:t>1</w:t>
      </w:r>
      <w:r>
        <w:fldChar w:fldCharType="end"/>
      </w:r>
      <w:r>
        <w:fldChar w:fldCharType="end"/>
      </w:r>
    </w:p>
    <w:p w14:paraId="36455235">
      <w:pPr>
        <w:pStyle w:val="22"/>
        <w:spacing w:line="360" w:lineRule="auto"/>
        <w:sectPr>
          <w:footerReference r:id="rId7" w:type="default"/>
          <w:pgSz w:w="11906" w:h="16838"/>
          <w:pgMar w:top="1440" w:right="1797" w:bottom="1440" w:left="1797" w:header="851" w:footer="992" w:gutter="0"/>
          <w:pgNumType w:start="1"/>
          <w:cols w:space="720" w:num="1"/>
          <w:docGrid w:linePitch="312" w:charSpace="0"/>
        </w:sectPr>
      </w:pPr>
      <w:r>
        <w:fldChar w:fldCharType="begin"/>
      </w:r>
      <w:r>
        <w:rPr>
          <w:rStyle w:val="34"/>
        </w:rPr>
        <w:instrText xml:space="preserve"> </w:instrText>
      </w:r>
      <w:r>
        <w:instrText xml:space="preserve">HYPERLINK \l "_Toc48231691"</w:instrText>
      </w:r>
      <w:r>
        <w:rPr>
          <w:rStyle w:val="34"/>
        </w:rPr>
        <w:instrText xml:space="preserve"> </w:instrText>
      </w:r>
      <w:r>
        <w:fldChar w:fldCharType="separate"/>
      </w:r>
      <w:r>
        <w:rPr>
          <w:rStyle w:val="34"/>
        </w:rPr>
        <w:t>第二十</w:t>
      </w:r>
      <w:r>
        <w:rPr>
          <w:rStyle w:val="34"/>
          <w:rFonts w:hint="eastAsia"/>
          <w:lang w:val="en-US" w:eastAsia="zh-CN"/>
        </w:rPr>
        <w:t>三</w:t>
      </w:r>
      <w:r>
        <w:rPr>
          <w:rStyle w:val="34"/>
        </w:rPr>
        <w:t>部分 备查文件</w:t>
      </w:r>
      <w:r>
        <w:tab/>
      </w:r>
      <w:r>
        <w:t>2</w:t>
      </w:r>
      <w:r>
        <w:rPr>
          <w:rFonts w:hint="eastAsia"/>
          <w:lang w:val="en-US" w:eastAsia="zh-CN"/>
        </w:rPr>
        <w:t>3</w:t>
      </w:r>
      <w:r>
        <w:t>-</w:t>
      </w:r>
      <w:r>
        <w:fldChar w:fldCharType="begin"/>
      </w:r>
      <w:r>
        <w:instrText xml:space="preserve"> PAGEREF _Toc48231691 \h </w:instrText>
      </w:r>
      <w:r>
        <w:fldChar w:fldCharType="separate"/>
      </w:r>
      <w:r>
        <w:t>1</w:t>
      </w:r>
      <w:r>
        <w:fldChar w:fldCharType="end"/>
      </w:r>
      <w:r>
        <w:fldChar w:fldCharType="end"/>
      </w:r>
    </w:p>
    <w:bookmarkEnd w:id="61"/>
    <w:p w14:paraId="7FDF59F9">
      <w:pPr>
        <w:pStyle w:val="2"/>
        <w:spacing w:before="72" w:beforeLines="30" w:after="72" w:afterLines="30" w:line="360" w:lineRule="auto"/>
        <w:rPr>
          <w:rFonts w:hint="eastAsia" w:ascii="Times New Roman" w:hAnsi="Times New Roman" w:eastAsia="宋体" w:cs="Times New Roman"/>
          <w:b/>
          <w:sz w:val="28"/>
          <w:szCs w:val="24"/>
        </w:rPr>
      </w:pPr>
      <w:r>
        <w:rPr>
          <w:rFonts w:hint="eastAsia" w:ascii="Times New Roman" w:hAnsi="Times New Roman" w:eastAsia="宋体" w:cs="Times New Roman"/>
          <w:b/>
          <w:sz w:val="28"/>
          <w:szCs w:val="24"/>
        </w:rPr>
        <w:t>第一部分 绪言</w:t>
      </w:r>
    </w:p>
    <w:p w14:paraId="10BCB030">
      <w:pPr>
        <w:spacing w:line="360" w:lineRule="auto"/>
        <w:ind w:firstLine="420"/>
        <w:rPr>
          <w:rFonts w:hint="eastAsia" w:ascii="宋体" w:hAnsi="宋体" w:eastAsia="宋体" w:cs="Times New Roman"/>
          <w:kern w:val="0"/>
          <w:szCs w:val="21"/>
        </w:rPr>
      </w:pPr>
      <w:r>
        <w:rPr>
          <w:rFonts w:eastAsia="宋体"/>
        </w:rPr>
        <w:fldChar w:fldCharType="end"/>
      </w:r>
      <w:bookmarkStart w:id="4" w:name="_Toc412372720"/>
      <w:r>
        <w:rPr>
          <w:rFonts w:hint="eastAsia" w:ascii="宋体" w:hAnsi="宋体" w:eastAsia="宋体" w:cs="Times New Roman"/>
          <w:kern w:val="0"/>
          <w:szCs w:val="21"/>
        </w:rPr>
        <w:t>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以下简称《基金中基金指引》）、《公开募集开放式证券投资基金流动性风险管理规定》（以下简称《流动性风险管理规定》）等有关法律法规的规定，以及《博时安慧臻选3个月持有期混合型基金中基金（FOF）基金合同》（以下简称基金合同）的约定编写。</w:t>
      </w:r>
    </w:p>
    <w:p w14:paraId="7A9F9833">
      <w:pPr>
        <w:spacing w:line="360" w:lineRule="auto"/>
        <w:ind w:firstLine="420"/>
      </w:pPr>
      <w:r>
        <w:rPr>
          <w:rFonts w:hint="eastAsia" w:ascii="宋体" w:hAnsi="宋体" w:eastAsia="宋体" w:cs="Times New Roman"/>
          <w:kern w:val="0"/>
          <w:szCs w:val="21"/>
        </w:rPr>
        <w:t>本招募说明书阐述了博时安慧臻选3个月持有期混合型基金中基金（FOF）（以下简称“本基金”或“基金”）的</w:t>
      </w:r>
      <w:r>
        <w:t>投资目标、策略、风险、费率等与投资人投资决策有关的必要事项，投资人在做出投资决策前应仔细阅读本招募说明书。</w:t>
      </w:r>
    </w:p>
    <w:p w14:paraId="2AF7EC0F">
      <w:pPr>
        <w:pStyle w:val="94"/>
      </w:pPr>
      <w: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312C27AA">
      <w:pPr>
        <w:pStyle w:val="94"/>
      </w:pPr>
      <w:r>
        <w:t>本招募说明书根据本基金的基金合同编写，并经中国证监会</w:t>
      </w:r>
      <w:r>
        <w:rPr>
          <w:rFonts w:hint="eastAsia"/>
        </w:rPr>
        <w:t>注册</w:t>
      </w:r>
      <w:r>
        <w:t>。基金合同是约定基金</w:t>
      </w:r>
      <w:r>
        <w:rPr>
          <w:rFonts w:hint="eastAsia"/>
        </w:rPr>
        <w:t>合同</w:t>
      </w:r>
      <w:r>
        <w:t>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11718485">
      <w:pPr>
        <w:pStyle w:val="94"/>
        <w:sectPr>
          <w:pgSz w:w="11906" w:h="16838"/>
          <w:pgMar w:top="1440" w:right="1797" w:bottom="1440" w:left="1797" w:header="851" w:footer="992" w:gutter="0"/>
          <w:pgNumType w:start="1"/>
          <w:cols w:space="720" w:num="1"/>
          <w:docGrid w:linePitch="312" w:charSpace="0"/>
        </w:sectPr>
      </w:pPr>
    </w:p>
    <w:p w14:paraId="35D69949">
      <w:pPr>
        <w:pStyle w:val="2"/>
        <w:spacing w:before="72" w:beforeLines="30" w:after="72" w:afterLines="30" w:line="360" w:lineRule="auto"/>
        <w:rPr>
          <w:rFonts w:hint="eastAsia"/>
          <w:szCs w:val="21"/>
        </w:rPr>
      </w:pPr>
      <w:bookmarkStart w:id="5" w:name="_Toc48231669"/>
      <w:r>
        <w:rPr>
          <w:rFonts w:hint="eastAsia" w:eastAsia="宋体"/>
          <w:b/>
          <w:sz w:val="28"/>
          <w:szCs w:val="24"/>
        </w:rPr>
        <w:t xml:space="preserve">第二部分 </w:t>
      </w:r>
      <w:r>
        <w:rPr>
          <w:rFonts w:eastAsia="宋体"/>
          <w:b/>
          <w:sz w:val="28"/>
          <w:szCs w:val="24"/>
        </w:rPr>
        <w:t>释</w:t>
      </w:r>
      <w:bookmarkEnd w:id="4"/>
      <w:r>
        <w:rPr>
          <w:rFonts w:eastAsia="宋体"/>
          <w:b/>
          <w:sz w:val="28"/>
          <w:szCs w:val="24"/>
        </w:rPr>
        <w:t>义</w:t>
      </w:r>
      <w:bookmarkEnd w:id="5"/>
    </w:p>
    <w:p w14:paraId="0B69AA17">
      <w:pPr>
        <w:spacing w:line="360" w:lineRule="auto"/>
        <w:ind w:firstLine="420" w:firstLineChars="200"/>
        <w:rPr>
          <w:bCs/>
          <w:szCs w:val="21"/>
        </w:rPr>
      </w:pPr>
      <w:bookmarkStart w:id="6" w:name="_Hlk117603108"/>
      <w:r>
        <w:rPr>
          <w:bCs/>
          <w:szCs w:val="21"/>
        </w:rPr>
        <w:t>在本招募说明书中，除非文意另有所指，下列词语或简称具有如下含义：</w:t>
      </w:r>
    </w:p>
    <w:p w14:paraId="29638AD0">
      <w:pPr>
        <w:spacing w:line="360" w:lineRule="auto"/>
        <w:ind w:firstLine="420"/>
        <w:rPr>
          <w:rFonts w:hint="eastAsia" w:ascii="宋体" w:hAnsi="宋体"/>
          <w:kern w:val="0"/>
          <w:szCs w:val="21"/>
        </w:rPr>
      </w:pPr>
      <w:r>
        <w:rPr>
          <w:rFonts w:hint="eastAsia" w:ascii="宋体" w:hAnsi="宋体"/>
          <w:kern w:val="0"/>
          <w:szCs w:val="21"/>
        </w:rPr>
        <w:t>1、基金或本基金：指博时安慧臻选3个月持有期混合型基金中基金（FOF）</w:t>
      </w:r>
    </w:p>
    <w:p w14:paraId="536DB26D">
      <w:pPr>
        <w:spacing w:line="360" w:lineRule="auto"/>
        <w:ind w:firstLine="420"/>
        <w:rPr>
          <w:rFonts w:hint="eastAsia" w:ascii="宋体" w:hAnsi="宋体"/>
          <w:kern w:val="0"/>
          <w:szCs w:val="21"/>
        </w:rPr>
      </w:pPr>
      <w:r>
        <w:rPr>
          <w:rFonts w:hint="eastAsia" w:ascii="宋体" w:hAnsi="宋体"/>
          <w:kern w:val="0"/>
          <w:szCs w:val="21"/>
        </w:rPr>
        <w:t>2、基金管理人：指博时基金管理有限公司</w:t>
      </w:r>
    </w:p>
    <w:p w14:paraId="14075FAC">
      <w:pPr>
        <w:spacing w:line="360" w:lineRule="auto"/>
        <w:ind w:firstLine="420"/>
        <w:rPr>
          <w:rFonts w:hint="eastAsia" w:ascii="宋体" w:hAnsi="宋体"/>
          <w:kern w:val="0"/>
          <w:szCs w:val="21"/>
        </w:rPr>
      </w:pPr>
      <w:r>
        <w:rPr>
          <w:rFonts w:hint="eastAsia" w:ascii="宋体" w:hAnsi="宋体"/>
          <w:kern w:val="0"/>
          <w:szCs w:val="21"/>
        </w:rPr>
        <w:t>3、基金托管人：指招商银行股份有限公司</w:t>
      </w:r>
    </w:p>
    <w:p w14:paraId="3C3AC2C9">
      <w:pPr>
        <w:spacing w:line="360" w:lineRule="auto"/>
        <w:ind w:firstLine="420"/>
        <w:rPr>
          <w:rFonts w:hint="eastAsia" w:ascii="宋体" w:hAnsi="宋体"/>
          <w:kern w:val="0"/>
          <w:szCs w:val="21"/>
        </w:rPr>
      </w:pPr>
      <w:r>
        <w:rPr>
          <w:rFonts w:hint="eastAsia" w:ascii="宋体" w:hAnsi="宋体"/>
          <w:kern w:val="0"/>
          <w:szCs w:val="21"/>
        </w:rPr>
        <w:t>4、基金合同：指《博时安慧臻选3个月持有期混合型基金中基金（FOF）基金合同》及对基金合同的任何有效修订和补充</w:t>
      </w:r>
    </w:p>
    <w:p w14:paraId="30C6382C">
      <w:pPr>
        <w:spacing w:line="360" w:lineRule="auto"/>
        <w:ind w:firstLine="420"/>
        <w:rPr>
          <w:rFonts w:hint="eastAsia" w:ascii="宋体" w:hAnsi="宋体"/>
          <w:kern w:val="0"/>
          <w:szCs w:val="21"/>
        </w:rPr>
      </w:pPr>
      <w:r>
        <w:rPr>
          <w:rFonts w:hint="eastAsia" w:ascii="宋体" w:hAnsi="宋体"/>
          <w:kern w:val="0"/>
          <w:szCs w:val="21"/>
        </w:rPr>
        <w:t>5、托管协议：指基金管理人与基金托管人就本基金签订之《博时安慧臻选3个月持有期混合型基金中基金（FOF）托管协议》及对该托管协议的任何有效修订和补充</w:t>
      </w:r>
    </w:p>
    <w:p w14:paraId="58E75C17">
      <w:pPr>
        <w:spacing w:line="360" w:lineRule="auto"/>
        <w:ind w:firstLine="420"/>
        <w:rPr>
          <w:rFonts w:hint="eastAsia" w:ascii="宋体" w:hAnsi="宋体"/>
          <w:kern w:val="0"/>
          <w:szCs w:val="21"/>
        </w:rPr>
      </w:pPr>
      <w:r>
        <w:rPr>
          <w:rFonts w:hint="eastAsia" w:ascii="宋体" w:hAnsi="宋体"/>
          <w:kern w:val="0"/>
          <w:szCs w:val="21"/>
        </w:rPr>
        <w:t>6、招募说明书或者本招募说明书：指《博时安慧臻选3个月持有期混合型基金中基金（FOF）招募说明书》及其更新</w:t>
      </w:r>
    </w:p>
    <w:p w14:paraId="574D25E3">
      <w:pPr>
        <w:spacing w:line="360" w:lineRule="auto"/>
        <w:ind w:firstLine="420"/>
        <w:rPr>
          <w:rFonts w:hint="eastAsia" w:ascii="宋体" w:hAnsi="宋体"/>
          <w:kern w:val="0"/>
          <w:szCs w:val="21"/>
        </w:rPr>
      </w:pPr>
      <w:r>
        <w:rPr>
          <w:rFonts w:hint="eastAsia" w:ascii="宋体" w:hAnsi="宋体"/>
          <w:kern w:val="0"/>
          <w:szCs w:val="21"/>
        </w:rPr>
        <w:t>7、基金份额发售公告：指《博时安慧臻选3个月持有期混合型基金中基金（FOF）基金份额发售公告》</w:t>
      </w:r>
    </w:p>
    <w:p w14:paraId="73A0B8A8">
      <w:pPr>
        <w:spacing w:line="360" w:lineRule="auto"/>
        <w:ind w:firstLine="420"/>
        <w:rPr>
          <w:rFonts w:hint="eastAsia" w:ascii="宋体" w:hAnsi="宋体"/>
          <w:kern w:val="0"/>
          <w:szCs w:val="21"/>
        </w:rPr>
      </w:pPr>
      <w:r>
        <w:rPr>
          <w:rFonts w:hint="eastAsia" w:ascii="宋体" w:hAnsi="宋体"/>
          <w:kern w:val="0"/>
          <w:szCs w:val="21"/>
        </w:rPr>
        <w:t>8、基金产品资料概要：指《博时安慧臻选3个月持有期混合型基金中基金（FOF）基金产品资料概要》及其更新</w:t>
      </w:r>
    </w:p>
    <w:p w14:paraId="342B0843">
      <w:pPr>
        <w:spacing w:line="360" w:lineRule="auto"/>
        <w:ind w:firstLine="420"/>
        <w:rPr>
          <w:rFonts w:hint="eastAsia" w:ascii="宋体" w:hAnsi="宋体"/>
          <w:kern w:val="0"/>
          <w:szCs w:val="21"/>
        </w:rPr>
      </w:pPr>
      <w:r>
        <w:rPr>
          <w:rFonts w:hint="eastAsia" w:ascii="宋体" w:hAnsi="宋体"/>
          <w:kern w:val="0"/>
          <w:szCs w:val="21"/>
        </w:rPr>
        <w:t>9、法律法规：指中国现行有效并公布实施的法律、行政法规、规范性文件、司法解释、行政规章以及其他对基金合同当事人有约束力的决定、决议、通知等</w:t>
      </w:r>
    </w:p>
    <w:p w14:paraId="2383BB0B">
      <w:pPr>
        <w:spacing w:line="360" w:lineRule="auto"/>
        <w:ind w:firstLine="420"/>
        <w:rPr>
          <w:rFonts w:hint="eastAsia" w:ascii="宋体" w:hAnsi="宋体"/>
          <w:kern w:val="0"/>
          <w:szCs w:val="21"/>
        </w:rPr>
      </w:pPr>
      <w:r>
        <w:rPr>
          <w:rFonts w:hint="eastAsia" w:ascii="宋体" w:hAnsi="宋体"/>
          <w:kern w:val="0"/>
          <w:szCs w:val="21"/>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440D2914">
      <w:pPr>
        <w:spacing w:line="360" w:lineRule="auto"/>
        <w:ind w:firstLine="420"/>
        <w:rPr>
          <w:rFonts w:hint="eastAsia" w:ascii="宋体" w:hAnsi="宋体"/>
          <w:kern w:val="0"/>
          <w:szCs w:val="21"/>
        </w:rPr>
      </w:pPr>
      <w:r>
        <w:rPr>
          <w:rFonts w:hint="eastAsia" w:ascii="宋体" w:hAnsi="宋体"/>
          <w:kern w:val="0"/>
          <w:szCs w:val="21"/>
        </w:rPr>
        <w:t>11、《销售办法》：指中国证监会2020年8月28日颁布、同年10月1日实施的《公开募集证券投资基金销售机构监督管理办法》及颁布机关对其不时做出的修订</w:t>
      </w:r>
    </w:p>
    <w:p w14:paraId="3A7E8273">
      <w:pPr>
        <w:spacing w:line="360" w:lineRule="auto"/>
        <w:ind w:firstLine="420"/>
        <w:rPr>
          <w:rFonts w:hint="eastAsia" w:ascii="宋体" w:hAnsi="宋体"/>
          <w:kern w:val="0"/>
          <w:szCs w:val="21"/>
        </w:rPr>
      </w:pPr>
      <w:r>
        <w:rPr>
          <w:rFonts w:hint="eastAsia" w:ascii="宋体" w:hAnsi="宋体"/>
          <w:kern w:val="0"/>
          <w:szCs w:val="21"/>
        </w:rPr>
        <w:t>12、《信息披露办法》：指中国证监会2019年7月26日颁布、同年9月1日实施的，并经2020年3月20日中国证监会《关于修改部分证券期货规章的决定》修改的《公开募集证券投资基金信息披露管理办法》及颁布机关对其不时做出的修订</w:t>
      </w:r>
    </w:p>
    <w:p w14:paraId="28951109">
      <w:pPr>
        <w:spacing w:line="360" w:lineRule="auto"/>
        <w:ind w:firstLine="420"/>
        <w:rPr>
          <w:rFonts w:hint="eastAsia" w:ascii="宋体" w:hAnsi="宋体"/>
          <w:kern w:val="0"/>
          <w:szCs w:val="21"/>
        </w:rPr>
      </w:pPr>
      <w:r>
        <w:rPr>
          <w:rFonts w:hint="eastAsia" w:ascii="宋体" w:hAnsi="宋体"/>
          <w:kern w:val="0"/>
          <w:szCs w:val="21"/>
        </w:rPr>
        <w:t>13、《运作办法》：指中国证监会2014年7月7日颁布、同年8月8日实施的《公开募集证券投资基金运作管理办法》及颁布机关对其不时做出的修订</w:t>
      </w:r>
    </w:p>
    <w:p w14:paraId="376B4BA6">
      <w:pPr>
        <w:spacing w:line="360" w:lineRule="auto"/>
        <w:ind w:firstLine="420"/>
        <w:rPr>
          <w:rFonts w:hint="eastAsia" w:ascii="宋体" w:hAnsi="宋体"/>
          <w:kern w:val="0"/>
          <w:szCs w:val="21"/>
        </w:rPr>
      </w:pPr>
      <w:r>
        <w:rPr>
          <w:rFonts w:hint="eastAsia" w:ascii="宋体" w:hAnsi="宋体"/>
          <w:kern w:val="0"/>
          <w:szCs w:val="21"/>
        </w:rPr>
        <w:t>14、《流动性风险管理规定》：指中国证监会2017年8月31日颁布、同年10月1日实施的《公开募集开放式证券投资基金流动性风险管理规定》及颁布机关对其不时做出的修订</w:t>
      </w:r>
    </w:p>
    <w:p w14:paraId="6B62A967">
      <w:pPr>
        <w:spacing w:line="360" w:lineRule="auto"/>
        <w:ind w:firstLine="420"/>
        <w:rPr>
          <w:rFonts w:hint="eastAsia" w:ascii="宋体" w:hAnsi="宋体"/>
          <w:kern w:val="0"/>
          <w:szCs w:val="21"/>
        </w:rPr>
      </w:pPr>
      <w:r>
        <w:rPr>
          <w:rFonts w:hint="eastAsia" w:ascii="宋体" w:hAnsi="宋体"/>
          <w:kern w:val="0"/>
          <w:szCs w:val="21"/>
        </w:rPr>
        <w:t>15、《基金中基金指引》：指中国证监会2016年9月11日发布并实施的《公开募集证券投资基金运作指引第2号——基金中基金指引》及发布机关对其不时做出的修订</w:t>
      </w:r>
    </w:p>
    <w:p w14:paraId="49326147">
      <w:pPr>
        <w:spacing w:line="360" w:lineRule="auto"/>
        <w:ind w:firstLine="420"/>
        <w:rPr>
          <w:rFonts w:hint="eastAsia" w:ascii="宋体" w:hAnsi="宋体"/>
          <w:kern w:val="0"/>
          <w:szCs w:val="21"/>
        </w:rPr>
      </w:pPr>
      <w:r>
        <w:rPr>
          <w:rFonts w:hint="eastAsia" w:ascii="宋体" w:hAnsi="宋体"/>
          <w:kern w:val="0"/>
          <w:szCs w:val="21"/>
        </w:rPr>
        <w:t>16、中国证监会：指中国证券监督管理委员会</w:t>
      </w:r>
    </w:p>
    <w:p w14:paraId="129EE03F">
      <w:pPr>
        <w:spacing w:line="360" w:lineRule="auto"/>
        <w:ind w:firstLine="420"/>
        <w:rPr>
          <w:rFonts w:hint="eastAsia" w:ascii="宋体" w:hAnsi="宋体"/>
          <w:kern w:val="0"/>
          <w:szCs w:val="21"/>
        </w:rPr>
      </w:pPr>
      <w:r>
        <w:rPr>
          <w:rFonts w:hint="eastAsia" w:ascii="宋体" w:hAnsi="宋体"/>
          <w:kern w:val="0"/>
          <w:szCs w:val="21"/>
        </w:rPr>
        <w:t>17、银行业监督管理机构：指中国人民银行和/或国家金融监督管理总局</w:t>
      </w:r>
    </w:p>
    <w:p w14:paraId="0301A10E">
      <w:pPr>
        <w:spacing w:line="360" w:lineRule="auto"/>
        <w:ind w:firstLine="420"/>
        <w:rPr>
          <w:rFonts w:hint="eastAsia" w:ascii="宋体" w:hAnsi="宋体"/>
          <w:kern w:val="0"/>
          <w:szCs w:val="21"/>
        </w:rPr>
      </w:pPr>
      <w:r>
        <w:rPr>
          <w:rFonts w:hint="eastAsia" w:ascii="宋体" w:hAnsi="宋体"/>
          <w:kern w:val="0"/>
          <w:szCs w:val="21"/>
        </w:rPr>
        <w:t>18、基金合同当事人：指受基金合同约束，根据基金合同享有权利并承担义务的法律主体，包括基金管理人、基金托管人和基金份额持有人</w:t>
      </w:r>
    </w:p>
    <w:p w14:paraId="6C14EC86">
      <w:pPr>
        <w:spacing w:line="360" w:lineRule="auto"/>
        <w:ind w:firstLine="420"/>
        <w:rPr>
          <w:rFonts w:hint="eastAsia" w:ascii="宋体" w:hAnsi="宋体"/>
          <w:kern w:val="0"/>
          <w:szCs w:val="21"/>
        </w:rPr>
      </w:pPr>
      <w:r>
        <w:rPr>
          <w:rFonts w:hint="eastAsia" w:ascii="宋体" w:hAnsi="宋体"/>
          <w:kern w:val="0"/>
          <w:szCs w:val="21"/>
        </w:rPr>
        <w:t>19、个人投资者：指依据有关法律法规规定可投资于证券投资基金的自然人</w:t>
      </w:r>
    </w:p>
    <w:p w14:paraId="022BD020">
      <w:pPr>
        <w:spacing w:line="360" w:lineRule="auto"/>
        <w:ind w:firstLine="420"/>
        <w:rPr>
          <w:rFonts w:hint="eastAsia" w:ascii="宋体" w:hAnsi="宋体"/>
          <w:kern w:val="0"/>
          <w:szCs w:val="21"/>
        </w:rPr>
      </w:pPr>
      <w:r>
        <w:rPr>
          <w:rFonts w:hint="eastAsia" w:ascii="宋体" w:hAnsi="宋体"/>
          <w:kern w:val="0"/>
          <w:szCs w:val="21"/>
        </w:rPr>
        <w:t>20、机构投资者：指依法可以投资证券投资基金的、在中华人民共和国境内合法登记并存续或经有关政府部门批准设立并存续的企业法人、事业法人、社会团体或其他组织</w:t>
      </w:r>
    </w:p>
    <w:p w14:paraId="4EBBB158">
      <w:pPr>
        <w:spacing w:line="360" w:lineRule="auto"/>
        <w:ind w:firstLine="420"/>
        <w:rPr>
          <w:rFonts w:hint="eastAsia" w:ascii="宋体" w:hAnsi="宋体"/>
          <w:kern w:val="0"/>
          <w:szCs w:val="21"/>
        </w:rPr>
      </w:pPr>
      <w:r>
        <w:rPr>
          <w:rFonts w:hint="eastAsia" w:ascii="宋体" w:hAnsi="宋体"/>
          <w:kern w:val="0"/>
          <w:szCs w:val="21"/>
        </w:rPr>
        <w:t>21、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42B3EB31">
      <w:pPr>
        <w:spacing w:line="360" w:lineRule="auto"/>
        <w:ind w:firstLine="420"/>
        <w:rPr>
          <w:rFonts w:hint="eastAsia" w:ascii="宋体" w:hAnsi="宋体"/>
          <w:kern w:val="0"/>
          <w:szCs w:val="21"/>
        </w:rPr>
      </w:pPr>
      <w:r>
        <w:rPr>
          <w:rFonts w:hint="eastAsia" w:ascii="宋体" w:hAnsi="宋体"/>
          <w:kern w:val="0"/>
          <w:szCs w:val="21"/>
        </w:rPr>
        <w:t>22、投资人/投资者：指个人投资者、机构投资者、合格境外机构投资者和人民币合格境外机构投资者以及法律法规或中国证监会允许购买证券投资基金的其他投资人的合称</w:t>
      </w:r>
    </w:p>
    <w:p w14:paraId="3929792E">
      <w:pPr>
        <w:spacing w:line="360" w:lineRule="auto"/>
        <w:ind w:firstLine="420"/>
        <w:rPr>
          <w:rFonts w:hint="eastAsia" w:ascii="宋体" w:hAnsi="宋体"/>
          <w:kern w:val="0"/>
          <w:szCs w:val="21"/>
        </w:rPr>
      </w:pPr>
      <w:r>
        <w:rPr>
          <w:rFonts w:hint="eastAsia" w:ascii="宋体" w:hAnsi="宋体"/>
          <w:kern w:val="0"/>
          <w:szCs w:val="21"/>
        </w:rPr>
        <w:t>23、基金份额持有人：指依基金合同和招募说明书合法取得基金份额的投资人</w:t>
      </w:r>
    </w:p>
    <w:p w14:paraId="1EFA5540">
      <w:pPr>
        <w:spacing w:line="360" w:lineRule="auto"/>
        <w:ind w:firstLine="420"/>
        <w:rPr>
          <w:rFonts w:hint="eastAsia" w:ascii="宋体" w:hAnsi="宋体"/>
          <w:kern w:val="0"/>
          <w:szCs w:val="21"/>
        </w:rPr>
      </w:pPr>
      <w:r>
        <w:rPr>
          <w:rFonts w:hint="eastAsia" w:ascii="宋体" w:hAnsi="宋体"/>
          <w:kern w:val="0"/>
          <w:szCs w:val="21"/>
        </w:rPr>
        <w:t>24、基金销售业务：指基金管理人或销售机构宣传推介基金，发售基金份额，办理基金份额的申购、赎回、转换、转托管及定期定额投资等业务</w:t>
      </w:r>
    </w:p>
    <w:p w14:paraId="2E4517E4">
      <w:pPr>
        <w:spacing w:line="360" w:lineRule="auto"/>
        <w:ind w:firstLine="420"/>
        <w:rPr>
          <w:rFonts w:hint="eastAsia" w:ascii="宋体" w:hAnsi="宋体"/>
          <w:kern w:val="0"/>
          <w:szCs w:val="21"/>
        </w:rPr>
      </w:pPr>
      <w:r>
        <w:rPr>
          <w:rFonts w:hint="eastAsia" w:ascii="宋体" w:hAnsi="宋体"/>
          <w:kern w:val="0"/>
          <w:szCs w:val="21"/>
        </w:rPr>
        <w:t>25、销售机构：指博时基金管理有限公司以及符合《销售办法》和中国证监会规定的其他条件，取得基金销售业务资格并与基金管理人签订了基金销售服务协议，办理基金销售业务的机构</w:t>
      </w:r>
    </w:p>
    <w:p w14:paraId="220D0656">
      <w:pPr>
        <w:spacing w:line="360" w:lineRule="auto"/>
        <w:ind w:firstLine="420"/>
        <w:rPr>
          <w:rFonts w:hint="eastAsia" w:ascii="宋体" w:hAnsi="宋体"/>
          <w:kern w:val="0"/>
          <w:szCs w:val="21"/>
        </w:rPr>
      </w:pPr>
      <w:r>
        <w:rPr>
          <w:rFonts w:hint="eastAsia" w:ascii="宋体" w:hAnsi="宋体"/>
          <w:kern w:val="0"/>
          <w:szCs w:val="21"/>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4798091">
      <w:pPr>
        <w:spacing w:line="360" w:lineRule="auto"/>
        <w:ind w:firstLine="420"/>
        <w:rPr>
          <w:rFonts w:hint="eastAsia" w:ascii="宋体" w:hAnsi="宋体"/>
          <w:kern w:val="0"/>
          <w:szCs w:val="21"/>
        </w:rPr>
      </w:pPr>
      <w:r>
        <w:rPr>
          <w:rFonts w:hint="eastAsia" w:ascii="宋体" w:hAnsi="宋体"/>
          <w:kern w:val="0"/>
          <w:szCs w:val="21"/>
        </w:rPr>
        <w:t>27、登记机构：指办理登记业务的机构。基金的登记机构为博时基金管理有限公司或接受博时基金管理有限公司委托代为办理登记业务的机构</w:t>
      </w:r>
    </w:p>
    <w:p w14:paraId="55778114">
      <w:pPr>
        <w:spacing w:line="360" w:lineRule="auto"/>
        <w:ind w:firstLine="420"/>
        <w:rPr>
          <w:rFonts w:hint="eastAsia" w:ascii="宋体" w:hAnsi="宋体"/>
          <w:kern w:val="0"/>
          <w:szCs w:val="21"/>
        </w:rPr>
      </w:pPr>
      <w:r>
        <w:rPr>
          <w:rFonts w:hint="eastAsia" w:ascii="宋体" w:hAnsi="宋体"/>
          <w:kern w:val="0"/>
          <w:szCs w:val="21"/>
        </w:rPr>
        <w:t>28、基金账户：指登记机构为投资人开立的、记录其持有的、基金管理人所管理的基金份额余额及其变动情况的账户</w:t>
      </w:r>
    </w:p>
    <w:p w14:paraId="61E55E03">
      <w:pPr>
        <w:spacing w:line="360" w:lineRule="auto"/>
        <w:ind w:firstLine="420"/>
        <w:rPr>
          <w:rFonts w:hint="eastAsia" w:ascii="宋体" w:hAnsi="宋体"/>
          <w:kern w:val="0"/>
          <w:szCs w:val="21"/>
        </w:rPr>
      </w:pPr>
      <w:r>
        <w:rPr>
          <w:rFonts w:hint="eastAsia" w:ascii="宋体" w:hAnsi="宋体"/>
          <w:kern w:val="0"/>
          <w:szCs w:val="21"/>
        </w:rPr>
        <w:t>29、基金交易账户：指销售机构为投资人开立的、记录投资人通过该销售机构办理认购、申购、赎回、转换、转托管及定期定额投资等业务而引起的基金份额变动及结余情况的账户</w:t>
      </w:r>
    </w:p>
    <w:p w14:paraId="4D66D9DC">
      <w:pPr>
        <w:spacing w:line="360" w:lineRule="auto"/>
        <w:ind w:firstLine="420"/>
        <w:rPr>
          <w:rFonts w:hint="eastAsia" w:ascii="宋体" w:hAnsi="宋体"/>
          <w:kern w:val="0"/>
          <w:szCs w:val="21"/>
        </w:rPr>
      </w:pPr>
      <w:r>
        <w:rPr>
          <w:rFonts w:hint="eastAsia" w:ascii="宋体" w:hAnsi="宋体"/>
          <w:kern w:val="0"/>
          <w:szCs w:val="21"/>
        </w:rPr>
        <w:t>30、基金合同生效日：指基金募集达到法律法规规定及基金合同规定的条件，基金管理人向中国证监会办理基金备案手续完毕，并获得中国证监会书面确认的日期</w:t>
      </w:r>
    </w:p>
    <w:p w14:paraId="758F5F9F">
      <w:pPr>
        <w:spacing w:line="360" w:lineRule="auto"/>
        <w:ind w:firstLine="420"/>
        <w:rPr>
          <w:rFonts w:hint="eastAsia" w:ascii="宋体" w:hAnsi="宋体"/>
          <w:kern w:val="0"/>
          <w:szCs w:val="21"/>
        </w:rPr>
      </w:pPr>
      <w:r>
        <w:rPr>
          <w:rFonts w:hint="eastAsia" w:ascii="宋体" w:hAnsi="宋体"/>
          <w:kern w:val="0"/>
          <w:szCs w:val="21"/>
        </w:rPr>
        <w:t>31、基金合同终止日：指基金合同规定的基金合同终止事由出现后，基金财产清算完毕，清算结果报中国证监会备案并予以公告的日期</w:t>
      </w:r>
    </w:p>
    <w:p w14:paraId="745E9FDB">
      <w:pPr>
        <w:spacing w:line="360" w:lineRule="auto"/>
        <w:ind w:firstLine="420"/>
        <w:rPr>
          <w:rFonts w:hint="eastAsia" w:ascii="宋体" w:hAnsi="宋体"/>
          <w:kern w:val="0"/>
          <w:szCs w:val="21"/>
        </w:rPr>
      </w:pPr>
      <w:r>
        <w:rPr>
          <w:rFonts w:hint="eastAsia" w:ascii="宋体" w:hAnsi="宋体"/>
          <w:kern w:val="0"/>
          <w:szCs w:val="21"/>
        </w:rPr>
        <w:t>32、基金募集期：指自基金份额发售之日起至发售结束之日止的期间，最长不得超过3个月</w:t>
      </w:r>
    </w:p>
    <w:p w14:paraId="1C3ECE40">
      <w:pPr>
        <w:spacing w:line="360" w:lineRule="auto"/>
        <w:ind w:firstLine="420"/>
        <w:rPr>
          <w:rFonts w:hint="eastAsia" w:ascii="宋体" w:hAnsi="宋体"/>
          <w:kern w:val="0"/>
          <w:szCs w:val="21"/>
        </w:rPr>
      </w:pPr>
      <w:r>
        <w:rPr>
          <w:rFonts w:hint="eastAsia" w:ascii="宋体" w:hAnsi="宋体"/>
          <w:kern w:val="0"/>
          <w:szCs w:val="21"/>
        </w:rPr>
        <w:t>33、存续期：指基金合同生效至终止之间的不定期期限</w:t>
      </w:r>
    </w:p>
    <w:p w14:paraId="24003FD7">
      <w:pPr>
        <w:spacing w:line="360" w:lineRule="auto"/>
        <w:ind w:firstLine="420"/>
        <w:rPr>
          <w:rFonts w:hint="eastAsia" w:ascii="宋体" w:hAnsi="宋体"/>
          <w:kern w:val="0"/>
          <w:szCs w:val="21"/>
        </w:rPr>
      </w:pPr>
      <w:r>
        <w:rPr>
          <w:rFonts w:hint="eastAsia" w:ascii="宋体" w:hAnsi="宋体"/>
          <w:kern w:val="0"/>
          <w:szCs w:val="21"/>
        </w:rPr>
        <w:t>34、工作日：指上海证券交易所、深圳证券交易所的正常交易日</w:t>
      </w:r>
    </w:p>
    <w:p w14:paraId="65AAE6C0">
      <w:pPr>
        <w:spacing w:line="360" w:lineRule="auto"/>
        <w:ind w:firstLine="420"/>
        <w:rPr>
          <w:rFonts w:hint="eastAsia" w:ascii="宋体" w:hAnsi="宋体"/>
          <w:kern w:val="0"/>
          <w:szCs w:val="21"/>
        </w:rPr>
      </w:pPr>
      <w:r>
        <w:rPr>
          <w:rFonts w:hint="eastAsia" w:ascii="宋体" w:hAnsi="宋体"/>
          <w:kern w:val="0"/>
          <w:szCs w:val="21"/>
        </w:rPr>
        <w:t>35、T日：指销售机构在规定时间受理投资人申购、赎回或其他业务申请的开放日</w:t>
      </w:r>
    </w:p>
    <w:p w14:paraId="73F52590">
      <w:pPr>
        <w:spacing w:line="360" w:lineRule="auto"/>
        <w:ind w:firstLine="420"/>
        <w:rPr>
          <w:rFonts w:hint="eastAsia" w:ascii="宋体" w:hAnsi="宋体"/>
          <w:kern w:val="0"/>
          <w:szCs w:val="21"/>
        </w:rPr>
      </w:pPr>
      <w:r>
        <w:rPr>
          <w:rFonts w:hint="eastAsia" w:ascii="宋体" w:hAnsi="宋体"/>
          <w:kern w:val="0"/>
          <w:szCs w:val="21"/>
        </w:rPr>
        <w:t>36、T+n日：指自T日起第n个工作日（不包含T日）</w:t>
      </w:r>
    </w:p>
    <w:p w14:paraId="7A08BB4A">
      <w:pPr>
        <w:spacing w:line="360" w:lineRule="auto"/>
        <w:ind w:firstLine="420"/>
        <w:rPr>
          <w:rFonts w:hint="eastAsia" w:ascii="宋体" w:hAnsi="宋体"/>
          <w:kern w:val="0"/>
          <w:szCs w:val="21"/>
        </w:rPr>
      </w:pPr>
      <w:r>
        <w:rPr>
          <w:rFonts w:hint="eastAsia" w:ascii="宋体" w:hAnsi="宋体"/>
          <w:kern w:val="0"/>
          <w:szCs w:val="21"/>
        </w:rPr>
        <w:t>37、最短持有期：指本基金对每份基金份额设置3个月的最短持有期。在基金份额的最短持有期到期日之前（不含最短持有期到期日当日），投资者不能提出赎回申请，最短持有期期满后（含最短持有期到期日当日）投资者可以申请赎回</w:t>
      </w:r>
    </w:p>
    <w:p w14:paraId="11DA8F79">
      <w:pPr>
        <w:spacing w:line="360" w:lineRule="auto"/>
        <w:ind w:firstLine="420"/>
        <w:rPr>
          <w:rFonts w:hint="eastAsia" w:ascii="宋体" w:hAnsi="宋体"/>
          <w:kern w:val="0"/>
          <w:szCs w:val="21"/>
        </w:rPr>
      </w:pPr>
      <w:r>
        <w:rPr>
          <w:rFonts w:hint="eastAsia" w:ascii="宋体" w:hAnsi="宋体"/>
          <w:kern w:val="0"/>
          <w:szCs w:val="21"/>
        </w:rPr>
        <w:t>38、最短持有期起始日：每份认购份额的最短持有期起始日指基金合同生效日，每份申购份额的最短持有期起始日指该基金份额申购申请的确认日</w:t>
      </w:r>
    </w:p>
    <w:p w14:paraId="0D6C0440">
      <w:pPr>
        <w:spacing w:line="360" w:lineRule="auto"/>
        <w:ind w:firstLine="420"/>
        <w:rPr>
          <w:rFonts w:hint="eastAsia" w:ascii="宋体" w:hAnsi="宋体"/>
          <w:kern w:val="0"/>
          <w:szCs w:val="21"/>
        </w:rPr>
      </w:pPr>
      <w:r>
        <w:rPr>
          <w:rFonts w:hint="eastAsia" w:ascii="宋体" w:hAnsi="宋体"/>
          <w:kern w:val="0"/>
          <w:szCs w:val="21"/>
        </w:rPr>
        <w:t>39、最短持有期到期日：每份基金份额的最短持有期到期日指该基金份额最短持有期起始日起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p w14:paraId="177E1A14">
      <w:pPr>
        <w:spacing w:line="360" w:lineRule="auto"/>
        <w:ind w:firstLine="420"/>
        <w:rPr>
          <w:rFonts w:hint="eastAsia" w:ascii="宋体" w:hAnsi="宋体"/>
          <w:kern w:val="0"/>
          <w:szCs w:val="21"/>
        </w:rPr>
      </w:pPr>
      <w:r>
        <w:rPr>
          <w:rFonts w:hint="eastAsia" w:ascii="宋体" w:hAnsi="宋体"/>
          <w:kern w:val="0"/>
          <w:szCs w:val="21"/>
        </w:rPr>
        <w:t>40、开放日：指为投资人办理基金份额申购、赎回或其他业务的工作日（若本基金参与港股通交易且该工作日为非港股通交易日时，基金管理人可根据实际情况决定本基金是否开放申购、赎回及转换业务，具体以届时提前发布的公告为准）</w:t>
      </w:r>
    </w:p>
    <w:p w14:paraId="1E454D79">
      <w:pPr>
        <w:spacing w:line="360" w:lineRule="auto"/>
        <w:ind w:firstLine="420"/>
        <w:rPr>
          <w:rFonts w:hint="eastAsia" w:ascii="宋体" w:hAnsi="宋体"/>
          <w:kern w:val="0"/>
          <w:szCs w:val="21"/>
        </w:rPr>
      </w:pPr>
      <w:r>
        <w:rPr>
          <w:rFonts w:hint="eastAsia" w:ascii="宋体" w:hAnsi="宋体"/>
          <w:kern w:val="0"/>
          <w:szCs w:val="21"/>
        </w:rPr>
        <w:t>41、开放时间：指开放日基金接受申购、赎回或其他交易的时间段</w:t>
      </w:r>
    </w:p>
    <w:p w14:paraId="3D2EC72F">
      <w:pPr>
        <w:spacing w:line="360" w:lineRule="auto"/>
        <w:ind w:firstLine="420"/>
        <w:rPr>
          <w:rFonts w:hint="eastAsia" w:ascii="宋体" w:hAnsi="宋体"/>
          <w:kern w:val="0"/>
          <w:szCs w:val="21"/>
        </w:rPr>
      </w:pPr>
      <w:r>
        <w:rPr>
          <w:rFonts w:hint="eastAsia" w:ascii="宋体" w:hAnsi="宋体"/>
          <w:kern w:val="0"/>
          <w:szCs w:val="21"/>
        </w:rPr>
        <w:t>42、《业务规则》：指《博时基金管理有限公司开放式基金业务规则》，是规范基金管理人所管理的开放式证券投资基金登记方面的业务规则，由基金管理人和投资人共同遵守</w:t>
      </w:r>
    </w:p>
    <w:p w14:paraId="374A3CFE">
      <w:pPr>
        <w:spacing w:line="360" w:lineRule="auto"/>
        <w:ind w:firstLine="420"/>
        <w:rPr>
          <w:rFonts w:hint="eastAsia" w:ascii="宋体" w:hAnsi="宋体"/>
          <w:kern w:val="0"/>
          <w:szCs w:val="21"/>
        </w:rPr>
      </w:pPr>
      <w:r>
        <w:rPr>
          <w:rFonts w:hint="eastAsia" w:ascii="宋体" w:hAnsi="宋体"/>
          <w:kern w:val="0"/>
          <w:szCs w:val="21"/>
        </w:rPr>
        <w:t>43、认购：指在基金募集期内，投资人根据基金合同和招募说明书的规定申请购买基金份额的行为</w:t>
      </w:r>
    </w:p>
    <w:p w14:paraId="21746304">
      <w:pPr>
        <w:spacing w:line="360" w:lineRule="auto"/>
        <w:ind w:firstLine="420"/>
        <w:rPr>
          <w:rFonts w:hint="eastAsia" w:ascii="宋体" w:hAnsi="宋体"/>
          <w:kern w:val="0"/>
          <w:szCs w:val="21"/>
        </w:rPr>
      </w:pPr>
      <w:r>
        <w:rPr>
          <w:rFonts w:hint="eastAsia" w:ascii="宋体" w:hAnsi="宋体"/>
          <w:kern w:val="0"/>
          <w:szCs w:val="21"/>
        </w:rPr>
        <w:t>44、申购：指基金合同生效后，投资人根据基金合同和招募说明书的规定申请购买基金份额的行为</w:t>
      </w:r>
    </w:p>
    <w:p w14:paraId="4A5EDF05">
      <w:pPr>
        <w:spacing w:line="360" w:lineRule="auto"/>
        <w:ind w:firstLine="420"/>
        <w:rPr>
          <w:rFonts w:hint="eastAsia" w:ascii="宋体" w:hAnsi="宋体"/>
          <w:kern w:val="0"/>
          <w:szCs w:val="21"/>
        </w:rPr>
      </w:pPr>
      <w:r>
        <w:rPr>
          <w:rFonts w:hint="eastAsia" w:ascii="宋体" w:hAnsi="宋体"/>
          <w:kern w:val="0"/>
          <w:szCs w:val="21"/>
        </w:rPr>
        <w:t>45、赎回：指基金合同生效后，基金份额持有人按基金合同和招募说明书规定的条件要求将基金份额兑换为现金的行为</w:t>
      </w:r>
    </w:p>
    <w:p w14:paraId="1199BD57">
      <w:pPr>
        <w:spacing w:line="360" w:lineRule="auto"/>
        <w:ind w:firstLine="420"/>
        <w:rPr>
          <w:rFonts w:hint="eastAsia" w:ascii="宋体" w:hAnsi="宋体"/>
          <w:kern w:val="0"/>
          <w:szCs w:val="21"/>
        </w:rPr>
      </w:pPr>
      <w:r>
        <w:rPr>
          <w:rFonts w:hint="eastAsia" w:ascii="宋体" w:hAnsi="宋体"/>
          <w:kern w:val="0"/>
          <w:szCs w:val="21"/>
        </w:rPr>
        <w:t>46、销售服务费：指从基金资产中计提的，用于本基金市场推广、销售以及基金份额持有人服务的费用</w:t>
      </w:r>
    </w:p>
    <w:p w14:paraId="7E3B2B3A">
      <w:pPr>
        <w:spacing w:line="360" w:lineRule="auto"/>
        <w:ind w:firstLine="420"/>
        <w:rPr>
          <w:rFonts w:hint="eastAsia" w:ascii="宋体" w:hAnsi="宋体"/>
          <w:kern w:val="0"/>
          <w:szCs w:val="21"/>
        </w:rPr>
      </w:pPr>
      <w:r>
        <w:rPr>
          <w:rFonts w:hint="eastAsia" w:ascii="宋体" w:hAnsi="宋体"/>
          <w:kern w:val="0"/>
          <w:szCs w:val="21"/>
        </w:rPr>
        <w:t>47、基金份额类别：指根据认购费用、申购费用、销售服务费收取方式的不同将基金份额分为不同的类别，各基金份额类别代码不同，基金份额净值和基金份额累计净值或有不同</w:t>
      </w:r>
    </w:p>
    <w:p w14:paraId="62B57E52">
      <w:pPr>
        <w:spacing w:line="360" w:lineRule="auto"/>
        <w:ind w:firstLine="420"/>
        <w:rPr>
          <w:rFonts w:hint="eastAsia" w:ascii="宋体" w:hAnsi="宋体"/>
          <w:kern w:val="0"/>
          <w:szCs w:val="21"/>
        </w:rPr>
      </w:pPr>
      <w:r>
        <w:rPr>
          <w:rFonts w:hint="eastAsia" w:ascii="宋体" w:hAnsi="宋体"/>
          <w:kern w:val="0"/>
          <w:szCs w:val="21"/>
        </w:rPr>
        <w:t>48、A类基金份额：在投资者认购、申购基金份额时收取认购、申购费用，不从本类别基金资产中计提销售服务费的，称为A类基金份额；投资者通过直销机构认购/申购A类基金份额时不收取认购/申购费用。基金管理人的销售子公司销售本基金A类基金份额，参照直销机构相关规则执行（下同）</w:t>
      </w:r>
    </w:p>
    <w:p w14:paraId="0E0142EB">
      <w:pPr>
        <w:spacing w:line="360" w:lineRule="auto"/>
        <w:ind w:firstLine="420" w:firstLineChars="200"/>
        <w:rPr>
          <w:rFonts w:hint="eastAsia" w:ascii="宋体" w:hAnsi="宋体"/>
          <w:kern w:val="0"/>
          <w:szCs w:val="21"/>
        </w:rPr>
      </w:pPr>
      <w:r>
        <w:rPr>
          <w:rFonts w:hint="eastAsia" w:ascii="宋体" w:hAnsi="宋体"/>
          <w:kern w:val="0"/>
          <w:szCs w:val="21"/>
        </w:rPr>
        <w:t>49、C类基金份额：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基金管理人的销售子公司销售本基金C类基金份额，参照直销机构相关规则执行（下同）</w:t>
      </w:r>
    </w:p>
    <w:p w14:paraId="77746781">
      <w:pPr>
        <w:spacing w:line="360" w:lineRule="auto"/>
        <w:ind w:firstLine="420"/>
        <w:rPr>
          <w:rFonts w:hint="eastAsia" w:ascii="宋体" w:hAnsi="宋体"/>
          <w:kern w:val="0"/>
          <w:szCs w:val="21"/>
        </w:rPr>
      </w:pPr>
      <w:r>
        <w:rPr>
          <w:rFonts w:hint="eastAsia" w:ascii="宋体" w:hAnsi="宋体"/>
          <w:kern w:val="0"/>
          <w:szCs w:val="21"/>
        </w:rPr>
        <w:t>50、基金转换：指基金份额持有人按照基金合同和基金管理人届时有效公告规定的条件，申请将其持有基金管理人管理的、某一基金的基金份额转换为基金管理人管理的其他基金基金份额的行为</w:t>
      </w:r>
    </w:p>
    <w:p w14:paraId="75383052">
      <w:pPr>
        <w:spacing w:line="360" w:lineRule="auto"/>
        <w:ind w:firstLine="420"/>
        <w:rPr>
          <w:rFonts w:hint="eastAsia" w:ascii="宋体" w:hAnsi="宋体"/>
          <w:kern w:val="0"/>
          <w:szCs w:val="21"/>
        </w:rPr>
      </w:pPr>
      <w:r>
        <w:rPr>
          <w:rFonts w:hint="eastAsia" w:ascii="宋体" w:hAnsi="宋体"/>
          <w:kern w:val="0"/>
          <w:szCs w:val="21"/>
        </w:rPr>
        <w:t>51、转托管：指基金份额持有人在本基金的不同销售机构之间实施的变更所持基金份额销售机构的操作</w:t>
      </w:r>
    </w:p>
    <w:p w14:paraId="1DAF2F48">
      <w:pPr>
        <w:spacing w:line="360" w:lineRule="auto"/>
        <w:ind w:firstLine="420"/>
        <w:rPr>
          <w:rFonts w:hint="eastAsia" w:ascii="宋体" w:hAnsi="宋体"/>
          <w:kern w:val="0"/>
          <w:szCs w:val="21"/>
        </w:rPr>
      </w:pPr>
      <w:r>
        <w:rPr>
          <w:rFonts w:hint="eastAsia" w:ascii="宋体" w:hAnsi="宋体"/>
          <w:kern w:val="0"/>
          <w:szCs w:val="21"/>
        </w:rPr>
        <w:t>52、定期定额投资计划：指投资人通过有关销售机构提出申请，约定每期申购日、扣款金额及扣款方式，由销售机构于每期约定扣款日在投资人指定银行账户内自动完成扣款及受理基金申购申请的一种投资方式</w:t>
      </w:r>
    </w:p>
    <w:p w14:paraId="04323BAC">
      <w:pPr>
        <w:spacing w:line="360" w:lineRule="auto"/>
        <w:ind w:firstLine="420"/>
        <w:rPr>
          <w:rFonts w:hint="eastAsia" w:ascii="宋体" w:hAnsi="宋体"/>
          <w:kern w:val="0"/>
          <w:szCs w:val="21"/>
        </w:rPr>
      </w:pPr>
      <w:r>
        <w:rPr>
          <w:rFonts w:hint="eastAsia" w:ascii="宋体" w:hAnsi="宋体"/>
          <w:kern w:val="0"/>
          <w:szCs w:val="21"/>
        </w:rPr>
        <w:t>53、巨额赎回：指本基金单个开放日，基金净赎回申请（赎回申请份额总数加上基金转换中转出申请份额总数后扣除申购申请份额总数及基金转换中转入申请份额总数后的余额）超过上一开放日基金总份额的10%</w:t>
      </w:r>
    </w:p>
    <w:p w14:paraId="1F5A99E6">
      <w:pPr>
        <w:spacing w:line="360" w:lineRule="auto"/>
        <w:ind w:firstLine="420"/>
        <w:rPr>
          <w:rFonts w:hint="eastAsia" w:ascii="宋体" w:hAnsi="宋体"/>
          <w:kern w:val="0"/>
          <w:szCs w:val="21"/>
        </w:rPr>
      </w:pPr>
      <w:r>
        <w:rPr>
          <w:rFonts w:hint="eastAsia" w:ascii="宋体" w:hAnsi="宋体"/>
          <w:kern w:val="0"/>
          <w:szCs w:val="21"/>
        </w:rPr>
        <w:t>54、元：指人民币元</w:t>
      </w:r>
    </w:p>
    <w:p w14:paraId="3EA386FB">
      <w:pPr>
        <w:spacing w:line="360" w:lineRule="auto"/>
        <w:ind w:firstLine="420"/>
        <w:rPr>
          <w:rFonts w:hint="eastAsia" w:ascii="宋体" w:hAnsi="宋体"/>
          <w:kern w:val="0"/>
          <w:szCs w:val="21"/>
        </w:rPr>
      </w:pPr>
      <w:r>
        <w:rPr>
          <w:rFonts w:hint="eastAsia" w:ascii="宋体" w:hAnsi="宋体"/>
          <w:kern w:val="0"/>
          <w:szCs w:val="21"/>
        </w:rPr>
        <w:t>55、基金收益：指基金投资所得基金收益、股票红利、股息、债券利息、买卖证券价差、银行存款利息、已实现的其他合法收入及因运用基金财产带来的成本和费用的节约</w:t>
      </w:r>
    </w:p>
    <w:p w14:paraId="5D0D2D92">
      <w:pPr>
        <w:spacing w:line="360" w:lineRule="auto"/>
        <w:ind w:firstLine="420"/>
        <w:rPr>
          <w:rFonts w:hint="eastAsia" w:ascii="宋体" w:hAnsi="宋体"/>
          <w:kern w:val="0"/>
          <w:szCs w:val="21"/>
        </w:rPr>
      </w:pPr>
      <w:r>
        <w:rPr>
          <w:rFonts w:hint="eastAsia" w:ascii="宋体" w:hAnsi="宋体"/>
          <w:kern w:val="0"/>
          <w:szCs w:val="21"/>
        </w:rPr>
        <w:t>56、基金资产总值：指基金拥有的各类有价证券、证券投资基金、银行存款本息、基金应收款项及其他资产的价值总和</w:t>
      </w:r>
    </w:p>
    <w:p w14:paraId="0D4CEF38">
      <w:pPr>
        <w:spacing w:line="360" w:lineRule="auto"/>
        <w:ind w:firstLine="420"/>
        <w:rPr>
          <w:rFonts w:hint="eastAsia" w:ascii="宋体" w:hAnsi="宋体"/>
          <w:kern w:val="0"/>
          <w:szCs w:val="21"/>
        </w:rPr>
      </w:pPr>
      <w:r>
        <w:rPr>
          <w:rFonts w:hint="eastAsia" w:ascii="宋体" w:hAnsi="宋体"/>
          <w:kern w:val="0"/>
          <w:szCs w:val="21"/>
        </w:rPr>
        <w:t>57、基金资产净值：指基金资产总值减去基金负债后的价值</w:t>
      </w:r>
    </w:p>
    <w:p w14:paraId="7483793C">
      <w:pPr>
        <w:spacing w:line="360" w:lineRule="auto"/>
        <w:ind w:firstLine="420"/>
        <w:rPr>
          <w:rFonts w:hint="eastAsia" w:ascii="宋体" w:hAnsi="宋体"/>
          <w:kern w:val="0"/>
          <w:szCs w:val="21"/>
        </w:rPr>
      </w:pPr>
      <w:r>
        <w:rPr>
          <w:rFonts w:hint="eastAsia" w:ascii="宋体" w:hAnsi="宋体"/>
          <w:kern w:val="0"/>
          <w:szCs w:val="21"/>
        </w:rPr>
        <w:t>58、基金份额净值：指估值日基金资产净值除以估值日基金份额总数</w:t>
      </w:r>
    </w:p>
    <w:p w14:paraId="4B38FB89">
      <w:pPr>
        <w:spacing w:line="360" w:lineRule="auto"/>
        <w:ind w:firstLine="420"/>
        <w:rPr>
          <w:rFonts w:hint="eastAsia" w:ascii="宋体" w:hAnsi="宋体"/>
          <w:kern w:val="0"/>
          <w:szCs w:val="21"/>
        </w:rPr>
      </w:pPr>
      <w:r>
        <w:rPr>
          <w:rFonts w:hint="eastAsia" w:ascii="宋体" w:hAnsi="宋体"/>
          <w:kern w:val="0"/>
          <w:szCs w:val="21"/>
        </w:rPr>
        <w:t>59、基金资产估值：指计算评估基金资产和负债的价值，以确定基金资产净值和基金份额净值的过程</w:t>
      </w:r>
    </w:p>
    <w:p w14:paraId="3E89536B">
      <w:pPr>
        <w:spacing w:line="360" w:lineRule="auto"/>
        <w:ind w:firstLine="420"/>
        <w:rPr>
          <w:rFonts w:hint="eastAsia" w:ascii="宋体" w:hAnsi="宋体"/>
          <w:kern w:val="0"/>
          <w:szCs w:val="21"/>
        </w:rPr>
      </w:pPr>
      <w:r>
        <w:rPr>
          <w:rFonts w:hint="eastAsia" w:ascii="宋体" w:hAnsi="宋体"/>
          <w:kern w:val="0"/>
          <w:szCs w:val="21"/>
        </w:rPr>
        <w:t>60、规定媒介：指符合中国证监会规定条件的用以进行信息披露的全国性报刊及《信息披露办法》规定的互联网网站（包括基金管理人网站、基金托管人网站、中国证监会基金电子披露网站）等媒介</w:t>
      </w:r>
    </w:p>
    <w:p w14:paraId="029128C5">
      <w:pPr>
        <w:spacing w:line="360" w:lineRule="auto"/>
        <w:ind w:firstLine="420"/>
        <w:rPr>
          <w:rFonts w:hint="eastAsia" w:ascii="宋体" w:hAnsi="宋体"/>
          <w:kern w:val="0"/>
          <w:szCs w:val="21"/>
        </w:rPr>
      </w:pPr>
      <w:r>
        <w:rPr>
          <w:rFonts w:hint="eastAsia" w:ascii="宋体" w:hAnsi="宋体"/>
          <w:kern w:val="0"/>
          <w:szCs w:val="21"/>
        </w:rPr>
        <w:t>61、基金中基金或FOF：指依据《基金中基金指引》的规定，将80%以上的基金资产投资于中国证监会依法核准或注册的公开募集证券投资基金的基金份额的基金</w:t>
      </w:r>
    </w:p>
    <w:p w14:paraId="10B4BFF8">
      <w:pPr>
        <w:spacing w:line="360" w:lineRule="auto"/>
        <w:ind w:firstLine="420"/>
        <w:rPr>
          <w:rFonts w:hint="eastAsia" w:ascii="宋体" w:hAnsi="宋体"/>
          <w:kern w:val="0"/>
          <w:szCs w:val="21"/>
        </w:rPr>
      </w:pPr>
      <w:r>
        <w:rPr>
          <w:rFonts w:hint="eastAsia" w:ascii="宋体" w:hAnsi="宋体"/>
          <w:kern w:val="0"/>
          <w:szCs w:val="21"/>
        </w:rPr>
        <w:t>62、被投资基金：指依据《基金中基金指引》和基金合同的约定，本基金投资的经中国证监会依法核准或注册的公开募集证券投资基金的基金份额的基金</w:t>
      </w:r>
    </w:p>
    <w:p w14:paraId="71ED6BE4">
      <w:pPr>
        <w:spacing w:line="360" w:lineRule="auto"/>
        <w:ind w:firstLine="420"/>
        <w:rPr>
          <w:rFonts w:hint="eastAsia" w:ascii="宋体" w:hAnsi="宋体"/>
          <w:kern w:val="0"/>
          <w:szCs w:val="21"/>
        </w:rPr>
      </w:pPr>
      <w:r>
        <w:rPr>
          <w:rFonts w:hint="eastAsia" w:ascii="宋体" w:hAnsi="宋体"/>
          <w:kern w:val="0"/>
          <w:szCs w:val="21"/>
        </w:rPr>
        <w:t>63、港股通：指内地投资者委托内地证券公司，经由上海证券交易所/深圳证券交易所设立的证券交易服务公司，向香港联合交易所进行申报，买卖规定范围内的香港联合交易所上市的证券的交易机制，包括沪港通下的港股通和深港通下的港股通</w:t>
      </w:r>
    </w:p>
    <w:p w14:paraId="60BDD604">
      <w:pPr>
        <w:spacing w:line="360" w:lineRule="auto"/>
        <w:ind w:firstLine="420"/>
        <w:rPr>
          <w:rFonts w:hint="eastAsia" w:ascii="宋体" w:hAnsi="宋体"/>
          <w:kern w:val="0"/>
          <w:szCs w:val="21"/>
        </w:rPr>
      </w:pPr>
      <w:r>
        <w:rPr>
          <w:rFonts w:hint="eastAsia" w:ascii="宋体" w:hAnsi="宋体"/>
          <w:kern w:val="0"/>
          <w:szCs w:val="21"/>
        </w:rPr>
        <w:t>64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25C319F2">
      <w:pPr>
        <w:spacing w:line="360" w:lineRule="auto"/>
        <w:ind w:firstLine="420"/>
        <w:rPr>
          <w:rFonts w:hint="eastAsia" w:ascii="宋体" w:hAnsi="宋体"/>
          <w:kern w:val="0"/>
          <w:szCs w:val="21"/>
        </w:rPr>
      </w:pPr>
      <w:r>
        <w:rPr>
          <w:rFonts w:hint="eastAsia" w:ascii="宋体" w:hAnsi="宋体"/>
          <w:kern w:val="0"/>
          <w:szCs w:val="21"/>
        </w:rPr>
        <w:t>65、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2983BE26">
      <w:pPr>
        <w:spacing w:line="360" w:lineRule="auto"/>
        <w:ind w:firstLine="420"/>
        <w:rPr>
          <w:rFonts w:hint="eastAsia" w:ascii="宋体" w:hAnsi="宋体"/>
          <w:kern w:val="0"/>
          <w:szCs w:val="21"/>
        </w:rPr>
      </w:pPr>
      <w:r>
        <w:rPr>
          <w:rFonts w:hint="eastAsia" w:ascii="宋体" w:hAnsi="宋体"/>
          <w:kern w:val="0"/>
          <w:szCs w:val="21"/>
        </w:rPr>
        <w:t>66、不可抗力：指基金合同当事人不能预见、不能避免且不能克服的客观事件</w:t>
      </w:r>
    </w:p>
    <w:p w14:paraId="53C79E90">
      <w:pPr>
        <w:spacing w:line="360" w:lineRule="auto"/>
        <w:ind w:firstLine="420"/>
        <w:rPr>
          <w:rFonts w:hint="eastAsia" w:ascii="宋体" w:hAnsi="宋体"/>
          <w:kern w:val="0"/>
          <w:szCs w:val="21"/>
        </w:rPr>
      </w:pPr>
      <w:r>
        <w:rPr>
          <w:rFonts w:hint="eastAsia" w:ascii="宋体" w:hAnsi="宋体"/>
          <w:kern w:val="0"/>
          <w:szCs w:val="21"/>
        </w:rPr>
        <w:t>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4BF57529">
      <w:pPr>
        <w:spacing w:line="360" w:lineRule="auto"/>
        <w:ind w:firstLine="420"/>
        <w:rPr>
          <w:rFonts w:hint="eastAsia" w:ascii="宋体" w:hAnsi="宋体"/>
          <w:kern w:val="0"/>
          <w:szCs w:val="21"/>
        </w:rPr>
      </w:pPr>
      <w:r>
        <w:rPr>
          <w:rFonts w:hint="eastAsia" w:ascii="宋体" w:hAnsi="宋体"/>
          <w:kern w:val="0"/>
          <w:szCs w:val="21"/>
        </w:rPr>
        <w:t>68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54AA8856">
      <w:pPr>
        <w:spacing w:line="360" w:lineRule="auto"/>
        <w:ind w:firstLine="420" w:firstLineChars="200"/>
        <w:rPr>
          <w:rFonts w:hint="eastAsia"/>
        </w:rPr>
      </w:pPr>
      <w:r>
        <w:rPr>
          <w:rFonts w:hint="eastAsia" w:ascii="宋体" w:hAnsi="宋体"/>
          <w:kern w:val="0"/>
          <w:szCs w:val="21"/>
        </w:rPr>
        <w:t>以上释义中涉及法律法规、业务规则的内容，法律法规、业务规则修订后，如适用本基金，相关内容以修订后法律法规、业务规则为准。</w:t>
      </w:r>
      <w:bookmarkEnd w:id="6"/>
    </w:p>
    <w:p w14:paraId="21E292DC">
      <w:pPr>
        <w:spacing w:line="360" w:lineRule="auto"/>
        <w:ind w:firstLine="420" w:firstLineChars="200"/>
        <w:sectPr>
          <w:footerReference r:id="rId8" w:type="default"/>
          <w:pgSz w:w="11906" w:h="16838"/>
          <w:pgMar w:top="1440" w:right="1797" w:bottom="1440" w:left="1797" w:header="851" w:footer="992" w:gutter="0"/>
          <w:pgNumType w:start="1"/>
          <w:cols w:space="720" w:num="1"/>
          <w:docGrid w:linePitch="312" w:charSpace="0"/>
        </w:sectPr>
      </w:pPr>
    </w:p>
    <w:p w14:paraId="780BDC12">
      <w:pPr>
        <w:pStyle w:val="2"/>
        <w:spacing w:before="72" w:beforeLines="30" w:after="72" w:afterLines="30" w:line="360" w:lineRule="auto"/>
        <w:rPr>
          <w:rFonts w:hint="eastAsia" w:eastAsia="宋体"/>
          <w:b/>
          <w:sz w:val="28"/>
          <w:szCs w:val="24"/>
        </w:rPr>
      </w:pPr>
      <w:bookmarkStart w:id="7" w:name="_Toc48231670"/>
      <w:r>
        <w:rPr>
          <w:rFonts w:hint="eastAsia" w:eastAsia="宋体"/>
          <w:b/>
          <w:sz w:val="28"/>
          <w:szCs w:val="24"/>
        </w:rPr>
        <w:t xml:space="preserve">第三部分 </w:t>
      </w:r>
      <w:r>
        <w:rPr>
          <w:rFonts w:eastAsia="宋体"/>
          <w:b/>
          <w:sz w:val="28"/>
          <w:szCs w:val="24"/>
        </w:rPr>
        <w:t>基金管理人</w:t>
      </w:r>
      <w:bookmarkEnd w:id="7"/>
    </w:p>
    <w:p w14:paraId="5000C53A">
      <w:pPr>
        <w:tabs>
          <w:tab w:val="left" w:pos="3780"/>
        </w:tabs>
        <w:autoSpaceDE w:val="0"/>
        <w:autoSpaceDN w:val="0"/>
        <w:adjustRightInd w:val="0"/>
        <w:snapToGrid w:val="0"/>
        <w:spacing w:line="360" w:lineRule="auto"/>
        <w:ind w:firstLine="420" w:firstLineChars="200"/>
        <w:textAlignment w:val="bottom"/>
        <w:rPr>
          <w:rFonts w:hint="eastAsia" w:ascii="宋体" w:hAnsi="宋体"/>
          <w:b w:val="0"/>
          <w:bCs/>
          <w:kern w:val="0"/>
          <w:szCs w:val="21"/>
          <w:highlight w:val="none"/>
        </w:rPr>
      </w:pPr>
      <w:r>
        <w:rPr>
          <w:rFonts w:hint="eastAsia" w:ascii="宋体" w:hAnsi="宋体"/>
          <w:b w:val="0"/>
          <w:bCs/>
          <w:kern w:val="0"/>
          <w:szCs w:val="21"/>
          <w:highlight w:val="none"/>
        </w:rPr>
        <w:t>一、基金管理人概况</w:t>
      </w:r>
    </w:p>
    <w:p w14:paraId="115C8A1A">
      <w:pPr>
        <w:pStyle w:val="25"/>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370EAF0D">
      <w:pPr>
        <w:pStyle w:val="25"/>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289C75E1">
      <w:pPr>
        <w:pStyle w:val="25"/>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644590F9">
      <w:pPr>
        <w:pStyle w:val="25"/>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680759D1">
      <w:pPr>
        <w:pStyle w:val="25"/>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535DD8ED">
      <w:pPr>
        <w:pStyle w:val="25"/>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586A8A75">
      <w:pPr>
        <w:pStyle w:val="25"/>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17EAA9EC">
      <w:pPr>
        <w:pStyle w:val="25"/>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1949D65E">
      <w:pPr>
        <w:pStyle w:val="25"/>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38324AEC">
      <w:pPr>
        <w:pStyle w:val="25"/>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01DE3C50">
      <w:pPr>
        <w:pStyle w:val="25"/>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0B791901">
      <w:pPr>
        <w:tabs>
          <w:tab w:val="left" w:pos="3780"/>
        </w:tabs>
        <w:autoSpaceDE w:val="0"/>
        <w:autoSpaceDN w:val="0"/>
        <w:adjustRightInd w:val="0"/>
        <w:snapToGrid w:val="0"/>
        <w:spacing w:line="360" w:lineRule="auto"/>
        <w:ind w:firstLine="420" w:firstLineChars="200"/>
        <w:textAlignment w:val="bottom"/>
        <w:rPr>
          <w:rFonts w:hint="eastAsia" w:ascii="宋体" w:hAnsi="宋体"/>
          <w:b w:val="0"/>
          <w:bCs/>
          <w:kern w:val="0"/>
          <w:szCs w:val="21"/>
          <w:highlight w:val="none"/>
        </w:rPr>
      </w:pPr>
      <w:r>
        <w:rPr>
          <w:rFonts w:hint="eastAsia"/>
          <w:sz w:val="21"/>
          <w:szCs w:val="21"/>
          <w:highlight w:val="none"/>
        </w:rPr>
        <w:t>公司已经建立健全投资管理制度、风险控制制度、内部监察制度、财务管理制度、人事管理制度、信息披露制度和员工行为准则等公司管理制度体系。</w:t>
      </w:r>
      <w:r>
        <w:rPr>
          <w:rFonts w:hint="eastAsia" w:ascii="宋体" w:hAnsi="宋体"/>
          <w:b w:val="0"/>
          <w:bCs/>
          <w:kern w:val="0"/>
          <w:szCs w:val="21"/>
          <w:highlight w:val="none"/>
        </w:rPr>
        <w:t xml:space="preserve">   </w:t>
      </w:r>
    </w:p>
    <w:p w14:paraId="66DC4F4E">
      <w:pPr>
        <w:tabs>
          <w:tab w:val="left" w:pos="3780"/>
        </w:tabs>
        <w:autoSpaceDE w:val="0"/>
        <w:autoSpaceDN w:val="0"/>
        <w:adjustRightInd w:val="0"/>
        <w:snapToGrid w:val="0"/>
        <w:spacing w:line="360" w:lineRule="auto"/>
        <w:ind w:firstLine="420" w:firstLineChars="200"/>
        <w:textAlignment w:val="bottom"/>
        <w:rPr>
          <w:rFonts w:hint="eastAsia" w:ascii="宋体" w:hAnsi="宋体"/>
          <w:b w:val="0"/>
          <w:bCs/>
          <w:kern w:val="0"/>
          <w:szCs w:val="21"/>
          <w:highlight w:val="none"/>
        </w:rPr>
      </w:pPr>
      <w:r>
        <w:rPr>
          <w:rFonts w:hint="eastAsia" w:ascii="宋体" w:hAnsi="宋体"/>
          <w:b w:val="0"/>
          <w:bCs/>
          <w:kern w:val="0"/>
          <w:szCs w:val="21"/>
          <w:highlight w:val="none"/>
        </w:rPr>
        <w:t>二、主要成员情况</w:t>
      </w:r>
    </w:p>
    <w:p w14:paraId="450C9EA9">
      <w:pPr>
        <w:pStyle w:val="25"/>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0A0D9DF1">
      <w:pPr>
        <w:pStyle w:val="25"/>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5A4F2D0A">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50B60A25">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08AF2AFF">
      <w:pPr>
        <w:pStyle w:val="25"/>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FC0E120">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8B8D990">
      <w:pPr>
        <w:pStyle w:val="25"/>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6FDDE7C">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18DFA0D8">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5E2DB2C">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8435476">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6A6FE079">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9EC3DF7">
      <w:pPr>
        <w:pStyle w:val="25"/>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2EAD67BC">
      <w:pPr>
        <w:pStyle w:val="25"/>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14:paraId="019C5C41">
      <w:pPr>
        <w:pStyle w:val="25"/>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14:paraId="0AE898C5">
      <w:pPr>
        <w:pStyle w:val="25"/>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7317A1DF">
      <w:pPr>
        <w:spacing w:line="360" w:lineRule="auto"/>
        <w:ind w:firstLine="422"/>
        <w:rPr>
          <w:rFonts w:hint="eastAsia"/>
          <w:kern w:val="0"/>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kern w:val="0"/>
          <w:szCs w:val="21"/>
        </w:rPr>
        <w:t xml:space="preserve">  </w:t>
      </w:r>
    </w:p>
    <w:p w14:paraId="6FF2339B">
      <w:pPr>
        <w:spacing w:line="360" w:lineRule="auto"/>
        <w:ind w:firstLine="422"/>
        <w:rPr>
          <w:kern w:val="0"/>
          <w:szCs w:val="21"/>
        </w:rPr>
      </w:pPr>
      <w:r>
        <w:rPr>
          <w:rFonts w:hint="eastAsia"/>
          <w:kern w:val="0"/>
          <w:szCs w:val="21"/>
        </w:rPr>
        <w:t>3、本基金基金经理</w:t>
      </w:r>
    </w:p>
    <w:p w14:paraId="030E7545">
      <w:pPr>
        <w:spacing w:line="360" w:lineRule="auto"/>
        <w:ind w:firstLine="422"/>
        <w:rPr>
          <w:rFonts w:hint="eastAsia" w:eastAsia="宋体"/>
          <w:kern w:val="0"/>
          <w:szCs w:val="21"/>
          <w:lang w:eastAsia="zh-CN"/>
        </w:rPr>
      </w:pPr>
      <w:r>
        <w:rPr>
          <w:rFonts w:hint="eastAsia"/>
          <w:kern w:val="0"/>
          <w:szCs w:val="21"/>
        </w:rPr>
        <w:t>王慧女士，硕士。2005年起先后在毕马威会计师事务所、中金公司工作。2020年加入博时基金管理有限公司。历任博时金福安一年持有期混合型发起式基金中基金（FOF）(2023年4月7日-2023年10月25日)、博时五月佳5个月持有期混合型发起式基金中基金(FOF)(2023年9月5日-2024年9月20日)、博时养老目标日期2035三年持有期混合型发起式基金中基金（FOF）(2024年1月15日-2024年10月19日)的基金经理。现任博时颐泽稳健养老目标一年持有期混合型基金中基金（FOF）(2024年1月15日—至今)的基金经理</w:t>
      </w:r>
      <w:r>
        <w:rPr>
          <w:rFonts w:hint="eastAsia"/>
          <w:kern w:val="0"/>
          <w:szCs w:val="21"/>
          <w:lang w:eastAsia="zh-CN"/>
        </w:rPr>
        <w:t>。</w:t>
      </w:r>
    </w:p>
    <w:p w14:paraId="66F8CF9A">
      <w:pPr>
        <w:spacing w:line="360" w:lineRule="auto"/>
        <w:ind w:left="527"/>
        <w:rPr>
          <w:rFonts w:hint="eastAsia"/>
          <w:kern w:val="0"/>
          <w:szCs w:val="21"/>
        </w:rPr>
      </w:pPr>
      <w:r>
        <w:rPr>
          <w:rFonts w:hint="eastAsia"/>
          <w:kern w:val="0"/>
          <w:szCs w:val="21"/>
        </w:rPr>
        <w:t xml:space="preserve">4、投资决策委员会成员 </w:t>
      </w:r>
    </w:p>
    <w:p w14:paraId="48EA222D">
      <w:pPr>
        <w:spacing w:line="360" w:lineRule="auto"/>
        <w:ind w:left="527"/>
        <w:rPr>
          <w:rFonts w:hint="eastAsia"/>
          <w:kern w:val="0"/>
          <w:szCs w:val="21"/>
        </w:rPr>
      </w:pPr>
      <w:r>
        <w:rPr>
          <w:rFonts w:hint="eastAsia"/>
          <w:kern w:val="0"/>
          <w:szCs w:val="21"/>
        </w:rPr>
        <w:t>公司首席资产配置官黄健斌先生。</w:t>
      </w:r>
    </w:p>
    <w:p w14:paraId="643CB0D9">
      <w:pPr>
        <w:spacing w:line="360" w:lineRule="auto"/>
        <w:ind w:left="527"/>
        <w:rPr>
          <w:rFonts w:hint="eastAsia"/>
          <w:kern w:val="0"/>
          <w:szCs w:val="21"/>
        </w:rPr>
      </w:pPr>
      <w:r>
        <w:rPr>
          <w:rFonts w:hint="eastAsia"/>
          <w:kern w:val="0"/>
          <w:szCs w:val="21"/>
        </w:rPr>
        <w:t>公司投资决策委员会专职委员兼年金投资部总经理于善辉先生。</w:t>
      </w:r>
    </w:p>
    <w:p w14:paraId="3FC5DC5D">
      <w:pPr>
        <w:spacing w:line="360" w:lineRule="auto"/>
        <w:ind w:left="527"/>
        <w:rPr>
          <w:rFonts w:hint="eastAsia"/>
          <w:kern w:val="0"/>
          <w:szCs w:val="21"/>
        </w:rPr>
      </w:pPr>
      <w:r>
        <w:rPr>
          <w:rFonts w:hint="eastAsia"/>
          <w:kern w:val="0"/>
          <w:szCs w:val="21"/>
        </w:rPr>
        <w:t xml:space="preserve">首席基金经理过钧先生。 </w:t>
      </w:r>
    </w:p>
    <w:p w14:paraId="614FA0B1">
      <w:pPr>
        <w:spacing w:line="360" w:lineRule="auto"/>
        <w:ind w:left="527"/>
        <w:rPr>
          <w:rFonts w:hint="eastAsia"/>
          <w:kern w:val="0"/>
          <w:szCs w:val="21"/>
        </w:rPr>
      </w:pPr>
      <w:r>
        <w:rPr>
          <w:rFonts w:hint="eastAsia"/>
          <w:kern w:val="0"/>
          <w:szCs w:val="21"/>
        </w:rPr>
        <w:t xml:space="preserve">首席投资官兼权益投研一体化总监、境外投资部总经理曾鹏先生。 </w:t>
      </w:r>
    </w:p>
    <w:p w14:paraId="7AB0D6F3">
      <w:pPr>
        <w:spacing w:line="360" w:lineRule="auto"/>
        <w:ind w:left="527"/>
        <w:rPr>
          <w:rFonts w:hint="eastAsia"/>
          <w:kern w:val="0"/>
          <w:szCs w:val="21"/>
        </w:rPr>
      </w:pPr>
      <w:r>
        <w:rPr>
          <w:rFonts w:hint="eastAsia"/>
          <w:kern w:val="0"/>
          <w:szCs w:val="21"/>
        </w:rPr>
        <w:t xml:space="preserve">董事总经理兼权益投资三部总经理、权益投资三部投资总监蔡滨先生。 </w:t>
      </w:r>
    </w:p>
    <w:p w14:paraId="729685C7">
      <w:pPr>
        <w:spacing w:line="360" w:lineRule="auto"/>
        <w:ind w:left="527"/>
        <w:rPr>
          <w:rFonts w:hint="eastAsia"/>
          <w:kern w:val="0"/>
          <w:szCs w:val="21"/>
        </w:rPr>
      </w:pPr>
      <w:r>
        <w:rPr>
          <w:rFonts w:hint="eastAsia"/>
          <w:kern w:val="0"/>
          <w:szCs w:val="21"/>
        </w:rPr>
        <w:t xml:space="preserve">行业研究部总经理魏立先生。 </w:t>
      </w:r>
    </w:p>
    <w:p w14:paraId="39C51D92">
      <w:pPr>
        <w:spacing w:line="360" w:lineRule="auto"/>
        <w:ind w:left="527"/>
        <w:rPr>
          <w:rFonts w:hint="eastAsia"/>
          <w:kern w:val="0"/>
          <w:szCs w:val="21"/>
        </w:rPr>
      </w:pPr>
      <w:r>
        <w:rPr>
          <w:rFonts w:hint="eastAsia"/>
          <w:kern w:val="0"/>
          <w:szCs w:val="21"/>
        </w:rPr>
        <w:t xml:space="preserve">宏观策略部首席策略分析师陈显顺先生。 </w:t>
      </w:r>
    </w:p>
    <w:p w14:paraId="50DE46E5">
      <w:pPr>
        <w:spacing w:line="360" w:lineRule="auto"/>
        <w:ind w:left="527"/>
        <w:rPr>
          <w:rFonts w:hint="eastAsia"/>
          <w:kern w:val="0"/>
          <w:szCs w:val="21"/>
        </w:rPr>
      </w:pPr>
      <w:r>
        <w:rPr>
          <w:rFonts w:hint="eastAsia"/>
          <w:kern w:val="0"/>
          <w:szCs w:val="21"/>
        </w:rPr>
        <w:t xml:space="preserve">指数与量化投资部总经理兼指数与量化投资部投资总监赵云阳先生。  </w:t>
      </w:r>
    </w:p>
    <w:p w14:paraId="28D40AD8">
      <w:pPr>
        <w:spacing w:line="360" w:lineRule="auto"/>
        <w:ind w:left="527"/>
        <w:rPr>
          <w:rFonts w:hint="eastAsia"/>
          <w:b/>
          <w:kern w:val="0"/>
          <w:szCs w:val="21"/>
        </w:rPr>
      </w:pPr>
      <w:r>
        <w:rPr>
          <w:rFonts w:hint="eastAsia"/>
          <w:kern w:val="0"/>
          <w:szCs w:val="21"/>
        </w:rPr>
        <w:t>5、上述人员之间均不存在近亲属关系。 </w:t>
      </w:r>
    </w:p>
    <w:p w14:paraId="365ECC21">
      <w:pPr>
        <w:spacing w:line="360" w:lineRule="auto"/>
        <w:ind w:left="527"/>
        <w:rPr>
          <w:rFonts w:hint="eastAsia"/>
          <w:b/>
          <w:kern w:val="0"/>
          <w:szCs w:val="21"/>
        </w:rPr>
      </w:pPr>
      <w:r>
        <w:rPr>
          <w:rFonts w:hint="eastAsia"/>
          <w:b/>
          <w:kern w:val="0"/>
          <w:szCs w:val="21"/>
        </w:rPr>
        <w:t>三、基金管理人的职责</w:t>
      </w:r>
    </w:p>
    <w:p w14:paraId="7908B3C9">
      <w:pPr>
        <w:spacing w:line="360" w:lineRule="auto"/>
        <w:ind w:firstLine="422"/>
        <w:rPr>
          <w:rFonts w:hint="eastAsia"/>
          <w:kern w:val="0"/>
          <w:szCs w:val="21"/>
        </w:rPr>
      </w:pPr>
      <w:bookmarkStart w:id="8" w:name="_Hlk117603831"/>
      <w:r>
        <w:rPr>
          <w:rFonts w:hint="eastAsia"/>
          <w:kern w:val="0"/>
          <w:szCs w:val="21"/>
        </w:rPr>
        <w:t>1、依法募集资金，办理或者委托经中国证监会认定的其他机构代为办理基金份额的发售、申购、赎回和登记事宜；</w:t>
      </w:r>
    </w:p>
    <w:p w14:paraId="6EF81CC2">
      <w:pPr>
        <w:spacing w:line="360" w:lineRule="auto"/>
        <w:ind w:firstLine="422"/>
        <w:rPr>
          <w:rFonts w:hint="eastAsia"/>
          <w:kern w:val="0"/>
          <w:szCs w:val="21"/>
        </w:rPr>
      </w:pPr>
      <w:r>
        <w:rPr>
          <w:rFonts w:hint="eastAsia"/>
          <w:kern w:val="0"/>
          <w:szCs w:val="21"/>
        </w:rPr>
        <w:t>2、办理基金备案手续；</w:t>
      </w:r>
    </w:p>
    <w:p w14:paraId="0F706B04">
      <w:pPr>
        <w:spacing w:line="360" w:lineRule="auto"/>
        <w:ind w:firstLine="422"/>
        <w:rPr>
          <w:rFonts w:hint="eastAsia"/>
          <w:kern w:val="0"/>
          <w:szCs w:val="21"/>
        </w:rPr>
      </w:pPr>
      <w:r>
        <w:rPr>
          <w:rFonts w:hint="eastAsia"/>
          <w:kern w:val="0"/>
          <w:szCs w:val="21"/>
        </w:rPr>
        <w:t>3、自基金合同生效之日起，以诚实信用、谨慎勤勉的原则管理和运用基金财产；</w:t>
      </w:r>
    </w:p>
    <w:p w14:paraId="52048A32">
      <w:pPr>
        <w:spacing w:line="360" w:lineRule="auto"/>
        <w:ind w:firstLine="422"/>
        <w:rPr>
          <w:rFonts w:hint="eastAsia"/>
          <w:kern w:val="0"/>
          <w:szCs w:val="21"/>
        </w:rPr>
      </w:pPr>
      <w:r>
        <w:rPr>
          <w:rFonts w:hint="eastAsia"/>
          <w:kern w:val="0"/>
          <w:szCs w:val="21"/>
        </w:rPr>
        <w:t>4、配备足够的具有专业资格的人员进行基金投资分析、决策，以专业化的经营方式管理和运作基金财产；</w:t>
      </w:r>
    </w:p>
    <w:p w14:paraId="363B6B05">
      <w:pPr>
        <w:spacing w:line="360" w:lineRule="auto"/>
        <w:ind w:firstLine="422"/>
        <w:rPr>
          <w:rFonts w:hint="eastAsia"/>
          <w:kern w:val="0"/>
          <w:szCs w:val="21"/>
        </w:rPr>
      </w:pPr>
      <w:r>
        <w:rPr>
          <w:rFonts w:hint="eastAsia"/>
          <w:kern w:val="0"/>
          <w:szCs w:val="21"/>
        </w:rPr>
        <w:t>5、建立健全内部风险控制、监察与稽核、财务管理及人事管理等制度，保证所管理的基金财产和基金管理人的财产相互独立，对所管理的不同基金分别管理，分别记账，进行证券、基金投资；</w:t>
      </w:r>
    </w:p>
    <w:p w14:paraId="5E479C3F">
      <w:pPr>
        <w:spacing w:line="360" w:lineRule="auto"/>
        <w:ind w:firstLine="422"/>
        <w:rPr>
          <w:rFonts w:hint="eastAsia"/>
          <w:kern w:val="0"/>
          <w:szCs w:val="21"/>
        </w:rPr>
      </w:pPr>
      <w:r>
        <w:rPr>
          <w:rFonts w:hint="eastAsia"/>
          <w:kern w:val="0"/>
          <w:szCs w:val="21"/>
        </w:rPr>
        <w:t>6、除依据《基金法》、基金合同及其他有关规定外,不得利用基金财产为自己及任何第三人谋取利益，不得委托第三人运作基金财产；</w:t>
      </w:r>
    </w:p>
    <w:p w14:paraId="51E6B9B7">
      <w:pPr>
        <w:spacing w:line="360" w:lineRule="auto"/>
        <w:ind w:firstLine="422"/>
        <w:rPr>
          <w:rFonts w:hint="eastAsia"/>
          <w:kern w:val="0"/>
          <w:szCs w:val="21"/>
        </w:rPr>
      </w:pPr>
      <w:r>
        <w:rPr>
          <w:rFonts w:hint="eastAsia"/>
          <w:kern w:val="0"/>
          <w:szCs w:val="21"/>
        </w:rPr>
        <w:t>7、依法接受基金托管人的监督；</w:t>
      </w:r>
    </w:p>
    <w:p w14:paraId="01FDED46">
      <w:pPr>
        <w:spacing w:line="360" w:lineRule="auto"/>
        <w:ind w:firstLine="422"/>
        <w:rPr>
          <w:rFonts w:hint="eastAsia"/>
          <w:kern w:val="0"/>
          <w:szCs w:val="21"/>
        </w:rPr>
      </w:pPr>
      <w:r>
        <w:rPr>
          <w:rFonts w:hint="eastAsia"/>
          <w:kern w:val="0"/>
          <w:szCs w:val="21"/>
        </w:rPr>
        <w:t>8、采取适当合理的措施使计算基金份额认购、申购、赎回和注销价格的方法符合基金合同等法律文件的规定，按有关规定计算并公告基金净值信息，确定基金份额申购、赎回的价格；</w:t>
      </w:r>
    </w:p>
    <w:p w14:paraId="7774D4C9">
      <w:pPr>
        <w:spacing w:line="360" w:lineRule="auto"/>
        <w:ind w:firstLine="422"/>
        <w:rPr>
          <w:rFonts w:hint="eastAsia"/>
          <w:kern w:val="0"/>
          <w:szCs w:val="21"/>
        </w:rPr>
      </w:pPr>
      <w:r>
        <w:rPr>
          <w:rFonts w:hint="eastAsia"/>
          <w:kern w:val="0"/>
          <w:szCs w:val="21"/>
        </w:rPr>
        <w:t>9、进行基金会计核算并编制基金财务会计报告；</w:t>
      </w:r>
    </w:p>
    <w:p w14:paraId="5101B5EA">
      <w:pPr>
        <w:spacing w:line="360" w:lineRule="auto"/>
        <w:ind w:firstLine="422"/>
        <w:rPr>
          <w:rFonts w:hint="eastAsia"/>
          <w:kern w:val="0"/>
          <w:szCs w:val="21"/>
        </w:rPr>
      </w:pPr>
      <w:r>
        <w:rPr>
          <w:rFonts w:hint="eastAsia"/>
          <w:kern w:val="0"/>
          <w:szCs w:val="21"/>
        </w:rPr>
        <w:t>10、编制季度报告、中期报告和年度报告；</w:t>
      </w:r>
    </w:p>
    <w:p w14:paraId="59AB66BD">
      <w:pPr>
        <w:spacing w:line="360" w:lineRule="auto"/>
        <w:ind w:firstLine="422"/>
        <w:rPr>
          <w:rFonts w:hint="eastAsia"/>
          <w:kern w:val="0"/>
          <w:szCs w:val="21"/>
        </w:rPr>
      </w:pPr>
      <w:r>
        <w:rPr>
          <w:rFonts w:hint="eastAsia"/>
          <w:kern w:val="0"/>
          <w:szCs w:val="21"/>
        </w:rPr>
        <w:t>11、严格按照《基金法》、基金合同及其他有关规定，履行信息披露及报告义务；</w:t>
      </w:r>
    </w:p>
    <w:p w14:paraId="4250F07A">
      <w:pPr>
        <w:spacing w:line="360" w:lineRule="auto"/>
        <w:ind w:firstLine="422"/>
        <w:rPr>
          <w:rFonts w:hint="eastAsia"/>
          <w:kern w:val="0"/>
          <w:szCs w:val="21"/>
        </w:rPr>
      </w:pPr>
      <w:r>
        <w:rPr>
          <w:rFonts w:hint="eastAsia"/>
          <w:kern w:val="0"/>
          <w:szCs w:val="21"/>
        </w:rPr>
        <w:t>12、保守基金商业秘密，不泄露基金投资计划、投资意向等。除《基金法》、《基金合同》及其他有关规定另有规定外，在基金信息公开披露前应予保密，不向他人泄露</w:t>
      </w:r>
      <w:r>
        <w:rPr>
          <w:rFonts w:hint="eastAsia"/>
          <w:bCs/>
          <w:kern w:val="0"/>
          <w:szCs w:val="21"/>
        </w:rPr>
        <w:t>，但向审计、法律等外部专业顾问提供的除外</w:t>
      </w:r>
      <w:r>
        <w:rPr>
          <w:rFonts w:hint="eastAsia"/>
          <w:kern w:val="0"/>
          <w:szCs w:val="21"/>
        </w:rPr>
        <w:t>；</w:t>
      </w:r>
    </w:p>
    <w:p w14:paraId="40D4F144">
      <w:pPr>
        <w:spacing w:line="360" w:lineRule="auto"/>
        <w:ind w:firstLine="422"/>
        <w:rPr>
          <w:rFonts w:hint="eastAsia"/>
          <w:kern w:val="0"/>
          <w:szCs w:val="21"/>
        </w:rPr>
      </w:pPr>
      <w:r>
        <w:rPr>
          <w:rFonts w:hint="eastAsia"/>
          <w:kern w:val="0"/>
          <w:szCs w:val="21"/>
        </w:rPr>
        <w:t>13、按基金合同的约定确定基金收益分配方案，及时向基金份额持有人分配基金收益；</w:t>
      </w:r>
    </w:p>
    <w:p w14:paraId="329E5797">
      <w:pPr>
        <w:spacing w:line="360" w:lineRule="auto"/>
        <w:ind w:firstLine="422"/>
        <w:rPr>
          <w:rFonts w:hint="eastAsia"/>
          <w:kern w:val="0"/>
          <w:szCs w:val="21"/>
        </w:rPr>
      </w:pPr>
      <w:r>
        <w:rPr>
          <w:rFonts w:hint="eastAsia"/>
          <w:kern w:val="0"/>
          <w:szCs w:val="21"/>
        </w:rPr>
        <w:t>14、按规定受理申购与赎回申请，及时、足额支付赎回款项；</w:t>
      </w:r>
    </w:p>
    <w:p w14:paraId="2F09598D">
      <w:pPr>
        <w:spacing w:line="360" w:lineRule="auto"/>
        <w:ind w:firstLine="422"/>
        <w:rPr>
          <w:rFonts w:hint="eastAsia"/>
          <w:kern w:val="0"/>
          <w:szCs w:val="21"/>
        </w:rPr>
      </w:pPr>
      <w:r>
        <w:rPr>
          <w:rFonts w:hint="eastAsia"/>
          <w:kern w:val="0"/>
          <w:szCs w:val="21"/>
        </w:rPr>
        <w:t>15、依据《基金法》、基金合同及其他有关规定召集基金份额持有人大会或配合基金托管人、基金份额持有人依法召集基金份额持有人大会；</w:t>
      </w:r>
    </w:p>
    <w:p w14:paraId="12768AE3">
      <w:pPr>
        <w:spacing w:line="360" w:lineRule="auto"/>
        <w:ind w:firstLine="422"/>
        <w:rPr>
          <w:rFonts w:hint="eastAsia"/>
          <w:kern w:val="0"/>
          <w:szCs w:val="21"/>
        </w:rPr>
      </w:pPr>
      <w:r>
        <w:rPr>
          <w:rFonts w:hint="eastAsia"/>
          <w:kern w:val="0"/>
          <w:szCs w:val="21"/>
        </w:rPr>
        <w:t>16、按规定保存基金财产管理业务活动的会计账册、报表、记录和其他相关资料</w:t>
      </w:r>
      <w:r>
        <w:rPr>
          <w:rFonts w:hint="eastAsia"/>
          <w:bCs/>
          <w:kern w:val="0"/>
          <w:szCs w:val="21"/>
        </w:rPr>
        <w:t>，保存期限不低于法律法规规定的最低期限</w:t>
      </w:r>
      <w:r>
        <w:rPr>
          <w:rFonts w:hint="eastAsia"/>
          <w:kern w:val="0"/>
          <w:szCs w:val="21"/>
        </w:rPr>
        <w:t>；</w:t>
      </w:r>
    </w:p>
    <w:p w14:paraId="2A774D08">
      <w:pPr>
        <w:spacing w:line="360" w:lineRule="auto"/>
        <w:ind w:firstLine="422"/>
        <w:rPr>
          <w:rFonts w:hint="eastAsia"/>
          <w:kern w:val="0"/>
          <w:szCs w:val="21"/>
        </w:rPr>
      </w:pPr>
      <w:r>
        <w:rPr>
          <w:rFonts w:hint="eastAsia"/>
          <w:kern w:val="0"/>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03C695B">
      <w:pPr>
        <w:spacing w:line="360" w:lineRule="auto"/>
        <w:ind w:firstLine="422"/>
        <w:rPr>
          <w:rFonts w:hint="eastAsia"/>
          <w:kern w:val="0"/>
          <w:szCs w:val="21"/>
        </w:rPr>
      </w:pPr>
      <w:r>
        <w:rPr>
          <w:rFonts w:hint="eastAsia"/>
          <w:kern w:val="0"/>
          <w:szCs w:val="21"/>
        </w:rPr>
        <w:t>18、组织并参加基金财产清算小组,参与基金财产的保管、清理、估价、变现和分配；</w:t>
      </w:r>
    </w:p>
    <w:p w14:paraId="657B4243">
      <w:pPr>
        <w:spacing w:line="360" w:lineRule="auto"/>
        <w:ind w:firstLine="422"/>
        <w:rPr>
          <w:rFonts w:hint="eastAsia"/>
          <w:kern w:val="0"/>
          <w:szCs w:val="21"/>
        </w:rPr>
      </w:pPr>
      <w:r>
        <w:rPr>
          <w:rFonts w:hint="eastAsia"/>
          <w:kern w:val="0"/>
          <w:szCs w:val="21"/>
        </w:rPr>
        <w:t>19、面临解散、依法被撤销或者被依法宣告破产时，及时报告中国证监会并通知基金托管人；</w:t>
      </w:r>
    </w:p>
    <w:p w14:paraId="2B4A8442">
      <w:pPr>
        <w:spacing w:line="360" w:lineRule="auto"/>
        <w:ind w:firstLine="422"/>
        <w:rPr>
          <w:rFonts w:hint="eastAsia"/>
          <w:kern w:val="0"/>
          <w:szCs w:val="21"/>
        </w:rPr>
      </w:pPr>
      <w:r>
        <w:rPr>
          <w:rFonts w:hint="eastAsia"/>
          <w:kern w:val="0"/>
          <w:szCs w:val="21"/>
        </w:rPr>
        <w:t>20、因违反基金合同导致基金财产的损失或损害基金份额持有人合法权益时，应当承担赔偿责任，其赔偿责任不因其退任而免除；</w:t>
      </w:r>
    </w:p>
    <w:p w14:paraId="7F6A1479">
      <w:pPr>
        <w:spacing w:line="360" w:lineRule="auto"/>
        <w:ind w:firstLine="422"/>
        <w:rPr>
          <w:rFonts w:hint="eastAsia"/>
          <w:kern w:val="0"/>
          <w:szCs w:val="21"/>
        </w:rPr>
      </w:pPr>
      <w:r>
        <w:rPr>
          <w:rFonts w:hint="eastAsia"/>
          <w:kern w:val="0"/>
          <w:szCs w:val="21"/>
        </w:rPr>
        <w:t>21、监督基金托管人按法律法规和基金合同规定履行自己的义务，基金托管人违反基金合同造成基金财产损失时，基金管理人应为基金份额持有人利益向基金托管人追偿；</w:t>
      </w:r>
    </w:p>
    <w:p w14:paraId="02AA567A">
      <w:pPr>
        <w:spacing w:line="360" w:lineRule="auto"/>
        <w:ind w:firstLine="422"/>
        <w:rPr>
          <w:rFonts w:hint="eastAsia"/>
          <w:kern w:val="0"/>
          <w:szCs w:val="21"/>
        </w:rPr>
      </w:pPr>
      <w:r>
        <w:rPr>
          <w:rFonts w:hint="eastAsia"/>
          <w:kern w:val="0"/>
          <w:szCs w:val="21"/>
        </w:rPr>
        <w:t>22、当基金管理人将其义务委托第三方处理时，应当对第三方处理有关基金事务的行为承担责任；</w:t>
      </w:r>
    </w:p>
    <w:p w14:paraId="582934DE">
      <w:pPr>
        <w:spacing w:line="360" w:lineRule="auto"/>
        <w:ind w:firstLine="422"/>
        <w:rPr>
          <w:kern w:val="0"/>
          <w:szCs w:val="21"/>
        </w:rPr>
      </w:pPr>
      <w:r>
        <w:rPr>
          <w:rFonts w:hint="eastAsia"/>
          <w:kern w:val="0"/>
          <w:szCs w:val="21"/>
        </w:rPr>
        <w:t>23、以基金管理人名义，代表基金份额持有人利益行使诉讼权利或实施其他法律行为；</w:t>
      </w:r>
    </w:p>
    <w:p w14:paraId="5C3403E9">
      <w:pPr>
        <w:spacing w:line="360" w:lineRule="auto"/>
        <w:ind w:firstLine="422"/>
        <w:rPr>
          <w:rFonts w:hint="eastAsia"/>
          <w:kern w:val="0"/>
          <w:szCs w:val="21"/>
        </w:rPr>
      </w:pPr>
      <w:r>
        <w:rPr>
          <w:rFonts w:hint="eastAsia"/>
          <w:kern w:val="0"/>
          <w:szCs w:val="21"/>
        </w:rPr>
        <w:t>24、若本基金持有的基金召开基金份额持有人大会，基金管理人应遵循本基金基金份额持有人利益优先原则，行使相关投票权利；</w:t>
      </w:r>
    </w:p>
    <w:p w14:paraId="0BF83CF5">
      <w:pPr>
        <w:spacing w:line="360" w:lineRule="auto"/>
        <w:ind w:firstLine="422"/>
        <w:rPr>
          <w:rFonts w:hint="eastAsia"/>
          <w:kern w:val="0"/>
          <w:szCs w:val="21"/>
        </w:rPr>
      </w:pPr>
      <w:r>
        <w:rPr>
          <w:rFonts w:hint="eastAsia"/>
          <w:kern w:val="0"/>
          <w:szCs w:val="21"/>
        </w:rPr>
        <w:t>25、基金在募集期间未能达到基金的备案条件，基金合同不能生效，基金管理人承担全部募集费用，将已募集资金并加计银行同期活期存款利息在基金募集期结束后30日内退还基金认购人；</w:t>
      </w:r>
    </w:p>
    <w:p w14:paraId="23DB78D9">
      <w:pPr>
        <w:spacing w:line="360" w:lineRule="auto"/>
        <w:ind w:firstLine="422"/>
        <w:rPr>
          <w:rFonts w:hint="eastAsia"/>
          <w:kern w:val="0"/>
          <w:szCs w:val="21"/>
        </w:rPr>
      </w:pPr>
      <w:r>
        <w:rPr>
          <w:rFonts w:hint="eastAsia"/>
          <w:kern w:val="0"/>
          <w:szCs w:val="21"/>
        </w:rPr>
        <w:t>26、执行生效的基金份额持有人大会的决议；</w:t>
      </w:r>
    </w:p>
    <w:p w14:paraId="1806DAE8">
      <w:pPr>
        <w:spacing w:line="360" w:lineRule="auto"/>
        <w:ind w:firstLine="422"/>
        <w:rPr>
          <w:rFonts w:hint="eastAsia"/>
          <w:kern w:val="0"/>
          <w:szCs w:val="21"/>
        </w:rPr>
      </w:pPr>
      <w:r>
        <w:rPr>
          <w:rFonts w:hint="eastAsia"/>
          <w:kern w:val="0"/>
          <w:szCs w:val="21"/>
        </w:rPr>
        <w:t>27、建立并保存基金份额持有人名册；</w:t>
      </w:r>
    </w:p>
    <w:p w14:paraId="3593B230">
      <w:pPr>
        <w:spacing w:line="360" w:lineRule="auto"/>
        <w:ind w:firstLine="422"/>
        <w:rPr>
          <w:rFonts w:hint="eastAsia"/>
          <w:kern w:val="0"/>
          <w:szCs w:val="21"/>
        </w:rPr>
      </w:pPr>
      <w:r>
        <w:rPr>
          <w:rFonts w:hint="eastAsia"/>
          <w:kern w:val="0"/>
          <w:szCs w:val="21"/>
        </w:rPr>
        <w:t>28、法律法规及中国证监会规定的和基金合同约定的其他义务。</w:t>
      </w:r>
    </w:p>
    <w:bookmarkEnd w:id="8"/>
    <w:p w14:paraId="220146BD">
      <w:pPr>
        <w:spacing w:line="360" w:lineRule="auto"/>
        <w:ind w:firstLine="422"/>
        <w:rPr>
          <w:rFonts w:hint="eastAsia"/>
          <w:b/>
          <w:kern w:val="0"/>
          <w:szCs w:val="21"/>
        </w:rPr>
      </w:pPr>
      <w:r>
        <w:rPr>
          <w:rFonts w:hint="eastAsia"/>
          <w:b/>
          <w:kern w:val="0"/>
          <w:szCs w:val="21"/>
        </w:rPr>
        <w:t>四、基金管理人的承诺</w:t>
      </w:r>
    </w:p>
    <w:p w14:paraId="108C099A">
      <w:pPr>
        <w:spacing w:line="360" w:lineRule="auto"/>
        <w:ind w:firstLine="422"/>
        <w:rPr>
          <w:rFonts w:hint="eastAsia"/>
          <w:kern w:val="0"/>
          <w:szCs w:val="21"/>
        </w:rPr>
      </w:pPr>
      <w:r>
        <w:rPr>
          <w:rFonts w:hint="eastAsia"/>
          <w:kern w:val="0"/>
          <w:szCs w:val="21"/>
        </w:rPr>
        <w:t xml:space="preserve">1、基金管理人承诺不从事违反《中华人民共和国证券法》的行为，并承诺建立健全内部控制制度，采取有效措施，防止违反《中华人民共和国证券法》行为的发生； </w:t>
      </w:r>
    </w:p>
    <w:p w14:paraId="396B504A">
      <w:pPr>
        <w:spacing w:line="360" w:lineRule="auto"/>
        <w:ind w:firstLine="422"/>
        <w:rPr>
          <w:rFonts w:hint="eastAsia"/>
          <w:kern w:val="0"/>
          <w:szCs w:val="21"/>
        </w:rPr>
      </w:pPr>
      <w:r>
        <w:rPr>
          <w:rFonts w:hint="eastAsia"/>
          <w:kern w:val="0"/>
          <w:szCs w:val="21"/>
        </w:rPr>
        <w:t>2、基金管理人承诺不从事违反《基金法》的行为，并承诺建立健全内部风险控制制度，采取有效措施，防止下列行为的发生：</w:t>
      </w:r>
    </w:p>
    <w:p w14:paraId="089A9820">
      <w:pPr>
        <w:spacing w:line="360" w:lineRule="auto"/>
        <w:ind w:firstLine="422"/>
        <w:rPr>
          <w:rFonts w:hint="eastAsia"/>
          <w:kern w:val="0"/>
          <w:szCs w:val="21"/>
        </w:rPr>
      </w:pPr>
      <w:r>
        <w:rPr>
          <w:rFonts w:hint="eastAsia"/>
          <w:kern w:val="0"/>
          <w:szCs w:val="21"/>
        </w:rPr>
        <w:t>（1）将基金管理人固有财产或者他人财产混同于基金财产从事证券投资；</w:t>
      </w:r>
    </w:p>
    <w:p w14:paraId="65E989C6">
      <w:pPr>
        <w:spacing w:line="360" w:lineRule="auto"/>
        <w:ind w:firstLine="422"/>
        <w:rPr>
          <w:rFonts w:hint="eastAsia"/>
          <w:kern w:val="0"/>
          <w:szCs w:val="21"/>
        </w:rPr>
      </w:pPr>
      <w:r>
        <w:rPr>
          <w:rFonts w:hint="eastAsia"/>
          <w:kern w:val="0"/>
          <w:szCs w:val="21"/>
        </w:rPr>
        <w:t>（2）不公平地对待管理的不同基金财产；</w:t>
      </w:r>
    </w:p>
    <w:p w14:paraId="2BEF3ABA">
      <w:pPr>
        <w:spacing w:line="360" w:lineRule="auto"/>
        <w:ind w:firstLine="422"/>
        <w:rPr>
          <w:rFonts w:hint="eastAsia"/>
          <w:kern w:val="0"/>
          <w:szCs w:val="21"/>
        </w:rPr>
      </w:pPr>
      <w:r>
        <w:rPr>
          <w:rFonts w:hint="eastAsia"/>
          <w:kern w:val="0"/>
          <w:szCs w:val="21"/>
        </w:rPr>
        <w:t>（3）利用基金财产或职务之便为基金份额持有人以外的第三人牟取利益；</w:t>
      </w:r>
    </w:p>
    <w:p w14:paraId="1EE6BD6E">
      <w:pPr>
        <w:spacing w:line="360" w:lineRule="auto"/>
        <w:ind w:firstLine="422"/>
        <w:rPr>
          <w:rFonts w:hint="eastAsia"/>
          <w:kern w:val="0"/>
          <w:szCs w:val="21"/>
        </w:rPr>
      </w:pPr>
      <w:r>
        <w:rPr>
          <w:rFonts w:hint="eastAsia"/>
          <w:kern w:val="0"/>
          <w:szCs w:val="21"/>
        </w:rPr>
        <w:t>（4）向基金份额持有人违规承诺收益或者承担损失；</w:t>
      </w:r>
    </w:p>
    <w:p w14:paraId="0DBA6A2C">
      <w:pPr>
        <w:spacing w:line="360" w:lineRule="auto"/>
        <w:ind w:firstLine="422"/>
        <w:rPr>
          <w:rFonts w:hint="eastAsia"/>
          <w:kern w:val="0"/>
          <w:szCs w:val="21"/>
        </w:rPr>
      </w:pPr>
      <w:r>
        <w:rPr>
          <w:rFonts w:hint="eastAsia"/>
          <w:kern w:val="0"/>
          <w:szCs w:val="21"/>
        </w:rPr>
        <w:t>（5）侵占、挪用基金财产；</w:t>
      </w:r>
    </w:p>
    <w:p w14:paraId="195B4163">
      <w:pPr>
        <w:spacing w:line="360" w:lineRule="auto"/>
        <w:ind w:firstLine="422"/>
        <w:rPr>
          <w:rFonts w:hint="eastAsia"/>
          <w:kern w:val="0"/>
          <w:szCs w:val="21"/>
        </w:rPr>
      </w:pPr>
      <w:r>
        <w:rPr>
          <w:rFonts w:hint="eastAsia"/>
          <w:kern w:val="0"/>
          <w:szCs w:val="21"/>
        </w:rPr>
        <w:t>（6）泄露因职务便利获取的未公开信息、利用该信息从事或者明示、暗示他人从事相关的交易活动；</w:t>
      </w:r>
    </w:p>
    <w:p w14:paraId="1A3AED88">
      <w:pPr>
        <w:spacing w:line="360" w:lineRule="auto"/>
        <w:ind w:firstLine="422"/>
        <w:rPr>
          <w:rFonts w:hint="eastAsia"/>
          <w:kern w:val="0"/>
          <w:szCs w:val="21"/>
        </w:rPr>
      </w:pPr>
      <w:r>
        <w:rPr>
          <w:rFonts w:hint="eastAsia"/>
          <w:kern w:val="0"/>
          <w:szCs w:val="21"/>
        </w:rPr>
        <w:t>（7）玩忽职守，不按照规定履行职责；</w:t>
      </w:r>
    </w:p>
    <w:p w14:paraId="24435052">
      <w:pPr>
        <w:spacing w:line="360" w:lineRule="auto"/>
        <w:ind w:firstLine="422"/>
        <w:rPr>
          <w:rFonts w:hint="eastAsia"/>
          <w:kern w:val="0"/>
          <w:szCs w:val="21"/>
        </w:rPr>
      </w:pPr>
      <w:r>
        <w:rPr>
          <w:rFonts w:hint="eastAsia"/>
          <w:kern w:val="0"/>
          <w:szCs w:val="21"/>
        </w:rPr>
        <w:t xml:space="preserve">（8）依照法律、行政法规有关规定，由中国证监会规定禁止的其他行为。 </w:t>
      </w:r>
    </w:p>
    <w:p w14:paraId="2FDD457D">
      <w:pPr>
        <w:spacing w:line="360" w:lineRule="auto"/>
        <w:ind w:firstLine="422"/>
        <w:rPr>
          <w:rFonts w:hint="eastAsia"/>
          <w:kern w:val="0"/>
          <w:szCs w:val="21"/>
        </w:rPr>
      </w:pPr>
      <w:r>
        <w:rPr>
          <w:rFonts w:hint="eastAsia"/>
          <w:kern w:val="0"/>
          <w:szCs w:val="21"/>
        </w:rPr>
        <w:t xml:space="preserve">3、基金管理人承诺严格遵守基金合同，并承诺建立健全内部控制制度，采取有效措施，防止违反基金合同行为的发生； </w:t>
      </w:r>
    </w:p>
    <w:p w14:paraId="6654A2B6">
      <w:pPr>
        <w:spacing w:line="360" w:lineRule="auto"/>
        <w:ind w:firstLine="422"/>
        <w:rPr>
          <w:rFonts w:hint="eastAsia"/>
          <w:kern w:val="0"/>
          <w:szCs w:val="21"/>
        </w:rPr>
      </w:pPr>
      <w:r>
        <w:rPr>
          <w:rFonts w:hint="eastAsia"/>
          <w:kern w:val="0"/>
          <w:szCs w:val="21"/>
        </w:rPr>
        <w:t>4、基金管理人承诺加强人员管理，强化职业操守，督促和约束员工遵守国家有关法律法规及行业规范，诚实信用、勤勉尽责；</w:t>
      </w:r>
    </w:p>
    <w:p w14:paraId="4E07AC55">
      <w:pPr>
        <w:spacing w:line="360" w:lineRule="auto"/>
        <w:ind w:firstLine="422"/>
        <w:rPr>
          <w:rFonts w:hint="eastAsia"/>
          <w:kern w:val="0"/>
          <w:szCs w:val="21"/>
        </w:rPr>
      </w:pPr>
      <w:r>
        <w:rPr>
          <w:rFonts w:hint="eastAsia"/>
          <w:kern w:val="0"/>
          <w:szCs w:val="21"/>
        </w:rPr>
        <w:t xml:space="preserve">5、基金管理人承诺不从事其他法规规定禁止从事的行为。 </w:t>
      </w:r>
    </w:p>
    <w:p w14:paraId="4658D2ED">
      <w:pPr>
        <w:spacing w:line="360" w:lineRule="auto"/>
        <w:ind w:firstLine="422"/>
        <w:rPr>
          <w:rFonts w:hint="eastAsia"/>
          <w:b/>
          <w:kern w:val="0"/>
          <w:szCs w:val="21"/>
        </w:rPr>
      </w:pPr>
      <w:r>
        <w:rPr>
          <w:rFonts w:hint="eastAsia"/>
          <w:b/>
          <w:kern w:val="0"/>
          <w:szCs w:val="21"/>
        </w:rPr>
        <w:t>五、基金经理承诺</w:t>
      </w:r>
    </w:p>
    <w:p w14:paraId="1A74D992">
      <w:pPr>
        <w:spacing w:line="360" w:lineRule="auto"/>
        <w:ind w:firstLine="422"/>
        <w:rPr>
          <w:rFonts w:hint="eastAsia"/>
          <w:kern w:val="0"/>
          <w:szCs w:val="21"/>
        </w:rPr>
      </w:pPr>
      <w:r>
        <w:rPr>
          <w:rFonts w:hint="eastAsia"/>
          <w:kern w:val="0"/>
          <w:szCs w:val="21"/>
        </w:rPr>
        <w:t>1、依照有关法律法规和基金合同的规定，本着谨慎的原则为基金份额持有人谋取最大利益；</w:t>
      </w:r>
    </w:p>
    <w:p w14:paraId="1D77D5B5">
      <w:pPr>
        <w:spacing w:line="360" w:lineRule="auto"/>
        <w:ind w:firstLine="422"/>
        <w:rPr>
          <w:rFonts w:hint="eastAsia"/>
          <w:kern w:val="0"/>
          <w:szCs w:val="21"/>
        </w:rPr>
      </w:pPr>
      <w:r>
        <w:rPr>
          <w:rFonts w:hint="eastAsia"/>
          <w:kern w:val="0"/>
          <w:szCs w:val="21"/>
        </w:rPr>
        <w:t xml:space="preserve">2、不利用职务之便为自己、受雇人或任何第三者谋取利益； </w:t>
      </w:r>
    </w:p>
    <w:p w14:paraId="2249A9C0">
      <w:pPr>
        <w:spacing w:line="360" w:lineRule="auto"/>
        <w:ind w:firstLine="422"/>
        <w:rPr>
          <w:rFonts w:hint="eastAsia"/>
          <w:kern w:val="0"/>
          <w:szCs w:val="21"/>
        </w:rPr>
      </w:pPr>
      <w:r>
        <w:rPr>
          <w:rFonts w:hint="eastAsia"/>
          <w:kern w:val="0"/>
          <w:szCs w:val="21"/>
        </w:rPr>
        <w:t>3、不泄露在任职期间知悉的有关证券、基金的商业秘密，尚未依法公开的基金投资内容、基金投资计划等信息，或利用该信息从事或者明示、暗示他人从事相关的交易活动；</w:t>
      </w:r>
    </w:p>
    <w:p w14:paraId="5F930382">
      <w:pPr>
        <w:spacing w:line="360" w:lineRule="auto"/>
        <w:ind w:firstLine="422"/>
        <w:rPr>
          <w:rFonts w:hint="eastAsia"/>
          <w:kern w:val="0"/>
          <w:szCs w:val="21"/>
        </w:rPr>
      </w:pPr>
      <w:r>
        <w:rPr>
          <w:rFonts w:hint="eastAsia"/>
          <w:kern w:val="0"/>
          <w:szCs w:val="21"/>
        </w:rPr>
        <w:t xml:space="preserve">4、不以任何形式为其他组织或个人进行证券交易。 </w:t>
      </w:r>
    </w:p>
    <w:p w14:paraId="65481900">
      <w:pPr>
        <w:spacing w:line="360" w:lineRule="auto"/>
        <w:ind w:firstLine="422"/>
        <w:rPr>
          <w:rFonts w:hint="eastAsia"/>
          <w:b/>
          <w:kern w:val="0"/>
          <w:szCs w:val="21"/>
        </w:rPr>
      </w:pPr>
      <w:r>
        <w:rPr>
          <w:rFonts w:hint="eastAsia"/>
          <w:b/>
          <w:kern w:val="0"/>
          <w:szCs w:val="21"/>
        </w:rPr>
        <w:t>六、基金管理人的内部控制制度</w:t>
      </w:r>
    </w:p>
    <w:p w14:paraId="7A67AF43">
      <w:pPr>
        <w:spacing w:line="360" w:lineRule="auto"/>
        <w:ind w:firstLine="422"/>
        <w:rPr>
          <w:rFonts w:hint="eastAsia"/>
          <w:kern w:val="0"/>
          <w:szCs w:val="21"/>
        </w:rPr>
      </w:pPr>
      <w:r>
        <w:rPr>
          <w:rFonts w:hint="eastAsia"/>
          <w:kern w:val="0"/>
          <w:szCs w:val="21"/>
        </w:rPr>
        <w:t>1、风险管理的原则</w:t>
      </w:r>
    </w:p>
    <w:p w14:paraId="3E9806A8">
      <w:pPr>
        <w:spacing w:line="360" w:lineRule="auto"/>
        <w:ind w:firstLine="422"/>
        <w:rPr>
          <w:rFonts w:hint="eastAsia"/>
          <w:kern w:val="0"/>
          <w:szCs w:val="21"/>
        </w:rPr>
      </w:pPr>
      <w:r>
        <w:rPr>
          <w:rFonts w:hint="eastAsia"/>
          <w:kern w:val="0"/>
          <w:szCs w:val="21"/>
        </w:rPr>
        <w:t>（1）全面性原则</w:t>
      </w:r>
    </w:p>
    <w:p w14:paraId="07259BD1">
      <w:pPr>
        <w:spacing w:line="360" w:lineRule="auto"/>
        <w:ind w:firstLine="422"/>
        <w:rPr>
          <w:rFonts w:hint="eastAsia"/>
          <w:kern w:val="0"/>
          <w:szCs w:val="21"/>
        </w:rPr>
      </w:pPr>
      <w:r>
        <w:rPr>
          <w:rFonts w:hint="eastAsia"/>
          <w:kern w:val="0"/>
          <w:szCs w:val="21"/>
        </w:rPr>
        <w:t>公司风险管理必须覆盖公司的所有部门和岗位，渗透各项业务过程和业务环节。</w:t>
      </w:r>
    </w:p>
    <w:p w14:paraId="762982C6">
      <w:pPr>
        <w:spacing w:line="360" w:lineRule="auto"/>
        <w:ind w:firstLine="422"/>
        <w:rPr>
          <w:rFonts w:hint="eastAsia"/>
          <w:kern w:val="0"/>
          <w:szCs w:val="21"/>
        </w:rPr>
      </w:pPr>
      <w:r>
        <w:rPr>
          <w:rFonts w:hint="eastAsia"/>
          <w:kern w:val="0"/>
          <w:szCs w:val="21"/>
        </w:rPr>
        <w:t>（2）独立性原则</w:t>
      </w:r>
    </w:p>
    <w:p w14:paraId="5E982CE8">
      <w:pPr>
        <w:spacing w:line="360" w:lineRule="auto"/>
        <w:ind w:firstLine="422"/>
        <w:rPr>
          <w:rFonts w:hint="eastAsia"/>
          <w:kern w:val="0"/>
          <w:szCs w:val="21"/>
        </w:rPr>
      </w:pPr>
      <w:r>
        <w:rPr>
          <w:rFonts w:hint="eastAsia"/>
          <w:kern w:val="0"/>
          <w:szCs w:val="21"/>
        </w:rPr>
        <w:t>公司设立独立的法律合规部，法律合规部保持高度的独立性和权威性，负责对公司各部门风险控制工作进行检查。</w:t>
      </w:r>
    </w:p>
    <w:p w14:paraId="17DABF8B">
      <w:pPr>
        <w:spacing w:line="360" w:lineRule="auto"/>
        <w:ind w:firstLine="422"/>
        <w:rPr>
          <w:rFonts w:hint="eastAsia"/>
          <w:kern w:val="0"/>
          <w:szCs w:val="21"/>
        </w:rPr>
      </w:pPr>
      <w:r>
        <w:rPr>
          <w:rFonts w:hint="eastAsia"/>
          <w:kern w:val="0"/>
          <w:szCs w:val="21"/>
        </w:rPr>
        <w:t>（3）相互制约原则</w:t>
      </w:r>
    </w:p>
    <w:p w14:paraId="59635E3F">
      <w:pPr>
        <w:spacing w:line="360" w:lineRule="auto"/>
        <w:ind w:firstLine="422"/>
        <w:rPr>
          <w:rFonts w:hint="eastAsia"/>
          <w:kern w:val="0"/>
          <w:szCs w:val="21"/>
        </w:rPr>
      </w:pPr>
      <w:r>
        <w:rPr>
          <w:rFonts w:hint="eastAsia"/>
          <w:kern w:val="0"/>
          <w:szCs w:val="21"/>
        </w:rPr>
        <w:t>公司及各部门在内部组织结构的设计上要形成一种相互制约的机制，建立不同岗位之间的制衡体系。</w:t>
      </w:r>
    </w:p>
    <w:p w14:paraId="6337548F">
      <w:pPr>
        <w:spacing w:line="360" w:lineRule="auto"/>
        <w:ind w:firstLine="422"/>
        <w:rPr>
          <w:rFonts w:hint="eastAsia"/>
          <w:kern w:val="0"/>
          <w:szCs w:val="21"/>
        </w:rPr>
      </w:pPr>
      <w:r>
        <w:rPr>
          <w:rFonts w:hint="eastAsia"/>
          <w:kern w:val="0"/>
          <w:szCs w:val="21"/>
        </w:rPr>
        <w:t>（4）定性和定量相结合原则</w:t>
      </w:r>
    </w:p>
    <w:p w14:paraId="35CB5CCD">
      <w:pPr>
        <w:spacing w:line="360" w:lineRule="auto"/>
        <w:ind w:firstLine="422"/>
        <w:rPr>
          <w:rFonts w:hint="eastAsia"/>
          <w:kern w:val="0"/>
          <w:szCs w:val="21"/>
        </w:rPr>
      </w:pPr>
      <w:r>
        <w:rPr>
          <w:rFonts w:hint="eastAsia"/>
          <w:kern w:val="0"/>
          <w:szCs w:val="21"/>
        </w:rPr>
        <w:t>建立完备的风险管理指标体系，使风险管理更具客观性和操作性。</w:t>
      </w:r>
    </w:p>
    <w:p w14:paraId="31A7F118">
      <w:pPr>
        <w:spacing w:line="360" w:lineRule="auto"/>
        <w:ind w:firstLine="422"/>
        <w:rPr>
          <w:rFonts w:hint="eastAsia"/>
          <w:kern w:val="0"/>
          <w:szCs w:val="21"/>
        </w:rPr>
      </w:pPr>
      <w:r>
        <w:rPr>
          <w:rFonts w:hint="eastAsia"/>
          <w:kern w:val="0"/>
          <w:szCs w:val="21"/>
        </w:rPr>
        <w:t>2、风险管理和内部风险控制体系结构</w:t>
      </w:r>
    </w:p>
    <w:p w14:paraId="618F6D0A">
      <w:pPr>
        <w:spacing w:line="360" w:lineRule="auto"/>
        <w:ind w:firstLine="422"/>
        <w:rPr>
          <w:rFonts w:hint="eastAsia"/>
          <w:kern w:val="0"/>
          <w:szCs w:val="21"/>
        </w:rPr>
      </w:pPr>
      <w:r>
        <w:rPr>
          <w:rFonts w:hint="eastAsia"/>
          <w:kern w:val="0"/>
          <w:szCs w:val="21"/>
        </w:rPr>
        <w:t>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w:t>
      </w:r>
    </w:p>
    <w:p w14:paraId="3567CF7C">
      <w:pPr>
        <w:spacing w:line="360" w:lineRule="auto"/>
        <w:ind w:firstLine="422"/>
        <w:rPr>
          <w:rFonts w:hint="eastAsia"/>
          <w:kern w:val="0"/>
          <w:szCs w:val="21"/>
        </w:rPr>
      </w:pPr>
      <w:r>
        <w:rPr>
          <w:rFonts w:hint="eastAsia"/>
          <w:kern w:val="0"/>
          <w:szCs w:val="21"/>
        </w:rPr>
        <w:t>（1）董事会</w:t>
      </w:r>
    </w:p>
    <w:p w14:paraId="46234105">
      <w:pPr>
        <w:spacing w:line="360" w:lineRule="auto"/>
        <w:ind w:firstLine="422"/>
        <w:rPr>
          <w:rFonts w:hint="eastAsia"/>
          <w:kern w:val="0"/>
          <w:szCs w:val="21"/>
        </w:rPr>
      </w:pPr>
      <w:r>
        <w:rPr>
          <w:rFonts w:hint="eastAsia"/>
          <w:kern w:val="0"/>
          <w:szCs w:val="21"/>
        </w:rPr>
        <w:t>负责制定公司的风险管理政策，对风险管理负完全的和最终的责任。</w:t>
      </w:r>
    </w:p>
    <w:p w14:paraId="38879642">
      <w:pPr>
        <w:spacing w:line="360" w:lineRule="auto"/>
        <w:ind w:firstLine="422"/>
        <w:rPr>
          <w:rFonts w:hint="eastAsia"/>
          <w:kern w:val="0"/>
          <w:szCs w:val="21"/>
        </w:rPr>
      </w:pPr>
      <w:r>
        <w:rPr>
          <w:rFonts w:hint="eastAsia"/>
          <w:kern w:val="0"/>
          <w:szCs w:val="21"/>
        </w:rPr>
        <w:t>（2）风险管理委员会</w:t>
      </w:r>
    </w:p>
    <w:p w14:paraId="32A2ED12">
      <w:pPr>
        <w:spacing w:line="360" w:lineRule="auto"/>
        <w:ind w:firstLine="422"/>
        <w:rPr>
          <w:rFonts w:hint="eastAsia"/>
          <w:kern w:val="0"/>
          <w:szCs w:val="21"/>
        </w:rPr>
      </w:pPr>
      <w:r>
        <w:rPr>
          <w:rFonts w:hint="eastAsia"/>
          <w:kern w:val="0"/>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128A7AB2">
      <w:pPr>
        <w:spacing w:line="360" w:lineRule="auto"/>
        <w:ind w:firstLine="422"/>
        <w:rPr>
          <w:rFonts w:hint="eastAsia"/>
          <w:kern w:val="0"/>
          <w:szCs w:val="21"/>
        </w:rPr>
      </w:pPr>
      <w:r>
        <w:rPr>
          <w:rFonts w:hint="eastAsia"/>
          <w:kern w:val="0"/>
          <w:szCs w:val="21"/>
        </w:rPr>
        <w:t>（3）督察长</w:t>
      </w:r>
    </w:p>
    <w:p w14:paraId="09383E9D">
      <w:pPr>
        <w:spacing w:line="360" w:lineRule="auto"/>
        <w:ind w:firstLine="422"/>
        <w:rPr>
          <w:rFonts w:hint="eastAsia"/>
          <w:kern w:val="0"/>
          <w:szCs w:val="21"/>
        </w:rPr>
      </w:pPr>
      <w:r>
        <w:rPr>
          <w:rFonts w:hint="eastAsia"/>
          <w:kern w:val="0"/>
          <w:szCs w:val="21"/>
        </w:rPr>
        <w:t>独立行使督察权利；直接对董事会负责；按季向风险管理委员会提交独立的风险管理报告和风险管理建议。</w:t>
      </w:r>
    </w:p>
    <w:p w14:paraId="5F289C22">
      <w:pPr>
        <w:spacing w:line="360" w:lineRule="auto"/>
        <w:ind w:firstLine="422"/>
        <w:rPr>
          <w:rFonts w:hint="eastAsia"/>
          <w:kern w:val="0"/>
          <w:szCs w:val="21"/>
        </w:rPr>
      </w:pPr>
      <w:r>
        <w:rPr>
          <w:rFonts w:hint="eastAsia"/>
          <w:kern w:val="0"/>
          <w:szCs w:val="21"/>
        </w:rPr>
        <w:t>（4）法律合规部</w:t>
      </w:r>
    </w:p>
    <w:p w14:paraId="6D5FE1F3">
      <w:pPr>
        <w:spacing w:line="360" w:lineRule="auto"/>
        <w:ind w:firstLine="422"/>
        <w:rPr>
          <w:rFonts w:hint="eastAsia"/>
          <w:kern w:val="0"/>
          <w:szCs w:val="21"/>
        </w:rPr>
      </w:pPr>
      <w:r>
        <w:rPr>
          <w:rFonts w:hint="eastAsia"/>
          <w:kern w:val="0"/>
          <w:szCs w:val="21"/>
        </w:rPr>
        <w:t>法律合规部负责对公司风险管理政策和措施的执行情况进行检查，并为每一个部门的风险管理系统的发展提供协助，使公司在一种风险管理和控制的环境中实现业务目标。</w:t>
      </w:r>
    </w:p>
    <w:p w14:paraId="1434397E">
      <w:pPr>
        <w:spacing w:line="360" w:lineRule="auto"/>
        <w:ind w:firstLine="422"/>
        <w:rPr>
          <w:rFonts w:hint="eastAsia"/>
          <w:kern w:val="0"/>
          <w:szCs w:val="21"/>
        </w:rPr>
      </w:pPr>
      <w:r>
        <w:rPr>
          <w:rFonts w:hint="eastAsia"/>
          <w:kern w:val="0"/>
          <w:szCs w:val="21"/>
        </w:rPr>
        <w:t>（5）风险管理部</w:t>
      </w:r>
    </w:p>
    <w:p w14:paraId="41748DA5">
      <w:pPr>
        <w:spacing w:line="360" w:lineRule="auto"/>
        <w:ind w:firstLine="422"/>
        <w:rPr>
          <w:rFonts w:hint="eastAsia"/>
          <w:kern w:val="0"/>
          <w:szCs w:val="21"/>
        </w:rPr>
      </w:pPr>
      <w:r>
        <w:rPr>
          <w:rFonts w:hint="eastAsia"/>
          <w:kern w:val="0"/>
          <w:szCs w:val="21"/>
        </w:rPr>
        <w:t>风险管理部负责建立和完善公司投资风险管理制度与流程，组织实施公司投资风险管理与绩效分析工作，确保公司各类投资风险得到良好监督与控制。</w:t>
      </w:r>
    </w:p>
    <w:p w14:paraId="71DA4B98">
      <w:pPr>
        <w:spacing w:line="360" w:lineRule="auto"/>
        <w:ind w:firstLine="422"/>
        <w:rPr>
          <w:rFonts w:hint="eastAsia"/>
          <w:kern w:val="0"/>
          <w:szCs w:val="21"/>
        </w:rPr>
      </w:pPr>
      <w:r>
        <w:rPr>
          <w:rFonts w:hint="eastAsia"/>
          <w:kern w:val="0"/>
          <w:szCs w:val="21"/>
        </w:rPr>
        <w:t>（6）业务部门</w:t>
      </w:r>
    </w:p>
    <w:p w14:paraId="432B402A">
      <w:pPr>
        <w:spacing w:line="360" w:lineRule="auto"/>
        <w:ind w:firstLine="422"/>
        <w:rPr>
          <w:rFonts w:hint="eastAsia"/>
          <w:kern w:val="0"/>
          <w:szCs w:val="21"/>
        </w:rPr>
      </w:pPr>
      <w:r>
        <w:rPr>
          <w:rFonts w:hint="eastAsia"/>
          <w:kern w:val="0"/>
          <w:szCs w:val="21"/>
        </w:rPr>
        <w:t>风险管理是每一个业务部门最首要的责任。部门经理对本部门的风险负全部责任，负责履行公司的风险管理程序，负责本部门的风险管理系统的开发、执行和维护，用于识别、监控和降低风险。</w:t>
      </w:r>
    </w:p>
    <w:p w14:paraId="1C768939">
      <w:pPr>
        <w:spacing w:line="360" w:lineRule="auto"/>
        <w:ind w:firstLine="422"/>
        <w:rPr>
          <w:rFonts w:hint="eastAsia"/>
          <w:kern w:val="0"/>
          <w:szCs w:val="21"/>
        </w:rPr>
      </w:pPr>
      <w:r>
        <w:rPr>
          <w:rFonts w:hint="eastAsia"/>
          <w:kern w:val="0"/>
          <w:szCs w:val="21"/>
        </w:rPr>
        <w:t>3、风险管理和内部风险控制的措施</w:t>
      </w:r>
    </w:p>
    <w:p w14:paraId="61D83F0B">
      <w:pPr>
        <w:spacing w:line="360" w:lineRule="auto"/>
        <w:ind w:firstLine="422"/>
        <w:rPr>
          <w:rFonts w:hint="eastAsia"/>
          <w:kern w:val="0"/>
          <w:szCs w:val="21"/>
        </w:rPr>
      </w:pPr>
      <w:r>
        <w:rPr>
          <w:rFonts w:hint="eastAsia"/>
          <w:kern w:val="0"/>
          <w:szCs w:val="21"/>
        </w:rPr>
        <w:t>（1）建立内控结构，完善内控制度</w:t>
      </w:r>
    </w:p>
    <w:p w14:paraId="6594A453">
      <w:pPr>
        <w:spacing w:line="360" w:lineRule="auto"/>
        <w:ind w:firstLine="422"/>
        <w:rPr>
          <w:rFonts w:hint="eastAsia"/>
          <w:kern w:val="0"/>
          <w:szCs w:val="21"/>
        </w:rPr>
      </w:pPr>
      <w:r>
        <w:rPr>
          <w:rFonts w:hint="eastAsia"/>
          <w:kern w:val="0"/>
          <w:szCs w:val="21"/>
        </w:rPr>
        <w:t>公司建立、健全了内控结构，高管人员关于内控有明确的分工，确保各项业务活动有恰当的组织和授权，确保监察活动是独立的，并得到高管人员的支持，同时置备操作手册，并定期更新。</w:t>
      </w:r>
    </w:p>
    <w:p w14:paraId="705C1371">
      <w:pPr>
        <w:spacing w:line="360" w:lineRule="auto"/>
        <w:ind w:firstLine="422"/>
        <w:rPr>
          <w:rFonts w:hint="eastAsia"/>
          <w:kern w:val="0"/>
          <w:szCs w:val="21"/>
        </w:rPr>
      </w:pPr>
      <w:r>
        <w:rPr>
          <w:rFonts w:hint="eastAsia"/>
          <w:kern w:val="0"/>
          <w:szCs w:val="21"/>
        </w:rPr>
        <w:t>（2）建立相互分离、相互制衡的内控机制</w:t>
      </w:r>
    </w:p>
    <w:p w14:paraId="58E619B4">
      <w:pPr>
        <w:spacing w:line="360" w:lineRule="auto"/>
        <w:ind w:firstLine="422"/>
        <w:rPr>
          <w:rFonts w:hint="eastAsia"/>
          <w:kern w:val="0"/>
          <w:szCs w:val="21"/>
        </w:rPr>
      </w:pPr>
      <w:r>
        <w:rPr>
          <w:rFonts w:hint="eastAsia"/>
          <w:kern w:val="0"/>
          <w:szCs w:val="21"/>
        </w:rPr>
        <w:t>建立、健全了各项制度，做到基金经理分开，投资决策分开，基金交易集中，形成不同部门，不同岗位之间的制衡机制，从制度上减少和防范风险。</w:t>
      </w:r>
    </w:p>
    <w:p w14:paraId="1DED99C8">
      <w:pPr>
        <w:spacing w:line="360" w:lineRule="auto"/>
        <w:ind w:firstLine="422"/>
        <w:rPr>
          <w:rFonts w:hint="eastAsia"/>
          <w:kern w:val="0"/>
          <w:szCs w:val="21"/>
        </w:rPr>
      </w:pPr>
      <w:r>
        <w:rPr>
          <w:rFonts w:hint="eastAsia"/>
          <w:kern w:val="0"/>
          <w:szCs w:val="21"/>
        </w:rPr>
        <w:t>（3）建立、健全岗位责任制</w:t>
      </w:r>
    </w:p>
    <w:p w14:paraId="24912221">
      <w:pPr>
        <w:spacing w:line="360" w:lineRule="auto"/>
        <w:ind w:firstLine="422"/>
        <w:rPr>
          <w:rFonts w:hint="eastAsia"/>
          <w:kern w:val="0"/>
          <w:szCs w:val="21"/>
        </w:rPr>
      </w:pPr>
      <w:r>
        <w:rPr>
          <w:rFonts w:hint="eastAsia"/>
          <w:kern w:val="0"/>
          <w:szCs w:val="21"/>
        </w:rPr>
        <w:t>建立、健全了岗位责任制，使每个员工都明确自己的任务、职责，并及时将各自工作领域中的风险隐患上报，以防范和减少风险。</w:t>
      </w:r>
    </w:p>
    <w:p w14:paraId="5D649912">
      <w:pPr>
        <w:spacing w:line="360" w:lineRule="auto"/>
        <w:ind w:firstLine="422"/>
        <w:rPr>
          <w:rFonts w:hint="eastAsia"/>
          <w:kern w:val="0"/>
          <w:szCs w:val="21"/>
        </w:rPr>
      </w:pPr>
      <w:r>
        <w:rPr>
          <w:rFonts w:hint="eastAsia"/>
          <w:kern w:val="0"/>
          <w:szCs w:val="21"/>
        </w:rPr>
        <w:t>（4）建立风险分类、识别、评估、报告、提示程序</w:t>
      </w:r>
    </w:p>
    <w:p w14:paraId="68129CB9">
      <w:pPr>
        <w:spacing w:line="360" w:lineRule="auto"/>
        <w:ind w:firstLine="422"/>
        <w:rPr>
          <w:rFonts w:hint="eastAsia"/>
          <w:kern w:val="0"/>
          <w:szCs w:val="21"/>
        </w:rPr>
      </w:pPr>
      <w:r>
        <w:rPr>
          <w:rFonts w:hint="eastAsia"/>
          <w:kern w:val="0"/>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3E0779B">
      <w:pPr>
        <w:spacing w:line="360" w:lineRule="auto"/>
        <w:ind w:firstLine="422"/>
        <w:rPr>
          <w:rFonts w:hint="eastAsia"/>
          <w:kern w:val="0"/>
          <w:szCs w:val="21"/>
        </w:rPr>
      </w:pPr>
      <w:r>
        <w:rPr>
          <w:rFonts w:hint="eastAsia"/>
          <w:kern w:val="0"/>
          <w:szCs w:val="21"/>
        </w:rPr>
        <w:t>（5）建立有效的内部监控系统</w:t>
      </w:r>
    </w:p>
    <w:p w14:paraId="463499D2">
      <w:pPr>
        <w:spacing w:line="360" w:lineRule="auto"/>
        <w:ind w:firstLine="422"/>
        <w:rPr>
          <w:rFonts w:hint="eastAsia"/>
          <w:kern w:val="0"/>
          <w:szCs w:val="21"/>
        </w:rPr>
      </w:pPr>
      <w:r>
        <w:rPr>
          <w:rFonts w:hint="eastAsia"/>
          <w:kern w:val="0"/>
          <w:szCs w:val="21"/>
        </w:rPr>
        <w:t>建立了足够、有效的内部监控系统，如电脑预警系统、投资监控系统，对可能出现的各种风险进行全面和实时的监控。</w:t>
      </w:r>
    </w:p>
    <w:p w14:paraId="14421D6D">
      <w:pPr>
        <w:spacing w:line="360" w:lineRule="auto"/>
        <w:ind w:firstLine="422"/>
        <w:rPr>
          <w:rFonts w:hint="eastAsia"/>
          <w:kern w:val="0"/>
          <w:szCs w:val="21"/>
        </w:rPr>
      </w:pPr>
      <w:r>
        <w:rPr>
          <w:rFonts w:hint="eastAsia"/>
          <w:kern w:val="0"/>
          <w:szCs w:val="21"/>
        </w:rPr>
        <w:t>（6）使用数量化的风险管理手段</w:t>
      </w:r>
    </w:p>
    <w:p w14:paraId="0C3F88E9">
      <w:pPr>
        <w:spacing w:line="360" w:lineRule="auto"/>
        <w:ind w:firstLine="422"/>
        <w:rPr>
          <w:rFonts w:hint="eastAsia"/>
          <w:kern w:val="0"/>
          <w:szCs w:val="21"/>
        </w:rPr>
      </w:pPr>
      <w:r>
        <w:rPr>
          <w:rFonts w:hint="eastAsia"/>
          <w:kern w:val="0"/>
          <w:szCs w:val="21"/>
        </w:rPr>
        <w:t>采取数量化、技术化的风险控制手段，建立数量化的风险管理模型，用以提示指数趋势、行业及个股的风险，以便公司及时采取有效的措施，对风险进行分散、控制和规避，尽可能地减少损失。</w:t>
      </w:r>
    </w:p>
    <w:p w14:paraId="65D9283F">
      <w:pPr>
        <w:spacing w:line="360" w:lineRule="auto"/>
        <w:ind w:firstLine="422"/>
        <w:rPr>
          <w:rFonts w:hint="eastAsia"/>
          <w:kern w:val="0"/>
          <w:szCs w:val="21"/>
        </w:rPr>
      </w:pPr>
      <w:r>
        <w:rPr>
          <w:rFonts w:hint="eastAsia"/>
          <w:kern w:val="0"/>
          <w:szCs w:val="21"/>
        </w:rPr>
        <w:t>（7）提供足够的培训</w:t>
      </w:r>
    </w:p>
    <w:p w14:paraId="354F6D3E">
      <w:pPr>
        <w:spacing w:line="360" w:lineRule="auto"/>
        <w:ind w:firstLine="422"/>
        <w:rPr>
          <w:rFonts w:hint="eastAsia"/>
          <w:kern w:val="0"/>
          <w:szCs w:val="21"/>
        </w:rPr>
        <w:sectPr>
          <w:footerReference r:id="rId9" w:type="default"/>
          <w:pgSz w:w="11906" w:h="16838"/>
          <w:pgMar w:top="1440" w:right="1797" w:bottom="1440" w:left="1797" w:header="851" w:footer="992" w:gutter="0"/>
          <w:pgNumType w:start="1"/>
          <w:cols w:space="720" w:num="1"/>
          <w:docGrid w:linePitch="312" w:charSpace="0"/>
        </w:sectPr>
      </w:pPr>
      <w:r>
        <w:rPr>
          <w:rFonts w:hint="eastAsia"/>
          <w:kern w:val="0"/>
          <w:szCs w:val="21"/>
        </w:rPr>
        <w:t>制定了完整的培训计划，为所有员工提供足够和适当的培训，使员工明确其职责所在，控制风险。</w:t>
      </w:r>
    </w:p>
    <w:p w14:paraId="3ED04949">
      <w:pPr>
        <w:pStyle w:val="2"/>
        <w:spacing w:before="72" w:beforeLines="30" w:after="72" w:afterLines="30" w:line="360" w:lineRule="auto"/>
        <w:jc w:val="center"/>
        <w:rPr>
          <w:rFonts w:eastAsia="宋体"/>
          <w:b/>
          <w:sz w:val="28"/>
          <w:szCs w:val="24"/>
        </w:rPr>
      </w:pPr>
      <w:bookmarkStart w:id="9" w:name="_Toc48231671"/>
      <w:r>
        <w:rPr>
          <w:rFonts w:hint="eastAsia" w:eastAsia="宋体"/>
          <w:b/>
          <w:sz w:val="28"/>
          <w:szCs w:val="24"/>
        </w:rPr>
        <w:t xml:space="preserve">第四部分 </w:t>
      </w:r>
      <w:r>
        <w:rPr>
          <w:rFonts w:eastAsia="宋体"/>
          <w:b/>
          <w:sz w:val="28"/>
          <w:szCs w:val="24"/>
        </w:rPr>
        <w:t>基金托管人</w:t>
      </w:r>
      <w:bookmarkEnd w:id="9"/>
    </w:p>
    <w:p w14:paraId="7CA379D6">
      <w:pPr>
        <w:adjustRightInd/>
        <w:spacing w:line="360" w:lineRule="auto"/>
        <w:ind w:firstLine="422" w:firstLineChars="200"/>
        <w:textAlignment w:val="auto"/>
        <w:rPr>
          <w:rFonts w:hint="eastAsia" w:ascii="宋体" w:hAnsi="宋体"/>
          <w:b/>
          <w:szCs w:val="21"/>
        </w:rPr>
      </w:pPr>
      <w:r>
        <w:rPr>
          <w:rFonts w:hint="eastAsia" w:ascii="宋体" w:hAnsi="宋体"/>
          <w:b/>
          <w:szCs w:val="21"/>
        </w:rPr>
        <w:t>一、基金托管人概况</w:t>
      </w:r>
    </w:p>
    <w:p w14:paraId="0B404439">
      <w:pPr>
        <w:adjustRightInd/>
        <w:spacing w:line="360" w:lineRule="auto"/>
        <w:ind w:firstLine="420" w:firstLineChars="200"/>
        <w:textAlignment w:val="auto"/>
        <w:rPr>
          <w:rFonts w:hint="eastAsia" w:ascii="宋体" w:hAnsi="宋体"/>
          <w:bCs/>
          <w:szCs w:val="21"/>
        </w:rPr>
      </w:pPr>
      <w:r>
        <w:rPr>
          <w:rFonts w:hint="eastAsia" w:ascii="宋体" w:hAnsi="宋体"/>
          <w:bCs/>
          <w:szCs w:val="21"/>
        </w:rPr>
        <w:t>1、基本情况</w:t>
      </w:r>
    </w:p>
    <w:p w14:paraId="09708698">
      <w:pPr>
        <w:adjustRightInd/>
        <w:spacing w:line="360" w:lineRule="auto"/>
        <w:ind w:firstLine="420" w:firstLineChars="200"/>
        <w:textAlignment w:val="auto"/>
        <w:rPr>
          <w:rFonts w:hint="eastAsia" w:ascii="宋体" w:hAnsi="宋体"/>
          <w:bCs/>
          <w:szCs w:val="21"/>
        </w:rPr>
      </w:pPr>
      <w:r>
        <w:rPr>
          <w:rFonts w:hint="eastAsia" w:ascii="宋体" w:hAnsi="宋体"/>
          <w:bCs/>
          <w:szCs w:val="21"/>
        </w:rPr>
        <w:t>名称：招商银行股份有限公司（以下简称“招商银行”）</w:t>
      </w:r>
    </w:p>
    <w:p w14:paraId="52A89642">
      <w:pPr>
        <w:adjustRightInd/>
        <w:spacing w:line="360" w:lineRule="auto"/>
        <w:ind w:firstLine="420" w:firstLineChars="200"/>
        <w:textAlignment w:val="auto"/>
        <w:rPr>
          <w:rFonts w:hint="eastAsia" w:ascii="宋体" w:hAnsi="宋体"/>
          <w:bCs/>
          <w:szCs w:val="21"/>
        </w:rPr>
      </w:pPr>
      <w:r>
        <w:rPr>
          <w:rFonts w:hint="eastAsia" w:ascii="宋体" w:hAnsi="宋体"/>
          <w:bCs/>
          <w:szCs w:val="21"/>
        </w:rPr>
        <w:t>设立日期：1987年4月8日</w:t>
      </w:r>
    </w:p>
    <w:p w14:paraId="37E9CAA5">
      <w:pPr>
        <w:adjustRightInd/>
        <w:spacing w:line="360" w:lineRule="auto"/>
        <w:ind w:firstLine="420" w:firstLineChars="200"/>
        <w:textAlignment w:val="auto"/>
        <w:rPr>
          <w:rFonts w:hint="eastAsia" w:ascii="宋体" w:hAnsi="宋体"/>
          <w:bCs/>
          <w:szCs w:val="21"/>
        </w:rPr>
      </w:pPr>
      <w:r>
        <w:rPr>
          <w:rFonts w:hint="eastAsia" w:ascii="宋体" w:hAnsi="宋体"/>
          <w:bCs/>
          <w:szCs w:val="21"/>
        </w:rPr>
        <w:t>注册地址：深圳市深南大道7088号招商银行大厦</w:t>
      </w:r>
    </w:p>
    <w:p w14:paraId="392BF086">
      <w:pPr>
        <w:adjustRightInd/>
        <w:spacing w:line="360" w:lineRule="auto"/>
        <w:ind w:firstLine="420" w:firstLineChars="200"/>
        <w:textAlignment w:val="auto"/>
        <w:rPr>
          <w:rFonts w:hint="eastAsia" w:ascii="宋体" w:hAnsi="宋体"/>
          <w:bCs/>
          <w:szCs w:val="21"/>
        </w:rPr>
      </w:pPr>
      <w:r>
        <w:rPr>
          <w:rFonts w:hint="eastAsia" w:ascii="宋体" w:hAnsi="宋体"/>
          <w:bCs/>
          <w:szCs w:val="21"/>
        </w:rPr>
        <w:t>办公地址：深圳市深南大道7088号招商银行大厦</w:t>
      </w:r>
    </w:p>
    <w:p w14:paraId="4159320E">
      <w:pPr>
        <w:adjustRightInd/>
        <w:spacing w:line="360" w:lineRule="auto"/>
        <w:ind w:firstLine="420" w:firstLineChars="200"/>
        <w:textAlignment w:val="auto"/>
        <w:rPr>
          <w:rFonts w:hint="eastAsia" w:ascii="宋体" w:hAnsi="宋体"/>
          <w:bCs/>
          <w:szCs w:val="21"/>
        </w:rPr>
      </w:pPr>
      <w:r>
        <w:rPr>
          <w:rFonts w:hint="eastAsia" w:ascii="宋体" w:hAnsi="宋体"/>
          <w:bCs/>
          <w:szCs w:val="21"/>
        </w:rPr>
        <w:t>注册资本：252.20亿元</w:t>
      </w:r>
    </w:p>
    <w:p w14:paraId="5967CF51">
      <w:pPr>
        <w:adjustRightInd/>
        <w:spacing w:line="360" w:lineRule="auto"/>
        <w:ind w:firstLine="420" w:firstLineChars="200"/>
        <w:textAlignment w:val="auto"/>
        <w:rPr>
          <w:rFonts w:hint="eastAsia" w:ascii="宋体" w:hAnsi="宋体"/>
          <w:bCs/>
          <w:szCs w:val="21"/>
        </w:rPr>
      </w:pPr>
      <w:r>
        <w:rPr>
          <w:rFonts w:hint="eastAsia" w:ascii="宋体" w:hAnsi="宋体"/>
          <w:bCs/>
          <w:szCs w:val="21"/>
        </w:rPr>
        <w:t>法定代表人：缪建民</w:t>
      </w:r>
    </w:p>
    <w:p w14:paraId="7A6BC24F">
      <w:pPr>
        <w:adjustRightInd/>
        <w:spacing w:line="360" w:lineRule="auto"/>
        <w:ind w:firstLine="420" w:firstLineChars="200"/>
        <w:textAlignment w:val="auto"/>
        <w:rPr>
          <w:rFonts w:hint="eastAsia" w:ascii="宋体" w:hAnsi="宋体"/>
          <w:bCs/>
          <w:szCs w:val="21"/>
        </w:rPr>
      </w:pPr>
      <w:r>
        <w:rPr>
          <w:rFonts w:hint="eastAsia" w:ascii="宋体" w:hAnsi="宋体"/>
          <w:bCs/>
          <w:szCs w:val="21"/>
        </w:rPr>
        <w:t>行长：王良</w:t>
      </w:r>
    </w:p>
    <w:p w14:paraId="29349B76">
      <w:pPr>
        <w:adjustRightInd/>
        <w:spacing w:line="360" w:lineRule="auto"/>
        <w:ind w:firstLine="420" w:firstLineChars="200"/>
        <w:textAlignment w:val="auto"/>
        <w:rPr>
          <w:rFonts w:hint="eastAsia" w:ascii="宋体" w:hAnsi="宋体"/>
          <w:bCs/>
          <w:szCs w:val="21"/>
        </w:rPr>
      </w:pPr>
      <w:r>
        <w:rPr>
          <w:rFonts w:hint="eastAsia" w:ascii="宋体" w:hAnsi="宋体"/>
          <w:bCs/>
          <w:szCs w:val="21"/>
        </w:rPr>
        <w:t>资产托管业务批准文号：证监基金字[2002]83号</w:t>
      </w:r>
    </w:p>
    <w:p w14:paraId="00F02DA3">
      <w:pPr>
        <w:adjustRightInd/>
        <w:spacing w:line="360" w:lineRule="auto"/>
        <w:ind w:firstLine="420" w:firstLineChars="200"/>
        <w:textAlignment w:val="auto"/>
        <w:rPr>
          <w:rFonts w:hint="eastAsia" w:ascii="宋体" w:hAnsi="宋体"/>
          <w:bCs/>
          <w:szCs w:val="21"/>
        </w:rPr>
      </w:pPr>
      <w:r>
        <w:rPr>
          <w:rFonts w:hint="eastAsia" w:ascii="宋体" w:hAnsi="宋体"/>
          <w:bCs/>
          <w:szCs w:val="21"/>
        </w:rPr>
        <w:t>电话：4006195555</w:t>
      </w:r>
    </w:p>
    <w:p w14:paraId="23A0AF7B">
      <w:pPr>
        <w:adjustRightInd/>
        <w:spacing w:line="360" w:lineRule="auto"/>
        <w:ind w:firstLine="420" w:firstLineChars="200"/>
        <w:textAlignment w:val="auto"/>
        <w:rPr>
          <w:rFonts w:hint="eastAsia" w:ascii="宋体" w:hAnsi="宋体"/>
          <w:bCs/>
          <w:szCs w:val="21"/>
        </w:rPr>
      </w:pPr>
      <w:r>
        <w:rPr>
          <w:rFonts w:hint="eastAsia" w:ascii="宋体" w:hAnsi="宋体"/>
          <w:bCs/>
          <w:szCs w:val="21"/>
        </w:rPr>
        <w:t>传真：0755-83195201</w:t>
      </w:r>
    </w:p>
    <w:p w14:paraId="08CCB084">
      <w:pPr>
        <w:adjustRightInd/>
        <w:spacing w:line="360" w:lineRule="auto"/>
        <w:ind w:firstLine="420" w:firstLineChars="200"/>
        <w:textAlignment w:val="auto"/>
        <w:rPr>
          <w:rFonts w:hint="eastAsia" w:ascii="宋体" w:hAnsi="宋体"/>
          <w:bCs/>
          <w:szCs w:val="21"/>
        </w:rPr>
      </w:pPr>
      <w:r>
        <w:rPr>
          <w:rFonts w:hint="eastAsia" w:ascii="宋体" w:hAnsi="宋体"/>
          <w:bCs/>
          <w:szCs w:val="21"/>
        </w:rPr>
        <w:t>资产托管部信息披露负责人：张姗</w:t>
      </w:r>
    </w:p>
    <w:p w14:paraId="70247A6F">
      <w:pPr>
        <w:adjustRightInd/>
        <w:spacing w:line="360" w:lineRule="auto"/>
        <w:ind w:firstLine="420" w:firstLineChars="200"/>
        <w:textAlignment w:val="auto"/>
        <w:rPr>
          <w:rFonts w:hint="eastAsia" w:ascii="宋体" w:hAnsi="宋体"/>
          <w:bCs/>
          <w:szCs w:val="21"/>
        </w:rPr>
      </w:pPr>
      <w:r>
        <w:rPr>
          <w:rFonts w:hint="eastAsia" w:ascii="宋体" w:hAnsi="宋体"/>
          <w:bCs/>
          <w:szCs w:val="21"/>
        </w:rPr>
        <w:t xml:space="preserve"> 2、发展概况   </w:t>
      </w:r>
    </w:p>
    <w:p w14:paraId="510BFC4C">
      <w:pPr>
        <w:adjustRightInd/>
        <w:spacing w:line="360" w:lineRule="auto"/>
        <w:ind w:firstLine="420" w:firstLineChars="200"/>
        <w:textAlignment w:val="auto"/>
        <w:rPr>
          <w:rFonts w:hint="eastAsia" w:ascii="宋体" w:hAnsi="宋体"/>
          <w:bCs/>
          <w:szCs w:val="21"/>
        </w:rPr>
      </w:pPr>
      <w:r>
        <w:rPr>
          <w:rFonts w:hint="eastAsia" w:ascii="宋体" w:hAnsi="宋体"/>
          <w:bCs/>
          <w:szCs w:val="21"/>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9月30日，本集团总资产126,440.75亿元人民币，高级法下资本充足率17.59%，权重法下资本充足率15.07%。</w:t>
      </w:r>
    </w:p>
    <w:p w14:paraId="7C700469">
      <w:pPr>
        <w:adjustRightInd/>
        <w:spacing w:line="360" w:lineRule="auto"/>
        <w:ind w:firstLine="420" w:firstLineChars="200"/>
        <w:textAlignment w:val="auto"/>
        <w:rPr>
          <w:rFonts w:hint="eastAsia" w:ascii="宋体" w:hAnsi="宋体"/>
          <w:bCs/>
          <w:szCs w:val="21"/>
        </w:rPr>
      </w:pPr>
      <w:r>
        <w:rPr>
          <w:rFonts w:hint="eastAsia" w:ascii="宋体" w:hAnsi="宋体"/>
          <w:bCs/>
          <w:szCs w:val="21"/>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258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14:paraId="2173EECB">
      <w:pPr>
        <w:adjustRightInd/>
        <w:spacing w:line="360" w:lineRule="auto"/>
        <w:ind w:firstLine="420" w:firstLineChars="200"/>
        <w:textAlignment w:val="auto"/>
        <w:rPr>
          <w:rFonts w:hint="eastAsia" w:ascii="宋体" w:hAnsi="宋体"/>
          <w:bCs/>
          <w:szCs w:val="21"/>
        </w:rPr>
      </w:pPr>
      <w:r>
        <w:rPr>
          <w:rFonts w:hint="eastAsia" w:ascii="宋体" w:hAnsi="宋体"/>
          <w:bCs/>
          <w:szCs w:val="21"/>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14:paraId="5197D8F2">
      <w:pPr>
        <w:adjustRightInd/>
        <w:spacing w:line="360" w:lineRule="auto"/>
        <w:ind w:firstLine="420" w:firstLineChars="200"/>
        <w:textAlignment w:val="auto"/>
        <w:rPr>
          <w:rFonts w:hint="eastAsia" w:ascii="宋体" w:hAnsi="宋体"/>
          <w:bCs/>
          <w:szCs w:val="21"/>
        </w:rPr>
      </w:pPr>
      <w:r>
        <w:rPr>
          <w:rFonts w:hint="eastAsia" w:ascii="宋体" w:hAnsi="宋体"/>
          <w:bCs/>
          <w:szCs w:val="21"/>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w:t>
      </w:r>
    </w:p>
    <w:p w14:paraId="0DC9574A">
      <w:pPr>
        <w:adjustRightInd/>
        <w:spacing w:line="360" w:lineRule="auto"/>
        <w:ind w:firstLine="422" w:firstLineChars="200"/>
        <w:textAlignment w:val="auto"/>
        <w:rPr>
          <w:rFonts w:hint="eastAsia" w:ascii="宋体" w:hAnsi="宋体"/>
          <w:b/>
          <w:szCs w:val="21"/>
        </w:rPr>
      </w:pPr>
      <w:r>
        <w:rPr>
          <w:rFonts w:hint="eastAsia" w:ascii="宋体" w:hAnsi="宋体"/>
          <w:b/>
          <w:szCs w:val="21"/>
        </w:rPr>
        <w:t>二、主要人员情况</w:t>
      </w:r>
    </w:p>
    <w:p w14:paraId="5978D5FC">
      <w:pPr>
        <w:adjustRightInd/>
        <w:spacing w:line="360" w:lineRule="auto"/>
        <w:ind w:firstLine="420" w:firstLineChars="200"/>
        <w:textAlignment w:val="auto"/>
        <w:rPr>
          <w:rFonts w:hint="eastAsia" w:ascii="宋体" w:hAnsi="宋体"/>
          <w:bCs/>
          <w:szCs w:val="21"/>
        </w:rPr>
      </w:pPr>
      <w:r>
        <w:rPr>
          <w:rFonts w:hint="eastAsia" w:ascii="宋体" w:hAnsi="宋体"/>
          <w:bCs/>
          <w:szCs w:val="21"/>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14:paraId="5EB50D9A">
      <w:pPr>
        <w:adjustRightInd/>
        <w:spacing w:line="360" w:lineRule="auto"/>
        <w:ind w:firstLine="420" w:firstLineChars="200"/>
        <w:textAlignment w:val="auto"/>
        <w:rPr>
          <w:rFonts w:hint="eastAsia" w:ascii="宋体" w:hAnsi="宋体"/>
          <w:bCs/>
          <w:szCs w:val="21"/>
        </w:rPr>
      </w:pPr>
      <w:r>
        <w:rPr>
          <w:rFonts w:hint="eastAsia" w:ascii="宋体" w:hAnsi="宋体"/>
          <w:bCs/>
          <w:szCs w:val="21"/>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14:paraId="315DD693">
      <w:pPr>
        <w:adjustRightInd/>
        <w:spacing w:line="360" w:lineRule="auto"/>
        <w:ind w:firstLine="420" w:firstLineChars="200"/>
        <w:textAlignment w:val="auto"/>
        <w:rPr>
          <w:rFonts w:hint="eastAsia" w:ascii="宋体" w:hAnsi="宋体"/>
          <w:bCs/>
          <w:szCs w:val="21"/>
        </w:rPr>
      </w:pPr>
      <w:r>
        <w:rPr>
          <w:rFonts w:hint="eastAsia" w:ascii="宋体" w:hAnsi="宋体"/>
          <w:bCs/>
          <w:szCs w:val="21"/>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14:paraId="75B7E8BF">
      <w:pPr>
        <w:adjustRightInd/>
        <w:spacing w:line="360" w:lineRule="auto"/>
        <w:ind w:firstLine="420" w:firstLineChars="200"/>
        <w:textAlignment w:val="auto"/>
        <w:rPr>
          <w:rFonts w:hint="eastAsia" w:ascii="宋体" w:hAnsi="宋体"/>
          <w:bCs/>
          <w:szCs w:val="21"/>
        </w:rPr>
      </w:pPr>
      <w:r>
        <w:rPr>
          <w:rFonts w:hint="eastAsia" w:ascii="宋体" w:hAnsi="宋体"/>
          <w:bCs/>
          <w:szCs w:val="21"/>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14:paraId="2492CE5B">
      <w:pPr>
        <w:adjustRightInd/>
        <w:spacing w:line="360" w:lineRule="auto"/>
        <w:ind w:firstLine="420" w:firstLineChars="200"/>
        <w:textAlignment w:val="auto"/>
        <w:rPr>
          <w:rFonts w:hint="eastAsia" w:ascii="宋体" w:hAnsi="宋体"/>
          <w:bCs/>
          <w:szCs w:val="21"/>
        </w:rPr>
      </w:pPr>
    </w:p>
    <w:p w14:paraId="40F58934">
      <w:pPr>
        <w:adjustRightInd/>
        <w:spacing w:line="360" w:lineRule="auto"/>
        <w:ind w:firstLine="422" w:firstLineChars="200"/>
        <w:textAlignment w:val="auto"/>
        <w:rPr>
          <w:rFonts w:hint="eastAsia" w:ascii="宋体" w:hAnsi="宋体"/>
          <w:b/>
          <w:szCs w:val="21"/>
        </w:rPr>
      </w:pPr>
      <w:r>
        <w:rPr>
          <w:rFonts w:hint="eastAsia" w:ascii="宋体" w:hAnsi="宋体"/>
          <w:b/>
          <w:szCs w:val="21"/>
        </w:rPr>
        <w:t>三、基金托管业务经营情况</w:t>
      </w:r>
    </w:p>
    <w:p w14:paraId="70B88753">
      <w:pPr>
        <w:adjustRightInd/>
        <w:spacing w:line="360" w:lineRule="auto"/>
        <w:ind w:firstLine="420" w:firstLineChars="200"/>
        <w:textAlignment w:val="auto"/>
        <w:rPr>
          <w:rFonts w:hint="eastAsia" w:ascii="宋体" w:hAnsi="宋体"/>
          <w:bCs/>
          <w:szCs w:val="21"/>
        </w:rPr>
      </w:pPr>
      <w:r>
        <w:rPr>
          <w:rFonts w:hint="eastAsia" w:ascii="宋体" w:hAnsi="宋体"/>
          <w:bCs/>
          <w:szCs w:val="21"/>
        </w:rPr>
        <w:t>截至2025年9月30日，招商银行股份有限公司累计托管1707只证券投资基金。</w:t>
      </w:r>
    </w:p>
    <w:p w14:paraId="6CA6DD28">
      <w:pPr>
        <w:adjustRightInd/>
        <w:spacing w:line="360" w:lineRule="auto"/>
        <w:ind w:firstLine="420" w:firstLineChars="200"/>
        <w:textAlignment w:val="auto"/>
        <w:rPr>
          <w:rFonts w:hint="eastAsia" w:ascii="宋体" w:hAnsi="宋体"/>
          <w:bCs/>
          <w:szCs w:val="21"/>
        </w:rPr>
      </w:pPr>
      <w:r>
        <w:rPr>
          <w:rFonts w:hint="eastAsia" w:ascii="宋体" w:hAnsi="宋体"/>
          <w:bCs/>
          <w:szCs w:val="21"/>
        </w:rPr>
        <w:t xml:space="preserve">  </w:t>
      </w:r>
    </w:p>
    <w:p w14:paraId="2F53B063">
      <w:pPr>
        <w:adjustRightInd/>
        <w:spacing w:line="360" w:lineRule="auto"/>
        <w:ind w:firstLine="422" w:firstLineChars="200"/>
        <w:textAlignment w:val="auto"/>
        <w:rPr>
          <w:rFonts w:hint="eastAsia" w:ascii="宋体" w:hAnsi="宋体"/>
          <w:b/>
          <w:szCs w:val="21"/>
        </w:rPr>
      </w:pPr>
      <w:r>
        <w:rPr>
          <w:rFonts w:hint="eastAsia" w:ascii="宋体" w:hAnsi="宋体"/>
          <w:b/>
          <w:szCs w:val="21"/>
        </w:rPr>
        <w:t>四、托管人的内部控制制度</w:t>
      </w:r>
    </w:p>
    <w:p w14:paraId="4CDAF970">
      <w:pPr>
        <w:adjustRightInd/>
        <w:spacing w:line="360" w:lineRule="auto"/>
        <w:ind w:firstLine="420" w:firstLineChars="200"/>
        <w:textAlignment w:val="auto"/>
        <w:rPr>
          <w:rFonts w:hint="eastAsia" w:ascii="宋体" w:hAnsi="宋体"/>
          <w:bCs/>
          <w:szCs w:val="21"/>
        </w:rPr>
      </w:pPr>
      <w:r>
        <w:rPr>
          <w:rFonts w:hint="eastAsia" w:ascii="宋体" w:hAnsi="宋体"/>
          <w:bCs/>
          <w:szCs w:val="21"/>
        </w:rPr>
        <w:t>1、内部控制目标</w:t>
      </w:r>
    </w:p>
    <w:p w14:paraId="225EA984">
      <w:pPr>
        <w:adjustRightInd/>
        <w:spacing w:line="360" w:lineRule="auto"/>
        <w:ind w:firstLine="420" w:firstLineChars="200"/>
        <w:textAlignment w:val="auto"/>
        <w:rPr>
          <w:rFonts w:hint="eastAsia" w:ascii="宋体" w:hAnsi="宋体"/>
          <w:bCs/>
          <w:szCs w:val="21"/>
        </w:rPr>
      </w:pPr>
      <w:r>
        <w:rPr>
          <w:rFonts w:hint="eastAsia" w:ascii="宋体" w:hAnsi="宋体"/>
          <w:bCs/>
          <w:szCs w:val="21"/>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14:paraId="530085F9">
      <w:pPr>
        <w:adjustRightInd/>
        <w:spacing w:line="360" w:lineRule="auto"/>
        <w:ind w:firstLine="420" w:firstLineChars="200"/>
        <w:textAlignment w:val="auto"/>
        <w:rPr>
          <w:rFonts w:hint="eastAsia" w:ascii="宋体" w:hAnsi="宋体"/>
          <w:bCs/>
          <w:szCs w:val="21"/>
        </w:rPr>
      </w:pPr>
      <w:r>
        <w:rPr>
          <w:rFonts w:hint="eastAsia" w:ascii="宋体" w:hAnsi="宋体"/>
          <w:bCs/>
          <w:szCs w:val="21"/>
        </w:rPr>
        <w:t>2、内部控制组织结构</w:t>
      </w:r>
    </w:p>
    <w:p w14:paraId="1CC69FE0">
      <w:pPr>
        <w:adjustRightInd/>
        <w:spacing w:line="360" w:lineRule="auto"/>
        <w:ind w:firstLine="420" w:firstLineChars="200"/>
        <w:textAlignment w:val="auto"/>
        <w:rPr>
          <w:rFonts w:hint="eastAsia" w:ascii="宋体" w:hAnsi="宋体"/>
          <w:bCs/>
          <w:szCs w:val="21"/>
        </w:rPr>
      </w:pPr>
      <w:r>
        <w:rPr>
          <w:rFonts w:hint="eastAsia" w:ascii="宋体" w:hAnsi="宋体"/>
          <w:bCs/>
          <w:szCs w:val="21"/>
        </w:rPr>
        <w:t>招商银行资产托管业务建立三级内部控制及风险防范体系：</w:t>
      </w:r>
    </w:p>
    <w:p w14:paraId="3DADBC67">
      <w:pPr>
        <w:adjustRightInd/>
        <w:spacing w:line="360" w:lineRule="auto"/>
        <w:ind w:firstLine="420" w:firstLineChars="200"/>
        <w:textAlignment w:val="auto"/>
        <w:rPr>
          <w:rFonts w:hint="eastAsia" w:ascii="宋体" w:hAnsi="宋体"/>
          <w:bCs/>
          <w:szCs w:val="21"/>
        </w:rPr>
      </w:pPr>
      <w:r>
        <w:rPr>
          <w:rFonts w:hint="eastAsia" w:ascii="宋体" w:hAnsi="宋体"/>
          <w:bCs/>
          <w:szCs w:val="21"/>
        </w:rPr>
        <w:t>一级内部控制及风险防范是在招商银行总行风险管控层面对风险进行预防和控制；总行风险管理部、法律合规部、审计部独立对资产托管业务进行评估监督，并提出内控提升管理建议。</w:t>
      </w:r>
    </w:p>
    <w:p w14:paraId="5E0E8FD7">
      <w:pPr>
        <w:adjustRightInd/>
        <w:spacing w:line="360" w:lineRule="auto"/>
        <w:ind w:firstLine="420" w:firstLineChars="200"/>
        <w:textAlignment w:val="auto"/>
        <w:rPr>
          <w:rFonts w:hint="eastAsia" w:ascii="宋体" w:hAnsi="宋体"/>
          <w:bCs/>
          <w:szCs w:val="21"/>
        </w:rPr>
      </w:pPr>
      <w:r>
        <w:rPr>
          <w:rFonts w:hint="eastAsia" w:ascii="宋体" w:hAnsi="宋体"/>
          <w:bCs/>
          <w:szCs w:val="21"/>
        </w:rPr>
        <w:t>二级内部控制及风险防范是招商银行资产托管部设立风险合规管理相关团队，负责部门内部风险预防和控制，及时发现内部控制缺陷，提出整改方案，跟踪整改情况，并直接向部门总经理室报告。</w:t>
      </w:r>
    </w:p>
    <w:p w14:paraId="66C009F6">
      <w:pPr>
        <w:adjustRightInd/>
        <w:spacing w:line="360" w:lineRule="auto"/>
        <w:ind w:firstLine="420" w:firstLineChars="200"/>
        <w:textAlignment w:val="auto"/>
        <w:rPr>
          <w:rFonts w:hint="eastAsia" w:ascii="宋体" w:hAnsi="宋体"/>
          <w:bCs/>
          <w:szCs w:val="21"/>
        </w:rPr>
      </w:pPr>
      <w:r>
        <w:rPr>
          <w:rFonts w:hint="eastAsia" w:ascii="宋体" w:hAnsi="宋体"/>
          <w:bCs/>
          <w:szCs w:val="21"/>
        </w:rPr>
        <w:t>三级内部控制及风险防范是招商银行资产托管部在设置专业岗位时，遵循内控制衡原则，视业务的风险程度制定相应监督制衡机制。</w:t>
      </w:r>
    </w:p>
    <w:p w14:paraId="061A4865">
      <w:pPr>
        <w:adjustRightInd/>
        <w:spacing w:line="360" w:lineRule="auto"/>
        <w:ind w:firstLine="420" w:firstLineChars="200"/>
        <w:textAlignment w:val="auto"/>
        <w:rPr>
          <w:rFonts w:hint="eastAsia" w:ascii="宋体" w:hAnsi="宋体"/>
          <w:bCs/>
          <w:szCs w:val="21"/>
        </w:rPr>
      </w:pPr>
      <w:r>
        <w:rPr>
          <w:rFonts w:hint="eastAsia" w:ascii="宋体" w:hAnsi="宋体"/>
          <w:bCs/>
          <w:szCs w:val="21"/>
        </w:rPr>
        <w:t>3、内部控制原则</w:t>
      </w:r>
    </w:p>
    <w:p w14:paraId="3357642B">
      <w:pPr>
        <w:adjustRightInd/>
        <w:spacing w:line="360" w:lineRule="auto"/>
        <w:ind w:firstLine="420" w:firstLineChars="200"/>
        <w:textAlignment w:val="auto"/>
        <w:rPr>
          <w:rFonts w:hint="eastAsia" w:ascii="宋体" w:hAnsi="宋体"/>
          <w:bCs/>
          <w:szCs w:val="21"/>
        </w:rPr>
      </w:pPr>
      <w:r>
        <w:rPr>
          <w:rFonts w:hint="eastAsia" w:ascii="宋体" w:hAnsi="宋体"/>
          <w:bCs/>
          <w:szCs w:val="21"/>
        </w:rPr>
        <w:t>（1）全面性原则。内部控制覆盖各项业务过程和操作环节、覆盖所有团队和岗位，并由全部人员参与。</w:t>
      </w:r>
    </w:p>
    <w:p w14:paraId="16125381">
      <w:pPr>
        <w:adjustRightInd/>
        <w:spacing w:line="360" w:lineRule="auto"/>
        <w:ind w:firstLine="420" w:firstLineChars="200"/>
        <w:textAlignment w:val="auto"/>
        <w:rPr>
          <w:rFonts w:hint="eastAsia" w:ascii="宋体" w:hAnsi="宋体"/>
          <w:bCs/>
          <w:szCs w:val="21"/>
        </w:rPr>
      </w:pPr>
      <w:r>
        <w:rPr>
          <w:rFonts w:hint="eastAsia" w:ascii="宋体" w:hAnsi="宋体"/>
          <w:bCs/>
          <w:szCs w:val="21"/>
        </w:rPr>
        <w:t>（2）审慎性原则。托管组织体系的构成、内部管理制度的建立均以防范风险、审慎经营为出发点，体现“内控优先”的要求。</w:t>
      </w:r>
    </w:p>
    <w:p w14:paraId="3E79F2B8">
      <w:pPr>
        <w:adjustRightInd/>
        <w:spacing w:line="360" w:lineRule="auto"/>
        <w:ind w:firstLine="420" w:firstLineChars="200"/>
        <w:textAlignment w:val="auto"/>
        <w:rPr>
          <w:rFonts w:hint="eastAsia" w:ascii="宋体" w:hAnsi="宋体"/>
          <w:bCs/>
          <w:szCs w:val="21"/>
        </w:rPr>
      </w:pPr>
      <w:r>
        <w:rPr>
          <w:rFonts w:hint="eastAsia" w:ascii="宋体" w:hAnsi="宋体"/>
          <w:bCs/>
          <w:szCs w:val="21"/>
        </w:rPr>
        <w:t>（3）独立性原则。招商银行资产托管部各团队、各岗位职责保持相对独立，不同托管资产之间、托管资产和自有资产之间相互分离。内部控制的检查、评价部门独立于内部控制的建立和执行部门。</w:t>
      </w:r>
    </w:p>
    <w:p w14:paraId="178ACA94">
      <w:pPr>
        <w:adjustRightInd/>
        <w:spacing w:line="360" w:lineRule="auto"/>
        <w:ind w:firstLine="420" w:firstLineChars="200"/>
        <w:textAlignment w:val="auto"/>
        <w:rPr>
          <w:rFonts w:hint="eastAsia" w:ascii="宋体" w:hAnsi="宋体"/>
          <w:bCs/>
          <w:szCs w:val="21"/>
        </w:rPr>
      </w:pPr>
      <w:r>
        <w:rPr>
          <w:rFonts w:hint="eastAsia" w:ascii="宋体" w:hAnsi="宋体"/>
          <w:bCs/>
          <w:szCs w:val="21"/>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14:paraId="6E367EB9">
      <w:pPr>
        <w:adjustRightInd/>
        <w:spacing w:line="360" w:lineRule="auto"/>
        <w:ind w:firstLine="420" w:firstLineChars="200"/>
        <w:textAlignment w:val="auto"/>
        <w:rPr>
          <w:rFonts w:hint="eastAsia" w:ascii="宋体" w:hAnsi="宋体"/>
          <w:bCs/>
          <w:szCs w:val="21"/>
        </w:rPr>
      </w:pPr>
      <w:r>
        <w:rPr>
          <w:rFonts w:hint="eastAsia" w:ascii="宋体" w:hAnsi="宋体"/>
          <w:bCs/>
          <w:szCs w:val="21"/>
        </w:rPr>
        <w:t>（5）适应性原则。内部控制适应招商银行托管业务风险管理的需要，并能够随着托管业务经营战略、经营方针、经营理念等内部环境的变化和国家法律、法规、政策制度等外部环境的改变及时进行修订和完善。</w:t>
      </w:r>
    </w:p>
    <w:p w14:paraId="2A18C5FC">
      <w:pPr>
        <w:adjustRightInd/>
        <w:spacing w:line="360" w:lineRule="auto"/>
        <w:ind w:firstLine="420" w:firstLineChars="200"/>
        <w:textAlignment w:val="auto"/>
        <w:rPr>
          <w:rFonts w:hint="eastAsia" w:ascii="宋体" w:hAnsi="宋体"/>
          <w:bCs/>
          <w:szCs w:val="21"/>
        </w:rPr>
      </w:pPr>
      <w:r>
        <w:rPr>
          <w:rFonts w:hint="eastAsia" w:ascii="宋体" w:hAnsi="宋体"/>
          <w:bCs/>
          <w:szCs w:val="21"/>
        </w:rPr>
        <w:t xml:space="preserve">（6）防火墙原则。招商银行资产托管部办公场地与我行其他业务场地隔离，办公网和业务网物理分离，部门业务网和全行业务网防火墙策略分离，以达到风险防范的目的。 </w:t>
      </w:r>
    </w:p>
    <w:p w14:paraId="6D0E8CFB">
      <w:pPr>
        <w:adjustRightInd/>
        <w:spacing w:line="360" w:lineRule="auto"/>
        <w:ind w:firstLine="420" w:firstLineChars="200"/>
        <w:textAlignment w:val="auto"/>
        <w:rPr>
          <w:rFonts w:hint="eastAsia" w:ascii="宋体" w:hAnsi="宋体"/>
          <w:bCs/>
          <w:szCs w:val="21"/>
        </w:rPr>
      </w:pPr>
      <w:r>
        <w:rPr>
          <w:rFonts w:hint="eastAsia" w:ascii="宋体" w:hAnsi="宋体"/>
          <w:bCs/>
          <w:szCs w:val="21"/>
        </w:rPr>
        <w:t>（7）重要性原则。内部控制在实现全面控制的基础上，关注重要托管业务重要事项和高风险环节。</w:t>
      </w:r>
    </w:p>
    <w:p w14:paraId="44D6A8C7">
      <w:pPr>
        <w:adjustRightInd/>
        <w:spacing w:line="360" w:lineRule="auto"/>
        <w:ind w:firstLine="420" w:firstLineChars="200"/>
        <w:textAlignment w:val="auto"/>
        <w:rPr>
          <w:rFonts w:hint="eastAsia" w:ascii="宋体" w:hAnsi="宋体"/>
          <w:bCs/>
          <w:szCs w:val="21"/>
        </w:rPr>
      </w:pPr>
      <w:r>
        <w:rPr>
          <w:rFonts w:hint="eastAsia" w:ascii="宋体" w:hAnsi="宋体"/>
          <w:bCs/>
          <w:szCs w:val="21"/>
        </w:rPr>
        <w:t>（8）制衡性原则。内部控制能够实现在托管组织体系、机构设置、权责分配及业务流程等方面相互制约、相互监督，同时兼顾运营效率。</w:t>
      </w:r>
    </w:p>
    <w:p w14:paraId="7C77EFF9">
      <w:pPr>
        <w:adjustRightInd/>
        <w:spacing w:line="360" w:lineRule="auto"/>
        <w:ind w:firstLine="420" w:firstLineChars="200"/>
        <w:textAlignment w:val="auto"/>
        <w:rPr>
          <w:rFonts w:hint="eastAsia" w:ascii="宋体" w:hAnsi="宋体"/>
          <w:bCs/>
          <w:szCs w:val="21"/>
        </w:rPr>
      </w:pPr>
      <w:r>
        <w:rPr>
          <w:rFonts w:hint="eastAsia" w:ascii="宋体" w:hAnsi="宋体"/>
          <w:bCs/>
          <w:szCs w:val="21"/>
        </w:rPr>
        <w:t>4、内部控制措施</w:t>
      </w:r>
    </w:p>
    <w:p w14:paraId="09983489">
      <w:pPr>
        <w:adjustRightInd/>
        <w:spacing w:line="360" w:lineRule="auto"/>
        <w:ind w:firstLine="420" w:firstLineChars="200"/>
        <w:textAlignment w:val="auto"/>
        <w:rPr>
          <w:rFonts w:hint="eastAsia" w:ascii="宋体" w:hAnsi="宋体"/>
          <w:bCs/>
          <w:szCs w:val="21"/>
        </w:rPr>
      </w:pPr>
      <w:r>
        <w:rPr>
          <w:rFonts w:hint="eastAsia" w:ascii="宋体" w:hAnsi="宋体"/>
          <w:bCs/>
          <w:szCs w:val="21"/>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14:paraId="0DDA692A">
      <w:pPr>
        <w:adjustRightInd/>
        <w:spacing w:line="360" w:lineRule="auto"/>
        <w:ind w:firstLine="420" w:firstLineChars="200"/>
        <w:textAlignment w:val="auto"/>
        <w:rPr>
          <w:rFonts w:hint="eastAsia" w:ascii="宋体" w:hAnsi="宋体"/>
          <w:bCs/>
          <w:szCs w:val="21"/>
        </w:rPr>
      </w:pPr>
      <w:r>
        <w:rPr>
          <w:rFonts w:hint="eastAsia" w:ascii="宋体" w:hAnsi="宋体"/>
          <w:bCs/>
          <w:szCs w:val="21"/>
        </w:rPr>
        <w:t>（2）业务信息风险控制。招商银行资产托管部在数据传输和保存方面有严格的加密和备份措施，采用加密、直连方式传输数据，数据执行异地实时备份，所有的业务信息须经过严格的授权方能进行访问。</w:t>
      </w:r>
    </w:p>
    <w:p w14:paraId="4485A897">
      <w:pPr>
        <w:adjustRightInd/>
        <w:spacing w:line="360" w:lineRule="auto"/>
        <w:ind w:firstLine="420" w:firstLineChars="200"/>
        <w:textAlignment w:val="auto"/>
        <w:rPr>
          <w:rFonts w:hint="eastAsia" w:ascii="宋体" w:hAnsi="宋体"/>
          <w:bCs/>
          <w:szCs w:val="21"/>
        </w:rPr>
      </w:pPr>
      <w:r>
        <w:rPr>
          <w:rFonts w:hint="eastAsia" w:ascii="宋体" w:hAnsi="宋体"/>
          <w:bCs/>
          <w:szCs w:val="21"/>
        </w:rPr>
        <w:t>（3）客户资料风险控制。招商银行资产托管部对业务办理过程中获取的客户资料严格保密，除法律法规和其他有关规定、监管机构及审计要求外，不向任何机构、部门或个人泄露。</w:t>
      </w:r>
    </w:p>
    <w:p w14:paraId="636C99F2">
      <w:pPr>
        <w:adjustRightInd/>
        <w:spacing w:line="360" w:lineRule="auto"/>
        <w:ind w:firstLine="420" w:firstLineChars="200"/>
        <w:textAlignment w:val="auto"/>
        <w:rPr>
          <w:rFonts w:hint="eastAsia" w:ascii="宋体" w:hAnsi="宋体"/>
          <w:bCs/>
          <w:szCs w:val="21"/>
        </w:rPr>
      </w:pPr>
      <w:r>
        <w:rPr>
          <w:rFonts w:hint="eastAsia" w:ascii="宋体" w:hAnsi="宋体"/>
          <w:bCs/>
          <w:szCs w:val="21"/>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14:paraId="6CE29735">
      <w:pPr>
        <w:adjustRightInd/>
        <w:spacing w:line="360" w:lineRule="auto"/>
        <w:ind w:firstLine="420" w:firstLineChars="200"/>
        <w:textAlignment w:val="auto"/>
        <w:rPr>
          <w:rFonts w:hint="eastAsia" w:ascii="宋体" w:hAnsi="宋体"/>
          <w:bCs/>
          <w:szCs w:val="21"/>
        </w:rPr>
      </w:pPr>
      <w:r>
        <w:rPr>
          <w:rFonts w:hint="eastAsia" w:ascii="宋体" w:hAnsi="宋体"/>
          <w:bCs/>
          <w:szCs w:val="21"/>
        </w:rPr>
        <w:t>（5）人力资源控制。招商银行资产托管部通过建立良好的企业文化和员工培训、激励机制、加强人力资源管理及建立人才梯级队伍及人才储备机制，有效地进行人力资源管理。</w:t>
      </w:r>
    </w:p>
    <w:p w14:paraId="33542794">
      <w:pPr>
        <w:adjustRightInd/>
        <w:spacing w:line="360" w:lineRule="auto"/>
        <w:ind w:firstLine="420" w:firstLineChars="200"/>
        <w:textAlignment w:val="auto"/>
        <w:rPr>
          <w:rFonts w:hint="eastAsia" w:ascii="宋体" w:hAnsi="宋体"/>
          <w:bCs/>
          <w:szCs w:val="21"/>
        </w:rPr>
      </w:pPr>
    </w:p>
    <w:p w14:paraId="7C1E66BD">
      <w:pPr>
        <w:adjustRightInd/>
        <w:spacing w:line="360" w:lineRule="auto"/>
        <w:ind w:firstLine="422" w:firstLineChars="200"/>
        <w:textAlignment w:val="auto"/>
        <w:rPr>
          <w:rFonts w:hint="eastAsia" w:ascii="宋体" w:hAnsi="宋体"/>
          <w:b/>
          <w:szCs w:val="21"/>
        </w:rPr>
      </w:pPr>
      <w:r>
        <w:rPr>
          <w:rFonts w:hint="eastAsia" w:ascii="宋体" w:hAnsi="宋体"/>
          <w:b/>
          <w:szCs w:val="21"/>
        </w:rPr>
        <w:t>五、基金托管人对基金管理人运作基金进行监督的方法和程序</w:t>
      </w:r>
    </w:p>
    <w:p w14:paraId="7A366223">
      <w:pPr>
        <w:adjustRightInd/>
        <w:spacing w:line="360" w:lineRule="auto"/>
        <w:ind w:firstLine="420" w:firstLineChars="200"/>
        <w:textAlignment w:val="auto"/>
        <w:rPr>
          <w:rFonts w:hint="eastAsia" w:ascii="宋体" w:hAnsi="宋体"/>
          <w:bCs/>
          <w:szCs w:val="21"/>
        </w:rPr>
      </w:pPr>
      <w:r>
        <w:rPr>
          <w:rFonts w:hint="eastAsia" w:ascii="宋体" w:hAnsi="宋体"/>
          <w:bCs/>
          <w:szCs w:val="21"/>
        </w:rPr>
        <w:t>根据《中华人民共和国证券投资基金法》《公开募集证券投资基金运作管理办法》等有关法律法规的规定及基金合同、托管协议的约定，对基金投资范围、投资比例、投资组合等情况的合法性、合规性进行监督和核查。</w:t>
      </w:r>
    </w:p>
    <w:p w14:paraId="28F248E5">
      <w:pPr>
        <w:adjustRightInd/>
        <w:spacing w:line="360" w:lineRule="auto"/>
        <w:ind w:firstLine="420" w:firstLineChars="200"/>
        <w:textAlignment w:val="auto"/>
        <w:rPr>
          <w:rFonts w:hint="eastAsia" w:ascii="宋体" w:hAnsi="宋体"/>
          <w:bCs/>
          <w:szCs w:val="21"/>
        </w:rPr>
      </w:pPr>
      <w:r>
        <w:rPr>
          <w:rFonts w:hint="eastAsia" w:ascii="宋体" w:hAnsi="宋体"/>
          <w:bCs/>
          <w:szCs w:val="21"/>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14:paraId="795BFE26">
      <w:pPr>
        <w:adjustRightInd/>
        <w:spacing w:line="360" w:lineRule="auto"/>
        <w:ind w:firstLine="420" w:firstLineChars="200"/>
        <w:textAlignment w:val="auto"/>
        <w:rPr>
          <w:rFonts w:hint="eastAsia" w:ascii="宋体" w:hAnsi="宋体"/>
          <w:bCs/>
          <w:szCs w:val="21"/>
        </w:rPr>
      </w:pPr>
      <w:r>
        <w:rPr>
          <w:rFonts w:hint="eastAsia" w:ascii="宋体" w:hAnsi="宋体"/>
          <w:bCs/>
          <w:szCs w:val="21"/>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14:paraId="707C415A">
      <w:pPr>
        <w:adjustRightInd/>
        <w:spacing w:line="360" w:lineRule="auto"/>
        <w:ind w:firstLine="420" w:firstLineChars="200"/>
        <w:textAlignment w:val="auto"/>
      </w:pPr>
    </w:p>
    <w:p w14:paraId="4D1AE553">
      <w:pPr>
        <w:adjustRightInd/>
        <w:spacing w:line="360" w:lineRule="auto"/>
        <w:ind w:firstLine="420" w:firstLineChars="200"/>
        <w:textAlignment w:val="auto"/>
        <w:sectPr>
          <w:footerReference r:id="rId10" w:type="default"/>
          <w:pgSz w:w="11906" w:h="16838"/>
          <w:pgMar w:top="1440" w:right="1797" w:bottom="1440" w:left="1797" w:header="851" w:footer="992" w:gutter="0"/>
          <w:pgNumType w:start="1"/>
          <w:cols w:space="720" w:num="1"/>
          <w:docGrid w:linePitch="312" w:charSpace="0"/>
        </w:sectPr>
      </w:pPr>
      <w:r>
        <w:tab/>
      </w:r>
    </w:p>
    <w:p w14:paraId="6E913F90">
      <w:pPr>
        <w:pStyle w:val="2"/>
        <w:spacing w:before="93" w:beforeLines="30" w:after="93" w:afterLines="30" w:line="360" w:lineRule="auto"/>
        <w:rPr>
          <w:rFonts w:hint="eastAsia"/>
        </w:rPr>
      </w:pPr>
      <w:bookmarkStart w:id="10" w:name="_Toc48231672"/>
      <w:r>
        <w:rPr>
          <w:rFonts w:hint="eastAsia" w:eastAsia="宋体"/>
          <w:b/>
          <w:sz w:val="28"/>
          <w:szCs w:val="24"/>
        </w:rPr>
        <w:t xml:space="preserve">第五部分 </w:t>
      </w:r>
      <w:r>
        <w:rPr>
          <w:rFonts w:eastAsia="宋体"/>
          <w:b/>
          <w:sz w:val="28"/>
          <w:szCs w:val="24"/>
        </w:rPr>
        <w:t>相关服务机构</w:t>
      </w:r>
      <w:bookmarkEnd w:id="10"/>
    </w:p>
    <w:p w14:paraId="6DC57666">
      <w:pPr>
        <w:spacing w:line="360" w:lineRule="auto"/>
        <w:ind w:firstLine="422"/>
        <w:rPr>
          <w:b/>
          <w:szCs w:val="21"/>
        </w:rPr>
      </w:pPr>
      <w:r>
        <w:rPr>
          <w:rFonts w:hint="eastAsia"/>
          <w:b/>
          <w:szCs w:val="21"/>
        </w:rPr>
        <w:t>一、基金份额发售机构</w:t>
      </w:r>
    </w:p>
    <w:p w14:paraId="565C679D">
      <w:pPr>
        <w:spacing w:line="360" w:lineRule="auto"/>
        <w:ind w:firstLine="420"/>
        <w:rPr>
          <w:kern w:val="0"/>
          <w:szCs w:val="21"/>
        </w:rPr>
      </w:pPr>
      <w:r>
        <w:rPr>
          <w:rFonts w:hint="eastAsia"/>
          <w:kern w:val="0"/>
          <w:szCs w:val="21"/>
        </w:rPr>
        <w:t>1、直销机构</w:t>
      </w:r>
    </w:p>
    <w:p w14:paraId="7E6F8A32">
      <w:pPr>
        <w:spacing w:line="360" w:lineRule="auto"/>
        <w:ind w:firstLine="420"/>
        <w:rPr>
          <w:kern w:val="0"/>
          <w:szCs w:val="21"/>
        </w:rPr>
      </w:pPr>
      <w:r>
        <w:rPr>
          <w:rFonts w:hint="eastAsia"/>
          <w:kern w:val="0"/>
          <w:szCs w:val="21"/>
        </w:rPr>
        <w:t>名称：博时基金管理有限公司北京直销中心</w:t>
      </w:r>
    </w:p>
    <w:p w14:paraId="022B8FE0">
      <w:pPr>
        <w:ind w:firstLine="420" w:firstLineChars="200"/>
        <w:rPr>
          <w:szCs w:val="21"/>
        </w:rPr>
      </w:pPr>
      <w:r>
        <w:rPr>
          <w:rFonts w:hint="eastAsia"/>
          <w:kern w:val="0"/>
          <w:szCs w:val="21"/>
        </w:rPr>
        <w:t>地址：</w:t>
      </w:r>
      <w:r>
        <w:rPr>
          <w:rFonts w:hint="eastAsia"/>
          <w:szCs w:val="21"/>
        </w:rPr>
        <w:t>北京市东城区建国门内大街8号中粮广场C座609</w:t>
      </w:r>
    </w:p>
    <w:p w14:paraId="0AF5EE0A">
      <w:pPr>
        <w:spacing w:line="360" w:lineRule="auto"/>
        <w:ind w:firstLine="420"/>
        <w:rPr>
          <w:kern w:val="0"/>
          <w:szCs w:val="21"/>
        </w:rPr>
      </w:pPr>
      <w:r>
        <w:rPr>
          <w:rFonts w:hint="eastAsia"/>
          <w:kern w:val="0"/>
          <w:szCs w:val="21"/>
        </w:rPr>
        <w:t>电话：010-65187055</w:t>
      </w:r>
    </w:p>
    <w:p w14:paraId="62AD2E87">
      <w:pPr>
        <w:spacing w:line="360" w:lineRule="auto"/>
        <w:ind w:firstLine="420"/>
        <w:rPr>
          <w:kern w:val="0"/>
          <w:szCs w:val="21"/>
        </w:rPr>
      </w:pPr>
      <w:r>
        <w:rPr>
          <w:rFonts w:hint="eastAsia"/>
          <w:kern w:val="0"/>
          <w:szCs w:val="21"/>
        </w:rPr>
        <w:t>传真：010-65187032</w:t>
      </w:r>
    </w:p>
    <w:p w14:paraId="2FE9ED22">
      <w:pPr>
        <w:spacing w:line="360" w:lineRule="auto"/>
        <w:ind w:firstLine="420"/>
        <w:rPr>
          <w:rFonts w:hint="eastAsia"/>
          <w:kern w:val="0"/>
          <w:szCs w:val="21"/>
        </w:rPr>
      </w:pPr>
      <w:r>
        <w:rPr>
          <w:rFonts w:hint="eastAsia"/>
          <w:kern w:val="0"/>
          <w:szCs w:val="21"/>
        </w:rPr>
        <w:t>联系人：韩明亮</w:t>
      </w:r>
    </w:p>
    <w:p w14:paraId="6AB741DB">
      <w:pPr>
        <w:spacing w:line="360" w:lineRule="auto"/>
        <w:ind w:firstLine="420"/>
        <w:rPr>
          <w:kern w:val="0"/>
          <w:szCs w:val="21"/>
        </w:rPr>
      </w:pPr>
      <w:r>
        <w:rPr>
          <w:rFonts w:hint="eastAsia"/>
          <w:kern w:val="0"/>
          <w:szCs w:val="21"/>
        </w:rPr>
        <w:t>博时一线通：95105568（免长途话费）</w:t>
      </w:r>
    </w:p>
    <w:p w14:paraId="37D79B57">
      <w:pPr>
        <w:spacing w:line="360" w:lineRule="auto"/>
        <w:ind w:firstLine="420"/>
        <w:rPr>
          <w:kern w:val="0"/>
          <w:szCs w:val="21"/>
        </w:rPr>
      </w:pPr>
      <w:r>
        <w:rPr>
          <w:rFonts w:hint="eastAsia"/>
          <w:kern w:val="0"/>
          <w:szCs w:val="21"/>
        </w:rPr>
        <w:t>2、基金管理人可根据有关法律法规的要求，选择其他符合要求的机构销售本基金，并在基金管理人网站公示。</w:t>
      </w:r>
    </w:p>
    <w:p w14:paraId="5CB756BA">
      <w:pPr>
        <w:spacing w:line="360" w:lineRule="auto"/>
        <w:ind w:firstLine="420"/>
        <w:rPr>
          <w:kern w:val="0"/>
          <w:szCs w:val="21"/>
        </w:rPr>
      </w:pPr>
      <w:r>
        <w:rPr>
          <w:rFonts w:hint="eastAsia"/>
          <w:kern w:val="0"/>
          <w:szCs w:val="21"/>
        </w:rPr>
        <w:t>基金销售机构的具体名单见基金份额发售公告及基金管理人网站，基金管理人可依据实际情况增减、变更基金销售机构，并在基金管理人网站公示。</w:t>
      </w:r>
    </w:p>
    <w:p w14:paraId="3B0C63D4">
      <w:pPr>
        <w:spacing w:line="360" w:lineRule="auto"/>
        <w:ind w:firstLine="422"/>
        <w:rPr>
          <w:b/>
          <w:color w:val="000000"/>
          <w:szCs w:val="21"/>
        </w:rPr>
      </w:pPr>
      <w:r>
        <w:rPr>
          <w:rFonts w:hint="eastAsia"/>
          <w:b/>
          <w:color w:val="000000"/>
          <w:szCs w:val="21"/>
        </w:rPr>
        <w:t>二、登记机构</w:t>
      </w:r>
    </w:p>
    <w:p w14:paraId="09155A96">
      <w:pPr>
        <w:spacing w:line="360" w:lineRule="auto"/>
        <w:ind w:firstLine="420"/>
        <w:rPr>
          <w:kern w:val="0"/>
          <w:szCs w:val="21"/>
        </w:rPr>
      </w:pPr>
      <w:r>
        <w:rPr>
          <w:rFonts w:hint="eastAsia"/>
          <w:kern w:val="0"/>
          <w:szCs w:val="21"/>
        </w:rPr>
        <w:t>名称：博时基金管理有限公司</w:t>
      </w:r>
    </w:p>
    <w:p w14:paraId="248E9C86">
      <w:pPr>
        <w:spacing w:line="360" w:lineRule="auto"/>
        <w:ind w:firstLine="420"/>
        <w:rPr>
          <w:kern w:val="0"/>
          <w:szCs w:val="21"/>
        </w:rPr>
      </w:pPr>
      <w:r>
        <w:rPr>
          <w:rFonts w:hint="eastAsia"/>
          <w:kern w:val="0"/>
          <w:szCs w:val="21"/>
        </w:rPr>
        <w:t>住所：深圳市福田区莲花街道福新社区益田路5999号基金大厦21层</w:t>
      </w:r>
    </w:p>
    <w:p w14:paraId="0399A7EF">
      <w:pPr>
        <w:spacing w:line="360" w:lineRule="auto"/>
        <w:ind w:firstLine="420"/>
        <w:rPr>
          <w:kern w:val="0"/>
          <w:szCs w:val="21"/>
        </w:rPr>
      </w:pPr>
      <w:r>
        <w:rPr>
          <w:rFonts w:hint="eastAsia"/>
          <w:kern w:val="0"/>
          <w:szCs w:val="21"/>
        </w:rPr>
        <w:t>办公地址：北京市东城区建国门内大街8号中粮广场C座609</w:t>
      </w:r>
    </w:p>
    <w:p w14:paraId="1B2BB63A">
      <w:pPr>
        <w:spacing w:line="360" w:lineRule="auto"/>
        <w:ind w:firstLine="420"/>
        <w:rPr>
          <w:rFonts w:hint="eastAsia"/>
          <w:kern w:val="0"/>
          <w:szCs w:val="21"/>
        </w:rPr>
      </w:pPr>
      <w:r>
        <w:rPr>
          <w:rFonts w:hint="eastAsia"/>
          <w:kern w:val="0"/>
          <w:szCs w:val="21"/>
        </w:rPr>
        <w:t>法定代表人：张东</w:t>
      </w:r>
    </w:p>
    <w:p w14:paraId="587328AA">
      <w:pPr>
        <w:spacing w:line="360" w:lineRule="auto"/>
        <w:ind w:firstLine="420"/>
        <w:rPr>
          <w:kern w:val="0"/>
          <w:szCs w:val="21"/>
        </w:rPr>
      </w:pPr>
      <w:r>
        <w:rPr>
          <w:rFonts w:hint="eastAsia"/>
          <w:kern w:val="0"/>
          <w:szCs w:val="21"/>
        </w:rPr>
        <w:t>电话：010-65171166</w:t>
      </w:r>
    </w:p>
    <w:p w14:paraId="5566ADE4">
      <w:pPr>
        <w:spacing w:line="360" w:lineRule="auto"/>
        <w:ind w:firstLine="420"/>
        <w:rPr>
          <w:kern w:val="0"/>
          <w:szCs w:val="21"/>
        </w:rPr>
      </w:pPr>
      <w:r>
        <w:rPr>
          <w:rFonts w:hint="eastAsia"/>
          <w:kern w:val="0"/>
          <w:szCs w:val="21"/>
        </w:rPr>
        <w:t>传真：010-65187068</w:t>
      </w:r>
    </w:p>
    <w:p w14:paraId="5159BBE0">
      <w:pPr>
        <w:spacing w:line="360" w:lineRule="auto"/>
        <w:ind w:firstLine="420"/>
        <w:rPr>
          <w:kern w:val="0"/>
          <w:szCs w:val="21"/>
        </w:rPr>
      </w:pPr>
      <w:r>
        <w:rPr>
          <w:rFonts w:hint="eastAsia"/>
          <w:kern w:val="0"/>
          <w:szCs w:val="21"/>
        </w:rPr>
        <w:t>联系人：佀方方</w:t>
      </w:r>
    </w:p>
    <w:p w14:paraId="7076FD5F">
      <w:pPr>
        <w:spacing w:line="360" w:lineRule="auto"/>
        <w:ind w:firstLine="422"/>
        <w:rPr>
          <w:b/>
          <w:szCs w:val="21"/>
        </w:rPr>
      </w:pPr>
      <w:r>
        <w:rPr>
          <w:rFonts w:hint="eastAsia"/>
          <w:b/>
          <w:szCs w:val="21"/>
        </w:rPr>
        <w:t>三、</w:t>
      </w:r>
      <w:r>
        <w:rPr>
          <w:rFonts w:hint="eastAsia"/>
          <w:b/>
          <w:bCs/>
        </w:rPr>
        <w:t>出具法律意见书的律师事务所</w:t>
      </w:r>
    </w:p>
    <w:p w14:paraId="6E6B2564">
      <w:pPr>
        <w:spacing w:line="360" w:lineRule="auto"/>
        <w:ind w:firstLine="420"/>
        <w:rPr>
          <w:rFonts w:hint="eastAsia"/>
          <w:kern w:val="0"/>
          <w:szCs w:val="21"/>
        </w:rPr>
      </w:pPr>
      <w:r>
        <w:rPr>
          <w:rFonts w:hint="eastAsia"/>
          <w:kern w:val="0"/>
          <w:szCs w:val="21"/>
        </w:rPr>
        <w:t>名称：上海市通力律师事务所</w:t>
      </w:r>
    </w:p>
    <w:p w14:paraId="3D644F71">
      <w:pPr>
        <w:spacing w:line="360" w:lineRule="auto"/>
        <w:ind w:firstLine="420"/>
        <w:rPr>
          <w:rFonts w:hint="eastAsia"/>
          <w:kern w:val="0"/>
          <w:szCs w:val="21"/>
        </w:rPr>
      </w:pPr>
      <w:r>
        <w:rPr>
          <w:rFonts w:hint="eastAsia"/>
          <w:kern w:val="0"/>
          <w:szCs w:val="21"/>
        </w:rPr>
        <w:t>住所：上海市银城中路68号时代金融中心19楼</w:t>
      </w:r>
    </w:p>
    <w:p w14:paraId="5629C775">
      <w:pPr>
        <w:spacing w:line="360" w:lineRule="auto"/>
        <w:ind w:firstLine="420"/>
        <w:rPr>
          <w:rFonts w:hint="eastAsia"/>
          <w:kern w:val="0"/>
          <w:szCs w:val="21"/>
        </w:rPr>
      </w:pPr>
      <w:r>
        <w:rPr>
          <w:rFonts w:hint="eastAsia"/>
          <w:kern w:val="0"/>
          <w:szCs w:val="21"/>
        </w:rPr>
        <w:t>办公地址：上海市银城中路68号时代金融中心19楼</w:t>
      </w:r>
    </w:p>
    <w:p w14:paraId="20E09C94">
      <w:pPr>
        <w:spacing w:line="360" w:lineRule="auto"/>
        <w:ind w:firstLine="420"/>
        <w:rPr>
          <w:rFonts w:hint="eastAsia"/>
          <w:kern w:val="0"/>
          <w:szCs w:val="21"/>
        </w:rPr>
      </w:pPr>
      <w:r>
        <w:rPr>
          <w:rFonts w:hint="eastAsia"/>
          <w:kern w:val="0"/>
          <w:szCs w:val="21"/>
        </w:rPr>
        <w:t>负责人：韩炯</w:t>
      </w:r>
    </w:p>
    <w:p w14:paraId="2190D071">
      <w:pPr>
        <w:spacing w:line="360" w:lineRule="auto"/>
        <w:ind w:firstLine="420"/>
        <w:rPr>
          <w:rFonts w:hint="eastAsia"/>
          <w:kern w:val="0"/>
          <w:szCs w:val="21"/>
        </w:rPr>
      </w:pPr>
      <w:r>
        <w:rPr>
          <w:rFonts w:hint="eastAsia"/>
          <w:kern w:val="0"/>
          <w:szCs w:val="21"/>
        </w:rPr>
        <w:t>联系人：陈雅秋</w:t>
      </w:r>
    </w:p>
    <w:p w14:paraId="33B6FB64">
      <w:pPr>
        <w:spacing w:line="360" w:lineRule="auto"/>
        <w:ind w:firstLine="420"/>
        <w:rPr>
          <w:rFonts w:hint="eastAsia"/>
          <w:kern w:val="0"/>
          <w:szCs w:val="21"/>
        </w:rPr>
      </w:pPr>
      <w:r>
        <w:rPr>
          <w:rFonts w:hint="eastAsia"/>
          <w:kern w:val="0"/>
          <w:szCs w:val="21"/>
        </w:rPr>
        <w:t>电话：021-31358666</w:t>
      </w:r>
    </w:p>
    <w:p w14:paraId="28160F56">
      <w:pPr>
        <w:spacing w:line="360" w:lineRule="auto"/>
        <w:ind w:firstLine="420"/>
        <w:rPr>
          <w:rFonts w:hint="eastAsia"/>
          <w:kern w:val="0"/>
          <w:szCs w:val="21"/>
        </w:rPr>
      </w:pPr>
      <w:r>
        <w:rPr>
          <w:rFonts w:hint="eastAsia"/>
          <w:kern w:val="0"/>
          <w:szCs w:val="21"/>
        </w:rPr>
        <w:t>传真：021-31358600</w:t>
      </w:r>
    </w:p>
    <w:p w14:paraId="681D77AF">
      <w:pPr>
        <w:spacing w:line="360" w:lineRule="auto"/>
        <w:ind w:firstLine="422"/>
        <w:rPr>
          <w:rFonts w:hint="eastAsia"/>
          <w:kern w:val="0"/>
          <w:szCs w:val="21"/>
        </w:rPr>
      </w:pPr>
      <w:r>
        <w:rPr>
          <w:rFonts w:hint="eastAsia"/>
          <w:kern w:val="0"/>
          <w:szCs w:val="21"/>
        </w:rPr>
        <w:t>经办律师：陆奇、陈雅秋</w:t>
      </w:r>
    </w:p>
    <w:p w14:paraId="208B2FCF">
      <w:pPr>
        <w:spacing w:line="360" w:lineRule="auto"/>
        <w:ind w:firstLine="422"/>
        <w:rPr>
          <w:b/>
          <w:szCs w:val="21"/>
        </w:rPr>
      </w:pPr>
      <w:r>
        <w:rPr>
          <w:rFonts w:hint="eastAsia"/>
          <w:b/>
          <w:szCs w:val="21"/>
        </w:rPr>
        <w:t>四、</w:t>
      </w:r>
      <w:r>
        <w:rPr>
          <w:rFonts w:hint="eastAsia"/>
          <w:b/>
          <w:bCs/>
        </w:rPr>
        <w:t>会计师事务所</w:t>
      </w:r>
    </w:p>
    <w:p w14:paraId="37CFC502">
      <w:pPr>
        <w:snapToGrid w:val="0"/>
        <w:spacing w:line="360" w:lineRule="auto"/>
        <w:ind w:firstLine="420" w:firstLineChars="200"/>
        <w:rPr>
          <w:rFonts w:hint="eastAsia" w:ascii="宋体" w:hAnsi="宋体" w:cs="Arial"/>
          <w:kern w:val="0"/>
          <w:szCs w:val="21"/>
        </w:rPr>
      </w:pPr>
      <w:r>
        <w:rPr>
          <w:rFonts w:hint="eastAsia" w:ascii="宋体" w:hAnsi="宋体" w:eastAsia="宋体" w:cs="Arial"/>
          <w:kern w:val="0"/>
          <w:szCs w:val="21"/>
        </w:rPr>
        <w:t xml:space="preserve">本基金的法定验资机构为安永华明会计师事务所（特殊普通合伙） </w:t>
      </w:r>
    </w:p>
    <w:p w14:paraId="4159DABD">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名称：安永华明会计师事务所（特殊普通合伙） </w:t>
      </w:r>
    </w:p>
    <w:p w14:paraId="22560D8B">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住所： 北京市东城区东长安街1号东方广场安永大楼17层01-12室  </w:t>
      </w:r>
    </w:p>
    <w:p w14:paraId="1022891C">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办公地址：北京市东城区东长安街1号东方广场安永大楼17层01-12室  </w:t>
      </w:r>
    </w:p>
    <w:p w14:paraId="459AB7AD">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执行事务合伙人：毛鞍宁  </w:t>
      </w:r>
    </w:p>
    <w:p w14:paraId="5ECF90EF">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联系电话：（010）58153000  </w:t>
      </w:r>
    </w:p>
    <w:p w14:paraId="1EEA110B">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传真电话：（010）85188298  </w:t>
      </w:r>
    </w:p>
    <w:p w14:paraId="4A9F12BF">
      <w:pPr>
        <w:snapToGrid w:val="0"/>
        <w:spacing w:line="360" w:lineRule="auto"/>
        <w:ind w:firstLine="420"/>
        <w:rPr>
          <w:rFonts w:hint="eastAsia" w:ascii="宋体" w:hAnsi="宋体" w:eastAsia="宋体" w:cs="Arial"/>
          <w:kern w:val="0"/>
          <w:szCs w:val="21"/>
        </w:rPr>
      </w:pPr>
      <w:r>
        <w:rPr>
          <w:rFonts w:hint="eastAsia" w:ascii="宋体" w:hAnsi="宋体" w:eastAsia="宋体" w:cs="Arial"/>
          <w:kern w:val="0"/>
          <w:szCs w:val="21"/>
        </w:rPr>
        <w:t xml:space="preserve">经办注册会计师：高鹤、楼坚、王海彦 </w:t>
      </w:r>
    </w:p>
    <w:p w14:paraId="4A023775">
      <w:pPr>
        <w:snapToGrid w:val="0"/>
        <w:spacing w:line="360" w:lineRule="auto"/>
        <w:ind w:firstLine="420"/>
        <w:rPr>
          <w:rFonts w:hint="eastAsia" w:ascii="宋体" w:hAnsi="宋体" w:eastAsia="宋体" w:cs="Arial"/>
          <w:kern w:val="0"/>
          <w:szCs w:val="21"/>
        </w:rPr>
      </w:pPr>
      <w:r>
        <w:rPr>
          <w:rFonts w:hint="eastAsia" w:ascii="宋体" w:hAnsi="宋体" w:eastAsia="宋体" w:cs="Arial"/>
          <w:kern w:val="0"/>
          <w:szCs w:val="21"/>
        </w:rPr>
        <w:t xml:space="preserve">联系人：王海彦  </w:t>
      </w:r>
    </w:p>
    <w:p w14:paraId="14BDB486">
      <w:pPr>
        <w:snapToGrid w:val="0"/>
        <w:spacing w:line="360" w:lineRule="auto"/>
        <w:ind w:firstLine="420"/>
        <w:rPr>
          <w:rFonts w:hint="eastAsia" w:ascii="宋体" w:hAnsi="宋体" w:cs="Arial"/>
          <w:kern w:val="0"/>
          <w:szCs w:val="21"/>
        </w:rPr>
      </w:pPr>
      <w:r>
        <w:rPr>
          <w:rFonts w:hint="eastAsia" w:ascii="宋体" w:hAnsi="宋体" w:eastAsia="宋体" w:cs="Arial"/>
          <w:kern w:val="0"/>
          <w:szCs w:val="21"/>
        </w:rPr>
        <w:t>本基金的年度财务报表及其他规定事项的审计机构为安永华明会计师事务所（特殊普通合伙）</w:t>
      </w:r>
    </w:p>
    <w:p w14:paraId="0021E6B1">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名称：安永华明会计师事务所（特殊普通合伙） </w:t>
      </w:r>
    </w:p>
    <w:p w14:paraId="092AF086">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住所： 北京市东城区东长安街1号东方广场安永大楼17层01-12室  </w:t>
      </w:r>
    </w:p>
    <w:p w14:paraId="7B37C90A">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办公地址：北京市东城区东长安街1号东方广场安永大楼17层01-12室  </w:t>
      </w:r>
    </w:p>
    <w:p w14:paraId="30568EED">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执行事务合伙人：毛鞍宁  </w:t>
      </w:r>
    </w:p>
    <w:p w14:paraId="1036126E">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联系电话：（010）58153000  </w:t>
      </w:r>
    </w:p>
    <w:p w14:paraId="6ADEACF2">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传真电话：（010）85188298  </w:t>
      </w:r>
    </w:p>
    <w:p w14:paraId="3837C048">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经办注册会计师：高鹤、楼坚、王海彦 </w:t>
      </w:r>
    </w:p>
    <w:p w14:paraId="563789A5">
      <w:pPr>
        <w:snapToGrid w:val="0"/>
        <w:spacing w:line="360" w:lineRule="auto"/>
        <w:ind w:firstLine="420"/>
        <w:rPr>
          <w:rFonts w:hint="eastAsia" w:ascii="宋体" w:hAnsi="宋体" w:cs="Arial"/>
          <w:kern w:val="0"/>
          <w:szCs w:val="21"/>
        </w:rPr>
      </w:pPr>
      <w:r>
        <w:rPr>
          <w:rFonts w:hint="eastAsia" w:ascii="宋体" w:hAnsi="宋体" w:cs="Arial"/>
          <w:kern w:val="0"/>
          <w:szCs w:val="21"/>
        </w:rPr>
        <w:t xml:space="preserve">联系人：王海彦   </w:t>
      </w:r>
    </w:p>
    <w:p w14:paraId="7AFF3296">
      <w:pPr>
        <w:snapToGrid w:val="0"/>
        <w:spacing w:line="360" w:lineRule="auto"/>
        <w:ind w:firstLine="420"/>
        <w:rPr>
          <w:rFonts w:hint="eastAsia" w:ascii="宋体" w:hAnsi="宋体" w:cs="Arial"/>
          <w:kern w:val="0"/>
          <w:szCs w:val="21"/>
        </w:rPr>
      </w:pPr>
    </w:p>
    <w:p w14:paraId="5A078066">
      <w:pPr>
        <w:snapToGrid w:val="0"/>
        <w:spacing w:line="360" w:lineRule="auto"/>
        <w:ind w:firstLine="420"/>
        <w:rPr>
          <w:rFonts w:hint="eastAsia" w:ascii="宋体" w:hAnsi="宋体" w:cs="Arial"/>
          <w:kern w:val="0"/>
          <w:szCs w:val="21"/>
        </w:rPr>
      </w:pPr>
    </w:p>
    <w:p w14:paraId="515D166E">
      <w:pPr>
        <w:snapToGrid w:val="0"/>
        <w:spacing w:line="360" w:lineRule="auto"/>
        <w:ind w:firstLine="420"/>
        <w:rPr>
          <w:rFonts w:hint="eastAsia" w:ascii="宋体" w:hAnsi="宋体" w:cs="Arial"/>
          <w:kern w:val="0"/>
          <w:szCs w:val="21"/>
        </w:rPr>
        <w:sectPr>
          <w:footerReference r:id="rId11" w:type="default"/>
          <w:pgSz w:w="11906" w:h="16838"/>
          <w:pgMar w:top="1440" w:right="1800" w:bottom="1440" w:left="1800" w:header="851" w:footer="992" w:gutter="0"/>
          <w:pgNumType w:start="1" w:chapStyle="1"/>
          <w:cols w:space="720" w:num="1"/>
          <w:docGrid w:type="lines" w:linePitch="312" w:charSpace="0"/>
        </w:sectPr>
      </w:pPr>
      <w:r>
        <w:rPr>
          <w:rFonts w:hint="eastAsia" w:ascii="宋体" w:hAnsi="宋体" w:cs="Arial"/>
          <w:kern w:val="0"/>
          <w:szCs w:val="21"/>
        </w:rPr>
        <w:t> </w:t>
      </w:r>
    </w:p>
    <w:p w14:paraId="3B705C2F">
      <w:pPr>
        <w:pStyle w:val="2"/>
        <w:spacing w:before="93" w:beforeLines="30" w:after="93" w:afterLines="30" w:line="360" w:lineRule="auto"/>
        <w:jc w:val="center"/>
        <w:rPr>
          <w:rFonts w:hint="eastAsia"/>
          <w:kern w:val="0"/>
        </w:rPr>
      </w:pPr>
      <w:bookmarkStart w:id="11" w:name="_Toc82759142"/>
      <w:bookmarkStart w:id="12" w:name="_Toc87755011"/>
      <w:bookmarkStart w:id="13" w:name="_Toc48231673"/>
      <w:bookmarkStart w:id="14" w:name="_Toc82759146"/>
      <w:bookmarkStart w:id="15" w:name="_Toc523023964"/>
      <w:bookmarkStart w:id="16" w:name="_Toc524923147"/>
      <w:r>
        <w:rPr>
          <w:rFonts w:hint="eastAsia" w:eastAsia="宋体"/>
          <w:b/>
          <w:sz w:val="28"/>
          <w:szCs w:val="24"/>
        </w:rPr>
        <w:t xml:space="preserve">第六部分 </w:t>
      </w:r>
      <w:r>
        <w:rPr>
          <w:rFonts w:eastAsia="宋体"/>
          <w:b/>
          <w:sz w:val="28"/>
          <w:szCs w:val="24"/>
        </w:rPr>
        <w:t>基金的募集</w:t>
      </w:r>
      <w:bookmarkEnd w:id="11"/>
      <w:bookmarkEnd w:id="12"/>
      <w:bookmarkEnd w:id="13"/>
    </w:p>
    <w:p w14:paraId="3BE6F5FB">
      <w:pPr>
        <w:spacing w:line="360" w:lineRule="auto"/>
        <w:ind w:firstLine="420"/>
      </w:pPr>
      <w:r>
        <w:rPr>
          <w:rFonts w:cs="Arial"/>
          <w:szCs w:val="21"/>
        </w:rPr>
        <w:t>基金管理人按照《基金法》、《运作办法》、《销售办法》、基金合同及其他有关规定募集本基金，</w:t>
      </w:r>
      <w:r>
        <w:rPr>
          <w:rFonts w:cs="Arial"/>
          <w:color w:val="000000"/>
        </w:rPr>
        <w:t>并经中国证监会</w:t>
      </w:r>
      <w:r>
        <w:rPr>
          <w:rFonts w:hint="eastAsia"/>
        </w:rPr>
        <w:t>2026</w:t>
      </w:r>
      <w:r>
        <w:t>年</w:t>
      </w:r>
      <w:r>
        <w:rPr>
          <w:rFonts w:hint="eastAsia"/>
          <w:lang w:val="en-US" w:eastAsia="zh-CN"/>
        </w:rPr>
        <w:t>6</w:t>
      </w:r>
      <w:r>
        <w:t>月</w:t>
      </w:r>
      <w:r>
        <w:rPr>
          <w:rFonts w:hint="eastAsia"/>
          <w:lang w:val="en-US" w:eastAsia="zh-CN"/>
        </w:rPr>
        <w:t>19</w:t>
      </w:r>
      <w:r>
        <w:t>日证监许可[20</w:t>
      </w:r>
      <w:r>
        <w:rPr>
          <w:rFonts w:hint="eastAsia"/>
          <w:lang w:val="en-US" w:eastAsia="zh-CN"/>
        </w:rPr>
        <w:t>26</w:t>
      </w:r>
      <w:r>
        <w:t>]</w:t>
      </w:r>
      <w:r>
        <w:rPr>
          <w:rFonts w:hint="eastAsia"/>
          <w:lang w:val="en-US" w:eastAsia="zh-CN"/>
        </w:rPr>
        <w:t>1478</w:t>
      </w:r>
      <w:r>
        <w:t>号文</w:t>
      </w:r>
      <w:r>
        <w:rPr>
          <w:rFonts w:hint="eastAsia"/>
        </w:rPr>
        <w:t>准予注册</w:t>
      </w:r>
      <w:r>
        <w:t>。</w:t>
      </w:r>
    </w:p>
    <w:p w14:paraId="20E4FD7C">
      <w:pPr>
        <w:numPr>
          <w:ilvl w:val="0"/>
          <w:numId w:val="3"/>
        </w:numPr>
        <w:snapToGrid w:val="0"/>
        <w:spacing w:line="360" w:lineRule="auto"/>
        <w:ind w:left="0" w:firstLine="422" w:firstLineChars="200"/>
        <w:textAlignment w:val="auto"/>
        <w:rPr>
          <w:rFonts w:cs="Arial"/>
          <w:b/>
          <w:bCs/>
          <w:szCs w:val="21"/>
        </w:rPr>
      </w:pPr>
      <w:r>
        <w:rPr>
          <w:rFonts w:cs="Arial"/>
          <w:b/>
          <w:bCs/>
          <w:szCs w:val="21"/>
        </w:rPr>
        <w:t>基金名称</w:t>
      </w:r>
    </w:p>
    <w:p w14:paraId="08D8417F">
      <w:pPr>
        <w:autoSpaceDE w:val="0"/>
        <w:autoSpaceDN w:val="0"/>
        <w:snapToGrid w:val="0"/>
        <w:spacing w:line="360" w:lineRule="auto"/>
        <w:ind w:firstLine="420" w:firstLineChars="200"/>
        <w:rPr>
          <w:rFonts w:cs="Arial"/>
          <w:szCs w:val="21"/>
        </w:rPr>
      </w:pPr>
      <w:r>
        <w:rPr>
          <w:rFonts w:hint="eastAsia" w:cs="Arial"/>
          <w:szCs w:val="21"/>
        </w:rPr>
        <w:t xml:space="preserve">博时安慧臻选3个月持有期混合型基金中基金（FOF） </w:t>
      </w:r>
    </w:p>
    <w:p w14:paraId="4AAA0683">
      <w:pPr>
        <w:numPr>
          <w:ilvl w:val="0"/>
          <w:numId w:val="3"/>
        </w:numPr>
        <w:snapToGrid w:val="0"/>
        <w:spacing w:line="360" w:lineRule="auto"/>
        <w:ind w:left="0" w:firstLine="422" w:firstLineChars="200"/>
        <w:textAlignment w:val="auto"/>
        <w:rPr>
          <w:rFonts w:cs="Arial"/>
          <w:b/>
          <w:bCs/>
          <w:szCs w:val="21"/>
        </w:rPr>
      </w:pPr>
      <w:r>
        <w:rPr>
          <w:rFonts w:cs="Arial"/>
          <w:b/>
          <w:bCs/>
          <w:szCs w:val="21"/>
        </w:rPr>
        <w:t>基金类</w:t>
      </w:r>
      <w:r>
        <w:rPr>
          <w:rFonts w:hint="eastAsia" w:cs="Arial"/>
          <w:b/>
          <w:bCs/>
          <w:szCs w:val="21"/>
        </w:rPr>
        <w:t>别</w:t>
      </w:r>
    </w:p>
    <w:p w14:paraId="08A6631A">
      <w:pPr>
        <w:snapToGrid w:val="0"/>
        <w:spacing w:line="360" w:lineRule="auto"/>
        <w:ind w:firstLine="420"/>
      </w:pPr>
      <w:r>
        <w:rPr>
          <w:rFonts w:hint="eastAsia" w:cs="Tahoma"/>
          <w:szCs w:val="21"/>
        </w:rPr>
        <w:t>混合型基金中基金（FOF）</w:t>
      </w:r>
    </w:p>
    <w:p w14:paraId="5D8FFD0F">
      <w:pPr>
        <w:numPr>
          <w:ilvl w:val="0"/>
          <w:numId w:val="3"/>
        </w:numPr>
        <w:snapToGrid w:val="0"/>
        <w:spacing w:line="360" w:lineRule="auto"/>
        <w:ind w:left="0" w:firstLine="422" w:firstLineChars="200"/>
        <w:textAlignment w:val="auto"/>
        <w:rPr>
          <w:rFonts w:cs="Arial"/>
          <w:b/>
          <w:bCs/>
          <w:szCs w:val="21"/>
        </w:rPr>
      </w:pPr>
      <w:r>
        <w:rPr>
          <w:rFonts w:cs="Arial"/>
          <w:b/>
          <w:bCs/>
          <w:szCs w:val="21"/>
        </w:rPr>
        <w:t>基金存续期限</w:t>
      </w:r>
      <w:r>
        <w:rPr>
          <w:rFonts w:hint="eastAsia" w:cs="Arial"/>
          <w:b/>
          <w:bCs/>
          <w:szCs w:val="21"/>
        </w:rPr>
        <w:t>和运作方式</w:t>
      </w:r>
    </w:p>
    <w:p w14:paraId="52A921DA">
      <w:pPr>
        <w:autoSpaceDE w:val="0"/>
        <w:autoSpaceDN w:val="0"/>
        <w:snapToGrid w:val="0"/>
        <w:spacing w:line="360" w:lineRule="auto"/>
        <w:ind w:firstLine="454"/>
        <w:rPr>
          <w:rFonts w:hint="eastAsia" w:cs="Arial"/>
          <w:szCs w:val="21"/>
        </w:rPr>
      </w:pPr>
      <w:r>
        <w:rPr>
          <w:rFonts w:hint="eastAsia" w:cs="Arial"/>
          <w:szCs w:val="21"/>
        </w:rPr>
        <w:t>契约型、开放式</w:t>
      </w:r>
    </w:p>
    <w:p w14:paraId="4401A7C7">
      <w:pPr>
        <w:autoSpaceDE w:val="0"/>
        <w:autoSpaceDN w:val="0"/>
        <w:snapToGrid w:val="0"/>
        <w:spacing w:line="360" w:lineRule="auto"/>
        <w:ind w:firstLine="454"/>
        <w:rPr>
          <w:rFonts w:hint="eastAsia" w:cs="Arial"/>
          <w:szCs w:val="21"/>
        </w:rPr>
      </w:pPr>
      <w:r>
        <w:rPr>
          <w:rFonts w:hint="eastAsia" w:cs="Arial"/>
          <w:szCs w:val="21"/>
        </w:rPr>
        <w:t>本基金对每份基金份额设置3个月的最短持有期。在基金份额的最短持有期到期日之前（不含最短持有期到期日当日），投资者不能提出赎回申请，最短持有期期满后（含最短持有期到期日当日）投资者可以申请赎回。</w:t>
      </w:r>
    </w:p>
    <w:p w14:paraId="0E67884E">
      <w:pPr>
        <w:autoSpaceDE w:val="0"/>
        <w:autoSpaceDN w:val="0"/>
        <w:snapToGrid w:val="0"/>
        <w:spacing w:line="360" w:lineRule="auto"/>
        <w:ind w:firstLine="454"/>
        <w:rPr>
          <w:rFonts w:hint="eastAsia" w:cs="Arial"/>
          <w:szCs w:val="21"/>
        </w:rPr>
      </w:pPr>
      <w:r>
        <w:rPr>
          <w:rFonts w:hint="eastAsia" w:cs="Arial"/>
          <w:szCs w:val="21"/>
        </w:rPr>
        <w:t>每份认购份额的最短持有期起始日指基金合同生效日，每份申购份额的最短持有期起始日指该基金份额申购申请的确认日。</w:t>
      </w:r>
    </w:p>
    <w:p w14:paraId="1D461489">
      <w:pPr>
        <w:autoSpaceDE w:val="0"/>
        <w:autoSpaceDN w:val="0"/>
        <w:snapToGrid w:val="0"/>
        <w:spacing w:line="360" w:lineRule="auto"/>
        <w:ind w:firstLine="454"/>
        <w:textAlignment w:val="auto"/>
        <w:rPr>
          <w:rFonts w:cs="Arial"/>
          <w:b/>
          <w:bCs/>
          <w:szCs w:val="21"/>
        </w:rPr>
      </w:pPr>
      <w:r>
        <w:rPr>
          <w:rFonts w:hint="eastAsia" w:cs="Arial"/>
          <w:szCs w:val="21"/>
        </w:rPr>
        <w:t>每份基金份额的最短持有期到期日指该基金份额最短持有期起始日起3个月后的对应日，如无对应日或该日为非工作日，则顺延至下一工作日。因不可抗力或基金合同约定的其他情形致使基金管理人无法在基金份额的最短持有期到期日当日按时开放办理该基金份额的赎回业务的，该基金份额的最短持有期到期日顺延至不可抗力或基金合同约定的其他情形的影响因素消除之日起的下一个工作日。</w:t>
      </w:r>
    </w:p>
    <w:p w14:paraId="5DEA8B4F">
      <w:pPr>
        <w:numPr>
          <w:ilvl w:val="0"/>
          <w:numId w:val="3"/>
        </w:numPr>
        <w:snapToGrid w:val="0"/>
        <w:spacing w:line="360" w:lineRule="auto"/>
        <w:ind w:left="0" w:firstLine="422" w:firstLineChars="200"/>
        <w:textAlignment w:val="auto"/>
        <w:rPr>
          <w:rFonts w:cs="Arial"/>
          <w:b/>
          <w:bCs/>
          <w:szCs w:val="21"/>
        </w:rPr>
      </w:pPr>
      <w:r>
        <w:rPr>
          <w:rFonts w:cs="Arial"/>
          <w:b/>
          <w:bCs/>
          <w:szCs w:val="21"/>
        </w:rPr>
        <w:t>募集期限与</w:t>
      </w:r>
      <w:r>
        <w:rPr>
          <w:rFonts w:hint="eastAsia" w:cs="Arial"/>
          <w:b/>
          <w:bCs/>
          <w:szCs w:val="21"/>
        </w:rPr>
        <w:t>募集对象</w:t>
      </w:r>
    </w:p>
    <w:p w14:paraId="46D13ABA">
      <w:pPr>
        <w:autoSpaceDE w:val="0"/>
        <w:autoSpaceDN w:val="0"/>
        <w:snapToGrid w:val="0"/>
        <w:spacing w:line="360" w:lineRule="auto"/>
        <w:ind w:firstLine="454"/>
        <w:rPr>
          <w:rFonts w:cs="Arial"/>
          <w:szCs w:val="21"/>
        </w:rPr>
      </w:pPr>
      <w:r>
        <w:rPr>
          <w:rFonts w:hint="eastAsia" w:cs="Arial"/>
          <w:szCs w:val="21"/>
        </w:rPr>
        <w:t>1、发售时间</w:t>
      </w:r>
    </w:p>
    <w:p w14:paraId="3222C084">
      <w:pPr>
        <w:autoSpaceDE w:val="0"/>
        <w:autoSpaceDN w:val="0"/>
        <w:snapToGrid w:val="0"/>
        <w:spacing w:line="360" w:lineRule="auto"/>
        <w:ind w:firstLine="454"/>
        <w:rPr>
          <w:rFonts w:cs="Arial"/>
          <w:szCs w:val="21"/>
        </w:rPr>
      </w:pPr>
      <w:r>
        <w:rPr>
          <w:rFonts w:hint="eastAsia" w:cs="Arial"/>
          <w:szCs w:val="21"/>
        </w:rPr>
        <w:t>自基金份额发售之日起最长不得超过3个月，具体发售时间见基金份额发售公告。</w:t>
      </w:r>
    </w:p>
    <w:p w14:paraId="5C027511">
      <w:pPr>
        <w:autoSpaceDE w:val="0"/>
        <w:autoSpaceDN w:val="0"/>
        <w:snapToGrid w:val="0"/>
        <w:spacing w:line="360" w:lineRule="auto"/>
        <w:ind w:firstLine="454"/>
        <w:rPr>
          <w:rFonts w:cs="Arial"/>
          <w:szCs w:val="21"/>
        </w:rPr>
      </w:pPr>
      <w:r>
        <w:rPr>
          <w:rFonts w:cs="Arial"/>
          <w:szCs w:val="21"/>
        </w:rPr>
        <w:t>2</w:t>
      </w:r>
      <w:r>
        <w:rPr>
          <w:rFonts w:hint="eastAsia" w:cs="Arial"/>
          <w:szCs w:val="21"/>
        </w:rPr>
        <w:t>、发售对象</w:t>
      </w:r>
    </w:p>
    <w:p w14:paraId="3A66F5C1">
      <w:pPr>
        <w:autoSpaceDE w:val="0"/>
        <w:autoSpaceDN w:val="0"/>
        <w:snapToGrid w:val="0"/>
        <w:spacing w:line="360" w:lineRule="auto"/>
        <w:ind w:firstLine="454"/>
        <w:rPr>
          <w:rFonts w:hint="eastAsia" w:cs="Arial"/>
          <w:szCs w:val="21"/>
        </w:rPr>
      </w:pPr>
      <w:r>
        <w:rPr>
          <w:rFonts w:hint="eastAsia" w:cs="Arial"/>
          <w:szCs w:val="21"/>
        </w:rPr>
        <w:t>符合法律法规规定的可投资于证券投资基金的个人投资者、机构投资者、合格境外机构投资者和人民币合格境外机构投资者以及法律法规或中国证监会允许购买证券投资基金的其他投资人。</w:t>
      </w:r>
    </w:p>
    <w:p w14:paraId="66F525B2">
      <w:pPr>
        <w:autoSpaceDE w:val="0"/>
        <w:autoSpaceDN w:val="0"/>
        <w:snapToGrid w:val="0"/>
        <w:spacing w:line="360" w:lineRule="auto"/>
        <w:ind w:firstLine="454"/>
        <w:rPr>
          <w:rFonts w:hint="eastAsia" w:cs="Arial"/>
          <w:b/>
          <w:bCs/>
          <w:szCs w:val="21"/>
        </w:rPr>
      </w:pPr>
      <w:r>
        <w:rPr>
          <w:rFonts w:hint="eastAsia" w:cs="Arial"/>
          <w:b/>
          <w:bCs/>
          <w:szCs w:val="21"/>
        </w:rPr>
        <w:t>五、基金的最低募集份额总额</w:t>
      </w:r>
    </w:p>
    <w:p w14:paraId="2CAD0E52">
      <w:pPr>
        <w:autoSpaceDE w:val="0"/>
        <w:autoSpaceDN w:val="0"/>
        <w:snapToGrid w:val="0"/>
        <w:spacing w:line="360" w:lineRule="auto"/>
        <w:ind w:firstLine="454"/>
        <w:rPr>
          <w:rFonts w:hint="eastAsia" w:cs="Arial"/>
          <w:szCs w:val="21"/>
        </w:rPr>
      </w:pPr>
      <w:r>
        <w:rPr>
          <w:rFonts w:hint="eastAsia" w:cs="Arial"/>
          <w:szCs w:val="21"/>
        </w:rPr>
        <w:t>本基金的最低募集份额总额为2亿份。</w:t>
      </w:r>
    </w:p>
    <w:p w14:paraId="081D5880">
      <w:pPr>
        <w:snapToGrid w:val="0"/>
        <w:spacing w:line="360" w:lineRule="auto"/>
        <w:ind w:left="420" w:leftChars="200"/>
        <w:textAlignment w:val="auto"/>
        <w:rPr>
          <w:rFonts w:cs="Arial"/>
          <w:b/>
          <w:bCs/>
          <w:szCs w:val="21"/>
        </w:rPr>
      </w:pPr>
      <w:r>
        <w:rPr>
          <w:rFonts w:hint="eastAsia" w:cs="Arial"/>
          <w:b/>
          <w:bCs/>
          <w:szCs w:val="21"/>
        </w:rPr>
        <w:t>六、募集方式与</w:t>
      </w:r>
      <w:r>
        <w:rPr>
          <w:rFonts w:cs="Arial"/>
          <w:b/>
          <w:bCs/>
          <w:szCs w:val="21"/>
        </w:rPr>
        <w:t>募集场所</w:t>
      </w:r>
    </w:p>
    <w:p w14:paraId="10BC6FCB">
      <w:pPr>
        <w:autoSpaceDE w:val="0"/>
        <w:autoSpaceDN w:val="0"/>
        <w:snapToGrid w:val="0"/>
        <w:spacing w:line="360" w:lineRule="auto"/>
        <w:ind w:firstLine="454"/>
        <w:rPr>
          <w:rFonts w:hint="eastAsia" w:cs="Arial"/>
          <w:szCs w:val="21"/>
        </w:rPr>
      </w:pPr>
      <w:r>
        <w:rPr>
          <w:rFonts w:cs="Arial"/>
          <w:szCs w:val="21"/>
        </w:rPr>
        <w:t>通过各销售机构的基金销售网点公开发售，各销售机构的具体名单见基金份额发售公告以及基金管理人</w:t>
      </w:r>
      <w:r>
        <w:rPr>
          <w:rFonts w:hint="eastAsia" w:cs="Arial"/>
          <w:szCs w:val="21"/>
        </w:rPr>
        <w:t>网站</w:t>
      </w:r>
      <w:r>
        <w:rPr>
          <w:rFonts w:cs="Arial"/>
          <w:szCs w:val="21"/>
        </w:rPr>
        <w:t>。</w:t>
      </w:r>
    </w:p>
    <w:p w14:paraId="7C500BE7">
      <w:pPr>
        <w:autoSpaceDE w:val="0"/>
        <w:autoSpaceDN w:val="0"/>
        <w:snapToGrid w:val="0"/>
        <w:spacing w:line="360" w:lineRule="auto"/>
        <w:ind w:firstLine="454"/>
        <w:rPr>
          <w:rFonts w:cs="Arial"/>
          <w:szCs w:val="21"/>
        </w:rPr>
      </w:pPr>
      <w:r>
        <w:rPr>
          <w:rFonts w:hint="eastAsia" w:cs="Arial"/>
          <w:bCs/>
          <w:szCs w:val="21"/>
        </w:rPr>
        <w:t>除法律法规另有规定外，任何与基金份额发售有关的当事人不得提前发售基金份额。</w:t>
      </w:r>
    </w:p>
    <w:p w14:paraId="5090948C">
      <w:pPr>
        <w:snapToGrid w:val="0"/>
        <w:spacing w:line="360" w:lineRule="auto"/>
        <w:ind w:left="420" w:leftChars="200"/>
        <w:textAlignment w:val="auto"/>
        <w:rPr>
          <w:rFonts w:cs="Arial"/>
          <w:b/>
          <w:bCs/>
          <w:szCs w:val="21"/>
        </w:rPr>
      </w:pPr>
      <w:r>
        <w:rPr>
          <w:rFonts w:hint="eastAsia" w:cs="Arial"/>
          <w:b/>
          <w:bCs/>
          <w:szCs w:val="21"/>
        </w:rPr>
        <w:t>七、基金募集规模上限</w:t>
      </w:r>
    </w:p>
    <w:p w14:paraId="5D63A631">
      <w:pPr>
        <w:autoSpaceDE w:val="0"/>
        <w:autoSpaceDN w:val="0"/>
        <w:snapToGrid w:val="0"/>
        <w:spacing w:line="360" w:lineRule="auto"/>
        <w:ind w:firstLine="454"/>
        <w:rPr>
          <w:rFonts w:cs="Arial"/>
          <w:szCs w:val="21"/>
        </w:rPr>
      </w:pPr>
      <w:r>
        <w:rPr>
          <w:rFonts w:hint="eastAsia" w:cs="Arial"/>
          <w:szCs w:val="21"/>
        </w:rPr>
        <w:t>本基金可设置首次募集规模上限，具体募集上限及规模控制的方案详见基金份额发售公告或其他公告。若本基金设置首次募集规模上限，基金合同生效后不受首次募集规模的限制。</w:t>
      </w:r>
    </w:p>
    <w:p w14:paraId="2638B30C">
      <w:pPr>
        <w:snapToGrid w:val="0"/>
        <w:spacing w:line="360" w:lineRule="auto"/>
        <w:ind w:left="420" w:leftChars="200"/>
        <w:textAlignment w:val="auto"/>
        <w:rPr>
          <w:rFonts w:cs="Arial"/>
          <w:b/>
          <w:bCs/>
          <w:szCs w:val="21"/>
        </w:rPr>
      </w:pPr>
      <w:r>
        <w:rPr>
          <w:rFonts w:hint="eastAsia" w:cs="Arial"/>
          <w:b/>
          <w:bCs/>
          <w:szCs w:val="21"/>
        </w:rPr>
        <w:t>八、基金份额的类别</w:t>
      </w:r>
      <w:r>
        <w:rPr>
          <w:rFonts w:cs="Arial"/>
          <w:b/>
          <w:bCs/>
          <w:szCs w:val="21"/>
        </w:rPr>
        <w:t xml:space="preserve"> </w:t>
      </w:r>
    </w:p>
    <w:p w14:paraId="6713E3A2">
      <w:pPr>
        <w:autoSpaceDE w:val="0"/>
        <w:autoSpaceDN w:val="0"/>
        <w:snapToGrid w:val="0"/>
        <w:spacing w:line="360" w:lineRule="auto"/>
        <w:ind w:firstLine="454"/>
        <w:rPr>
          <w:rFonts w:hint="eastAsia" w:cs="Arial"/>
          <w:bCs/>
          <w:szCs w:val="21"/>
        </w:rPr>
      </w:pPr>
      <w:bookmarkStart w:id="17" w:name="_Hlk117604767"/>
      <w:r>
        <w:rPr>
          <w:rFonts w:hint="eastAsia" w:cs="Arial"/>
          <w:bCs/>
          <w:szCs w:val="21"/>
        </w:rPr>
        <w:t>本基金根据认购费、申购费和销售服务费收取方式的不同，将基金份额分为不同的类别。在投资者认购、申购基金份额时收取认购、申购费用，不从本类别基金资产中计提销售服务费的，称为A类基金份额，投资者通过直销机构认购/申购A类基金份额时不收取认购/申购费用。在投资者认购、申购基金份额时不收取认购、申购费用，而是从本类别基金资产中计提销售服务费的，称为C类基金份额。投资者在直销机构保有的C类基金份额，不收取销售服务费。对于投资者在直销机构之外的其他销售机构保有的且持续持有期限超过一年的C类基金份额，不再继续收取销售服务费。</w:t>
      </w:r>
    </w:p>
    <w:p w14:paraId="7BD0C464">
      <w:pPr>
        <w:autoSpaceDE w:val="0"/>
        <w:autoSpaceDN w:val="0"/>
        <w:snapToGrid w:val="0"/>
        <w:spacing w:line="360" w:lineRule="auto"/>
        <w:ind w:firstLine="454"/>
        <w:rPr>
          <w:rFonts w:hint="eastAsia" w:cs="Arial"/>
          <w:bCs/>
          <w:szCs w:val="21"/>
        </w:rPr>
      </w:pPr>
      <w:r>
        <w:rPr>
          <w:rFonts w:hint="eastAsia" w:cs="Arial"/>
          <w:bCs/>
          <w:szCs w:val="21"/>
        </w:rPr>
        <w:t>本基金A类基金份额和C类基金份额分别设置代码。由于基金费用的不同，本基金A类基金份额和C类基金份额将分别计算基金份额净值，计算公式为：计算日某类别基金份额净值＝该计算日该类别基金份额的基金资产净值/该计算日发售在外的该类别基金份额总数。</w:t>
      </w:r>
    </w:p>
    <w:p w14:paraId="5F1D9B0A">
      <w:pPr>
        <w:autoSpaceDE w:val="0"/>
        <w:autoSpaceDN w:val="0"/>
        <w:snapToGrid w:val="0"/>
        <w:spacing w:line="360" w:lineRule="auto"/>
        <w:ind w:firstLine="454"/>
        <w:rPr>
          <w:rFonts w:hint="eastAsia" w:cs="Arial"/>
          <w:bCs/>
          <w:szCs w:val="21"/>
        </w:rPr>
      </w:pPr>
      <w:r>
        <w:rPr>
          <w:rFonts w:hint="eastAsia" w:cs="Arial"/>
          <w:bCs/>
          <w:szCs w:val="21"/>
        </w:rPr>
        <w:t>投资人可自行选择认/申购的基金份额类别。</w:t>
      </w:r>
    </w:p>
    <w:p w14:paraId="54BF9B60">
      <w:pPr>
        <w:autoSpaceDE w:val="0"/>
        <w:autoSpaceDN w:val="0"/>
        <w:snapToGrid w:val="0"/>
        <w:spacing w:line="360" w:lineRule="auto"/>
        <w:ind w:firstLine="454"/>
        <w:rPr>
          <w:rFonts w:cs="Arial"/>
          <w:bCs/>
          <w:szCs w:val="21"/>
        </w:rPr>
      </w:pPr>
      <w:r>
        <w:rPr>
          <w:rFonts w:hint="eastAsia" w:cs="Arial"/>
          <w:bCs/>
          <w:szCs w:val="21"/>
        </w:rPr>
        <w:t>基金管理人可根据基金实际运作情况，在不违反法律法规及中国证监会规定且对基金份额持有人利益无实质性不利影响的情况下，经与基金托管人协商一致，履行适当程序后，增加新的基金份额类别，或调整现有基金份额类别设置及其金额限制、费率水平等，或对基金份额分类办法及规则进行调整，此项调整无需召开基金份额持有人大会，但应在该等调整实施日前依照《信息披露办法》的有关规定在规定媒介上公告。</w:t>
      </w:r>
    </w:p>
    <w:bookmarkEnd w:id="17"/>
    <w:p w14:paraId="79484A1C">
      <w:pPr>
        <w:snapToGrid w:val="0"/>
        <w:spacing w:line="360" w:lineRule="auto"/>
        <w:ind w:left="420" w:leftChars="200"/>
        <w:textAlignment w:val="auto"/>
        <w:rPr>
          <w:rFonts w:cs="Arial"/>
          <w:b/>
          <w:bCs/>
          <w:szCs w:val="21"/>
        </w:rPr>
      </w:pPr>
      <w:r>
        <w:rPr>
          <w:rFonts w:hint="eastAsia" w:cs="Arial"/>
          <w:b/>
          <w:bCs/>
          <w:szCs w:val="21"/>
        </w:rPr>
        <w:t>九、</w:t>
      </w:r>
      <w:r>
        <w:rPr>
          <w:rFonts w:cs="Arial"/>
          <w:b/>
          <w:bCs/>
          <w:szCs w:val="21"/>
        </w:rPr>
        <w:t>基金份额的</w:t>
      </w:r>
      <w:r>
        <w:rPr>
          <w:rFonts w:hint="eastAsia" w:cs="Arial"/>
          <w:b/>
          <w:bCs/>
          <w:szCs w:val="21"/>
        </w:rPr>
        <w:t>发售</w:t>
      </w:r>
      <w:r>
        <w:rPr>
          <w:rFonts w:cs="Arial"/>
          <w:b/>
          <w:bCs/>
          <w:szCs w:val="21"/>
        </w:rPr>
        <w:t>面值、认购价格和认购费用</w:t>
      </w:r>
    </w:p>
    <w:p w14:paraId="4A6D2616">
      <w:pPr>
        <w:pStyle w:val="83"/>
        <w:tabs>
          <w:tab w:val="left" w:pos="3780"/>
        </w:tabs>
        <w:adjustRightInd w:val="0"/>
        <w:snapToGrid w:val="0"/>
        <w:ind w:firstLineChars="0"/>
        <w:rPr>
          <w:rFonts w:ascii="Times New Roman" w:cs="Arial"/>
          <w:szCs w:val="21"/>
        </w:rPr>
      </w:pPr>
      <w:r>
        <w:rPr>
          <w:rFonts w:hint="eastAsia" w:ascii="Times New Roman" w:cs="Arial"/>
          <w:szCs w:val="21"/>
        </w:rPr>
        <w:t>1、基金份额的发售</w:t>
      </w:r>
      <w:r>
        <w:rPr>
          <w:rFonts w:ascii="Times New Roman" w:cs="Arial"/>
          <w:szCs w:val="21"/>
        </w:rPr>
        <w:t>面值：人民币1.00元</w:t>
      </w:r>
    </w:p>
    <w:p w14:paraId="24DAFAFE">
      <w:pPr>
        <w:pStyle w:val="83"/>
        <w:tabs>
          <w:tab w:val="left" w:pos="3780"/>
        </w:tabs>
        <w:adjustRightInd w:val="0"/>
        <w:snapToGrid w:val="0"/>
        <w:ind w:firstLineChars="0"/>
        <w:rPr>
          <w:rFonts w:ascii="Times New Roman" w:cs="Arial"/>
          <w:szCs w:val="21"/>
        </w:rPr>
      </w:pPr>
      <w:r>
        <w:rPr>
          <w:rFonts w:hint="eastAsia" w:ascii="Times New Roman" w:cs="Arial"/>
          <w:szCs w:val="21"/>
        </w:rPr>
        <w:t>2、认购费率</w:t>
      </w:r>
    </w:p>
    <w:p w14:paraId="149986DD">
      <w:pPr>
        <w:pStyle w:val="83"/>
        <w:tabs>
          <w:tab w:val="left" w:pos="3780"/>
        </w:tabs>
        <w:autoSpaceDE w:val="0"/>
        <w:autoSpaceDN w:val="0"/>
        <w:adjustRightInd w:val="0"/>
        <w:snapToGrid w:val="0"/>
        <w:rPr>
          <w:rFonts w:hint="eastAsia" w:ascii="Times New Roman" w:cs="Arial"/>
          <w:szCs w:val="21"/>
        </w:rPr>
      </w:pPr>
      <w:r>
        <w:rPr>
          <w:rFonts w:hint="eastAsia" w:ascii="Times New Roman" w:cs="Arial"/>
          <w:szCs w:val="21"/>
        </w:rPr>
        <w:t>通过基金管理人直销渠道认购不收取认购费</w:t>
      </w:r>
      <w:r>
        <w:rPr>
          <w:rFonts w:hint="eastAsia" w:ascii="Times New Roman" w:cs="Arial"/>
          <w:color w:val="000000"/>
          <w:szCs w:val="21"/>
        </w:rPr>
        <w:t>（基金管理人的销售子公司销售本基金的，参照直销机构相关规则执行</w:t>
      </w:r>
      <w:r>
        <w:rPr>
          <w:rFonts w:hint="eastAsia" w:ascii="Times New Roman" w:cs="Arial"/>
          <w:szCs w:val="21"/>
        </w:rPr>
        <w:t>），通过其他销售机构认购本基金A类基金份额的认购费率按认购金额进行分档。投资人在一天之内如果有多笔认购，适用费率按单笔分别计算。C 类基金份额在认购时不收取认购费。</w:t>
      </w:r>
    </w:p>
    <w:tbl>
      <w:tblPr>
        <w:tblStyle w:val="29"/>
        <w:tblW w:w="0" w:type="auto"/>
        <w:jc w:val="center"/>
        <w:tblLayout w:type="autofit"/>
        <w:tblCellMar>
          <w:top w:w="0" w:type="dxa"/>
          <w:left w:w="0" w:type="dxa"/>
          <w:bottom w:w="0" w:type="dxa"/>
          <w:right w:w="0" w:type="dxa"/>
        </w:tblCellMar>
      </w:tblPr>
      <w:tblGrid>
        <w:gridCol w:w="3038"/>
        <w:gridCol w:w="2793"/>
        <w:gridCol w:w="2565"/>
      </w:tblGrid>
      <w:tr w14:paraId="311FE032">
        <w:tblPrEx>
          <w:tblCellMar>
            <w:top w:w="0" w:type="dxa"/>
            <w:left w:w="0" w:type="dxa"/>
            <w:bottom w:w="0" w:type="dxa"/>
            <w:right w:w="0" w:type="dxa"/>
          </w:tblCellMar>
        </w:tblPrEx>
        <w:trPr>
          <w:jc w:val="center"/>
        </w:trPr>
        <w:tc>
          <w:tcPr>
            <w:tcW w:w="3038" w:type="dxa"/>
            <w:tcBorders>
              <w:top w:val="single" w:color="auto" w:sz="8" w:space="0"/>
              <w:left w:val="single" w:color="auto" w:sz="8" w:space="0"/>
              <w:bottom w:val="single" w:color="auto" w:sz="8" w:space="0"/>
              <w:right w:val="single" w:color="auto" w:sz="8" w:space="0"/>
            </w:tcBorders>
            <w:noWrap w:val="0"/>
            <w:tcMar>
              <w:top w:w="45" w:type="dxa"/>
              <w:left w:w="45" w:type="dxa"/>
              <w:bottom w:w="45" w:type="dxa"/>
              <w:right w:w="45" w:type="dxa"/>
            </w:tcMar>
            <w:vAlign w:val="top"/>
          </w:tcPr>
          <w:p w14:paraId="32DD62BE">
            <w:pPr>
              <w:spacing w:line="300" w:lineRule="atLeast"/>
              <w:jc w:val="center"/>
              <w:rPr>
                <w:rFonts w:ascii="宋体" w:hAnsi="宋体"/>
              </w:rPr>
            </w:pPr>
            <w:r>
              <w:rPr>
                <w:rFonts w:hint="eastAsia" w:ascii="宋体" w:hAnsi="宋体"/>
              </w:rPr>
              <w:t>金额（M）</w:t>
            </w:r>
          </w:p>
        </w:tc>
        <w:tc>
          <w:tcPr>
            <w:tcW w:w="2793" w:type="dxa"/>
            <w:tcBorders>
              <w:top w:val="single" w:color="auto" w:sz="8" w:space="0"/>
              <w:left w:val="nil"/>
              <w:bottom w:val="single" w:color="auto" w:sz="8" w:space="0"/>
              <w:right w:val="single" w:color="auto" w:sz="8" w:space="0"/>
            </w:tcBorders>
            <w:noWrap w:val="0"/>
            <w:tcMar>
              <w:top w:w="45" w:type="dxa"/>
              <w:left w:w="45" w:type="dxa"/>
              <w:bottom w:w="45" w:type="dxa"/>
              <w:right w:w="45" w:type="dxa"/>
            </w:tcMar>
            <w:vAlign w:val="top"/>
          </w:tcPr>
          <w:p w14:paraId="60A612F6">
            <w:pPr>
              <w:spacing w:line="300" w:lineRule="atLeast"/>
              <w:jc w:val="center"/>
              <w:rPr>
                <w:rFonts w:ascii="宋体" w:hAnsi="宋体"/>
              </w:rPr>
            </w:pPr>
            <w:r>
              <w:rPr>
                <w:rFonts w:hint="eastAsia" w:ascii="宋体" w:hAnsi="宋体"/>
              </w:rPr>
              <w:t>A类认购费率</w:t>
            </w:r>
          </w:p>
        </w:tc>
        <w:tc>
          <w:tcPr>
            <w:tcW w:w="2565" w:type="dxa"/>
            <w:tcBorders>
              <w:top w:val="single" w:color="auto" w:sz="8" w:space="0"/>
              <w:left w:val="nil"/>
              <w:bottom w:val="single" w:color="auto" w:sz="8" w:space="0"/>
              <w:right w:val="single" w:color="auto" w:sz="8" w:space="0"/>
            </w:tcBorders>
            <w:noWrap w:val="0"/>
            <w:tcMar>
              <w:top w:w="45" w:type="dxa"/>
              <w:left w:w="45" w:type="dxa"/>
              <w:bottom w:w="45" w:type="dxa"/>
              <w:right w:w="45" w:type="dxa"/>
            </w:tcMar>
            <w:vAlign w:val="top"/>
          </w:tcPr>
          <w:p w14:paraId="5790C518">
            <w:pPr>
              <w:spacing w:line="300" w:lineRule="atLeast"/>
              <w:jc w:val="center"/>
              <w:rPr>
                <w:rFonts w:ascii="宋体" w:hAnsi="宋体"/>
              </w:rPr>
            </w:pPr>
            <w:r>
              <w:rPr>
                <w:rFonts w:hint="eastAsia" w:ascii="宋体" w:hAnsi="宋体"/>
              </w:rPr>
              <w:t>C类认购费率</w:t>
            </w:r>
          </w:p>
        </w:tc>
      </w:tr>
      <w:tr w14:paraId="3230556C">
        <w:tblPrEx>
          <w:tblCellMar>
            <w:top w:w="0" w:type="dxa"/>
            <w:left w:w="0" w:type="dxa"/>
            <w:bottom w:w="0" w:type="dxa"/>
            <w:right w:w="0" w:type="dxa"/>
          </w:tblCellMar>
        </w:tblPrEx>
        <w:trPr>
          <w:jc w:val="center"/>
        </w:trPr>
        <w:tc>
          <w:tcPr>
            <w:tcW w:w="3038" w:type="dxa"/>
            <w:tcBorders>
              <w:top w:val="nil"/>
              <w:left w:val="single" w:color="auto" w:sz="8" w:space="0"/>
              <w:bottom w:val="single" w:color="auto" w:sz="8" w:space="0"/>
              <w:right w:val="single" w:color="auto" w:sz="8" w:space="0"/>
            </w:tcBorders>
            <w:noWrap w:val="0"/>
            <w:tcMar>
              <w:top w:w="45" w:type="dxa"/>
              <w:left w:w="45" w:type="dxa"/>
              <w:bottom w:w="45" w:type="dxa"/>
              <w:right w:w="45" w:type="dxa"/>
            </w:tcMar>
            <w:vAlign w:val="center"/>
          </w:tcPr>
          <w:p w14:paraId="4F756382">
            <w:pPr>
              <w:jc w:val="center"/>
              <w:rPr>
                <w:rFonts w:ascii="宋体" w:hAnsi="宋体"/>
              </w:rPr>
            </w:pPr>
            <w:r>
              <w:rPr>
                <w:color w:val="000000"/>
                <w:szCs w:val="21"/>
              </w:rPr>
              <w:t>M &lt;</w:t>
            </w:r>
            <w:r>
              <w:rPr>
                <w:rFonts w:hint="eastAsia"/>
                <w:color w:val="000000"/>
                <w:szCs w:val="21"/>
                <w:lang w:val="en-US" w:eastAsia="zh-CN"/>
              </w:rPr>
              <w:t>500</w:t>
            </w:r>
            <w:r>
              <w:rPr>
                <w:color w:val="000000"/>
                <w:szCs w:val="21"/>
              </w:rPr>
              <w:t>万元</w:t>
            </w:r>
          </w:p>
        </w:tc>
        <w:tc>
          <w:tcPr>
            <w:tcW w:w="2793" w:type="dxa"/>
            <w:tcBorders>
              <w:top w:val="nil"/>
              <w:left w:val="nil"/>
              <w:bottom w:val="single" w:color="auto" w:sz="8" w:space="0"/>
              <w:right w:val="single" w:color="auto" w:sz="8" w:space="0"/>
            </w:tcBorders>
            <w:noWrap w:val="0"/>
            <w:tcMar>
              <w:top w:w="45" w:type="dxa"/>
              <w:left w:w="45" w:type="dxa"/>
              <w:bottom w:w="45" w:type="dxa"/>
              <w:right w:w="45" w:type="dxa"/>
            </w:tcMar>
            <w:vAlign w:val="center"/>
          </w:tcPr>
          <w:p w14:paraId="0BE65509">
            <w:pPr>
              <w:jc w:val="center"/>
              <w:rPr>
                <w:rFonts w:ascii="宋体" w:hAnsi="宋体"/>
              </w:rPr>
            </w:pPr>
            <w:r>
              <w:rPr>
                <w:color w:val="000000"/>
                <w:szCs w:val="21"/>
              </w:rPr>
              <w:t>0.</w:t>
            </w:r>
            <w:r>
              <w:rPr>
                <w:rFonts w:hint="eastAsia"/>
                <w:color w:val="000000"/>
                <w:szCs w:val="21"/>
              </w:rPr>
              <w:t>5</w:t>
            </w:r>
            <w:r>
              <w:rPr>
                <w:color w:val="000000"/>
                <w:szCs w:val="21"/>
              </w:rPr>
              <w:t>0%</w:t>
            </w:r>
          </w:p>
        </w:tc>
        <w:tc>
          <w:tcPr>
            <w:tcW w:w="2565" w:type="dxa"/>
            <w:vMerge w:val="restart"/>
            <w:tcBorders>
              <w:top w:val="nil"/>
              <w:left w:val="nil"/>
              <w:bottom w:val="single" w:color="auto" w:sz="8" w:space="0"/>
              <w:right w:val="single" w:color="auto" w:sz="8" w:space="0"/>
            </w:tcBorders>
            <w:noWrap w:val="0"/>
            <w:tcMar>
              <w:top w:w="45" w:type="dxa"/>
              <w:left w:w="45" w:type="dxa"/>
              <w:bottom w:w="45" w:type="dxa"/>
              <w:right w:w="45" w:type="dxa"/>
            </w:tcMar>
            <w:vAlign w:val="center"/>
          </w:tcPr>
          <w:p w14:paraId="6701775C">
            <w:pPr>
              <w:spacing w:line="300" w:lineRule="atLeast"/>
              <w:jc w:val="center"/>
              <w:rPr>
                <w:rFonts w:ascii="宋体" w:hAnsi="宋体"/>
              </w:rPr>
            </w:pPr>
            <w:r>
              <w:rPr>
                <w:rFonts w:hint="eastAsia" w:ascii="宋体" w:hAnsi="宋体"/>
              </w:rPr>
              <w:t>0.00%</w:t>
            </w:r>
          </w:p>
        </w:tc>
      </w:tr>
      <w:tr w14:paraId="4F2DD095">
        <w:tblPrEx>
          <w:tblCellMar>
            <w:top w:w="0" w:type="dxa"/>
            <w:left w:w="0" w:type="dxa"/>
            <w:bottom w:w="0" w:type="dxa"/>
            <w:right w:w="0" w:type="dxa"/>
          </w:tblCellMar>
        </w:tblPrEx>
        <w:trPr>
          <w:jc w:val="center"/>
        </w:trPr>
        <w:tc>
          <w:tcPr>
            <w:tcW w:w="3038" w:type="dxa"/>
            <w:tcBorders>
              <w:top w:val="nil"/>
              <w:left w:val="single" w:color="auto" w:sz="8" w:space="0"/>
              <w:bottom w:val="single" w:color="auto" w:sz="8" w:space="0"/>
              <w:right w:val="single" w:color="auto" w:sz="8" w:space="0"/>
            </w:tcBorders>
            <w:noWrap w:val="0"/>
            <w:tcMar>
              <w:top w:w="45" w:type="dxa"/>
              <w:left w:w="45" w:type="dxa"/>
              <w:bottom w:w="45" w:type="dxa"/>
              <w:right w:w="45" w:type="dxa"/>
            </w:tcMar>
            <w:vAlign w:val="center"/>
          </w:tcPr>
          <w:p w14:paraId="277B4C52">
            <w:pPr>
              <w:jc w:val="center"/>
              <w:rPr>
                <w:rFonts w:ascii="宋体" w:hAnsi="宋体"/>
              </w:rPr>
            </w:pPr>
            <w:r>
              <w:rPr>
                <w:color w:val="000000"/>
                <w:szCs w:val="21"/>
              </w:rPr>
              <w:t>M ≥500万元</w:t>
            </w:r>
          </w:p>
        </w:tc>
        <w:tc>
          <w:tcPr>
            <w:tcW w:w="2793" w:type="dxa"/>
            <w:tcBorders>
              <w:top w:val="nil"/>
              <w:left w:val="nil"/>
              <w:bottom w:val="single" w:color="auto" w:sz="8" w:space="0"/>
              <w:right w:val="single" w:color="auto" w:sz="8" w:space="0"/>
            </w:tcBorders>
            <w:noWrap w:val="0"/>
            <w:tcMar>
              <w:top w:w="45" w:type="dxa"/>
              <w:left w:w="45" w:type="dxa"/>
              <w:bottom w:w="45" w:type="dxa"/>
              <w:right w:w="45" w:type="dxa"/>
            </w:tcMar>
            <w:vAlign w:val="center"/>
          </w:tcPr>
          <w:p w14:paraId="3E53329A">
            <w:pPr>
              <w:jc w:val="center"/>
              <w:rPr>
                <w:rFonts w:ascii="宋体" w:hAnsi="宋体"/>
              </w:rPr>
            </w:pPr>
            <w:r>
              <w:rPr>
                <w:rFonts w:hint="eastAsia"/>
                <w:color w:val="000000"/>
                <w:szCs w:val="21"/>
              </w:rPr>
              <w:t>1000</w:t>
            </w:r>
            <w:r>
              <w:rPr>
                <w:color w:val="000000"/>
                <w:szCs w:val="21"/>
              </w:rPr>
              <w:t>元</w:t>
            </w:r>
            <w:r>
              <w:rPr>
                <w:rFonts w:hint="eastAsia"/>
                <w:color w:val="000000"/>
                <w:szCs w:val="21"/>
              </w:rPr>
              <w:t>/笔</w:t>
            </w:r>
          </w:p>
        </w:tc>
        <w:tc>
          <w:tcPr>
            <w:tcW w:w="2565" w:type="dxa"/>
            <w:vMerge w:val="continue"/>
            <w:tcBorders>
              <w:top w:val="nil"/>
              <w:left w:val="nil"/>
              <w:bottom w:val="single" w:color="auto" w:sz="8" w:space="0"/>
              <w:right w:val="single" w:color="auto" w:sz="8" w:space="0"/>
            </w:tcBorders>
            <w:noWrap w:val="0"/>
            <w:vAlign w:val="center"/>
          </w:tcPr>
          <w:p w14:paraId="7A2544FA">
            <w:pPr>
              <w:jc w:val="left"/>
              <w:rPr>
                <w:rFonts w:ascii="宋体" w:hAnsi="宋体" w:cs="宋体"/>
                <w:szCs w:val="21"/>
              </w:rPr>
            </w:pPr>
          </w:p>
        </w:tc>
      </w:tr>
    </w:tbl>
    <w:p w14:paraId="54BF75F0">
      <w:pPr>
        <w:pStyle w:val="83"/>
        <w:tabs>
          <w:tab w:val="left" w:pos="3780"/>
        </w:tabs>
        <w:autoSpaceDE w:val="0"/>
        <w:autoSpaceDN w:val="0"/>
        <w:adjustRightInd w:val="0"/>
        <w:snapToGrid w:val="0"/>
        <w:ind w:firstLine="0" w:firstLineChars="0"/>
        <w:rPr>
          <w:rFonts w:hint="eastAsia" w:ascii="Times New Roman" w:cs="Arial"/>
          <w:szCs w:val="21"/>
        </w:rPr>
      </w:pPr>
    </w:p>
    <w:p w14:paraId="7023BA6C">
      <w:pPr>
        <w:pStyle w:val="83"/>
        <w:tabs>
          <w:tab w:val="left" w:pos="3780"/>
        </w:tabs>
        <w:autoSpaceDE w:val="0"/>
        <w:autoSpaceDN w:val="0"/>
        <w:adjustRightInd w:val="0"/>
        <w:snapToGrid w:val="0"/>
        <w:rPr>
          <w:rFonts w:ascii="Times New Roman" w:cs="Arial"/>
          <w:szCs w:val="21"/>
        </w:rPr>
      </w:pPr>
      <w:r>
        <w:rPr>
          <w:rFonts w:hint="eastAsia" w:ascii="Times New Roman" w:cs="Arial"/>
          <w:szCs w:val="21"/>
        </w:rPr>
        <w:t>认购费用由认购人承担，不列入基金财产，主要用于本基金募集期间发生的市场推广、销售、登记等各项费用。</w:t>
      </w:r>
    </w:p>
    <w:p w14:paraId="246EC13E">
      <w:pPr>
        <w:pStyle w:val="83"/>
        <w:tabs>
          <w:tab w:val="left" w:pos="3780"/>
        </w:tabs>
        <w:autoSpaceDE w:val="0"/>
        <w:autoSpaceDN w:val="0"/>
        <w:adjustRightInd w:val="0"/>
        <w:snapToGrid w:val="0"/>
        <w:rPr>
          <w:rFonts w:ascii="Times New Roman" w:cs="Arial"/>
          <w:szCs w:val="21"/>
        </w:rPr>
      </w:pPr>
      <w:r>
        <w:rPr>
          <w:rFonts w:hint="eastAsia" w:ascii="Times New Roman" w:cs="Arial"/>
          <w:szCs w:val="21"/>
        </w:rPr>
        <w:t>基金管理人可以针对特定投资人（如养老金客户等）开展费率优惠活动，具体见基金管理人相关公告。</w:t>
      </w:r>
    </w:p>
    <w:p w14:paraId="38CC7278">
      <w:pPr>
        <w:snapToGrid w:val="0"/>
        <w:spacing w:line="360" w:lineRule="auto"/>
        <w:ind w:firstLine="420" w:firstLineChars="200"/>
        <w:rPr>
          <w:rFonts w:cs="Arial"/>
        </w:rPr>
      </w:pPr>
      <w:r>
        <w:rPr>
          <w:rFonts w:hint="eastAsia" w:cs="Arial"/>
        </w:rPr>
        <w:t>3</w:t>
      </w:r>
      <w:r>
        <w:rPr>
          <w:rFonts w:cs="Arial"/>
        </w:rPr>
        <w:t>、认购份额的计算</w:t>
      </w:r>
    </w:p>
    <w:p w14:paraId="19969BFC">
      <w:pPr>
        <w:snapToGrid w:val="0"/>
        <w:spacing w:line="360" w:lineRule="auto"/>
        <w:ind w:firstLine="420" w:firstLineChars="200"/>
        <w:rPr>
          <w:rFonts w:cs="Arial"/>
        </w:rPr>
      </w:pPr>
      <w:r>
        <w:rPr>
          <w:rFonts w:hint="eastAsia" w:cs="Arial"/>
        </w:rPr>
        <w:t>（1）A类基金份额的计算</w:t>
      </w:r>
    </w:p>
    <w:p w14:paraId="3203AD28">
      <w:pPr>
        <w:snapToGrid w:val="0"/>
        <w:spacing w:line="360" w:lineRule="auto"/>
        <w:ind w:firstLine="420" w:firstLineChars="200"/>
        <w:rPr>
          <w:rFonts w:hint="eastAsia" w:cs="Arial"/>
        </w:rPr>
      </w:pPr>
      <w:r>
        <w:rPr>
          <w:rFonts w:hint="eastAsia" w:cs="Arial"/>
        </w:rPr>
        <w:t>1）若投资者通过直销机构认购A类基金份额：</w:t>
      </w:r>
    </w:p>
    <w:p w14:paraId="372D1B82">
      <w:pPr>
        <w:snapToGrid w:val="0"/>
        <w:spacing w:line="360" w:lineRule="auto"/>
        <w:ind w:firstLine="420" w:firstLineChars="200"/>
        <w:rPr>
          <w:rFonts w:hint="eastAsia" w:cs="Arial"/>
        </w:rPr>
      </w:pPr>
      <w:r>
        <w:rPr>
          <w:rFonts w:hint="eastAsia" w:cs="Arial"/>
        </w:rPr>
        <w:t>认购份额＝（认购金额＋认购利息）/1.00元</w:t>
      </w:r>
    </w:p>
    <w:p w14:paraId="12A0AAF8">
      <w:pPr>
        <w:snapToGrid w:val="0"/>
        <w:spacing w:line="360" w:lineRule="auto"/>
        <w:ind w:firstLine="420" w:firstLineChars="200"/>
        <w:rPr>
          <w:rFonts w:hint="eastAsia" w:cs="Arial"/>
        </w:rPr>
      </w:pPr>
      <w:r>
        <w:rPr>
          <w:rFonts w:hint="eastAsia" w:cs="Arial"/>
        </w:rPr>
        <w:t>2）若投资者通过其他销售机构认购A类基金份额：</w:t>
      </w:r>
    </w:p>
    <w:p w14:paraId="12011165">
      <w:pPr>
        <w:snapToGrid w:val="0"/>
        <w:spacing w:line="360" w:lineRule="auto"/>
        <w:ind w:firstLine="420" w:firstLineChars="200"/>
        <w:rPr>
          <w:rFonts w:cs="Arial"/>
        </w:rPr>
      </w:pPr>
      <w:r>
        <w:rPr>
          <w:rFonts w:hint="eastAsia" w:cs="Arial"/>
        </w:rPr>
        <w:t>认购费用适用比例费率时，认购份额的计算方法如下：</w:t>
      </w:r>
    </w:p>
    <w:p w14:paraId="63ED2EB9">
      <w:pPr>
        <w:snapToGrid w:val="0"/>
        <w:spacing w:line="360" w:lineRule="auto"/>
        <w:ind w:firstLine="420" w:firstLineChars="200"/>
        <w:rPr>
          <w:rFonts w:cs="Arial"/>
        </w:rPr>
      </w:pPr>
      <w:r>
        <w:rPr>
          <w:rFonts w:hint="eastAsia" w:cs="Arial"/>
        </w:rPr>
        <w:t>净认购金额</w:t>
      </w:r>
      <w:r>
        <w:rPr>
          <w:rFonts w:cs="Arial"/>
        </w:rPr>
        <w:t>=</w:t>
      </w:r>
      <w:r>
        <w:rPr>
          <w:rFonts w:hint="eastAsia" w:cs="Arial"/>
        </w:rPr>
        <w:t>认购金额</w:t>
      </w:r>
      <w:r>
        <w:rPr>
          <w:rFonts w:cs="Arial"/>
        </w:rPr>
        <w:t>/</w:t>
      </w:r>
      <w:r>
        <w:rPr>
          <w:rFonts w:hint="eastAsia" w:cs="Arial"/>
        </w:rPr>
        <w:t>（</w:t>
      </w:r>
      <w:r>
        <w:rPr>
          <w:rFonts w:cs="Arial"/>
        </w:rPr>
        <w:t>1</w:t>
      </w:r>
      <w:r>
        <w:rPr>
          <w:rFonts w:hint="eastAsia" w:cs="Arial"/>
        </w:rPr>
        <w:t>＋认购费率）</w:t>
      </w:r>
    </w:p>
    <w:p w14:paraId="3438F518">
      <w:pPr>
        <w:snapToGrid w:val="0"/>
        <w:spacing w:line="360" w:lineRule="auto"/>
        <w:ind w:firstLine="420" w:firstLineChars="200"/>
        <w:rPr>
          <w:rFonts w:cs="Arial"/>
        </w:rPr>
      </w:pPr>
      <w:r>
        <w:rPr>
          <w:rFonts w:hint="eastAsia" w:cs="Arial"/>
        </w:rPr>
        <w:t>认购费用＝认购金额－净认购金额</w:t>
      </w:r>
    </w:p>
    <w:p w14:paraId="50BAE01D">
      <w:pPr>
        <w:snapToGrid w:val="0"/>
        <w:spacing w:line="360" w:lineRule="auto"/>
        <w:ind w:firstLine="420" w:firstLineChars="200"/>
        <w:rPr>
          <w:rFonts w:cs="Arial"/>
        </w:rPr>
      </w:pPr>
      <w:r>
        <w:rPr>
          <w:rFonts w:hint="eastAsia" w:cs="Arial"/>
        </w:rPr>
        <w:t>认购份额＝（净认购金额＋认购资金利息）</w:t>
      </w:r>
      <w:r>
        <w:rPr>
          <w:rFonts w:cs="Arial"/>
        </w:rPr>
        <w:t>/</w:t>
      </w:r>
      <w:r>
        <w:rPr>
          <w:rFonts w:hint="eastAsia" w:cs="Arial"/>
        </w:rPr>
        <w:t>基金份额发售面值</w:t>
      </w:r>
    </w:p>
    <w:p w14:paraId="258D1C4C">
      <w:pPr>
        <w:snapToGrid w:val="0"/>
        <w:spacing w:line="360" w:lineRule="auto"/>
        <w:ind w:firstLine="420" w:firstLineChars="200"/>
        <w:rPr>
          <w:rFonts w:cs="Arial"/>
        </w:rPr>
      </w:pPr>
      <w:r>
        <w:rPr>
          <w:rFonts w:hint="eastAsia" w:cs="Arial"/>
        </w:rPr>
        <w:t>认购费用为固定金额时，认购份额的计算方法如下：</w:t>
      </w:r>
    </w:p>
    <w:p w14:paraId="7ED6057E">
      <w:pPr>
        <w:snapToGrid w:val="0"/>
        <w:spacing w:line="360" w:lineRule="auto"/>
        <w:ind w:firstLine="420" w:firstLineChars="200"/>
        <w:rPr>
          <w:rFonts w:cs="Arial"/>
        </w:rPr>
      </w:pPr>
      <w:r>
        <w:rPr>
          <w:rFonts w:hint="eastAsia" w:cs="Arial"/>
        </w:rPr>
        <w:t>认购费用＝固定金额</w:t>
      </w:r>
    </w:p>
    <w:p w14:paraId="63142FAB">
      <w:pPr>
        <w:snapToGrid w:val="0"/>
        <w:spacing w:line="360" w:lineRule="auto"/>
        <w:ind w:firstLine="420" w:firstLineChars="200"/>
        <w:rPr>
          <w:rFonts w:cs="Arial"/>
        </w:rPr>
      </w:pPr>
      <w:r>
        <w:rPr>
          <w:rFonts w:hint="eastAsia" w:cs="Arial"/>
        </w:rPr>
        <w:t>净认购金额</w:t>
      </w:r>
      <w:r>
        <w:rPr>
          <w:rFonts w:cs="Arial"/>
        </w:rPr>
        <w:t>=</w:t>
      </w:r>
      <w:r>
        <w:rPr>
          <w:rFonts w:hint="eastAsia" w:cs="Arial"/>
        </w:rPr>
        <w:t>认购金额－认购费用</w:t>
      </w:r>
    </w:p>
    <w:p w14:paraId="16EAC303">
      <w:pPr>
        <w:snapToGrid w:val="0"/>
        <w:spacing w:line="360" w:lineRule="auto"/>
        <w:ind w:firstLine="420" w:firstLineChars="200"/>
        <w:rPr>
          <w:rFonts w:cs="Arial"/>
        </w:rPr>
      </w:pPr>
      <w:r>
        <w:rPr>
          <w:rFonts w:hint="eastAsia" w:cs="Arial"/>
        </w:rPr>
        <w:t>认购份额＝（净认购金额＋认购资金利息）</w:t>
      </w:r>
      <w:r>
        <w:rPr>
          <w:rFonts w:cs="Arial"/>
        </w:rPr>
        <w:t>/</w:t>
      </w:r>
      <w:r>
        <w:rPr>
          <w:rFonts w:hint="eastAsia" w:cs="Arial"/>
        </w:rPr>
        <w:t>基金份额发售面值</w:t>
      </w:r>
    </w:p>
    <w:p w14:paraId="02C0FF28">
      <w:pPr>
        <w:pStyle w:val="11"/>
        <w:autoSpaceDE w:val="0"/>
        <w:autoSpaceDN w:val="0"/>
        <w:spacing w:line="360" w:lineRule="auto"/>
        <w:ind w:firstLine="452"/>
        <w:rPr>
          <w:rFonts w:hint="eastAsia" w:cs="Arial"/>
          <w:kern w:val="2"/>
          <w:sz w:val="21"/>
          <w:szCs w:val="24"/>
        </w:rPr>
      </w:pPr>
      <w:r>
        <w:rPr>
          <w:rFonts w:hint="eastAsia" w:cs="Arial"/>
          <w:kern w:val="2"/>
          <w:sz w:val="21"/>
          <w:szCs w:val="24"/>
        </w:rPr>
        <w:t>（2）C类基金份额的计算</w:t>
      </w:r>
    </w:p>
    <w:p w14:paraId="655DC584">
      <w:pPr>
        <w:snapToGrid w:val="0"/>
        <w:spacing w:line="360" w:lineRule="auto"/>
        <w:ind w:firstLine="420" w:firstLineChars="200"/>
        <w:rPr>
          <w:rFonts w:cs="Arial"/>
        </w:rPr>
      </w:pPr>
      <w:r>
        <w:rPr>
          <w:rFonts w:hint="eastAsia" w:cs="Arial"/>
        </w:rPr>
        <w:t>认购份额＝（认购金额＋认购资金利息）</w:t>
      </w:r>
      <w:r>
        <w:rPr>
          <w:rFonts w:cs="Arial"/>
        </w:rPr>
        <w:t>/</w:t>
      </w:r>
      <w:r>
        <w:rPr>
          <w:rFonts w:hint="eastAsia" w:cs="Arial"/>
        </w:rPr>
        <w:t>基金份额发售面值</w:t>
      </w:r>
    </w:p>
    <w:p w14:paraId="5F2E96F4">
      <w:pPr>
        <w:pStyle w:val="11"/>
        <w:autoSpaceDE w:val="0"/>
        <w:autoSpaceDN w:val="0"/>
        <w:spacing w:line="360" w:lineRule="auto"/>
        <w:ind w:firstLine="452"/>
        <w:rPr>
          <w:rFonts w:cs="Arial"/>
          <w:kern w:val="2"/>
          <w:sz w:val="21"/>
          <w:szCs w:val="24"/>
        </w:rPr>
      </w:pPr>
      <w:r>
        <w:rPr>
          <w:rFonts w:hint="eastAsia" w:cs="Arial"/>
          <w:kern w:val="2"/>
          <w:sz w:val="21"/>
          <w:szCs w:val="24"/>
        </w:rPr>
        <w:t>（3）认购份额的计算保留到小数点后</w:t>
      </w:r>
      <w:r>
        <w:rPr>
          <w:rFonts w:cs="Arial"/>
          <w:kern w:val="2"/>
          <w:sz w:val="21"/>
          <w:szCs w:val="24"/>
        </w:rPr>
        <w:t>2</w:t>
      </w:r>
      <w:r>
        <w:rPr>
          <w:rFonts w:hint="eastAsia" w:cs="Arial"/>
          <w:kern w:val="2"/>
          <w:sz w:val="21"/>
          <w:szCs w:val="24"/>
        </w:rPr>
        <w:t>位，小数点</w:t>
      </w:r>
      <w:r>
        <w:rPr>
          <w:rFonts w:cs="Arial"/>
          <w:kern w:val="2"/>
          <w:sz w:val="21"/>
          <w:szCs w:val="24"/>
        </w:rPr>
        <w:t>2</w:t>
      </w:r>
      <w:r>
        <w:rPr>
          <w:rFonts w:hint="eastAsia" w:cs="Arial"/>
          <w:kern w:val="2"/>
          <w:sz w:val="21"/>
          <w:szCs w:val="24"/>
        </w:rPr>
        <w:t>位以后的部分四舍五入，由此误差产生的收益或损失由基金财产承担。</w:t>
      </w:r>
    </w:p>
    <w:p w14:paraId="2E4D563D">
      <w:pPr>
        <w:pStyle w:val="83"/>
        <w:tabs>
          <w:tab w:val="left" w:pos="3780"/>
        </w:tabs>
        <w:autoSpaceDE w:val="0"/>
        <w:autoSpaceDN w:val="0"/>
        <w:adjustRightInd w:val="0"/>
        <w:snapToGrid w:val="0"/>
        <w:rPr>
          <w:rFonts w:ascii="Times New Roman" w:cs="Arial"/>
          <w:szCs w:val="21"/>
        </w:rPr>
      </w:pPr>
      <w:r>
        <w:rPr>
          <w:rFonts w:hint="eastAsia" w:ascii="Times New Roman" w:cs="Arial"/>
          <w:szCs w:val="21"/>
        </w:rPr>
        <w:t>4</w:t>
      </w:r>
      <w:r>
        <w:rPr>
          <w:rFonts w:ascii="Times New Roman" w:cs="Arial"/>
          <w:szCs w:val="21"/>
        </w:rPr>
        <w:t>、计算举例</w:t>
      </w:r>
    </w:p>
    <w:p w14:paraId="2EF4FA67">
      <w:pPr>
        <w:pStyle w:val="11"/>
        <w:autoSpaceDE w:val="0"/>
        <w:autoSpaceDN w:val="0"/>
        <w:spacing w:line="360" w:lineRule="auto"/>
        <w:ind w:firstLine="452"/>
        <w:rPr>
          <w:rFonts w:hint="eastAsia" w:cs="Arial"/>
          <w:kern w:val="2"/>
          <w:sz w:val="21"/>
          <w:szCs w:val="24"/>
        </w:rPr>
      </w:pPr>
      <w:r>
        <w:rPr>
          <w:rFonts w:cs="Arial"/>
          <w:kern w:val="2"/>
          <w:sz w:val="21"/>
          <w:szCs w:val="24"/>
        </w:rPr>
        <w:t>例</w:t>
      </w:r>
      <w:r>
        <w:rPr>
          <w:rFonts w:hint="eastAsia" w:cs="Arial"/>
          <w:kern w:val="2"/>
          <w:sz w:val="21"/>
          <w:szCs w:val="24"/>
        </w:rPr>
        <w:t>1</w:t>
      </w:r>
      <w:r>
        <w:rPr>
          <w:rFonts w:cs="Arial"/>
          <w:kern w:val="2"/>
          <w:sz w:val="21"/>
          <w:szCs w:val="24"/>
        </w:rPr>
        <w:t>：</w:t>
      </w:r>
      <w:r>
        <w:rPr>
          <w:rFonts w:hint="eastAsia" w:cs="Arial"/>
          <w:kern w:val="2"/>
          <w:sz w:val="21"/>
          <w:szCs w:val="24"/>
        </w:rPr>
        <w:t>某投资人通过直销机构投资1万元认购本基金A类基金份额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w:t>
      </w:r>
      <w:r>
        <w:rPr>
          <w:rFonts w:hint="eastAsia" w:cs="Arial"/>
          <w:kern w:val="2"/>
          <w:sz w:val="21"/>
          <w:szCs w:val="24"/>
        </w:rPr>
        <w:t>3</w:t>
      </w:r>
      <w:r>
        <w:rPr>
          <w:rFonts w:cs="Arial"/>
          <w:kern w:val="2"/>
          <w:sz w:val="21"/>
          <w:szCs w:val="24"/>
        </w:rPr>
        <w:t>元，则其可得到的认购份额为</w:t>
      </w:r>
      <w:r>
        <w:rPr>
          <w:rFonts w:hint="eastAsia" w:cs="Arial"/>
          <w:kern w:val="2"/>
          <w:sz w:val="21"/>
          <w:szCs w:val="24"/>
        </w:rPr>
        <w:t>：</w:t>
      </w:r>
    </w:p>
    <w:p w14:paraId="4596E572">
      <w:pPr>
        <w:pStyle w:val="11"/>
        <w:autoSpaceDE w:val="0"/>
        <w:autoSpaceDN w:val="0"/>
        <w:spacing w:line="360" w:lineRule="auto"/>
        <w:ind w:firstLine="452"/>
        <w:rPr>
          <w:rFonts w:hint="eastAsia" w:cs="Arial"/>
          <w:kern w:val="2"/>
          <w:sz w:val="21"/>
          <w:szCs w:val="24"/>
        </w:rPr>
      </w:pPr>
      <w:r>
        <w:rPr>
          <w:rFonts w:hint="eastAsia" w:cs="Arial"/>
          <w:kern w:val="2"/>
          <w:sz w:val="21"/>
          <w:szCs w:val="24"/>
        </w:rPr>
        <w:t>认购份额＝（10,000＋3.00）/1.00＝10,0</w:t>
      </w:r>
      <w:r>
        <w:rPr>
          <w:rFonts w:cs="Arial"/>
          <w:kern w:val="2"/>
          <w:sz w:val="21"/>
          <w:szCs w:val="24"/>
        </w:rPr>
        <w:t>03</w:t>
      </w:r>
      <w:r>
        <w:rPr>
          <w:rFonts w:hint="eastAsia" w:cs="Arial"/>
          <w:kern w:val="2"/>
          <w:sz w:val="21"/>
          <w:szCs w:val="24"/>
        </w:rPr>
        <w:t>.00份</w:t>
      </w:r>
    </w:p>
    <w:p w14:paraId="3C894C45">
      <w:pPr>
        <w:pStyle w:val="11"/>
        <w:autoSpaceDE w:val="0"/>
        <w:autoSpaceDN w:val="0"/>
        <w:spacing w:line="360" w:lineRule="auto"/>
        <w:ind w:firstLine="452"/>
        <w:rPr>
          <w:rFonts w:cs="Arial"/>
          <w:kern w:val="2"/>
          <w:sz w:val="21"/>
          <w:szCs w:val="24"/>
        </w:rPr>
      </w:pPr>
      <w:r>
        <w:rPr>
          <w:rFonts w:hint="eastAsia" w:cs="Arial"/>
          <w:kern w:val="2"/>
          <w:sz w:val="21"/>
          <w:szCs w:val="24"/>
        </w:rPr>
        <w:t>即：</w:t>
      </w:r>
      <w:r>
        <w:rPr>
          <w:rFonts w:cs="Arial"/>
          <w:kern w:val="2"/>
          <w:sz w:val="21"/>
          <w:szCs w:val="24"/>
        </w:rPr>
        <w:t>投资人</w:t>
      </w:r>
      <w:r>
        <w:rPr>
          <w:rFonts w:hint="eastAsia" w:cs="Arial"/>
          <w:kern w:val="2"/>
          <w:sz w:val="21"/>
          <w:szCs w:val="24"/>
        </w:rPr>
        <w:t>通过直销机构</w:t>
      </w:r>
      <w:r>
        <w:rPr>
          <w:rFonts w:cs="Arial"/>
          <w:kern w:val="2"/>
          <w:sz w:val="21"/>
          <w:szCs w:val="24"/>
        </w:rPr>
        <w:t>投资</w:t>
      </w:r>
      <w:r>
        <w:rPr>
          <w:rFonts w:hint="eastAsia" w:cs="Arial"/>
          <w:kern w:val="2"/>
          <w:sz w:val="21"/>
          <w:szCs w:val="24"/>
        </w:rPr>
        <w:t>1</w:t>
      </w:r>
      <w:r>
        <w:rPr>
          <w:rFonts w:cs="Arial"/>
          <w:kern w:val="2"/>
          <w:sz w:val="21"/>
          <w:szCs w:val="24"/>
        </w:rPr>
        <w:t>万元认购本基金</w:t>
      </w:r>
      <w:r>
        <w:rPr>
          <w:rFonts w:hint="eastAsia" w:cs="Arial"/>
          <w:kern w:val="2"/>
          <w:sz w:val="21"/>
          <w:szCs w:val="24"/>
        </w:rPr>
        <w:t>A类基金份额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假设其认购资金的利息为3元，则其可得到</w:t>
      </w:r>
      <w:r>
        <w:rPr>
          <w:rFonts w:hint="eastAsia" w:cs="Arial"/>
          <w:kern w:val="2"/>
          <w:sz w:val="21"/>
          <w:szCs w:val="24"/>
        </w:rPr>
        <w:t>10,0</w:t>
      </w:r>
      <w:r>
        <w:rPr>
          <w:rFonts w:cs="Arial"/>
          <w:kern w:val="2"/>
          <w:sz w:val="21"/>
          <w:szCs w:val="24"/>
        </w:rPr>
        <w:t>03</w:t>
      </w:r>
      <w:r>
        <w:rPr>
          <w:rFonts w:hint="eastAsia" w:cs="Arial"/>
          <w:kern w:val="2"/>
          <w:sz w:val="21"/>
          <w:szCs w:val="24"/>
        </w:rPr>
        <w:t>.00份A类</w:t>
      </w:r>
      <w:r>
        <w:rPr>
          <w:rFonts w:cs="Arial"/>
          <w:kern w:val="2"/>
          <w:sz w:val="21"/>
          <w:szCs w:val="24"/>
        </w:rPr>
        <w:t>基金份额</w:t>
      </w:r>
      <w:r>
        <w:rPr>
          <w:rFonts w:hint="eastAsia" w:cs="Arial"/>
          <w:kern w:val="2"/>
          <w:sz w:val="21"/>
          <w:szCs w:val="24"/>
        </w:rPr>
        <w:t>。</w:t>
      </w:r>
    </w:p>
    <w:p w14:paraId="73E4203B">
      <w:pPr>
        <w:pStyle w:val="11"/>
        <w:autoSpaceDE w:val="0"/>
        <w:autoSpaceDN w:val="0"/>
        <w:spacing w:line="360" w:lineRule="auto"/>
        <w:ind w:firstLine="452"/>
        <w:rPr>
          <w:rFonts w:cs="Arial"/>
          <w:kern w:val="2"/>
          <w:sz w:val="21"/>
          <w:szCs w:val="24"/>
        </w:rPr>
      </w:pPr>
      <w:r>
        <w:rPr>
          <w:rFonts w:hint="eastAsia" w:cs="Arial"/>
          <w:kern w:val="2"/>
          <w:sz w:val="21"/>
          <w:szCs w:val="24"/>
        </w:rPr>
        <w:t>例</w:t>
      </w:r>
      <w:r>
        <w:rPr>
          <w:rFonts w:cs="Arial"/>
          <w:kern w:val="2"/>
          <w:sz w:val="21"/>
          <w:szCs w:val="24"/>
        </w:rPr>
        <w:t>2</w:t>
      </w:r>
      <w:r>
        <w:rPr>
          <w:rFonts w:hint="eastAsia" w:cs="Arial"/>
          <w:kern w:val="2"/>
          <w:sz w:val="21"/>
          <w:szCs w:val="24"/>
        </w:rPr>
        <w:t>：</w:t>
      </w:r>
      <w:r>
        <w:rPr>
          <w:rFonts w:cs="Arial"/>
          <w:kern w:val="2"/>
          <w:sz w:val="21"/>
          <w:szCs w:val="24"/>
        </w:rPr>
        <w:t>某投资人</w:t>
      </w:r>
      <w:r>
        <w:rPr>
          <w:rFonts w:hint="eastAsia" w:cs="Arial"/>
          <w:kern w:val="2"/>
          <w:sz w:val="21"/>
          <w:szCs w:val="24"/>
        </w:rPr>
        <w:t>通过其他销售机构</w:t>
      </w:r>
      <w:r>
        <w:rPr>
          <w:rFonts w:cs="Arial"/>
          <w:kern w:val="2"/>
          <w:sz w:val="21"/>
          <w:szCs w:val="24"/>
        </w:rPr>
        <w:t>投资</w:t>
      </w:r>
      <w:r>
        <w:rPr>
          <w:rFonts w:hint="eastAsia" w:cs="Arial"/>
          <w:kern w:val="2"/>
          <w:sz w:val="21"/>
          <w:szCs w:val="24"/>
        </w:rPr>
        <w:t>1</w:t>
      </w:r>
      <w:r>
        <w:rPr>
          <w:rFonts w:cs="Arial"/>
          <w:kern w:val="2"/>
          <w:sz w:val="21"/>
          <w:szCs w:val="24"/>
        </w:rPr>
        <w:t>万元认购本基金</w:t>
      </w:r>
      <w:r>
        <w:rPr>
          <w:rFonts w:hint="eastAsia" w:cs="Arial"/>
          <w:kern w:val="2"/>
          <w:sz w:val="21"/>
          <w:szCs w:val="24"/>
        </w:rPr>
        <w:t>A类基金份额</w:t>
      </w:r>
      <w:r>
        <w:rPr>
          <w:rFonts w:cs="Arial"/>
          <w:kern w:val="2"/>
          <w:sz w:val="21"/>
          <w:szCs w:val="24"/>
        </w:rPr>
        <w:t>，</w:t>
      </w:r>
      <w:r>
        <w:rPr>
          <w:rFonts w:hint="eastAsia" w:cs="Arial"/>
          <w:kern w:val="2"/>
          <w:sz w:val="21"/>
          <w:szCs w:val="24"/>
        </w:rPr>
        <w:t>且该认购申请被全额确认，认购费率为0.</w:t>
      </w:r>
      <w:r>
        <w:rPr>
          <w:rFonts w:cs="Arial"/>
          <w:kern w:val="2"/>
          <w:sz w:val="21"/>
          <w:szCs w:val="24"/>
        </w:rPr>
        <w:t>5</w:t>
      </w:r>
      <w:r>
        <w:rPr>
          <w:rFonts w:hint="eastAsia" w:cs="Arial"/>
          <w:kern w:val="2"/>
          <w:sz w:val="21"/>
          <w:szCs w:val="24"/>
        </w:rPr>
        <w:t>%，</w:t>
      </w:r>
      <w:r>
        <w:rPr>
          <w:rFonts w:cs="Arial"/>
          <w:kern w:val="2"/>
          <w:sz w:val="21"/>
          <w:szCs w:val="24"/>
        </w:rPr>
        <w:t>假设其认购资金的利息为</w:t>
      </w:r>
      <w:r>
        <w:rPr>
          <w:rFonts w:hint="eastAsia" w:cs="Arial"/>
          <w:kern w:val="2"/>
          <w:sz w:val="21"/>
          <w:szCs w:val="24"/>
        </w:rPr>
        <w:t>3</w:t>
      </w:r>
      <w:r>
        <w:rPr>
          <w:rFonts w:cs="Arial"/>
          <w:kern w:val="2"/>
          <w:sz w:val="21"/>
          <w:szCs w:val="24"/>
        </w:rPr>
        <w:t>元，则其可得到的认购份额为：</w:t>
      </w:r>
    </w:p>
    <w:p w14:paraId="3431AE3B">
      <w:pPr>
        <w:pStyle w:val="11"/>
        <w:autoSpaceDE w:val="0"/>
        <w:autoSpaceDN w:val="0"/>
        <w:spacing w:line="360" w:lineRule="auto"/>
        <w:ind w:firstLine="452"/>
        <w:rPr>
          <w:rFonts w:cs="Arial"/>
          <w:kern w:val="2"/>
          <w:sz w:val="21"/>
          <w:szCs w:val="24"/>
        </w:rPr>
      </w:pPr>
      <w:r>
        <w:rPr>
          <w:rFonts w:hint="eastAsia" w:cs="Arial"/>
          <w:kern w:val="2"/>
          <w:sz w:val="21"/>
          <w:szCs w:val="24"/>
        </w:rPr>
        <w:t>净认购金额=10,000/(1+0.</w:t>
      </w:r>
      <w:r>
        <w:rPr>
          <w:rFonts w:cs="Arial"/>
          <w:kern w:val="2"/>
          <w:sz w:val="21"/>
          <w:szCs w:val="24"/>
        </w:rPr>
        <w:t>5</w:t>
      </w:r>
      <w:r>
        <w:rPr>
          <w:rFonts w:hint="eastAsia" w:cs="Arial"/>
          <w:kern w:val="2"/>
          <w:sz w:val="21"/>
          <w:szCs w:val="24"/>
        </w:rPr>
        <w:t>%)=9,9</w:t>
      </w:r>
      <w:r>
        <w:rPr>
          <w:rFonts w:cs="Arial"/>
          <w:kern w:val="2"/>
          <w:sz w:val="21"/>
          <w:szCs w:val="24"/>
        </w:rPr>
        <w:t>5</w:t>
      </w:r>
      <w:r>
        <w:rPr>
          <w:rFonts w:hint="eastAsia" w:cs="Arial"/>
          <w:kern w:val="2"/>
          <w:sz w:val="21"/>
          <w:szCs w:val="24"/>
        </w:rPr>
        <w:t>0.</w:t>
      </w:r>
      <w:r>
        <w:rPr>
          <w:rFonts w:cs="Arial"/>
          <w:kern w:val="2"/>
          <w:sz w:val="21"/>
          <w:szCs w:val="24"/>
        </w:rPr>
        <w:t>25</w:t>
      </w:r>
      <w:r>
        <w:rPr>
          <w:rFonts w:hint="eastAsia" w:cs="Arial"/>
          <w:kern w:val="2"/>
          <w:sz w:val="21"/>
          <w:szCs w:val="24"/>
        </w:rPr>
        <w:t>元</w:t>
      </w:r>
    </w:p>
    <w:p w14:paraId="7B68E00B">
      <w:pPr>
        <w:pStyle w:val="11"/>
        <w:autoSpaceDE w:val="0"/>
        <w:autoSpaceDN w:val="0"/>
        <w:spacing w:line="360" w:lineRule="auto"/>
        <w:ind w:firstLine="452"/>
        <w:rPr>
          <w:rFonts w:cs="Arial"/>
          <w:kern w:val="2"/>
          <w:sz w:val="21"/>
          <w:szCs w:val="24"/>
        </w:rPr>
      </w:pPr>
      <w:r>
        <w:rPr>
          <w:rFonts w:hint="eastAsia" w:cs="Arial"/>
          <w:kern w:val="2"/>
          <w:sz w:val="21"/>
          <w:szCs w:val="24"/>
        </w:rPr>
        <w:t>认购费用=10,000-</w:t>
      </w:r>
      <w:r>
        <w:rPr>
          <w:rFonts w:cs="Arial"/>
          <w:kern w:val="2"/>
          <w:sz w:val="21"/>
          <w:szCs w:val="24"/>
        </w:rPr>
        <w:t>9,950.25</w:t>
      </w:r>
      <w:r>
        <w:rPr>
          <w:rFonts w:hint="eastAsia" w:cs="Arial"/>
          <w:kern w:val="2"/>
          <w:sz w:val="21"/>
          <w:szCs w:val="24"/>
        </w:rPr>
        <w:t>=</w:t>
      </w:r>
      <w:r>
        <w:rPr>
          <w:rFonts w:cs="Arial"/>
          <w:kern w:val="2"/>
          <w:sz w:val="21"/>
          <w:szCs w:val="24"/>
        </w:rPr>
        <w:t>49</w:t>
      </w:r>
      <w:r>
        <w:rPr>
          <w:rFonts w:hint="eastAsia" w:cs="Arial"/>
          <w:kern w:val="2"/>
          <w:sz w:val="21"/>
          <w:szCs w:val="24"/>
        </w:rPr>
        <w:t>.</w:t>
      </w:r>
      <w:r>
        <w:rPr>
          <w:rFonts w:cs="Arial"/>
          <w:kern w:val="2"/>
          <w:sz w:val="21"/>
          <w:szCs w:val="24"/>
        </w:rPr>
        <w:t>75</w:t>
      </w:r>
      <w:r>
        <w:rPr>
          <w:rFonts w:hint="eastAsia" w:cs="Arial"/>
          <w:kern w:val="2"/>
          <w:sz w:val="21"/>
          <w:szCs w:val="24"/>
        </w:rPr>
        <w:t>元</w:t>
      </w:r>
    </w:p>
    <w:p w14:paraId="5448E201">
      <w:pPr>
        <w:pStyle w:val="11"/>
        <w:autoSpaceDE w:val="0"/>
        <w:autoSpaceDN w:val="0"/>
        <w:spacing w:line="360" w:lineRule="auto"/>
        <w:ind w:firstLine="452"/>
        <w:rPr>
          <w:rFonts w:cs="Arial"/>
          <w:kern w:val="2"/>
          <w:sz w:val="21"/>
          <w:szCs w:val="24"/>
        </w:rPr>
      </w:pPr>
      <w:r>
        <w:rPr>
          <w:rFonts w:cs="Arial"/>
          <w:kern w:val="2"/>
          <w:sz w:val="21"/>
          <w:szCs w:val="24"/>
        </w:rPr>
        <w:t>认购份额＝（9,950.25+3）/1.00＝9,953.25份</w:t>
      </w:r>
    </w:p>
    <w:p w14:paraId="345EDCA7">
      <w:pPr>
        <w:pStyle w:val="11"/>
        <w:autoSpaceDE w:val="0"/>
        <w:autoSpaceDN w:val="0"/>
        <w:spacing w:line="360" w:lineRule="auto"/>
        <w:ind w:firstLine="452"/>
        <w:rPr>
          <w:rFonts w:cs="Arial"/>
          <w:kern w:val="2"/>
          <w:sz w:val="21"/>
          <w:szCs w:val="24"/>
        </w:rPr>
      </w:pPr>
      <w:r>
        <w:rPr>
          <w:rFonts w:cs="Arial"/>
          <w:kern w:val="2"/>
          <w:sz w:val="21"/>
          <w:szCs w:val="24"/>
        </w:rPr>
        <w:t>即：投资人</w:t>
      </w:r>
      <w:r>
        <w:rPr>
          <w:rFonts w:hint="eastAsia" w:cs="Arial"/>
          <w:kern w:val="2"/>
          <w:sz w:val="21"/>
          <w:szCs w:val="24"/>
        </w:rPr>
        <w:t>通过其他销售机构</w:t>
      </w:r>
      <w:r>
        <w:rPr>
          <w:rFonts w:cs="Arial"/>
          <w:kern w:val="2"/>
          <w:sz w:val="21"/>
          <w:szCs w:val="24"/>
        </w:rPr>
        <w:t>投资</w:t>
      </w:r>
      <w:r>
        <w:rPr>
          <w:rFonts w:hint="eastAsia" w:cs="Arial"/>
          <w:kern w:val="2"/>
          <w:sz w:val="21"/>
          <w:szCs w:val="24"/>
        </w:rPr>
        <w:t>1</w:t>
      </w:r>
      <w:r>
        <w:rPr>
          <w:rFonts w:cs="Arial"/>
          <w:kern w:val="2"/>
          <w:sz w:val="21"/>
          <w:szCs w:val="24"/>
        </w:rPr>
        <w:t>万元认购本基金</w:t>
      </w:r>
      <w:r>
        <w:rPr>
          <w:rFonts w:hint="eastAsia" w:cs="Arial"/>
          <w:kern w:val="2"/>
          <w:sz w:val="21"/>
          <w:szCs w:val="24"/>
        </w:rPr>
        <w:t>A类基金份额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假设其认购资金的利息为3元，则其可得到9,953.25份</w:t>
      </w:r>
      <w:r>
        <w:rPr>
          <w:rFonts w:hint="eastAsia" w:cs="Arial"/>
          <w:kern w:val="2"/>
          <w:sz w:val="21"/>
          <w:szCs w:val="24"/>
        </w:rPr>
        <w:t>A类</w:t>
      </w:r>
      <w:r>
        <w:rPr>
          <w:rFonts w:cs="Arial"/>
          <w:kern w:val="2"/>
          <w:sz w:val="21"/>
          <w:szCs w:val="24"/>
        </w:rPr>
        <w:t>基金份额。</w:t>
      </w:r>
    </w:p>
    <w:p w14:paraId="119236D8">
      <w:pPr>
        <w:pStyle w:val="11"/>
        <w:autoSpaceDE w:val="0"/>
        <w:autoSpaceDN w:val="0"/>
        <w:spacing w:line="360" w:lineRule="auto"/>
        <w:ind w:firstLine="452"/>
        <w:rPr>
          <w:rFonts w:cs="Arial"/>
          <w:kern w:val="2"/>
          <w:sz w:val="21"/>
          <w:szCs w:val="24"/>
        </w:rPr>
      </w:pPr>
      <w:r>
        <w:rPr>
          <w:rFonts w:hint="eastAsia" w:cs="Arial"/>
          <w:kern w:val="2"/>
          <w:sz w:val="21"/>
          <w:szCs w:val="24"/>
        </w:rPr>
        <w:t>例</w:t>
      </w:r>
      <w:r>
        <w:rPr>
          <w:rFonts w:cs="Arial"/>
          <w:kern w:val="2"/>
          <w:sz w:val="21"/>
          <w:szCs w:val="24"/>
        </w:rPr>
        <w:t>3</w:t>
      </w:r>
      <w:r>
        <w:rPr>
          <w:rFonts w:hint="eastAsia" w:cs="Arial"/>
          <w:kern w:val="2"/>
          <w:sz w:val="21"/>
          <w:szCs w:val="24"/>
        </w:rPr>
        <w:t>：</w:t>
      </w:r>
      <w:r>
        <w:rPr>
          <w:rFonts w:cs="Arial"/>
          <w:kern w:val="2"/>
          <w:sz w:val="21"/>
          <w:szCs w:val="24"/>
        </w:rPr>
        <w:t>某投资人投资</w:t>
      </w:r>
      <w:r>
        <w:rPr>
          <w:rFonts w:hint="eastAsia" w:cs="Arial"/>
          <w:kern w:val="2"/>
          <w:sz w:val="21"/>
          <w:szCs w:val="24"/>
        </w:rPr>
        <w:t>1</w:t>
      </w:r>
      <w:r>
        <w:rPr>
          <w:rFonts w:cs="Arial"/>
          <w:kern w:val="2"/>
          <w:sz w:val="21"/>
          <w:szCs w:val="24"/>
        </w:rPr>
        <w:t>万元认购本基金C</w:t>
      </w:r>
      <w:r>
        <w:rPr>
          <w:rFonts w:hint="eastAsia" w:cs="Arial"/>
          <w:kern w:val="2"/>
          <w:sz w:val="21"/>
          <w:szCs w:val="24"/>
        </w:rPr>
        <w:t>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w:t>
      </w:r>
      <w:r>
        <w:rPr>
          <w:rFonts w:hint="eastAsia" w:cs="Arial"/>
          <w:kern w:val="2"/>
          <w:sz w:val="21"/>
          <w:szCs w:val="24"/>
        </w:rPr>
        <w:t>3</w:t>
      </w:r>
      <w:r>
        <w:rPr>
          <w:rFonts w:cs="Arial"/>
          <w:kern w:val="2"/>
          <w:sz w:val="21"/>
          <w:szCs w:val="24"/>
        </w:rPr>
        <w:t>元，则其可得到的认购份额为</w:t>
      </w:r>
      <w:r>
        <w:rPr>
          <w:rFonts w:hint="eastAsia" w:cs="Arial"/>
          <w:kern w:val="2"/>
          <w:sz w:val="21"/>
          <w:szCs w:val="24"/>
        </w:rPr>
        <w:t>：</w:t>
      </w:r>
    </w:p>
    <w:p w14:paraId="7269C80D">
      <w:pPr>
        <w:pStyle w:val="11"/>
        <w:autoSpaceDE w:val="0"/>
        <w:autoSpaceDN w:val="0"/>
        <w:spacing w:line="360" w:lineRule="auto"/>
        <w:ind w:firstLine="452"/>
        <w:rPr>
          <w:rFonts w:cs="Arial"/>
          <w:kern w:val="2"/>
          <w:sz w:val="21"/>
          <w:szCs w:val="24"/>
        </w:rPr>
      </w:pPr>
      <w:r>
        <w:rPr>
          <w:rFonts w:hint="eastAsia" w:cs="Arial"/>
          <w:kern w:val="2"/>
          <w:sz w:val="21"/>
          <w:szCs w:val="24"/>
        </w:rPr>
        <w:t>认购份额＝（10,000＋3）/1</w:t>
      </w:r>
      <w:r>
        <w:rPr>
          <w:rFonts w:cs="Arial"/>
          <w:kern w:val="2"/>
          <w:sz w:val="21"/>
          <w:szCs w:val="24"/>
        </w:rPr>
        <w:t>.00</w:t>
      </w:r>
      <w:r>
        <w:rPr>
          <w:rFonts w:hint="eastAsia" w:cs="Arial"/>
          <w:kern w:val="2"/>
          <w:sz w:val="21"/>
          <w:szCs w:val="24"/>
        </w:rPr>
        <w:t>＝1</w:t>
      </w:r>
      <w:r>
        <w:rPr>
          <w:rFonts w:cs="Arial"/>
          <w:kern w:val="2"/>
          <w:sz w:val="21"/>
          <w:szCs w:val="24"/>
        </w:rPr>
        <w:t>0</w:t>
      </w:r>
      <w:r>
        <w:rPr>
          <w:rFonts w:hint="eastAsia" w:cs="Arial"/>
          <w:kern w:val="2"/>
          <w:sz w:val="21"/>
          <w:szCs w:val="24"/>
        </w:rPr>
        <w:t>,</w:t>
      </w:r>
      <w:r>
        <w:rPr>
          <w:rFonts w:cs="Arial"/>
          <w:kern w:val="2"/>
          <w:sz w:val="21"/>
          <w:szCs w:val="24"/>
        </w:rPr>
        <w:t>003.00</w:t>
      </w:r>
      <w:r>
        <w:rPr>
          <w:rFonts w:hint="eastAsia" w:cs="Arial"/>
          <w:kern w:val="2"/>
          <w:sz w:val="21"/>
          <w:szCs w:val="24"/>
        </w:rPr>
        <w:t>份</w:t>
      </w:r>
    </w:p>
    <w:p w14:paraId="518FF1A7">
      <w:pPr>
        <w:pStyle w:val="11"/>
        <w:autoSpaceDE w:val="0"/>
        <w:autoSpaceDN w:val="0"/>
        <w:spacing w:line="360" w:lineRule="auto"/>
        <w:ind w:firstLine="452"/>
        <w:rPr>
          <w:rFonts w:hint="eastAsia" w:cs="Arial"/>
          <w:kern w:val="2"/>
          <w:sz w:val="21"/>
          <w:szCs w:val="24"/>
        </w:rPr>
      </w:pPr>
      <w:r>
        <w:rPr>
          <w:rFonts w:cs="Arial"/>
          <w:kern w:val="2"/>
          <w:sz w:val="21"/>
          <w:szCs w:val="24"/>
        </w:rPr>
        <w:t>即：投资人投资</w:t>
      </w:r>
      <w:r>
        <w:rPr>
          <w:rFonts w:hint="eastAsia" w:cs="Arial"/>
          <w:kern w:val="2"/>
          <w:sz w:val="21"/>
          <w:szCs w:val="24"/>
        </w:rPr>
        <w:t>1</w:t>
      </w:r>
      <w:r>
        <w:rPr>
          <w:rFonts w:cs="Arial"/>
          <w:kern w:val="2"/>
          <w:sz w:val="21"/>
          <w:szCs w:val="24"/>
        </w:rPr>
        <w:t>万元认购本基金C</w:t>
      </w:r>
      <w:r>
        <w:rPr>
          <w:rFonts w:hint="eastAsia" w:cs="Arial"/>
          <w:kern w:val="2"/>
          <w:sz w:val="21"/>
          <w:szCs w:val="24"/>
        </w:rPr>
        <w:t>类基金份额</w:t>
      </w:r>
      <w:r>
        <w:rPr>
          <w:rFonts w:cs="Arial"/>
          <w:kern w:val="2"/>
          <w:sz w:val="21"/>
          <w:szCs w:val="24"/>
        </w:rPr>
        <w:t>，</w:t>
      </w:r>
      <w:r>
        <w:rPr>
          <w:rFonts w:hint="eastAsia" w:cs="Arial"/>
          <w:kern w:val="2"/>
          <w:sz w:val="21"/>
          <w:szCs w:val="24"/>
        </w:rPr>
        <w:t>且该认购申请被全额确认，</w:t>
      </w:r>
      <w:r>
        <w:rPr>
          <w:rFonts w:cs="Arial"/>
          <w:kern w:val="2"/>
          <w:sz w:val="21"/>
          <w:szCs w:val="24"/>
        </w:rPr>
        <w:t>假设其认购资金的利息为3元，则其可得到</w:t>
      </w:r>
      <w:r>
        <w:rPr>
          <w:rFonts w:hint="eastAsia" w:cs="Arial"/>
          <w:kern w:val="2"/>
          <w:sz w:val="21"/>
          <w:szCs w:val="24"/>
        </w:rPr>
        <w:t>1</w:t>
      </w:r>
      <w:r>
        <w:rPr>
          <w:rFonts w:cs="Arial"/>
          <w:kern w:val="2"/>
          <w:sz w:val="21"/>
          <w:szCs w:val="24"/>
        </w:rPr>
        <w:t>0</w:t>
      </w:r>
      <w:r>
        <w:rPr>
          <w:rFonts w:hint="eastAsia" w:cs="Arial"/>
          <w:kern w:val="2"/>
          <w:sz w:val="21"/>
          <w:szCs w:val="24"/>
        </w:rPr>
        <w:t>,</w:t>
      </w:r>
      <w:r>
        <w:rPr>
          <w:rFonts w:cs="Arial"/>
          <w:kern w:val="2"/>
          <w:sz w:val="21"/>
          <w:szCs w:val="24"/>
        </w:rPr>
        <w:t>003.00份</w:t>
      </w:r>
      <w:r>
        <w:rPr>
          <w:rFonts w:hint="eastAsia" w:cs="Arial"/>
          <w:kern w:val="2"/>
          <w:sz w:val="21"/>
          <w:szCs w:val="24"/>
        </w:rPr>
        <w:t>C类</w:t>
      </w:r>
      <w:r>
        <w:rPr>
          <w:rFonts w:cs="Arial"/>
          <w:kern w:val="2"/>
          <w:sz w:val="21"/>
          <w:szCs w:val="24"/>
        </w:rPr>
        <w:t>基金份额。</w:t>
      </w:r>
    </w:p>
    <w:p w14:paraId="132E8D72">
      <w:pPr>
        <w:snapToGrid w:val="0"/>
        <w:spacing w:line="360" w:lineRule="auto"/>
        <w:ind w:left="420" w:leftChars="200"/>
        <w:textAlignment w:val="auto"/>
        <w:rPr>
          <w:rFonts w:cs="Arial"/>
          <w:b/>
          <w:bCs/>
          <w:szCs w:val="21"/>
        </w:rPr>
      </w:pPr>
      <w:r>
        <w:rPr>
          <w:rFonts w:hint="eastAsia" w:cs="Arial"/>
          <w:b/>
          <w:bCs/>
          <w:szCs w:val="21"/>
        </w:rPr>
        <w:t>十、</w:t>
      </w:r>
      <w:r>
        <w:rPr>
          <w:rFonts w:cs="Arial"/>
          <w:b/>
          <w:bCs/>
          <w:szCs w:val="21"/>
        </w:rPr>
        <w:t>投资人对基金份额的认购</w:t>
      </w:r>
    </w:p>
    <w:p w14:paraId="43BE7D8D">
      <w:pPr>
        <w:snapToGrid w:val="0"/>
        <w:spacing w:line="360" w:lineRule="auto"/>
        <w:ind w:firstLine="420" w:firstLineChars="200"/>
        <w:rPr>
          <w:rFonts w:cs="Arial"/>
          <w:szCs w:val="21"/>
        </w:rPr>
      </w:pPr>
      <w:r>
        <w:rPr>
          <w:rFonts w:cs="Arial"/>
          <w:szCs w:val="21"/>
        </w:rPr>
        <w:t>1、本基金的认购时间安排、</w:t>
      </w:r>
      <w:r>
        <w:rPr>
          <w:rFonts w:hint="eastAsia" w:cs="Arial"/>
          <w:szCs w:val="21"/>
        </w:rPr>
        <w:t>投资人</w:t>
      </w:r>
      <w:r>
        <w:rPr>
          <w:rFonts w:cs="Arial"/>
          <w:szCs w:val="21"/>
        </w:rPr>
        <w:t>认购应提交的文件和办理的手续请详细查阅本基金的基金份额发售公告。</w:t>
      </w:r>
    </w:p>
    <w:p w14:paraId="11C3AD6B">
      <w:pPr>
        <w:snapToGrid w:val="0"/>
        <w:spacing w:line="360" w:lineRule="auto"/>
        <w:ind w:firstLine="420" w:firstLineChars="200"/>
        <w:rPr>
          <w:rFonts w:cs="Arial"/>
          <w:szCs w:val="21"/>
        </w:rPr>
      </w:pPr>
      <w:r>
        <w:rPr>
          <w:rFonts w:cs="Arial"/>
          <w:szCs w:val="21"/>
        </w:rPr>
        <w:t>2、认购方式</w:t>
      </w:r>
    </w:p>
    <w:p w14:paraId="79A14AEC">
      <w:pPr>
        <w:snapToGrid w:val="0"/>
        <w:spacing w:line="360" w:lineRule="auto"/>
        <w:ind w:firstLine="420" w:firstLineChars="200"/>
        <w:rPr>
          <w:rFonts w:cs="Arial"/>
          <w:szCs w:val="21"/>
        </w:rPr>
      </w:pPr>
      <w:r>
        <w:rPr>
          <w:rFonts w:cs="Arial"/>
          <w:szCs w:val="21"/>
        </w:rPr>
        <w:t>本基金认购采取金额认购的方式。</w:t>
      </w:r>
    </w:p>
    <w:p w14:paraId="390F974E">
      <w:pPr>
        <w:snapToGrid w:val="0"/>
        <w:spacing w:line="360" w:lineRule="auto"/>
        <w:ind w:firstLine="420" w:firstLineChars="200"/>
        <w:rPr>
          <w:rFonts w:cs="Arial"/>
          <w:szCs w:val="21"/>
        </w:rPr>
      </w:pPr>
      <w:r>
        <w:rPr>
          <w:rFonts w:hint="eastAsia" w:cs="Arial"/>
          <w:szCs w:val="21"/>
        </w:rPr>
        <w:t>（1）投资人认购时，需按销售机构规定的方式全额缴款。</w:t>
      </w:r>
    </w:p>
    <w:p w14:paraId="44D84739">
      <w:pPr>
        <w:snapToGrid w:val="0"/>
        <w:spacing w:line="360" w:lineRule="auto"/>
        <w:ind w:firstLine="420" w:firstLineChars="200"/>
        <w:rPr>
          <w:rFonts w:cs="Arial"/>
          <w:szCs w:val="21"/>
        </w:rPr>
      </w:pPr>
      <w:r>
        <w:rPr>
          <w:rFonts w:hint="eastAsia" w:cs="Arial"/>
          <w:szCs w:val="21"/>
        </w:rPr>
        <w:t>（2）投资人在募集期内可以多次认购基金份额，A类基金份额的认购费按每笔该类基金份额认购申请单独计算，但已受理的认购申请不允许撤销。</w:t>
      </w:r>
    </w:p>
    <w:p w14:paraId="7C05CF1E">
      <w:pPr>
        <w:tabs>
          <w:tab w:val="left" w:pos="993"/>
          <w:tab w:val="left" w:pos="1134"/>
        </w:tabs>
        <w:snapToGrid w:val="0"/>
        <w:spacing w:line="360" w:lineRule="auto"/>
        <w:ind w:firstLine="420" w:firstLineChars="200"/>
        <w:rPr>
          <w:rFonts w:cs="Arial"/>
          <w:szCs w:val="21"/>
        </w:rPr>
      </w:pPr>
      <w:r>
        <w:rPr>
          <w:rFonts w:cs="Arial"/>
          <w:szCs w:val="21"/>
        </w:rPr>
        <w:t>3、认购确认</w:t>
      </w:r>
    </w:p>
    <w:p w14:paraId="2EC98C4B">
      <w:pPr>
        <w:snapToGrid w:val="0"/>
        <w:spacing w:line="360" w:lineRule="auto"/>
        <w:ind w:firstLine="420" w:firstLineChars="200"/>
        <w:rPr>
          <w:rFonts w:cs="Arial"/>
          <w:szCs w:val="21"/>
        </w:rPr>
      </w:pPr>
      <w:bookmarkStart w:id="18" w:name="_Hlk117604975"/>
      <w:bookmarkStart w:id="19" w:name="_Hlk117605019"/>
      <w:r>
        <w:rPr>
          <w:rFonts w:hint="eastAsia" w:cs="Arial"/>
          <w:szCs w:val="21"/>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投资人任何损失由投资人自行承担</w:t>
      </w:r>
      <w:bookmarkEnd w:id="18"/>
      <w:r>
        <w:rPr>
          <w:rFonts w:hint="eastAsia" w:cs="Arial"/>
          <w:szCs w:val="21"/>
        </w:rPr>
        <w:t>。</w:t>
      </w:r>
    </w:p>
    <w:bookmarkEnd w:id="19"/>
    <w:p w14:paraId="36E48CBE">
      <w:pPr>
        <w:snapToGrid w:val="0"/>
        <w:spacing w:line="360" w:lineRule="auto"/>
        <w:ind w:firstLine="420" w:firstLineChars="200"/>
        <w:rPr>
          <w:rFonts w:cs="Arial"/>
          <w:szCs w:val="21"/>
        </w:rPr>
      </w:pPr>
      <w:r>
        <w:rPr>
          <w:rFonts w:cs="Arial"/>
          <w:szCs w:val="21"/>
        </w:rPr>
        <w:t>4、认购金额限制</w:t>
      </w:r>
    </w:p>
    <w:p w14:paraId="02D24035">
      <w:pPr>
        <w:snapToGrid w:val="0"/>
        <w:spacing w:line="360" w:lineRule="auto"/>
        <w:ind w:firstLine="420" w:firstLineChars="200"/>
        <w:rPr>
          <w:rFonts w:cs="Arial"/>
          <w:szCs w:val="21"/>
        </w:rPr>
      </w:pPr>
      <w:r>
        <w:rPr>
          <w:rFonts w:hint="eastAsia" w:cs="Arial"/>
          <w:szCs w:val="21"/>
        </w:rPr>
        <w:t>投资人认购A类基金份额，</w:t>
      </w:r>
      <w:r>
        <w:rPr>
          <w:rFonts w:cs="Arial"/>
          <w:szCs w:val="21"/>
        </w:rPr>
        <w:t>首次最低认购金额</w:t>
      </w:r>
      <w:r>
        <w:rPr>
          <w:rFonts w:hint="eastAsia" w:cs="Arial"/>
          <w:szCs w:val="21"/>
        </w:rPr>
        <w:t>为人民币1</w:t>
      </w:r>
      <w:r>
        <w:rPr>
          <w:rFonts w:cs="Arial"/>
          <w:szCs w:val="21"/>
        </w:rPr>
        <w:t>元</w:t>
      </w:r>
      <w:r>
        <w:rPr>
          <w:rFonts w:hint="eastAsia" w:cs="Arial"/>
          <w:szCs w:val="21"/>
        </w:rPr>
        <w:t>（含认购费）</w:t>
      </w:r>
      <w:r>
        <w:rPr>
          <w:rFonts w:cs="Arial"/>
          <w:szCs w:val="21"/>
        </w:rPr>
        <w:t>，追加</w:t>
      </w:r>
      <w:r>
        <w:rPr>
          <w:rFonts w:hint="eastAsia" w:cs="Arial"/>
          <w:szCs w:val="21"/>
        </w:rPr>
        <w:t>认购单笔</w:t>
      </w:r>
      <w:r>
        <w:rPr>
          <w:rFonts w:cs="Arial"/>
          <w:szCs w:val="21"/>
        </w:rPr>
        <w:t>最低金额为</w:t>
      </w:r>
      <w:r>
        <w:rPr>
          <w:rFonts w:hint="eastAsia" w:cs="Arial"/>
          <w:szCs w:val="21"/>
        </w:rPr>
        <w:t>人民币1</w:t>
      </w:r>
      <w:r>
        <w:rPr>
          <w:rFonts w:cs="Arial"/>
          <w:szCs w:val="21"/>
        </w:rPr>
        <w:t>元</w:t>
      </w:r>
      <w:r>
        <w:rPr>
          <w:rFonts w:hint="eastAsia" w:cs="Arial"/>
          <w:szCs w:val="21"/>
        </w:rPr>
        <w:t>（含认购费）。投资人认购C类基金份额，</w:t>
      </w:r>
      <w:r>
        <w:rPr>
          <w:rFonts w:cs="Arial"/>
          <w:szCs w:val="21"/>
        </w:rPr>
        <w:t>首次最低认购金额</w:t>
      </w:r>
      <w:r>
        <w:rPr>
          <w:rFonts w:hint="eastAsia" w:cs="Arial"/>
          <w:szCs w:val="21"/>
        </w:rPr>
        <w:t>为人民币1</w:t>
      </w:r>
      <w:r>
        <w:rPr>
          <w:rFonts w:cs="Arial"/>
          <w:szCs w:val="21"/>
        </w:rPr>
        <w:t>元，追加</w:t>
      </w:r>
      <w:r>
        <w:rPr>
          <w:rFonts w:hint="eastAsia" w:cs="Arial"/>
          <w:szCs w:val="21"/>
        </w:rPr>
        <w:t>认购单笔</w:t>
      </w:r>
      <w:r>
        <w:rPr>
          <w:rFonts w:cs="Arial"/>
          <w:szCs w:val="21"/>
        </w:rPr>
        <w:t>最低金额为</w:t>
      </w:r>
      <w:r>
        <w:rPr>
          <w:rFonts w:hint="eastAsia" w:cs="Arial"/>
          <w:szCs w:val="21"/>
        </w:rPr>
        <w:t>人民币1</w:t>
      </w:r>
      <w:r>
        <w:rPr>
          <w:rFonts w:cs="Arial"/>
          <w:szCs w:val="21"/>
        </w:rPr>
        <w:t>元。</w:t>
      </w:r>
    </w:p>
    <w:p w14:paraId="6AE3CCEC">
      <w:pPr>
        <w:snapToGrid w:val="0"/>
        <w:spacing w:line="360" w:lineRule="auto"/>
        <w:ind w:firstLine="420" w:firstLineChars="200"/>
        <w:rPr>
          <w:rFonts w:cs="Arial"/>
          <w:szCs w:val="21"/>
        </w:rPr>
      </w:pPr>
      <w:r>
        <w:rPr>
          <w:rFonts w:cs="Arial"/>
          <w:szCs w:val="21"/>
        </w:rPr>
        <w:t>各销售机构在不低于上述规定的前提下，可根据自己的情况调整首次最低</w:t>
      </w:r>
      <w:r>
        <w:rPr>
          <w:rFonts w:hint="eastAsia" w:cs="Arial"/>
          <w:szCs w:val="21"/>
        </w:rPr>
        <w:t>认</w:t>
      </w:r>
      <w:r>
        <w:rPr>
          <w:rFonts w:cs="Arial"/>
          <w:szCs w:val="21"/>
        </w:rPr>
        <w:t>购金额和追加</w:t>
      </w:r>
      <w:r>
        <w:rPr>
          <w:rFonts w:hint="eastAsia" w:cs="Arial"/>
          <w:szCs w:val="21"/>
        </w:rPr>
        <w:t>单笔</w:t>
      </w:r>
      <w:r>
        <w:rPr>
          <w:rFonts w:cs="Arial"/>
          <w:szCs w:val="21"/>
        </w:rPr>
        <w:t>最低</w:t>
      </w:r>
      <w:r>
        <w:rPr>
          <w:rFonts w:hint="eastAsia" w:cs="Arial"/>
          <w:szCs w:val="21"/>
        </w:rPr>
        <w:t>认</w:t>
      </w:r>
      <w:r>
        <w:rPr>
          <w:rFonts w:cs="Arial"/>
          <w:szCs w:val="21"/>
        </w:rPr>
        <w:t>购金额限制</w:t>
      </w:r>
      <w:r>
        <w:rPr>
          <w:rFonts w:hint="eastAsia" w:cs="Arial"/>
          <w:szCs w:val="21"/>
        </w:rPr>
        <w:t>，具体以销售机构公布的为准。</w:t>
      </w:r>
    </w:p>
    <w:p w14:paraId="13BDDD37">
      <w:pPr>
        <w:snapToGrid w:val="0"/>
        <w:spacing w:line="360" w:lineRule="auto"/>
        <w:ind w:firstLine="420" w:firstLineChars="200"/>
        <w:rPr>
          <w:rFonts w:cs="Arial"/>
          <w:szCs w:val="21"/>
        </w:rPr>
      </w:pPr>
      <w:bookmarkStart w:id="20" w:name="_Hlk117605265"/>
      <w:r>
        <w:rPr>
          <w:rFonts w:hint="eastAsia" w:cs="Arial"/>
          <w:szCs w:val="21"/>
        </w:rPr>
        <w:t>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bookmarkEnd w:id="20"/>
    <w:p w14:paraId="01971A4B">
      <w:pPr>
        <w:snapToGrid w:val="0"/>
        <w:spacing w:line="360" w:lineRule="auto"/>
        <w:ind w:left="420" w:leftChars="200"/>
        <w:textAlignment w:val="auto"/>
        <w:rPr>
          <w:rFonts w:cs="Arial"/>
          <w:b/>
          <w:bCs/>
          <w:szCs w:val="21"/>
        </w:rPr>
      </w:pPr>
      <w:r>
        <w:rPr>
          <w:rFonts w:hint="eastAsia" w:cs="Arial"/>
          <w:b/>
          <w:bCs/>
          <w:szCs w:val="21"/>
        </w:rPr>
        <w:t>十一、</w:t>
      </w:r>
      <w:r>
        <w:rPr>
          <w:rFonts w:cs="Arial"/>
          <w:b/>
          <w:bCs/>
          <w:szCs w:val="21"/>
        </w:rPr>
        <w:t>募集期间认购资金利息的处理方式</w:t>
      </w:r>
      <w:r>
        <w:rPr>
          <w:rFonts w:hint="eastAsia" w:cs="Arial"/>
          <w:b/>
          <w:bCs/>
          <w:szCs w:val="21"/>
        </w:rPr>
        <w:tab/>
      </w:r>
    </w:p>
    <w:p w14:paraId="5C64B266">
      <w:pPr>
        <w:snapToGrid w:val="0"/>
        <w:spacing w:line="360" w:lineRule="auto"/>
        <w:ind w:firstLine="420" w:firstLineChars="200"/>
        <w:rPr>
          <w:rFonts w:hint="eastAsia" w:cs="Arial"/>
          <w:szCs w:val="21"/>
        </w:rPr>
      </w:pPr>
      <w:r>
        <w:rPr>
          <w:rFonts w:hint="eastAsia" w:cs="Arial"/>
          <w:szCs w:val="21"/>
        </w:rPr>
        <w:t>有效认购款项在募集期间产生的利息将折算为基金份额归基金份额持有人所有，其中利息转份额的具体数额以登记机构的记录为准。</w:t>
      </w:r>
    </w:p>
    <w:p w14:paraId="090D9E3B">
      <w:pPr>
        <w:snapToGrid w:val="0"/>
        <w:spacing w:line="360" w:lineRule="auto"/>
        <w:ind w:firstLine="422" w:firstLineChars="200"/>
        <w:rPr>
          <w:rFonts w:cs="Arial"/>
          <w:b/>
          <w:bCs/>
          <w:szCs w:val="21"/>
        </w:rPr>
      </w:pPr>
      <w:r>
        <w:rPr>
          <w:rFonts w:hint="eastAsia" w:cs="Arial"/>
          <w:b/>
          <w:bCs/>
          <w:szCs w:val="21"/>
        </w:rPr>
        <w:t>十二、</w:t>
      </w:r>
      <w:r>
        <w:rPr>
          <w:rFonts w:cs="Arial"/>
          <w:b/>
          <w:bCs/>
          <w:szCs w:val="21"/>
        </w:rPr>
        <w:t>基金募集期间募集的资金存入</w:t>
      </w:r>
      <w:r>
        <w:rPr>
          <w:rFonts w:hint="eastAsia" w:cs="Arial"/>
          <w:b/>
          <w:bCs/>
          <w:szCs w:val="21"/>
        </w:rPr>
        <w:t>专门</w:t>
      </w:r>
      <w:r>
        <w:rPr>
          <w:rFonts w:cs="Arial"/>
          <w:b/>
          <w:bCs/>
          <w:szCs w:val="21"/>
        </w:rPr>
        <w:t>账户，在基金募集行为结束前，任何人不得动用</w:t>
      </w:r>
      <w:r>
        <w:rPr>
          <w:rFonts w:hint="eastAsia" w:cs="Arial"/>
          <w:b/>
          <w:bCs/>
          <w:szCs w:val="21"/>
        </w:rPr>
        <w:t>。</w:t>
      </w:r>
    </w:p>
    <w:p w14:paraId="6D892BBA">
      <w:pPr>
        <w:spacing w:line="360" w:lineRule="auto"/>
        <w:ind w:firstLine="422" w:firstLineChars="200"/>
        <w:rPr>
          <w:b/>
          <w:bCs/>
        </w:rPr>
        <w:sectPr>
          <w:footerReference r:id="rId12" w:type="default"/>
          <w:pgSz w:w="11906" w:h="16838"/>
          <w:pgMar w:top="1440" w:right="1800" w:bottom="1440" w:left="1800" w:header="851" w:footer="992" w:gutter="0"/>
          <w:pgNumType w:start="1" w:chapStyle="1"/>
          <w:cols w:space="720" w:num="1"/>
          <w:docGrid w:type="lines" w:linePitch="312" w:charSpace="0"/>
        </w:sectPr>
      </w:pPr>
    </w:p>
    <w:p w14:paraId="576132B0">
      <w:pPr>
        <w:pStyle w:val="2"/>
        <w:keepNext/>
        <w:keepLines/>
        <w:pageBreakBefore w:val="0"/>
        <w:widowControl w:val="0"/>
        <w:kinsoku/>
        <w:wordWrap/>
        <w:overflowPunct/>
        <w:topLinePunct w:val="0"/>
        <w:autoSpaceDE/>
        <w:autoSpaceDN/>
        <w:bidi w:val="0"/>
        <w:adjustRightInd w:val="0"/>
        <w:snapToGrid/>
        <w:spacing w:before="72" w:beforeLines="30" w:after="72" w:afterLines="30" w:line="360" w:lineRule="auto"/>
        <w:textAlignment w:val="baseline"/>
        <w:rPr>
          <w:rFonts w:hint="eastAsia"/>
          <w:b/>
          <w:bCs/>
          <w:szCs w:val="21"/>
        </w:rPr>
      </w:pPr>
      <w:bookmarkStart w:id="21" w:name="_Toc48231674"/>
      <w:bookmarkStart w:id="22" w:name="_Toc82759145"/>
      <w:bookmarkStart w:id="23" w:name="_Toc87755012"/>
      <w:r>
        <w:rPr>
          <w:rFonts w:hint="eastAsia" w:eastAsia="宋体"/>
          <w:b/>
          <w:sz w:val="28"/>
          <w:szCs w:val="24"/>
        </w:rPr>
        <w:t xml:space="preserve">第七部分 </w:t>
      </w:r>
      <w:r>
        <w:rPr>
          <w:rFonts w:eastAsia="宋体"/>
          <w:b/>
          <w:sz w:val="28"/>
          <w:szCs w:val="24"/>
        </w:rPr>
        <w:t>基金合同的生效</w:t>
      </w:r>
      <w:bookmarkEnd w:id="21"/>
      <w:bookmarkEnd w:id="22"/>
      <w:bookmarkEnd w:id="23"/>
    </w:p>
    <w:p w14:paraId="58E3D353">
      <w:pPr>
        <w:spacing w:line="360" w:lineRule="auto"/>
        <w:ind w:firstLine="422" w:firstLineChars="200"/>
        <w:rPr>
          <w:b/>
          <w:bCs/>
          <w:szCs w:val="21"/>
        </w:rPr>
      </w:pPr>
      <w:bookmarkStart w:id="24" w:name="_Hlk117605441"/>
      <w:r>
        <w:rPr>
          <w:b/>
          <w:bCs/>
          <w:szCs w:val="21"/>
        </w:rPr>
        <w:t>一</w:t>
      </w:r>
      <w:r>
        <w:rPr>
          <w:rFonts w:hint="eastAsia"/>
          <w:b/>
          <w:bCs/>
          <w:szCs w:val="21"/>
        </w:rPr>
        <w:t>、</w:t>
      </w:r>
      <w:r>
        <w:rPr>
          <w:b/>
          <w:bCs/>
          <w:szCs w:val="21"/>
        </w:rPr>
        <w:t>基金备案的条件</w:t>
      </w:r>
    </w:p>
    <w:p w14:paraId="47D64A44">
      <w:pPr>
        <w:spacing w:line="360" w:lineRule="auto"/>
        <w:ind w:firstLine="420" w:firstLineChars="200"/>
        <w:rPr>
          <w:rFonts w:hint="eastAsia"/>
          <w:bCs/>
          <w:szCs w:val="21"/>
        </w:rPr>
      </w:pPr>
      <w:r>
        <w:rPr>
          <w:rFonts w:hint="eastAsia"/>
          <w:bCs/>
          <w:szCs w:val="21"/>
        </w:rPr>
        <w:t>本基金自基金份额发售之日起3个月内，在基金募集份额总额不少于2亿份，基金募集金额不少于2亿元人民币且基金认购人数不少于200人的条件下，基金募集期届满或者基金管理人可以依据法律法规及招募说明书的规定决定停止基金发售，并在10日内聘请法定验资机构验资，基金管理人自收到验资报告之日起10日内，向中国证监会办理基金备案手续。</w:t>
      </w:r>
    </w:p>
    <w:p w14:paraId="66C5DE7A">
      <w:pPr>
        <w:spacing w:line="360" w:lineRule="auto"/>
        <w:ind w:firstLine="420" w:firstLineChars="200"/>
        <w:rPr>
          <w:b/>
          <w:bCs/>
          <w:szCs w:val="21"/>
        </w:rPr>
      </w:pPr>
      <w:r>
        <w:rPr>
          <w:rFonts w:hint="eastAsia"/>
          <w:bCs/>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5B2F999F">
      <w:pPr>
        <w:spacing w:line="360" w:lineRule="auto"/>
        <w:ind w:firstLine="422" w:firstLineChars="200"/>
        <w:rPr>
          <w:b/>
          <w:bCs/>
          <w:szCs w:val="21"/>
        </w:rPr>
      </w:pPr>
      <w:r>
        <w:rPr>
          <w:b/>
          <w:bCs/>
          <w:szCs w:val="21"/>
        </w:rPr>
        <w:t>二</w:t>
      </w:r>
      <w:r>
        <w:rPr>
          <w:rFonts w:hint="eastAsia"/>
          <w:b/>
          <w:bCs/>
          <w:szCs w:val="21"/>
        </w:rPr>
        <w:t>、</w:t>
      </w:r>
      <w:r>
        <w:rPr>
          <w:b/>
          <w:bCs/>
          <w:szCs w:val="21"/>
        </w:rPr>
        <w:t>基金合同不能生效时募集资金的处理方式</w:t>
      </w:r>
    </w:p>
    <w:p w14:paraId="6EB7EA88">
      <w:pPr>
        <w:spacing w:line="360" w:lineRule="auto"/>
        <w:ind w:firstLine="420"/>
        <w:rPr>
          <w:rFonts w:hint="eastAsia"/>
          <w:bCs/>
          <w:szCs w:val="21"/>
        </w:rPr>
      </w:pPr>
      <w:r>
        <w:rPr>
          <w:rFonts w:hint="eastAsia"/>
          <w:bCs/>
          <w:szCs w:val="21"/>
        </w:rPr>
        <w:t>如果募集期限届满，未满足基金备案条件，基金管理人应当承担下列责任：</w:t>
      </w:r>
    </w:p>
    <w:p w14:paraId="2E8D5CF9">
      <w:pPr>
        <w:spacing w:line="360" w:lineRule="auto"/>
        <w:ind w:firstLine="420"/>
        <w:rPr>
          <w:rFonts w:hint="eastAsia"/>
          <w:bCs/>
          <w:szCs w:val="21"/>
        </w:rPr>
      </w:pPr>
      <w:r>
        <w:rPr>
          <w:rFonts w:hint="eastAsia"/>
          <w:bCs/>
          <w:szCs w:val="21"/>
        </w:rPr>
        <w:t>1、以其固有财产承担因募集行为而产生的债务和费用；</w:t>
      </w:r>
    </w:p>
    <w:p w14:paraId="713EF874">
      <w:pPr>
        <w:spacing w:line="360" w:lineRule="auto"/>
        <w:ind w:firstLine="420"/>
        <w:rPr>
          <w:rFonts w:hint="eastAsia"/>
          <w:bCs/>
          <w:szCs w:val="21"/>
        </w:rPr>
      </w:pPr>
      <w:r>
        <w:rPr>
          <w:rFonts w:hint="eastAsia"/>
          <w:bCs/>
          <w:szCs w:val="21"/>
        </w:rPr>
        <w:t>2、在基金募集期限届满后30日内返还投资者已交纳的款项，并加计银行同期活期存款利息；</w:t>
      </w:r>
    </w:p>
    <w:p w14:paraId="5292B63F">
      <w:pPr>
        <w:spacing w:line="360" w:lineRule="auto"/>
        <w:ind w:firstLine="420"/>
        <w:rPr>
          <w:b/>
          <w:bCs/>
          <w:szCs w:val="21"/>
        </w:rPr>
      </w:pPr>
      <w:r>
        <w:rPr>
          <w:rFonts w:hint="eastAsia"/>
          <w:bCs/>
          <w:szCs w:val="21"/>
        </w:rPr>
        <w:t>3、如基金募集失败，基金管理人、基金托管人及销售机构不得请求报酬。基金管理人、基金托管人和销售机构为基金募集支付之一切费用应由各方各自承担。</w:t>
      </w:r>
    </w:p>
    <w:p w14:paraId="71386480">
      <w:pPr>
        <w:spacing w:line="360" w:lineRule="auto"/>
        <w:ind w:firstLine="420"/>
        <w:rPr>
          <w:b/>
          <w:bCs/>
          <w:szCs w:val="21"/>
        </w:rPr>
      </w:pPr>
      <w:r>
        <w:rPr>
          <w:b/>
          <w:bCs/>
          <w:szCs w:val="21"/>
        </w:rPr>
        <w:t>三</w:t>
      </w:r>
      <w:r>
        <w:rPr>
          <w:rFonts w:hint="eastAsia"/>
          <w:b/>
          <w:bCs/>
          <w:szCs w:val="21"/>
        </w:rPr>
        <w:t>、</w:t>
      </w:r>
      <w:r>
        <w:rPr>
          <w:b/>
          <w:bCs/>
          <w:szCs w:val="21"/>
        </w:rPr>
        <w:t>基金存续期内的基金份额持有人数量和</w:t>
      </w:r>
      <w:r>
        <w:rPr>
          <w:rFonts w:hint="eastAsia"/>
          <w:b/>
          <w:bCs/>
          <w:szCs w:val="21"/>
        </w:rPr>
        <w:t>资产规模</w:t>
      </w:r>
    </w:p>
    <w:p w14:paraId="73744875">
      <w:pPr>
        <w:spacing w:line="360" w:lineRule="auto"/>
        <w:ind w:firstLine="420" w:firstLineChars="200"/>
        <w:rPr>
          <w:rFonts w:hint="eastAsia"/>
          <w:szCs w:val="21"/>
        </w:rPr>
      </w:pPr>
      <w:r>
        <w:rPr>
          <w:rFonts w:hint="eastAsia"/>
          <w:szCs w:val="21"/>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657386B5">
      <w:pPr>
        <w:spacing w:line="360" w:lineRule="auto"/>
        <w:ind w:firstLine="420" w:firstLineChars="200"/>
        <w:rPr>
          <w:rFonts w:hint="eastAsia"/>
          <w:szCs w:val="21"/>
        </w:rPr>
      </w:pPr>
      <w:r>
        <w:rPr>
          <w:rFonts w:hint="eastAsia"/>
          <w:szCs w:val="21"/>
        </w:rPr>
        <w:t>法律法规或中国证监会另有规定时，从其规定。</w:t>
      </w:r>
      <w:bookmarkEnd w:id="24"/>
    </w:p>
    <w:p w14:paraId="12F29523">
      <w:pPr>
        <w:spacing w:line="360" w:lineRule="auto"/>
        <w:ind w:firstLine="420" w:firstLineChars="200"/>
        <w:rPr>
          <w:szCs w:val="21"/>
        </w:rPr>
        <w:sectPr>
          <w:footerReference r:id="rId13" w:type="default"/>
          <w:pgSz w:w="11906" w:h="16838"/>
          <w:pgMar w:top="1440" w:right="1797" w:bottom="1440" w:left="1797" w:header="851" w:footer="992" w:gutter="0"/>
          <w:pgNumType w:start="1"/>
          <w:cols w:space="720" w:num="1"/>
          <w:docGrid w:linePitch="312" w:charSpace="0"/>
        </w:sectPr>
      </w:pPr>
    </w:p>
    <w:p w14:paraId="4CE7BA9F">
      <w:pPr>
        <w:pStyle w:val="2"/>
        <w:spacing w:before="93" w:beforeLines="30" w:after="93" w:afterLines="30" w:line="360" w:lineRule="auto"/>
        <w:rPr>
          <w:rFonts w:hint="eastAsia"/>
          <w:b/>
        </w:rPr>
      </w:pPr>
      <w:bookmarkStart w:id="25" w:name="_Toc48231675"/>
      <w:r>
        <w:rPr>
          <w:rFonts w:hint="eastAsia" w:eastAsia="宋体"/>
          <w:b/>
          <w:sz w:val="28"/>
          <w:szCs w:val="24"/>
        </w:rPr>
        <w:t xml:space="preserve">第八部分 </w:t>
      </w:r>
      <w:r>
        <w:rPr>
          <w:rFonts w:eastAsia="宋体"/>
          <w:b/>
          <w:sz w:val="28"/>
          <w:szCs w:val="24"/>
        </w:rPr>
        <w:t>基金份额</w:t>
      </w:r>
      <w:r>
        <w:rPr>
          <w:rFonts w:hint="eastAsia" w:eastAsia="宋体"/>
          <w:b/>
          <w:sz w:val="28"/>
          <w:szCs w:val="24"/>
        </w:rPr>
        <w:t>的</w:t>
      </w:r>
      <w:r>
        <w:rPr>
          <w:rFonts w:eastAsia="宋体"/>
          <w:b/>
          <w:sz w:val="28"/>
          <w:szCs w:val="24"/>
        </w:rPr>
        <w:t>申购与赎回</w:t>
      </w:r>
      <w:bookmarkEnd w:id="14"/>
      <w:bookmarkEnd w:id="25"/>
    </w:p>
    <w:p w14:paraId="700FF24E">
      <w:pPr>
        <w:spacing w:line="360" w:lineRule="auto"/>
        <w:ind w:firstLine="422" w:firstLineChars="200"/>
        <w:rPr>
          <w:b/>
        </w:rPr>
      </w:pPr>
      <w:bookmarkStart w:id="26" w:name="_Hlk117605480"/>
      <w:r>
        <w:rPr>
          <w:b/>
        </w:rPr>
        <w:t>一</w:t>
      </w:r>
      <w:r>
        <w:rPr>
          <w:rFonts w:hint="eastAsia"/>
          <w:b/>
        </w:rPr>
        <w:t>、</w:t>
      </w:r>
      <w:r>
        <w:rPr>
          <w:b/>
        </w:rPr>
        <w:t>申购和赎回场所</w:t>
      </w:r>
    </w:p>
    <w:p w14:paraId="70BEBE07">
      <w:pPr>
        <w:spacing w:line="360" w:lineRule="auto"/>
        <w:ind w:firstLine="420" w:firstLineChars="200"/>
        <w:rPr>
          <w:b/>
        </w:rPr>
      </w:pPr>
      <w:r>
        <w:rPr>
          <w:rFonts w:hint="eastAsia"/>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与赎回。</w:t>
      </w:r>
    </w:p>
    <w:p w14:paraId="2AA95920">
      <w:pPr>
        <w:spacing w:line="360" w:lineRule="auto"/>
        <w:ind w:firstLine="422" w:firstLineChars="200"/>
        <w:rPr>
          <w:b/>
        </w:rPr>
      </w:pPr>
      <w:r>
        <w:rPr>
          <w:b/>
        </w:rPr>
        <w:t>二</w:t>
      </w:r>
      <w:r>
        <w:rPr>
          <w:rFonts w:hint="eastAsia"/>
          <w:b/>
        </w:rPr>
        <w:t>、</w:t>
      </w:r>
      <w:r>
        <w:rPr>
          <w:b/>
        </w:rPr>
        <w:t>申购和赎回的开放日及时间</w:t>
      </w:r>
    </w:p>
    <w:p w14:paraId="5088C5E5">
      <w:pPr>
        <w:spacing w:line="360" w:lineRule="auto"/>
        <w:ind w:firstLine="420" w:firstLineChars="200"/>
        <w:rPr>
          <w:rFonts w:hint="eastAsia"/>
          <w:szCs w:val="21"/>
        </w:rPr>
      </w:pPr>
      <w:r>
        <w:rPr>
          <w:rFonts w:hint="eastAsia"/>
          <w:szCs w:val="21"/>
        </w:rPr>
        <w:t>1、开放日及开放时间</w:t>
      </w:r>
    </w:p>
    <w:p w14:paraId="09AE7DCC">
      <w:pPr>
        <w:spacing w:line="360" w:lineRule="auto"/>
        <w:ind w:firstLine="420" w:firstLineChars="200"/>
        <w:rPr>
          <w:rFonts w:hint="eastAsia"/>
          <w:szCs w:val="21"/>
        </w:rPr>
      </w:pPr>
      <w:r>
        <w:rPr>
          <w:rFonts w:hint="eastAsia"/>
          <w:szCs w:val="21"/>
        </w:rPr>
        <w:t>投资人在开放日办理基金份额的申购和赎回，具体办理时间为上海证券交易所、深圳证券交易所的正常交易日的交易时间（若本基金参与港股通交易且该工作日为非港股通交易日时，基金管理人可根据实际情况决定本基金是否开放申购、赎回及转换业务，具体以届时提前发布的公告为准），但基金管理人根据法律法规、中国证监会的要求或基金合同的规定公告暂停申购、赎回时除外。</w:t>
      </w:r>
    </w:p>
    <w:p w14:paraId="0A22D26F">
      <w:pPr>
        <w:spacing w:line="360" w:lineRule="auto"/>
        <w:ind w:firstLine="420" w:firstLineChars="200"/>
        <w:rPr>
          <w:rFonts w:hint="eastAsia"/>
          <w:szCs w:val="21"/>
        </w:rPr>
      </w:pPr>
      <w:r>
        <w:rPr>
          <w:rFonts w:hint="eastAsia"/>
          <w:szCs w:val="21"/>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14:paraId="3C7F71C6">
      <w:pPr>
        <w:spacing w:line="360" w:lineRule="auto"/>
        <w:ind w:firstLine="420" w:firstLineChars="200"/>
        <w:rPr>
          <w:rFonts w:hint="eastAsia"/>
          <w:szCs w:val="21"/>
        </w:rPr>
      </w:pPr>
      <w:r>
        <w:rPr>
          <w:rFonts w:hint="eastAsia"/>
          <w:szCs w:val="21"/>
        </w:rPr>
        <w:t>2、申购、赎回开始日及业务办理时间</w:t>
      </w:r>
    </w:p>
    <w:p w14:paraId="0396A361">
      <w:pPr>
        <w:spacing w:line="360" w:lineRule="auto"/>
        <w:ind w:firstLine="420" w:firstLineChars="200"/>
        <w:rPr>
          <w:rFonts w:hint="eastAsia"/>
          <w:szCs w:val="21"/>
        </w:rPr>
      </w:pPr>
      <w:r>
        <w:rPr>
          <w:rFonts w:hint="eastAsia"/>
          <w:szCs w:val="21"/>
        </w:rPr>
        <w:t>基金管理人自基金合同生效之日起不超过3个月开始办理申购，具体业务办理时间在申购开始公告中规定。</w:t>
      </w:r>
    </w:p>
    <w:p w14:paraId="7759B8DD">
      <w:pPr>
        <w:spacing w:line="360" w:lineRule="auto"/>
        <w:ind w:firstLine="420" w:firstLineChars="200"/>
        <w:rPr>
          <w:rFonts w:hint="eastAsia"/>
          <w:szCs w:val="21"/>
        </w:rPr>
      </w:pPr>
      <w:r>
        <w:rPr>
          <w:rFonts w:hint="eastAsia"/>
          <w:szCs w:val="21"/>
        </w:rPr>
        <w:t>基金管理人自认购基金份额的最短持有期到期日之日起开始办理赎回，具体业务办理时间在赎回开始公告中规定。</w:t>
      </w:r>
    </w:p>
    <w:p w14:paraId="1A573BF8">
      <w:pPr>
        <w:spacing w:line="360" w:lineRule="auto"/>
        <w:ind w:firstLine="420" w:firstLineChars="200"/>
        <w:rPr>
          <w:rFonts w:hint="eastAsia"/>
          <w:szCs w:val="21"/>
        </w:rPr>
      </w:pPr>
      <w:r>
        <w:rPr>
          <w:rFonts w:hint="eastAsia"/>
          <w:szCs w:val="21"/>
        </w:rPr>
        <w:t>每份基金份额的持有期满3个月后，基金份额持有人方可就该基金份额提出赎回申请。如果投资人多次申购本基金，则其持有的每一份基金份额的可以开始办理赎回的时间可能不同。</w:t>
      </w:r>
    </w:p>
    <w:p w14:paraId="5F803659">
      <w:pPr>
        <w:spacing w:line="360" w:lineRule="auto"/>
        <w:ind w:firstLine="420" w:firstLineChars="200"/>
        <w:rPr>
          <w:rFonts w:hint="eastAsia"/>
          <w:szCs w:val="21"/>
        </w:rPr>
      </w:pPr>
      <w:r>
        <w:rPr>
          <w:rFonts w:hint="eastAsia"/>
          <w:szCs w:val="21"/>
        </w:rPr>
        <w:t>在确定申购开始与赎回开始时间后，基金管理人应在申购、赎回开放日前依照《信息披露办法》的有关规定在规定媒介上公告申购与赎回的开始时间。</w:t>
      </w:r>
    </w:p>
    <w:p w14:paraId="7512FFB6">
      <w:pPr>
        <w:tabs>
          <w:tab w:val="left" w:pos="1080"/>
        </w:tabs>
        <w:spacing w:line="360" w:lineRule="auto"/>
        <w:ind w:firstLine="420" w:firstLineChars="200"/>
        <w:rPr>
          <w:b/>
          <w:bCs/>
        </w:rPr>
      </w:pPr>
      <w:r>
        <w:rPr>
          <w:rFonts w:hint="eastAsia"/>
          <w:szCs w:val="21"/>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基金份额申购、赎回的价格。</w:t>
      </w:r>
      <w:bookmarkStart w:id="27" w:name="_Toc79392609"/>
    </w:p>
    <w:p w14:paraId="78443BC3">
      <w:pPr>
        <w:tabs>
          <w:tab w:val="left" w:pos="1080"/>
        </w:tabs>
        <w:spacing w:line="360" w:lineRule="auto"/>
        <w:ind w:firstLine="422" w:firstLineChars="200"/>
        <w:rPr>
          <w:b/>
          <w:bCs/>
        </w:rPr>
      </w:pPr>
      <w:r>
        <w:rPr>
          <w:b/>
          <w:bCs/>
        </w:rPr>
        <w:t>三</w:t>
      </w:r>
      <w:r>
        <w:rPr>
          <w:rFonts w:hint="eastAsia"/>
          <w:b/>
          <w:bCs/>
        </w:rPr>
        <w:t>、</w:t>
      </w:r>
      <w:r>
        <w:rPr>
          <w:b/>
          <w:bCs/>
        </w:rPr>
        <w:t>申购与赎回的原则</w:t>
      </w:r>
      <w:bookmarkEnd w:id="27"/>
    </w:p>
    <w:p w14:paraId="2EB3D105">
      <w:pPr>
        <w:tabs>
          <w:tab w:val="left" w:pos="1080"/>
        </w:tabs>
        <w:spacing w:line="360" w:lineRule="auto"/>
        <w:ind w:firstLine="420" w:firstLineChars="200"/>
        <w:rPr>
          <w:rFonts w:hint="eastAsia"/>
          <w:bCs/>
          <w:szCs w:val="21"/>
        </w:rPr>
      </w:pPr>
      <w:bookmarkStart w:id="28" w:name="_Toc79392610"/>
      <w:r>
        <w:rPr>
          <w:rFonts w:hint="eastAsia"/>
          <w:bCs/>
          <w:szCs w:val="21"/>
        </w:rPr>
        <w:t>1、“未知价”原则，即申购、赎回价格以申请当日的各类基金份额净值为基准进行计算；</w:t>
      </w:r>
    </w:p>
    <w:p w14:paraId="6C693E15">
      <w:pPr>
        <w:tabs>
          <w:tab w:val="left" w:pos="1080"/>
        </w:tabs>
        <w:spacing w:line="360" w:lineRule="auto"/>
        <w:ind w:firstLine="420" w:firstLineChars="200"/>
        <w:rPr>
          <w:rFonts w:hint="eastAsia"/>
          <w:bCs/>
          <w:szCs w:val="21"/>
        </w:rPr>
      </w:pPr>
      <w:r>
        <w:rPr>
          <w:rFonts w:hint="eastAsia"/>
          <w:bCs/>
          <w:szCs w:val="21"/>
        </w:rPr>
        <w:t>2、“金额申购、份额赎回”原则，即申购以金额申请，赎回以份额申请；</w:t>
      </w:r>
    </w:p>
    <w:p w14:paraId="11B54B45">
      <w:pPr>
        <w:tabs>
          <w:tab w:val="left" w:pos="1080"/>
        </w:tabs>
        <w:spacing w:line="360" w:lineRule="auto"/>
        <w:ind w:firstLine="420" w:firstLineChars="200"/>
        <w:rPr>
          <w:rFonts w:hint="eastAsia"/>
          <w:bCs/>
          <w:szCs w:val="21"/>
        </w:rPr>
      </w:pPr>
      <w:r>
        <w:rPr>
          <w:rFonts w:hint="eastAsia"/>
          <w:bCs/>
          <w:szCs w:val="21"/>
        </w:rPr>
        <w:t>3、当日的申购与赎回申请可以在基金管理人规定的时间以内撤销；</w:t>
      </w:r>
    </w:p>
    <w:p w14:paraId="34C08553">
      <w:pPr>
        <w:tabs>
          <w:tab w:val="left" w:pos="1080"/>
        </w:tabs>
        <w:spacing w:line="360" w:lineRule="auto"/>
        <w:ind w:firstLine="420" w:firstLineChars="200"/>
        <w:rPr>
          <w:rFonts w:hint="eastAsia"/>
          <w:bCs/>
          <w:szCs w:val="21"/>
        </w:rPr>
      </w:pPr>
      <w:r>
        <w:rPr>
          <w:rFonts w:hint="eastAsia"/>
          <w:bCs/>
          <w:szCs w:val="21"/>
        </w:rPr>
        <w:t>4、赎回遵循“先进先出”原则，即按照投资人认购、申购的先后次序进行顺序赎回；</w:t>
      </w:r>
    </w:p>
    <w:p w14:paraId="26DC78BB">
      <w:pPr>
        <w:tabs>
          <w:tab w:val="left" w:pos="1080"/>
        </w:tabs>
        <w:spacing w:line="360" w:lineRule="auto"/>
        <w:ind w:firstLine="420" w:firstLineChars="200"/>
        <w:rPr>
          <w:rFonts w:hint="eastAsia"/>
          <w:bCs/>
          <w:szCs w:val="21"/>
        </w:rPr>
      </w:pPr>
      <w:r>
        <w:rPr>
          <w:rFonts w:hint="eastAsia"/>
          <w:bCs/>
          <w:szCs w:val="21"/>
        </w:rPr>
        <w:t>5、办理申购、赎回业务时，应当遵循基金份额持有人利益优先原则，确保投资者的合法权益不受损害并得到公平对待。</w:t>
      </w:r>
    </w:p>
    <w:p w14:paraId="12659C22">
      <w:pPr>
        <w:tabs>
          <w:tab w:val="left" w:pos="1080"/>
        </w:tabs>
        <w:spacing w:line="360" w:lineRule="auto"/>
        <w:ind w:firstLine="420" w:firstLineChars="200"/>
        <w:rPr>
          <w:b/>
          <w:bCs/>
        </w:rPr>
      </w:pPr>
      <w:r>
        <w:rPr>
          <w:rFonts w:hint="eastAsia"/>
          <w:bCs/>
          <w:szCs w:val="21"/>
        </w:rPr>
        <w:t>基金管理人可在法律法规允许的情况下，对上述原则进行调整。基金管理人必须在新规则开始实施前依照《信息披露办法》的有关规定在规定媒介上公告。</w:t>
      </w:r>
    </w:p>
    <w:p w14:paraId="18723030">
      <w:pPr>
        <w:tabs>
          <w:tab w:val="left" w:pos="1080"/>
        </w:tabs>
        <w:spacing w:line="360" w:lineRule="auto"/>
        <w:ind w:firstLine="422" w:firstLineChars="200"/>
        <w:rPr>
          <w:b/>
          <w:bCs/>
        </w:rPr>
      </w:pPr>
      <w:r>
        <w:rPr>
          <w:b/>
          <w:bCs/>
        </w:rPr>
        <w:t>四</w:t>
      </w:r>
      <w:r>
        <w:rPr>
          <w:rFonts w:hint="eastAsia"/>
          <w:b/>
          <w:bCs/>
        </w:rPr>
        <w:t>、</w:t>
      </w:r>
      <w:r>
        <w:rPr>
          <w:b/>
          <w:bCs/>
        </w:rPr>
        <w:t>申购与赎回的程序</w:t>
      </w:r>
      <w:bookmarkEnd w:id="28"/>
    </w:p>
    <w:p w14:paraId="0CCC9677">
      <w:pPr>
        <w:spacing w:line="360" w:lineRule="auto"/>
        <w:ind w:firstLine="420" w:firstLineChars="200"/>
        <w:rPr>
          <w:rFonts w:hint="eastAsia"/>
          <w:bCs/>
          <w:szCs w:val="21"/>
        </w:rPr>
      </w:pPr>
      <w:r>
        <w:rPr>
          <w:rFonts w:hint="eastAsia"/>
          <w:bCs/>
          <w:szCs w:val="21"/>
        </w:rPr>
        <w:t>1、申购和赎回的申请方式</w:t>
      </w:r>
    </w:p>
    <w:p w14:paraId="084D1A16">
      <w:pPr>
        <w:spacing w:line="360" w:lineRule="auto"/>
        <w:ind w:firstLine="420" w:firstLineChars="200"/>
        <w:rPr>
          <w:rFonts w:hint="eastAsia"/>
          <w:bCs/>
          <w:szCs w:val="21"/>
        </w:rPr>
      </w:pPr>
      <w:r>
        <w:rPr>
          <w:rFonts w:hint="eastAsia"/>
          <w:bCs/>
          <w:szCs w:val="21"/>
        </w:rPr>
        <w:t>投资人必须根据销售机构规定的程序，在开放日的具体业务办理时间内提出申购或赎回的申请。</w:t>
      </w:r>
    </w:p>
    <w:p w14:paraId="09468098">
      <w:pPr>
        <w:spacing w:line="360" w:lineRule="auto"/>
        <w:ind w:firstLine="420" w:firstLineChars="200"/>
        <w:rPr>
          <w:rFonts w:hint="eastAsia"/>
          <w:bCs/>
          <w:szCs w:val="21"/>
        </w:rPr>
      </w:pPr>
      <w:r>
        <w:rPr>
          <w:rFonts w:hint="eastAsia"/>
          <w:bCs/>
          <w:szCs w:val="21"/>
        </w:rPr>
        <w:t>投资人在提交申购申请时须按销售机构规定的方式备足申购资金，投资人在提交赎回申请时须持有足够的基金份额余额，否则所提交的申购、赎回申请不成立。若资金在规定时间内未全额到账则申购不成立，申购款项将退回投资人账户，基金管理人、基金托管人和销售机构等不承担由此产生的利息等任何损失。</w:t>
      </w:r>
    </w:p>
    <w:p w14:paraId="4F249719">
      <w:pPr>
        <w:spacing w:line="360" w:lineRule="auto"/>
        <w:ind w:firstLine="420" w:firstLineChars="200"/>
        <w:rPr>
          <w:rFonts w:hint="eastAsia"/>
          <w:bCs/>
          <w:szCs w:val="21"/>
        </w:rPr>
      </w:pPr>
      <w:r>
        <w:rPr>
          <w:rFonts w:hint="eastAsia"/>
          <w:bCs/>
          <w:szCs w:val="21"/>
        </w:rPr>
        <w:t>2、申购和赎回的款项支付</w:t>
      </w:r>
    </w:p>
    <w:p w14:paraId="045D4250">
      <w:pPr>
        <w:spacing w:line="360" w:lineRule="auto"/>
        <w:ind w:firstLine="420" w:firstLineChars="200"/>
        <w:rPr>
          <w:rFonts w:hint="eastAsia"/>
          <w:bCs/>
          <w:szCs w:val="21"/>
        </w:rPr>
      </w:pPr>
      <w:r>
        <w:rPr>
          <w:rFonts w:hint="eastAsia"/>
          <w:bCs/>
          <w:szCs w:val="21"/>
        </w:rPr>
        <w:t>投资人申购基金份额时，必须全额交付申购款项，投资人全额交付申购款项，申购成立；基金份额登记机构确认基金份额时，申购生效。</w:t>
      </w:r>
    </w:p>
    <w:p w14:paraId="4CC24FAF">
      <w:pPr>
        <w:spacing w:line="360" w:lineRule="auto"/>
        <w:ind w:firstLine="420" w:firstLineChars="200"/>
        <w:rPr>
          <w:rFonts w:hint="eastAsia"/>
          <w:bCs/>
          <w:szCs w:val="21"/>
        </w:rPr>
      </w:pPr>
      <w:r>
        <w:rPr>
          <w:rFonts w:hint="eastAsia"/>
          <w:bCs/>
          <w:szCs w:val="21"/>
        </w:rPr>
        <w:t>基金份额持有人递交赎回申请，赎回成立；基金份额登记机构确认赎回时，赎回生效。投资者赎回申请生效后，基金管理人将在T＋10日（包括该日）内支付赎回款项。遇证券交易所或交易市场数据传输延迟、通讯系统故障、银行数据交换系统故障、港股通交易系统或港股通资金交收规则限制或其它非基金管理人及基金托管人所能控制的因素影响业务处理流程时，赎回款项顺延至下一个工作日划出。在发生巨额赎回或基金合同载明的延缓支付赎回款项的情形时，款项的支付办法参照基金合同有关条款处理。</w:t>
      </w:r>
    </w:p>
    <w:p w14:paraId="1E67B7DD">
      <w:pPr>
        <w:spacing w:line="360" w:lineRule="auto"/>
        <w:ind w:firstLine="420" w:firstLineChars="200"/>
        <w:rPr>
          <w:rFonts w:hint="eastAsia"/>
          <w:bCs/>
          <w:szCs w:val="21"/>
        </w:rPr>
      </w:pPr>
      <w:r>
        <w:rPr>
          <w:rFonts w:hint="eastAsia"/>
          <w:bCs/>
          <w:szCs w:val="21"/>
        </w:rPr>
        <w:t>3、申购和赎回申请的确认</w:t>
      </w:r>
    </w:p>
    <w:p w14:paraId="1B951807">
      <w:pPr>
        <w:spacing w:line="360" w:lineRule="auto"/>
        <w:ind w:firstLine="420" w:firstLineChars="200"/>
        <w:rPr>
          <w:rFonts w:hint="eastAsia"/>
          <w:bCs/>
          <w:szCs w:val="21"/>
        </w:rPr>
      </w:pPr>
      <w:r>
        <w:rPr>
          <w:rFonts w:hint="eastAsia"/>
          <w:bCs/>
          <w:szCs w:val="21"/>
        </w:rPr>
        <w:t>基金管理人应以交易时间结束前受理有效申购和赎回申请的当天作为申购或赎回申请日（T日），在正常情况下，本基金登记机构在T+3日内对该交易的有效性进行确认。T日提交的有效申请，投资人可在T+4日后（包括该日）及时到销售网点柜台或以销售机构规定的其他方式查询申请的确认情况。若申购不成立或无效，则申购款项退还给投资人。</w:t>
      </w:r>
    </w:p>
    <w:p w14:paraId="2198D457">
      <w:pPr>
        <w:spacing w:line="360" w:lineRule="auto"/>
        <w:ind w:firstLine="420" w:firstLineChars="200"/>
        <w:rPr>
          <w:rFonts w:hint="eastAsia"/>
          <w:bCs/>
          <w:szCs w:val="21"/>
        </w:rPr>
      </w:pPr>
      <w:r>
        <w:rPr>
          <w:rFonts w:hint="eastAsia"/>
          <w:bCs/>
          <w:szCs w:val="21"/>
        </w:rPr>
        <w:t>销售机构对申购、赎回申请的受理并不代表申请一定成功，而仅代表销售机构确实接收到申购、赎回申请。申购、赎回的确认以登记机构的确认结果为准。对于申购、赎回申请及申购、赎回份额的确认情况，投资人应及时查询并妥善行使合法权利。</w:t>
      </w:r>
    </w:p>
    <w:p w14:paraId="29A3CE31">
      <w:pPr>
        <w:spacing w:line="360" w:lineRule="auto"/>
        <w:ind w:firstLine="420" w:firstLineChars="200"/>
        <w:rPr>
          <w:rFonts w:hint="eastAsia"/>
          <w:b/>
        </w:rPr>
      </w:pPr>
      <w:r>
        <w:rPr>
          <w:rFonts w:hint="eastAsia"/>
          <w:bCs/>
          <w:szCs w:val="21"/>
        </w:rPr>
        <w:t>在法律法规允许的范围内，基金管理人可根据相关业务规则，对上述业务办理时间进行调整，本基金管理人将于调整实施前按照有关规定予以公告。</w:t>
      </w:r>
      <w:bookmarkEnd w:id="26"/>
    </w:p>
    <w:p w14:paraId="7F55300C">
      <w:pPr>
        <w:spacing w:line="360" w:lineRule="auto"/>
        <w:ind w:firstLine="422" w:firstLineChars="200"/>
        <w:rPr>
          <w:b/>
        </w:rPr>
      </w:pPr>
      <w:r>
        <w:rPr>
          <w:rFonts w:hint="eastAsia"/>
          <w:b/>
        </w:rPr>
        <w:t>五、申购和赎回的限制</w:t>
      </w:r>
    </w:p>
    <w:p w14:paraId="6BD44703">
      <w:pPr>
        <w:snapToGrid w:val="0"/>
        <w:spacing w:line="360" w:lineRule="auto"/>
        <w:ind w:firstLine="420" w:firstLineChars="200"/>
        <w:rPr>
          <w:rFonts w:cs="Arial"/>
          <w:szCs w:val="21"/>
        </w:rPr>
      </w:pPr>
      <w:r>
        <w:rPr>
          <w:rFonts w:hint="eastAsia" w:cs="Arial"/>
          <w:szCs w:val="21"/>
        </w:rPr>
        <w:t>1、投资人申购A类基金份额，</w:t>
      </w:r>
      <w:r>
        <w:rPr>
          <w:rFonts w:cs="Arial"/>
          <w:szCs w:val="21"/>
        </w:rPr>
        <w:t>首次最低</w:t>
      </w:r>
      <w:r>
        <w:rPr>
          <w:rFonts w:hint="eastAsia" w:cs="Arial"/>
          <w:szCs w:val="21"/>
        </w:rPr>
        <w:t>申</w:t>
      </w:r>
      <w:r>
        <w:rPr>
          <w:rFonts w:cs="Arial"/>
          <w:szCs w:val="21"/>
        </w:rPr>
        <w:t>购金额</w:t>
      </w:r>
      <w:r>
        <w:rPr>
          <w:rFonts w:hint="eastAsia" w:cs="Arial"/>
          <w:szCs w:val="21"/>
        </w:rPr>
        <w:t>为人民币1</w:t>
      </w:r>
      <w:r>
        <w:rPr>
          <w:rFonts w:cs="Arial"/>
          <w:szCs w:val="21"/>
        </w:rPr>
        <w:t>元</w:t>
      </w:r>
      <w:r>
        <w:rPr>
          <w:rFonts w:hint="eastAsia" w:cs="Arial"/>
          <w:szCs w:val="21"/>
        </w:rPr>
        <w:t>（含申购费）</w:t>
      </w:r>
      <w:r>
        <w:rPr>
          <w:rFonts w:cs="Arial"/>
          <w:szCs w:val="21"/>
        </w:rPr>
        <w:t>，追加</w:t>
      </w:r>
      <w:r>
        <w:rPr>
          <w:rFonts w:hint="eastAsia" w:cs="Arial"/>
          <w:szCs w:val="21"/>
        </w:rPr>
        <w:t>申购</w:t>
      </w:r>
      <w:r>
        <w:rPr>
          <w:rFonts w:cs="Arial"/>
          <w:szCs w:val="21"/>
        </w:rPr>
        <w:t>单笔最低金额为</w:t>
      </w:r>
      <w:r>
        <w:rPr>
          <w:rFonts w:hint="eastAsia" w:cs="Arial"/>
          <w:szCs w:val="21"/>
        </w:rPr>
        <w:t>人民币1</w:t>
      </w:r>
      <w:r>
        <w:rPr>
          <w:rFonts w:cs="Arial"/>
          <w:szCs w:val="21"/>
        </w:rPr>
        <w:t>元</w:t>
      </w:r>
      <w:r>
        <w:rPr>
          <w:rFonts w:hint="eastAsia" w:cs="Arial"/>
          <w:szCs w:val="21"/>
        </w:rPr>
        <w:t>（含申购费）。投资人申购C类基金份额，</w:t>
      </w:r>
      <w:r>
        <w:rPr>
          <w:rFonts w:cs="Arial"/>
          <w:szCs w:val="21"/>
        </w:rPr>
        <w:t>首次最低</w:t>
      </w:r>
      <w:r>
        <w:rPr>
          <w:rFonts w:hint="eastAsia" w:cs="Arial"/>
          <w:szCs w:val="21"/>
        </w:rPr>
        <w:t>申</w:t>
      </w:r>
      <w:r>
        <w:rPr>
          <w:rFonts w:cs="Arial"/>
          <w:szCs w:val="21"/>
        </w:rPr>
        <w:t>购金额</w:t>
      </w:r>
      <w:r>
        <w:rPr>
          <w:rFonts w:hint="eastAsia" w:cs="Arial"/>
          <w:szCs w:val="21"/>
        </w:rPr>
        <w:t>为人民币1</w:t>
      </w:r>
      <w:r>
        <w:rPr>
          <w:rFonts w:cs="Arial"/>
          <w:szCs w:val="21"/>
        </w:rPr>
        <w:t>元，追加</w:t>
      </w:r>
      <w:r>
        <w:rPr>
          <w:rFonts w:hint="eastAsia" w:cs="Arial"/>
          <w:szCs w:val="21"/>
        </w:rPr>
        <w:t>申购</w:t>
      </w:r>
      <w:r>
        <w:rPr>
          <w:rFonts w:cs="Arial"/>
          <w:szCs w:val="21"/>
        </w:rPr>
        <w:t>单笔最低金额为</w:t>
      </w:r>
      <w:r>
        <w:rPr>
          <w:rFonts w:hint="eastAsia" w:cs="Arial"/>
          <w:szCs w:val="21"/>
        </w:rPr>
        <w:t>人民币1</w:t>
      </w:r>
      <w:r>
        <w:rPr>
          <w:rFonts w:cs="Arial"/>
          <w:szCs w:val="21"/>
        </w:rPr>
        <w:t>元。</w:t>
      </w:r>
    </w:p>
    <w:p w14:paraId="55D8382C">
      <w:pPr>
        <w:snapToGrid w:val="0"/>
        <w:spacing w:line="360" w:lineRule="auto"/>
        <w:ind w:firstLine="420" w:firstLineChars="200"/>
        <w:rPr>
          <w:rFonts w:cs="Arial"/>
          <w:szCs w:val="21"/>
        </w:rPr>
      </w:pPr>
      <w:r>
        <w:rPr>
          <w:rFonts w:cs="Arial"/>
          <w:szCs w:val="21"/>
        </w:rPr>
        <w:t>各销售机构在不低于上述规定的前提下，可根据自己的情况调整首次最低</w:t>
      </w:r>
      <w:r>
        <w:rPr>
          <w:rFonts w:hint="eastAsia" w:cs="Arial"/>
          <w:szCs w:val="21"/>
        </w:rPr>
        <w:t>申</w:t>
      </w:r>
      <w:r>
        <w:rPr>
          <w:rFonts w:cs="Arial"/>
          <w:szCs w:val="21"/>
        </w:rPr>
        <w:t>购金额和追加</w:t>
      </w:r>
      <w:r>
        <w:rPr>
          <w:rFonts w:hint="eastAsia" w:cs="Arial"/>
          <w:szCs w:val="21"/>
        </w:rPr>
        <w:t>单笔</w:t>
      </w:r>
      <w:r>
        <w:rPr>
          <w:rFonts w:cs="Arial"/>
          <w:szCs w:val="21"/>
        </w:rPr>
        <w:t>最低</w:t>
      </w:r>
      <w:r>
        <w:rPr>
          <w:rFonts w:hint="eastAsia" w:cs="Arial"/>
          <w:szCs w:val="21"/>
        </w:rPr>
        <w:t>申</w:t>
      </w:r>
      <w:r>
        <w:rPr>
          <w:rFonts w:cs="Arial"/>
          <w:szCs w:val="21"/>
        </w:rPr>
        <w:t>购金额限制</w:t>
      </w:r>
      <w:r>
        <w:rPr>
          <w:rFonts w:hint="eastAsia" w:cs="Arial"/>
          <w:szCs w:val="21"/>
        </w:rPr>
        <w:t>，具体以销售机构公布的为准。</w:t>
      </w:r>
    </w:p>
    <w:p w14:paraId="3E639838">
      <w:pPr>
        <w:snapToGrid w:val="0"/>
        <w:spacing w:line="360" w:lineRule="auto"/>
        <w:ind w:firstLine="480"/>
        <w:rPr>
          <w:rFonts w:cs="Arial"/>
          <w:szCs w:val="21"/>
        </w:rPr>
      </w:pPr>
      <w:r>
        <w:rPr>
          <w:rFonts w:hint="eastAsia" w:cs="Arial"/>
          <w:szCs w:val="21"/>
        </w:rPr>
        <w:t>2、基金份额持有人在销售机构赎回时，每次赎回某一类别基金份额不得低于1份；每个交易账户最低持有某一类别基金份额余额为1份，若某笔赎回导致单个交易账户的某一类别基金份额余额少于1份时，该类份额余额部分基金份额必须一同赎回。</w:t>
      </w:r>
    </w:p>
    <w:p w14:paraId="64E13F98">
      <w:pPr>
        <w:snapToGrid w:val="0"/>
        <w:spacing w:line="360" w:lineRule="auto"/>
        <w:ind w:firstLine="480"/>
        <w:rPr>
          <w:rFonts w:cs="Arial"/>
          <w:szCs w:val="21"/>
        </w:rPr>
      </w:pPr>
      <w:r>
        <w:rPr>
          <w:rFonts w:hint="eastAsia" w:cs="Arial"/>
          <w:szCs w:val="21"/>
        </w:rPr>
        <w:t>3、基金管理人可以规定单个投资者累计持有的基金份额上限，具体规定见更新的招募说明书或相关公告。</w:t>
      </w:r>
    </w:p>
    <w:p w14:paraId="742C4635">
      <w:pPr>
        <w:snapToGrid w:val="0"/>
        <w:spacing w:line="360" w:lineRule="auto"/>
        <w:ind w:firstLine="480"/>
        <w:rPr>
          <w:rFonts w:hint="eastAsia" w:cs="Arial"/>
          <w:szCs w:val="21"/>
        </w:rPr>
      </w:pPr>
      <w:bookmarkStart w:id="29" w:name="_Hlk117606051"/>
      <w:r>
        <w:rPr>
          <w:rFonts w:hint="eastAsia" w:cs="Arial"/>
          <w:szCs w:val="21"/>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26FD6EEB">
      <w:pPr>
        <w:snapToGrid w:val="0"/>
        <w:spacing w:line="360" w:lineRule="auto"/>
        <w:ind w:firstLine="480"/>
        <w:rPr>
          <w:rFonts w:cs="Arial"/>
          <w:szCs w:val="21"/>
        </w:rPr>
      </w:pPr>
      <w:r>
        <w:rPr>
          <w:rFonts w:hint="eastAsia" w:cs="Arial"/>
          <w:szCs w:val="21"/>
        </w:rPr>
        <w:t>5、基金管理人可在法律法规允许的情况下，调整上述规定申购金额和赎回份额等数量限制。基金管理人必须在调整实施前依照《信息披露办法》的有关规定在规定媒介上公告。</w:t>
      </w:r>
    </w:p>
    <w:bookmarkEnd w:id="29"/>
    <w:p w14:paraId="06D79168">
      <w:pPr>
        <w:tabs>
          <w:tab w:val="left" w:pos="1080"/>
        </w:tabs>
        <w:spacing w:line="360" w:lineRule="auto"/>
        <w:ind w:firstLine="422" w:firstLineChars="200"/>
        <w:rPr>
          <w:b/>
          <w:szCs w:val="21"/>
        </w:rPr>
      </w:pPr>
      <w:r>
        <w:rPr>
          <w:b/>
          <w:szCs w:val="21"/>
        </w:rPr>
        <w:t>六</w:t>
      </w:r>
      <w:r>
        <w:rPr>
          <w:rFonts w:hint="eastAsia"/>
          <w:b/>
          <w:szCs w:val="21"/>
        </w:rPr>
        <w:t>、</w:t>
      </w:r>
      <w:r>
        <w:rPr>
          <w:b/>
          <w:szCs w:val="21"/>
        </w:rPr>
        <w:t>申购和赎回的价格、费用及其用途</w:t>
      </w:r>
    </w:p>
    <w:p w14:paraId="2EE430AD">
      <w:pPr>
        <w:tabs>
          <w:tab w:val="left" w:pos="1110"/>
          <w:tab w:val="left" w:pos="6300"/>
        </w:tabs>
        <w:snapToGrid w:val="0"/>
        <w:spacing w:line="360" w:lineRule="auto"/>
        <w:ind w:firstLine="420" w:firstLineChars="200"/>
        <w:rPr>
          <w:rFonts w:cs="Arial"/>
          <w:szCs w:val="21"/>
        </w:rPr>
      </w:pPr>
      <w:r>
        <w:rPr>
          <w:rFonts w:cs="Arial"/>
          <w:szCs w:val="21"/>
        </w:rPr>
        <w:t>1</w:t>
      </w:r>
      <w:r>
        <w:rPr>
          <w:rFonts w:hint="eastAsia" w:cs="Arial"/>
          <w:szCs w:val="21"/>
        </w:rPr>
        <w:t>、申购费用</w:t>
      </w:r>
    </w:p>
    <w:p w14:paraId="6A7DE0D8">
      <w:pPr>
        <w:tabs>
          <w:tab w:val="left" w:pos="1110"/>
          <w:tab w:val="left" w:pos="6300"/>
        </w:tabs>
        <w:snapToGrid w:val="0"/>
        <w:spacing w:line="360" w:lineRule="auto"/>
        <w:ind w:firstLine="420" w:firstLineChars="200"/>
        <w:rPr>
          <w:rFonts w:cs="Arial"/>
          <w:szCs w:val="21"/>
        </w:rPr>
      </w:pPr>
      <w:r>
        <w:rPr>
          <w:rFonts w:hint="eastAsia" w:cs="Arial"/>
          <w:szCs w:val="21"/>
        </w:rPr>
        <w:t>本基金A类基金份额、C类基金份额申购均采用金额申购方式，通过基金管理人直销渠道申购A类基金份额不收取申购费（基金管理人的销售子公司销售本基金的，参照直销机构相关规则执行），通过其他销售机构申购A类基金份额的申购费率如下表。投资者在一天之内如果有多笔申购，费率按单笔分别计算。</w:t>
      </w:r>
      <w:r>
        <w:rPr>
          <w:rFonts w:hint="eastAsia" w:cs="Arial"/>
          <w:bCs/>
          <w:szCs w:val="21"/>
        </w:rPr>
        <w:t>C类</w:t>
      </w:r>
      <w:r>
        <w:rPr>
          <w:rFonts w:cs="Arial"/>
          <w:bCs/>
          <w:szCs w:val="21"/>
        </w:rPr>
        <w:t>基金份额不收取申购费用</w:t>
      </w:r>
      <w:r>
        <w:rPr>
          <w:rFonts w:hint="eastAsia" w:cs="Arial"/>
          <w:bCs/>
          <w:szCs w:val="21"/>
        </w:rPr>
        <w:t>。</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3"/>
        <w:gridCol w:w="2322"/>
        <w:gridCol w:w="2410"/>
      </w:tblGrid>
      <w:tr w14:paraId="7B12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2693" w:type="dxa"/>
            <w:noWrap w:val="0"/>
            <w:vAlign w:val="top"/>
          </w:tcPr>
          <w:p w14:paraId="0E481FE4">
            <w:pPr>
              <w:widowControl/>
              <w:spacing w:line="360" w:lineRule="auto"/>
              <w:jc w:val="center"/>
              <w:rPr>
                <w:rFonts w:cs="Arial"/>
                <w:bCs/>
                <w:kern w:val="0"/>
                <w:szCs w:val="21"/>
              </w:rPr>
            </w:pPr>
            <w:r>
              <w:rPr>
                <w:rFonts w:hint="eastAsia" w:cs="Arial"/>
                <w:bCs/>
                <w:kern w:val="0"/>
                <w:szCs w:val="21"/>
              </w:rPr>
              <w:t>申购</w:t>
            </w:r>
            <w:r>
              <w:rPr>
                <w:rFonts w:cs="Arial"/>
                <w:bCs/>
                <w:kern w:val="0"/>
                <w:szCs w:val="21"/>
              </w:rPr>
              <w:t>金额（M）</w:t>
            </w:r>
          </w:p>
        </w:tc>
        <w:tc>
          <w:tcPr>
            <w:tcW w:w="2322" w:type="dxa"/>
            <w:noWrap w:val="0"/>
            <w:vAlign w:val="top"/>
          </w:tcPr>
          <w:p w14:paraId="45E4DBF8">
            <w:pPr>
              <w:widowControl/>
              <w:spacing w:line="360" w:lineRule="auto"/>
              <w:jc w:val="center"/>
              <w:rPr>
                <w:rFonts w:cs="Arial"/>
                <w:bCs/>
                <w:kern w:val="0"/>
                <w:szCs w:val="21"/>
              </w:rPr>
            </w:pPr>
            <w:r>
              <w:rPr>
                <w:rFonts w:cs="Arial"/>
                <w:bCs/>
                <w:kern w:val="0"/>
                <w:szCs w:val="21"/>
              </w:rPr>
              <w:t>A</w:t>
            </w:r>
            <w:r>
              <w:rPr>
                <w:rFonts w:hint="eastAsia" w:cs="Arial"/>
                <w:bCs/>
                <w:kern w:val="0"/>
                <w:szCs w:val="21"/>
              </w:rPr>
              <w:t>类基金份额</w:t>
            </w:r>
            <w:r>
              <w:rPr>
                <w:rFonts w:cs="Arial"/>
                <w:bCs/>
                <w:kern w:val="0"/>
                <w:szCs w:val="21"/>
              </w:rPr>
              <w:t>申购费率</w:t>
            </w:r>
          </w:p>
        </w:tc>
        <w:tc>
          <w:tcPr>
            <w:tcW w:w="2410" w:type="dxa"/>
            <w:noWrap w:val="0"/>
            <w:vAlign w:val="top"/>
          </w:tcPr>
          <w:p w14:paraId="37AA59B7">
            <w:pPr>
              <w:widowControl/>
              <w:spacing w:line="360" w:lineRule="auto"/>
              <w:rPr>
                <w:rFonts w:cs="Arial"/>
                <w:bCs/>
                <w:kern w:val="0"/>
                <w:szCs w:val="21"/>
              </w:rPr>
            </w:pPr>
            <w:r>
              <w:rPr>
                <w:rFonts w:cs="Arial"/>
                <w:bCs/>
                <w:kern w:val="0"/>
                <w:szCs w:val="21"/>
              </w:rPr>
              <w:t>C</w:t>
            </w:r>
            <w:r>
              <w:rPr>
                <w:rFonts w:hint="eastAsia" w:cs="Arial"/>
                <w:bCs/>
                <w:kern w:val="0"/>
                <w:szCs w:val="21"/>
              </w:rPr>
              <w:t>类基金份额</w:t>
            </w:r>
            <w:r>
              <w:rPr>
                <w:rFonts w:cs="Arial"/>
                <w:bCs/>
                <w:kern w:val="0"/>
                <w:szCs w:val="21"/>
              </w:rPr>
              <w:t>申购费率</w:t>
            </w:r>
          </w:p>
        </w:tc>
      </w:tr>
      <w:tr w14:paraId="2B196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2693" w:type="dxa"/>
            <w:noWrap w:val="0"/>
            <w:vAlign w:val="center"/>
          </w:tcPr>
          <w:p w14:paraId="6CC43414">
            <w:pPr>
              <w:jc w:val="center"/>
              <w:rPr>
                <w:rFonts w:cs="Arial"/>
                <w:kern w:val="0"/>
                <w:szCs w:val="21"/>
              </w:rPr>
            </w:pPr>
            <w:r>
              <w:rPr>
                <w:color w:val="000000"/>
                <w:szCs w:val="21"/>
              </w:rPr>
              <w:t>M &lt;</w:t>
            </w:r>
            <w:r>
              <w:rPr>
                <w:rFonts w:hint="eastAsia"/>
                <w:color w:val="000000"/>
                <w:szCs w:val="21"/>
              </w:rPr>
              <w:t>500</w:t>
            </w:r>
            <w:r>
              <w:rPr>
                <w:color w:val="000000"/>
                <w:szCs w:val="21"/>
              </w:rPr>
              <w:t>万元</w:t>
            </w:r>
          </w:p>
        </w:tc>
        <w:tc>
          <w:tcPr>
            <w:tcW w:w="2322" w:type="dxa"/>
            <w:noWrap w:val="0"/>
            <w:vAlign w:val="center"/>
          </w:tcPr>
          <w:p w14:paraId="2F20A0FB">
            <w:pPr>
              <w:jc w:val="center"/>
              <w:rPr>
                <w:rFonts w:cs="Arial"/>
                <w:kern w:val="0"/>
                <w:szCs w:val="21"/>
              </w:rPr>
            </w:pPr>
            <w:r>
              <w:rPr>
                <w:color w:val="000000"/>
                <w:szCs w:val="21"/>
              </w:rPr>
              <w:t>0.</w:t>
            </w:r>
            <w:r>
              <w:rPr>
                <w:rFonts w:hint="eastAsia"/>
                <w:color w:val="000000"/>
                <w:szCs w:val="21"/>
              </w:rPr>
              <w:t>5</w:t>
            </w:r>
            <w:r>
              <w:rPr>
                <w:color w:val="000000"/>
                <w:szCs w:val="21"/>
              </w:rPr>
              <w:t>0%</w:t>
            </w:r>
          </w:p>
        </w:tc>
        <w:tc>
          <w:tcPr>
            <w:tcW w:w="2410" w:type="dxa"/>
            <w:vMerge w:val="restart"/>
            <w:noWrap w:val="0"/>
            <w:vAlign w:val="center"/>
          </w:tcPr>
          <w:p w14:paraId="1E501A12">
            <w:pPr>
              <w:widowControl/>
              <w:spacing w:line="360" w:lineRule="auto"/>
              <w:jc w:val="center"/>
              <w:rPr>
                <w:rFonts w:cs="Arial"/>
                <w:kern w:val="0"/>
                <w:szCs w:val="21"/>
              </w:rPr>
            </w:pPr>
            <w:r>
              <w:rPr>
                <w:rFonts w:cs="Arial"/>
                <w:kern w:val="0"/>
                <w:szCs w:val="21"/>
              </w:rPr>
              <w:t>0%</w:t>
            </w:r>
          </w:p>
        </w:tc>
      </w:tr>
      <w:tr w14:paraId="0FF0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2693" w:type="dxa"/>
            <w:noWrap w:val="0"/>
            <w:vAlign w:val="center"/>
          </w:tcPr>
          <w:p w14:paraId="4027973D">
            <w:pPr>
              <w:jc w:val="center"/>
              <w:rPr>
                <w:rFonts w:cs="Arial"/>
                <w:kern w:val="0"/>
                <w:szCs w:val="21"/>
              </w:rPr>
            </w:pPr>
            <w:r>
              <w:rPr>
                <w:color w:val="000000"/>
                <w:szCs w:val="21"/>
              </w:rPr>
              <w:t>M ≥500万元</w:t>
            </w:r>
          </w:p>
        </w:tc>
        <w:tc>
          <w:tcPr>
            <w:tcW w:w="2322" w:type="dxa"/>
            <w:noWrap w:val="0"/>
            <w:vAlign w:val="center"/>
          </w:tcPr>
          <w:p w14:paraId="54850D75">
            <w:pPr>
              <w:jc w:val="center"/>
              <w:rPr>
                <w:rFonts w:cs="Arial"/>
                <w:kern w:val="0"/>
                <w:szCs w:val="21"/>
              </w:rPr>
            </w:pPr>
            <w:r>
              <w:rPr>
                <w:rFonts w:hint="eastAsia"/>
                <w:color w:val="000000"/>
                <w:szCs w:val="21"/>
              </w:rPr>
              <w:t>1000</w:t>
            </w:r>
            <w:r>
              <w:rPr>
                <w:color w:val="000000"/>
                <w:szCs w:val="21"/>
              </w:rPr>
              <w:t>元</w:t>
            </w:r>
            <w:r>
              <w:rPr>
                <w:rFonts w:hint="eastAsia"/>
                <w:color w:val="000000"/>
                <w:szCs w:val="21"/>
              </w:rPr>
              <w:t>/笔</w:t>
            </w:r>
          </w:p>
        </w:tc>
        <w:tc>
          <w:tcPr>
            <w:tcW w:w="2410" w:type="dxa"/>
            <w:vMerge w:val="continue"/>
            <w:noWrap w:val="0"/>
            <w:vAlign w:val="top"/>
          </w:tcPr>
          <w:p w14:paraId="20D15FDA">
            <w:pPr>
              <w:widowControl/>
              <w:spacing w:line="360" w:lineRule="auto"/>
              <w:ind w:firstLine="420"/>
              <w:jc w:val="center"/>
              <w:rPr>
                <w:rFonts w:cs="Arial"/>
                <w:kern w:val="0"/>
                <w:szCs w:val="21"/>
              </w:rPr>
            </w:pPr>
          </w:p>
        </w:tc>
      </w:tr>
    </w:tbl>
    <w:p w14:paraId="04901933">
      <w:pPr>
        <w:snapToGrid w:val="0"/>
        <w:spacing w:line="360" w:lineRule="auto"/>
        <w:ind w:firstLine="420" w:firstLineChars="200"/>
        <w:rPr>
          <w:rFonts w:cs="Arial"/>
          <w:szCs w:val="21"/>
        </w:rPr>
      </w:pPr>
      <w:r>
        <w:rPr>
          <w:rFonts w:hint="eastAsia" w:cs="Arial"/>
          <w:szCs w:val="21"/>
        </w:rPr>
        <w:t>本基金的申购费用由申购人承担，不列入基金财产，用于基金的市场推广、销售、登记等各项费用。</w:t>
      </w:r>
    </w:p>
    <w:p w14:paraId="34DC0EA5">
      <w:pPr>
        <w:numPr>
          <w:ilvl w:val="0"/>
          <w:numId w:val="4"/>
        </w:numPr>
        <w:snapToGrid w:val="0"/>
        <w:spacing w:line="360" w:lineRule="auto"/>
        <w:ind w:firstLine="420" w:firstLineChars="200"/>
        <w:rPr>
          <w:kern w:val="0"/>
          <w:szCs w:val="21"/>
        </w:rPr>
      </w:pPr>
      <w:r>
        <w:rPr>
          <w:rFonts w:hint="eastAsia"/>
          <w:kern w:val="0"/>
          <w:szCs w:val="21"/>
        </w:rPr>
        <w:t>赎回费用</w:t>
      </w:r>
    </w:p>
    <w:p w14:paraId="32EA4A20">
      <w:pPr>
        <w:numPr>
          <w:ilvl w:val="0"/>
          <w:numId w:val="0"/>
        </w:numPr>
        <w:snapToGrid w:val="0"/>
        <w:spacing w:line="360" w:lineRule="auto"/>
        <w:ind w:firstLine="420" w:firstLineChars="200"/>
        <w:rPr>
          <w:rFonts w:hint="eastAsia" w:cs="Arial"/>
          <w:kern w:val="2"/>
          <w:szCs w:val="21"/>
        </w:rPr>
      </w:pPr>
      <w:r>
        <w:rPr>
          <w:rFonts w:cs="Arial"/>
          <w:kern w:val="2"/>
          <w:szCs w:val="21"/>
        </w:rPr>
        <w:t>本基金对投资者认购或申购的每份基金份额设有</w:t>
      </w:r>
      <w:r>
        <w:rPr>
          <w:rFonts w:hint="eastAsia" w:cs="Arial"/>
          <w:szCs w:val="21"/>
        </w:rPr>
        <w:t>3</w:t>
      </w:r>
      <w:r>
        <w:rPr>
          <w:rFonts w:cs="Arial"/>
          <w:kern w:val="2"/>
          <w:szCs w:val="21"/>
        </w:rPr>
        <w:t>个月最短持有期限，基金份额持有人在满足最短持有期限的情况下方可赎回，但基金合同另有约定的除外。具体赎回费率见下表所示：</w:t>
      </w:r>
    </w:p>
    <w:tbl>
      <w:tblPr>
        <w:tblStyle w:val="29"/>
        <w:tblW w:w="4999" w:type="pct"/>
        <w:tblInd w:w="0" w:type="dxa"/>
        <w:shd w:val="clear" w:color="auto" w:fill="FFFFFF"/>
        <w:tblLayout w:type="autofit"/>
        <w:tblCellMar>
          <w:top w:w="15" w:type="dxa"/>
          <w:left w:w="15" w:type="dxa"/>
          <w:bottom w:w="15" w:type="dxa"/>
          <w:right w:w="15" w:type="dxa"/>
        </w:tblCellMar>
      </w:tblPr>
      <w:tblGrid>
        <w:gridCol w:w="4252"/>
        <w:gridCol w:w="4252"/>
      </w:tblGrid>
      <w:tr w14:paraId="063F045E">
        <w:tblPrEx>
          <w:shd w:val="clear" w:color="auto" w:fill="FFFFFF"/>
          <w:tblCellMar>
            <w:top w:w="15" w:type="dxa"/>
            <w:left w:w="15" w:type="dxa"/>
            <w:bottom w:w="15" w:type="dxa"/>
            <w:right w:w="15" w:type="dxa"/>
          </w:tblCellMar>
        </w:tblPrEx>
        <w:tc>
          <w:tcPr>
            <w:tcW w:w="2500" w:type="pct"/>
            <w:tcBorders>
              <w:top w:val="single" w:color="auto" w:sz="4" w:space="0"/>
              <w:left w:val="single" w:color="CCCCCC" w:sz="4" w:space="0"/>
              <w:bottom w:val="single" w:color="auto" w:sz="4" w:space="0"/>
              <w:right w:val="single" w:color="auto" w:sz="4" w:space="0"/>
            </w:tcBorders>
            <w:shd w:val="clear" w:color="auto" w:fill="FFFFFF"/>
            <w:noWrap w:val="0"/>
            <w:tcMar>
              <w:top w:w="60" w:type="dxa"/>
              <w:left w:w="100" w:type="dxa"/>
              <w:bottom w:w="60" w:type="dxa"/>
              <w:right w:w="100" w:type="dxa"/>
            </w:tcMar>
            <w:vAlign w:val="center"/>
          </w:tcPr>
          <w:p w14:paraId="4BBE2DA0">
            <w:pPr>
              <w:widowControl/>
              <w:spacing w:line="240" w:lineRule="auto"/>
              <w:jc w:val="center"/>
              <w:rPr>
                <w:color w:val="000000"/>
                <w:szCs w:val="21"/>
              </w:rPr>
            </w:pPr>
            <w:r>
              <w:rPr>
                <w:color w:val="000000"/>
                <w:szCs w:val="21"/>
                <w:lang w:bidi="ar"/>
              </w:rPr>
              <w:t>持有基金份额期限（N）</w:t>
            </w:r>
          </w:p>
        </w:tc>
        <w:tc>
          <w:tcPr>
            <w:tcW w:w="2500" w:type="pct"/>
            <w:tcBorders>
              <w:top w:val="single" w:color="auto" w:sz="4" w:space="0"/>
              <w:left w:val="single" w:color="auto" w:sz="4" w:space="0"/>
              <w:bottom w:val="single" w:color="auto" w:sz="4" w:space="0"/>
              <w:right w:val="single" w:color="auto" w:sz="4" w:space="0"/>
            </w:tcBorders>
            <w:shd w:val="clear" w:color="auto" w:fill="FFFFFF"/>
            <w:noWrap w:val="0"/>
            <w:tcMar>
              <w:top w:w="60" w:type="dxa"/>
              <w:left w:w="100" w:type="dxa"/>
              <w:bottom w:w="60" w:type="dxa"/>
              <w:right w:w="100" w:type="dxa"/>
            </w:tcMar>
            <w:vAlign w:val="center"/>
          </w:tcPr>
          <w:p w14:paraId="71A950BD">
            <w:pPr>
              <w:widowControl/>
              <w:spacing w:line="240" w:lineRule="auto"/>
              <w:jc w:val="center"/>
              <w:rPr>
                <w:color w:val="000000"/>
                <w:szCs w:val="21"/>
              </w:rPr>
            </w:pPr>
            <w:r>
              <w:rPr>
                <w:color w:val="000000"/>
                <w:szCs w:val="21"/>
                <w:lang w:bidi="ar"/>
              </w:rPr>
              <w:t>赎回费率</w:t>
            </w:r>
          </w:p>
        </w:tc>
      </w:tr>
      <w:tr w14:paraId="11196698">
        <w:tblPrEx>
          <w:shd w:val="clear" w:color="auto" w:fill="FFFFFF"/>
          <w:tblCellMar>
            <w:top w:w="15" w:type="dxa"/>
            <w:left w:w="15" w:type="dxa"/>
            <w:bottom w:w="15" w:type="dxa"/>
            <w:right w:w="15" w:type="dxa"/>
          </w:tblCellMar>
        </w:tblPrEx>
        <w:tc>
          <w:tcPr>
            <w:tcW w:w="2500" w:type="pct"/>
            <w:tcBorders>
              <w:top w:val="single" w:color="auto" w:sz="4" w:space="0"/>
              <w:left w:val="single" w:color="auto" w:sz="4" w:space="0"/>
              <w:bottom w:val="single" w:color="auto" w:sz="4" w:space="0"/>
              <w:right w:val="single" w:color="auto" w:sz="4" w:space="0"/>
            </w:tcBorders>
            <w:shd w:val="clear" w:color="auto" w:fill="FFFFFF"/>
            <w:noWrap w:val="0"/>
            <w:tcMar>
              <w:top w:w="60" w:type="dxa"/>
              <w:left w:w="100" w:type="dxa"/>
              <w:bottom w:w="60" w:type="dxa"/>
              <w:right w:w="100" w:type="dxa"/>
            </w:tcMar>
            <w:vAlign w:val="center"/>
          </w:tcPr>
          <w:p w14:paraId="6429C80C">
            <w:pPr>
              <w:widowControl/>
              <w:spacing w:line="240" w:lineRule="auto"/>
              <w:jc w:val="center"/>
              <w:rPr>
                <w:color w:val="000000"/>
                <w:szCs w:val="21"/>
              </w:rPr>
            </w:pPr>
            <w:r>
              <w:rPr>
                <w:color w:val="000000"/>
                <w:szCs w:val="21"/>
              </w:rPr>
              <w:t>N＜6个月</w:t>
            </w:r>
          </w:p>
        </w:tc>
        <w:tc>
          <w:tcPr>
            <w:tcW w:w="2500" w:type="pct"/>
            <w:tcBorders>
              <w:top w:val="single" w:color="auto" w:sz="4" w:space="0"/>
              <w:left w:val="single" w:color="auto" w:sz="4" w:space="0"/>
              <w:bottom w:val="single" w:color="auto" w:sz="4" w:space="0"/>
              <w:right w:val="single" w:color="auto" w:sz="4" w:space="0"/>
            </w:tcBorders>
            <w:shd w:val="clear" w:color="auto" w:fill="FFFFFF"/>
            <w:noWrap w:val="0"/>
            <w:tcMar>
              <w:top w:w="60" w:type="dxa"/>
              <w:left w:w="100" w:type="dxa"/>
              <w:bottom w:w="60" w:type="dxa"/>
              <w:right w:w="100" w:type="dxa"/>
            </w:tcMar>
            <w:vAlign w:val="center"/>
          </w:tcPr>
          <w:p w14:paraId="513B710F">
            <w:pPr>
              <w:widowControl/>
              <w:spacing w:line="240" w:lineRule="auto"/>
              <w:jc w:val="center"/>
              <w:rPr>
                <w:color w:val="000000"/>
                <w:szCs w:val="21"/>
              </w:rPr>
            </w:pPr>
            <w:r>
              <w:rPr>
                <w:color w:val="000000"/>
                <w:szCs w:val="21"/>
                <w:lang w:bidi="ar"/>
              </w:rPr>
              <w:t>0.50%</w:t>
            </w:r>
          </w:p>
        </w:tc>
      </w:tr>
      <w:tr w14:paraId="192B3BF4">
        <w:tblPrEx>
          <w:shd w:val="clear" w:color="auto" w:fill="FFFFFF"/>
          <w:tblCellMar>
            <w:top w:w="15" w:type="dxa"/>
            <w:left w:w="15" w:type="dxa"/>
            <w:bottom w:w="15" w:type="dxa"/>
            <w:right w:w="15" w:type="dxa"/>
          </w:tblCellMar>
        </w:tblPrEx>
        <w:tc>
          <w:tcPr>
            <w:tcW w:w="2500" w:type="pct"/>
            <w:tcBorders>
              <w:top w:val="single" w:color="auto" w:sz="4" w:space="0"/>
              <w:left w:val="single" w:color="auto" w:sz="4" w:space="0"/>
              <w:bottom w:val="single" w:color="auto" w:sz="4" w:space="0"/>
              <w:right w:val="single" w:color="auto" w:sz="4" w:space="0"/>
            </w:tcBorders>
            <w:shd w:val="clear" w:color="auto" w:fill="FFFFFF"/>
            <w:noWrap w:val="0"/>
            <w:tcMar>
              <w:top w:w="60" w:type="dxa"/>
              <w:left w:w="100" w:type="dxa"/>
              <w:bottom w:w="60" w:type="dxa"/>
              <w:right w:w="100" w:type="dxa"/>
            </w:tcMar>
            <w:vAlign w:val="center"/>
          </w:tcPr>
          <w:p w14:paraId="751C20D3">
            <w:pPr>
              <w:widowControl/>
              <w:spacing w:line="240" w:lineRule="auto"/>
              <w:jc w:val="center"/>
              <w:rPr>
                <w:color w:val="000000"/>
                <w:szCs w:val="21"/>
              </w:rPr>
            </w:pPr>
            <w:r>
              <w:rPr>
                <w:color w:val="000000"/>
                <w:szCs w:val="21"/>
                <w:lang w:bidi="ar"/>
              </w:rPr>
              <w:t>N≥6个月</w:t>
            </w:r>
          </w:p>
        </w:tc>
        <w:tc>
          <w:tcPr>
            <w:tcW w:w="2500" w:type="pct"/>
            <w:tcBorders>
              <w:top w:val="single" w:color="auto" w:sz="4" w:space="0"/>
              <w:left w:val="single" w:color="auto" w:sz="4" w:space="0"/>
              <w:bottom w:val="single" w:color="auto" w:sz="4" w:space="0"/>
              <w:right w:val="single" w:color="auto" w:sz="4" w:space="0"/>
            </w:tcBorders>
            <w:shd w:val="clear" w:color="auto" w:fill="FFFFFF"/>
            <w:noWrap w:val="0"/>
            <w:tcMar>
              <w:top w:w="60" w:type="dxa"/>
              <w:left w:w="100" w:type="dxa"/>
              <w:bottom w:w="60" w:type="dxa"/>
              <w:right w:w="100" w:type="dxa"/>
            </w:tcMar>
            <w:vAlign w:val="center"/>
          </w:tcPr>
          <w:p w14:paraId="30537C4F">
            <w:pPr>
              <w:widowControl/>
              <w:spacing w:line="240" w:lineRule="auto"/>
              <w:jc w:val="center"/>
              <w:rPr>
                <w:color w:val="000000"/>
                <w:szCs w:val="21"/>
              </w:rPr>
            </w:pPr>
            <w:r>
              <w:rPr>
                <w:color w:val="000000"/>
                <w:szCs w:val="21"/>
                <w:lang w:bidi="ar"/>
              </w:rPr>
              <w:t>0.00%</w:t>
            </w:r>
          </w:p>
        </w:tc>
      </w:tr>
    </w:tbl>
    <w:p w14:paraId="6AF50DE8">
      <w:pPr>
        <w:adjustRightInd/>
        <w:snapToGrid w:val="0"/>
        <w:spacing w:line="360" w:lineRule="auto"/>
        <w:ind w:firstLine="420" w:firstLineChars="200"/>
        <w:rPr>
          <w:rFonts w:ascii="宋体" w:hAnsi="宋体" w:cs="Arial"/>
          <w:szCs w:val="21"/>
        </w:rPr>
      </w:pPr>
    </w:p>
    <w:p w14:paraId="2F6B7406">
      <w:pPr>
        <w:snapToGrid w:val="0"/>
        <w:spacing w:line="360" w:lineRule="auto"/>
        <w:ind w:firstLine="420" w:firstLineChars="200"/>
        <w:rPr>
          <w:rFonts w:cs="Arial"/>
          <w:szCs w:val="21"/>
        </w:rPr>
      </w:pPr>
      <w:bookmarkStart w:id="30" w:name="_Hlk117606103"/>
      <w:r>
        <w:rPr>
          <w:rFonts w:hint="eastAsia" w:cs="Arial"/>
          <w:szCs w:val="21"/>
        </w:rPr>
        <w:t>3、</w:t>
      </w:r>
      <w:r>
        <w:rPr>
          <w:rFonts w:cs="Arial"/>
          <w:szCs w:val="21"/>
        </w:rPr>
        <w:t>基金管理人可以</w:t>
      </w:r>
      <w:r>
        <w:rPr>
          <w:rFonts w:hint="eastAsia" w:cs="Arial"/>
          <w:szCs w:val="21"/>
        </w:rPr>
        <w:t>在基金合同约定的范围内</w:t>
      </w:r>
      <w:r>
        <w:rPr>
          <w:rFonts w:cs="Arial"/>
          <w:szCs w:val="21"/>
        </w:rPr>
        <w:t>调整费率或收费方式，</w:t>
      </w:r>
      <w:r>
        <w:rPr>
          <w:rFonts w:hint="eastAsia" w:cs="Arial"/>
          <w:szCs w:val="21"/>
        </w:rPr>
        <w:t>并</w:t>
      </w:r>
      <w:r>
        <w:rPr>
          <w:rFonts w:cs="Arial"/>
          <w:szCs w:val="21"/>
        </w:rPr>
        <w:t>最迟应于新的费率或收费方式实施日前</w:t>
      </w:r>
      <w:r>
        <w:rPr>
          <w:rFonts w:hint="eastAsia" w:cs="Arial"/>
          <w:szCs w:val="21"/>
        </w:rPr>
        <w:t>依照《信息披露办法》的有关规定在规定媒介上公告</w:t>
      </w:r>
      <w:r>
        <w:rPr>
          <w:rFonts w:cs="Arial"/>
          <w:szCs w:val="21"/>
        </w:rPr>
        <w:t>。</w:t>
      </w:r>
    </w:p>
    <w:p w14:paraId="44D21DBA">
      <w:pPr>
        <w:snapToGrid w:val="0"/>
        <w:spacing w:line="360" w:lineRule="auto"/>
        <w:ind w:firstLine="420" w:firstLineChars="200"/>
        <w:rPr>
          <w:rFonts w:hint="eastAsia"/>
        </w:rPr>
      </w:pPr>
      <w:r>
        <w:rPr>
          <w:rFonts w:hint="eastAsia" w:cs="Arial"/>
          <w:szCs w:val="21"/>
        </w:rPr>
        <w:t>4</w:t>
      </w:r>
      <w:r>
        <w:rPr>
          <w:rFonts w:cs="Arial"/>
          <w:szCs w:val="21"/>
        </w:rPr>
        <w:t>、</w:t>
      </w:r>
      <w:r>
        <w:rPr>
          <w:rFonts w:hint="eastAsia"/>
        </w:rPr>
        <w:t>基金管理人可以在不违反法律法规规定及基金合同约定且对基金份额持有人利益无实质性不利影响的情形下根据市场情况制定基金促销计划，定期或不定期地开展基金促销活动。在基金促销活动期间，基金管理人可以按中国证监会要求履行必要手续后，对投资人适当调低基金申购费率和销售服务费率。</w:t>
      </w:r>
    </w:p>
    <w:p w14:paraId="5E9CE0A3">
      <w:pPr>
        <w:snapToGrid w:val="0"/>
        <w:spacing w:line="360" w:lineRule="auto"/>
        <w:ind w:firstLine="420" w:firstLineChars="200"/>
      </w:pPr>
      <w:r>
        <w:rPr>
          <w:rFonts w:hint="eastAsia"/>
        </w:rPr>
        <w:t>5、当本基金发生大额申购或赎回情形时，基金管理人可以采用摆动定价机制，以确保基金估值的公平性。具体处理原则与操作规范遵循相关法律法规以及监管部门、自律规则的规定。</w:t>
      </w:r>
    </w:p>
    <w:bookmarkEnd w:id="30"/>
    <w:p w14:paraId="5BF50D2E">
      <w:pPr>
        <w:tabs>
          <w:tab w:val="left" w:pos="1110"/>
        </w:tabs>
        <w:snapToGrid w:val="0"/>
        <w:spacing w:line="360" w:lineRule="auto"/>
        <w:ind w:firstLine="422" w:firstLineChars="200"/>
        <w:rPr>
          <w:rFonts w:cs="Arial"/>
          <w:b/>
          <w:bCs/>
          <w:szCs w:val="21"/>
        </w:rPr>
      </w:pPr>
      <w:r>
        <w:rPr>
          <w:rFonts w:cs="Arial"/>
          <w:b/>
          <w:bCs/>
          <w:szCs w:val="21"/>
        </w:rPr>
        <w:t>七、</w:t>
      </w:r>
      <w:r>
        <w:rPr>
          <w:rFonts w:hint="eastAsia" w:cs="Arial"/>
          <w:b/>
          <w:bCs/>
          <w:szCs w:val="21"/>
        </w:rPr>
        <w:t>A类基金份额与C类基金份额的</w:t>
      </w:r>
      <w:r>
        <w:rPr>
          <w:rFonts w:cs="Arial"/>
          <w:b/>
          <w:bCs/>
          <w:szCs w:val="21"/>
        </w:rPr>
        <w:t>申购份额与赎回金额的计算方式</w:t>
      </w:r>
    </w:p>
    <w:p w14:paraId="5AA3FA70">
      <w:pPr>
        <w:snapToGrid w:val="0"/>
        <w:spacing w:line="360" w:lineRule="auto"/>
        <w:ind w:firstLine="420" w:firstLineChars="200"/>
        <w:rPr>
          <w:rFonts w:cs="Arial"/>
          <w:szCs w:val="21"/>
        </w:rPr>
      </w:pPr>
      <w:r>
        <w:rPr>
          <w:rFonts w:cs="Arial"/>
          <w:szCs w:val="21"/>
        </w:rPr>
        <w:t>1、申购份额的计算方式：</w:t>
      </w:r>
    </w:p>
    <w:p w14:paraId="231FA66F">
      <w:pPr>
        <w:snapToGrid w:val="0"/>
        <w:spacing w:line="360" w:lineRule="auto"/>
        <w:ind w:firstLine="420" w:firstLineChars="200"/>
        <w:rPr>
          <w:rFonts w:cs="Arial"/>
        </w:rPr>
      </w:pPr>
      <w:r>
        <w:rPr>
          <w:rFonts w:hint="eastAsia" w:cs="Arial"/>
        </w:rPr>
        <w:t>（1）A类基金份额的计算</w:t>
      </w:r>
    </w:p>
    <w:p w14:paraId="475FEE72">
      <w:pPr>
        <w:snapToGrid w:val="0"/>
        <w:spacing w:line="360" w:lineRule="auto"/>
        <w:ind w:firstLine="420" w:firstLineChars="200"/>
        <w:rPr>
          <w:rFonts w:hint="eastAsia" w:cs="Arial"/>
        </w:rPr>
      </w:pPr>
      <w:r>
        <w:rPr>
          <w:rFonts w:hint="eastAsia" w:cs="Arial"/>
        </w:rPr>
        <w:t>若投资者选择通过直销机构申购A类基金份额，则申购份额的计算公式为：</w:t>
      </w:r>
    </w:p>
    <w:p w14:paraId="3189E723">
      <w:pPr>
        <w:snapToGrid w:val="0"/>
        <w:spacing w:line="360" w:lineRule="auto"/>
        <w:ind w:firstLine="420" w:firstLineChars="200"/>
        <w:rPr>
          <w:rFonts w:cs="Arial"/>
        </w:rPr>
      </w:pPr>
      <w:r>
        <w:rPr>
          <w:rFonts w:hint="eastAsia" w:cs="Arial"/>
        </w:rPr>
        <w:t>申购份额＝申购金额/申购当日A类基金份额的基金份额净值</w:t>
      </w:r>
    </w:p>
    <w:p w14:paraId="034CAC1F">
      <w:pPr>
        <w:snapToGrid w:val="0"/>
        <w:spacing w:line="360" w:lineRule="auto"/>
        <w:ind w:firstLine="420" w:firstLineChars="200"/>
        <w:rPr>
          <w:rFonts w:hint="eastAsia" w:cs="Arial"/>
        </w:rPr>
      </w:pPr>
      <w:r>
        <w:rPr>
          <w:rFonts w:hint="eastAsia" w:cs="Arial"/>
        </w:rPr>
        <w:t>若投资者选择通过其他销售机构申购A类基金份额，则申购份额的计算公式为：</w:t>
      </w:r>
    </w:p>
    <w:p w14:paraId="4EF73FA0">
      <w:pPr>
        <w:snapToGrid w:val="0"/>
        <w:spacing w:line="360" w:lineRule="auto"/>
        <w:ind w:firstLine="420" w:firstLineChars="200"/>
        <w:rPr>
          <w:rFonts w:cs="Arial"/>
          <w:szCs w:val="21"/>
        </w:rPr>
      </w:pPr>
      <w:r>
        <w:rPr>
          <w:rFonts w:hint="eastAsia" w:cs="Arial"/>
        </w:rPr>
        <w:t>1）</w:t>
      </w:r>
      <w:r>
        <w:rPr>
          <w:rFonts w:hint="eastAsia" w:cs="Arial"/>
          <w:szCs w:val="21"/>
        </w:rPr>
        <w:t>当申购费适用比例费率时，申购份额的计算公式如下：</w:t>
      </w:r>
    </w:p>
    <w:p w14:paraId="4443D5E0">
      <w:pPr>
        <w:snapToGrid w:val="0"/>
        <w:spacing w:line="360" w:lineRule="auto"/>
        <w:ind w:firstLine="420" w:firstLineChars="200"/>
        <w:rPr>
          <w:rFonts w:cs="Arial"/>
        </w:rPr>
      </w:pPr>
      <w:r>
        <w:rPr>
          <w:rFonts w:hint="eastAsia" w:cs="Arial"/>
        </w:rPr>
        <w:t>净申购金额</w:t>
      </w:r>
      <w:r>
        <w:rPr>
          <w:rFonts w:cs="Arial"/>
        </w:rPr>
        <w:t>=</w:t>
      </w:r>
      <w:r>
        <w:rPr>
          <w:rFonts w:hint="eastAsia" w:cs="Arial"/>
        </w:rPr>
        <w:t>申购金额</w:t>
      </w:r>
      <w:r>
        <w:rPr>
          <w:rFonts w:cs="Arial"/>
        </w:rPr>
        <w:t>/</w:t>
      </w:r>
      <w:r>
        <w:rPr>
          <w:rFonts w:hint="eastAsia" w:cs="Arial"/>
        </w:rPr>
        <w:t>（</w:t>
      </w:r>
      <w:r>
        <w:rPr>
          <w:rFonts w:cs="Arial"/>
        </w:rPr>
        <w:t>1+</w:t>
      </w:r>
      <w:r>
        <w:rPr>
          <w:rFonts w:hint="eastAsia" w:cs="Arial"/>
        </w:rPr>
        <w:t>申购费率）</w:t>
      </w:r>
    </w:p>
    <w:p w14:paraId="57971A5B">
      <w:pPr>
        <w:snapToGrid w:val="0"/>
        <w:spacing w:line="360" w:lineRule="auto"/>
        <w:ind w:firstLine="420" w:firstLineChars="200"/>
        <w:rPr>
          <w:rFonts w:cs="Arial"/>
        </w:rPr>
      </w:pPr>
      <w:r>
        <w:rPr>
          <w:rFonts w:hint="eastAsia" w:cs="Arial"/>
        </w:rPr>
        <w:t>申购费用</w:t>
      </w:r>
      <w:r>
        <w:rPr>
          <w:rFonts w:cs="Arial"/>
        </w:rPr>
        <w:t>=</w:t>
      </w:r>
      <w:r>
        <w:rPr>
          <w:rFonts w:hint="eastAsia" w:cs="Arial"/>
        </w:rPr>
        <w:t>申购金额－净申购金额</w:t>
      </w:r>
    </w:p>
    <w:p w14:paraId="78489C57">
      <w:pPr>
        <w:snapToGrid w:val="0"/>
        <w:spacing w:line="360" w:lineRule="auto"/>
        <w:ind w:firstLine="420" w:firstLineChars="200"/>
        <w:rPr>
          <w:rFonts w:cs="Arial"/>
        </w:rPr>
      </w:pPr>
      <w:r>
        <w:rPr>
          <w:rFonts w:hint="eastAsia" w:cs="Arial"/>
        </w:rPr>
        <w:t>申购份额</w:t>
      </w:r>
      <w:r>
        <w:rPr>
          <w:rFonts w:cs="Arial"/>
        </w:rPr>
        <w:t>=</w:t>
      </w:r>
      <w:r>
        <w:rPr>
          <w:rFonts w:hint="eastAsia" w:cs="Arial"/>
        </w:rPr>
        <w:t>净申购金额</w:t>
      </w:r>
      <w:r>
        <w:rPr>
          <w:rFonts w:cs="Arial"/>
        </w:rPr>
        <w:t>/T</w:t>
      </w:r>
      <w:r>
        <w:rPr>
          <w:rFonts w:hint="eastAsia" w:cs="Arial"/>
        </w:rPr>
        <w:t>日A类基金份额净值</w:t>
      </w:r>
    </w:p>
    <w:p w14:paraId="4ABD01FA">
      <w:pPr>
        <w:snapToGrid w:val="0"/>
        <w:spacing w:line="360" w:lineRule="auto"/>
        <w:ind w:firstLine="420" w:firstLineChars="200"/>
        <w:rPr>
          <w:rFonts w:cs="Arial"/>
        </w:rPr>
      </w:pPr>
      <w:r>
        <w:rPr>
          <w:rFonts w:hint="eastAsia" w:cs="Arial"/>
        </w:rPr>
        <w:t>2）当申购费用为固定金额时，申购份额的计算方法如下：</w:t>
      </w:r>
    </w:p>
    <w:p w14:paraId="21CD45AA">
      <w:pPr>
        <w:snapToGrid w:val="0"/>
        <w:spacing w:line="360" w:lineRule="auto"/>
        <w:ind w:firstLine="420" w:firstLineChars="200"/>
        <w:rPr>
          <w:rFonts w:cs="Arial"/>
        </w:rPr>
      </w:pPr>
      <w:r>
        <w:rPr>
          <w:rFonts w:hint="eastAsia" w:cs="Arial"/>
        </w:rPr>
        <w:t>申购费用＝固定费用</w:t>
      </w:r>
    </w:p>
    <w:p w14:paraId="082AAB46">
      <w:pPr>
        <w:snapToGrid w:val="0"/>
        <w:spacing w:line="360" w:lineRule="auto"/>
        <w:ind w:firstLine="420" w:firstLineChars="200"/>
        <w:rPr>
          <w:rFonts w:cs="Arial"/>
        </w:rPr>
      </w:pPr>
      <w:r>
        <w:rPr>
          <w:rFonts w:hint="eastAsia" w:cs="Arial"/>
        </w:rPr>
        <w:t>净申购金额＝申购金额－申购费用</w:t>
      </w:r>
    </w:p>
    <w:p w14:paraId="5AE39C25">
      <w:pPr>
        <w:snapToGrid w:val="0"/>
        <w:spacing w:line="360" w:lineRule="auto"/>
        <w:ind w:firstLine="420" w:firstLineChars="200"/>
        <w:rPr>
          <w:rFonts w:cs="Arial"/>
        </w:rPr>
      </w:pPr>
      <w:r>
        <w:rPr>
          <w:rFonts w:hint="eastAsia" w:cs="Arial"/>
        </w:rPr>
        <w:t>申购份额＝净申购金额/T日A类基金份额净值</w:t>
      </w:r>
    </w:p>
    <w:p w14:paraId="0A422A7E">
      <w:pPr>
        <w:snapToGrid w:val="0"/>
        <w:spacing w:line="360" w:lineRule="auto"/>
        <w:ind w:firstLine="420" w:firstLineChars="200"/>
        <w:rPr>
          <w:rFonts w:hint="eastAsia" w:cs="Arial"/>
        </w:rPr>
      </w:pPr>
      <w:r>
        <w:rPr>
          <w:rFonts w:hint="eastAsia" w:cs="Arial"/>
        </w:rPr>
        <w:t>（2）C类基金份额</w:t>
      </w:r>
    </w:p>
    <w:p w14:paraId="398A223E">
      <w:pPr>
        <w:snapToGrid w:val="0"/>
        <w:spacing w:line="360" w:lineRule="auto"/>
        <w:ind w:firstLine="420" w:firstLineChars="200"/>
        <w:rPr>
          <w:rFonts w:hint="eastAsia" w:cs="Arial"/>
        </w:rPr>
      </w:pPr>
      <w:r>
        <w:rPr>
          <w:rFonts w:hint="eastAsia" w:cs="Arial"/>
        </w:rPr>
        <w:t>申购份额＝申购金额/T日C类基金份额净值</w:t>
      </w:r>
    </w:p>
    <w:p w14:paraId="5BCF9456">
      <w:pPr>
        <w:snapToGrid w:val="0"/>
        <w:spacing w:line="360" w:lineRule="auto"/>
        <w:ind w:firstLine="420" w:firstLineChars="200"/>
        <w:rPr>
          <w:rFonts w:cs="Arial"/>
        </w:rPr>
      </w:pPr>
      <w:r>
        <w:rPr>
          <w:rFonts w:hint="eastAsia" w:cs="Arial"/>
        </w:rPr>
        <w:t>（3）上述计算结果按照四舍五入方法，保留小数点后两位，由此产生的收益或损失由基金财产承担。</w:t>
      </w:r>
    </w:p>
    <w:p w14:paraId="36D60E9A">
      <w:pPr>
        <w:snapToGrid w:val="0"/>
        <w:spacing w:line="360" w:lineRule="auto"/>
        <w:ind w:firstLine="420" w:firstLineChars="200"/>
        <w:rPr>
          <w:rFonts w:cs="Arial"/>
        </w:rPr>
      </w:pPr>
      <w:r>
        <w:rPr>
          <w:rFonts w:hint="eastAsia" w:cs="Arial"/>
        </w:rPr>
        <w:t>例1：某投资者通过直销机构投资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w:t>
      </w:r>
      <w:r>
        <w:rPr>
          <w:rFonts w:cs="Arial"/>
        </w:rPr>
        <w:t>A</w:t>
      </w:r>
      <w:r>
        <w:rPr>
          <w:rFonts w:hint="eastAsia" w:cs="Arial"/>
        </w:rPr>
        <w:t>类基金份额，且该申购申请被全额确认，假定申购当日</w:t>
      </w:r>
      <w:r>
        <w:rPr>
          <w:rFonts w:cs="Arial"/>
        </w:rPr>
        <w:t>A</w:t>
      </w:r>
      <w:r>
        <w:rPr>
          <w:rFonts w:hint="eastAsia" w:cs="Arial"/>
        </w:rPr>
        <w:t>类基金份额净值为</w:t>
      </w:r>
      <w:r>
        <w:rPr>
          <w:rFonts w:cs="Arial"/>
        </w:rPr>
        <w:t>1.</w:t>
      </w:r>
      <w:r>
        <w:rPr>
          <w:rFonts w:hint="eastAsia" w:cs="Arial"/>
        </w:rPr>
        <w:t>15</w:t>
      </w:r>
      <w:r>
        <w:rPr>
          <w:rFonts w:cs="Arial"/>
        </w:rPr>
        <w:t>0</w:t>
      </w:r>
      <w:r>
        <w:rPr>
          <w:rFonts w:hint="eastAsia" w:cs="Arial"/>
        </w:rPr>
        <w:t>0元，则可得到的</w:t>
      </w:r>
      <w:r>
        <w:rPr>
          <w:rFonts w:cs="Arial"/>
        </w:rPr>
        <w:t>A</w:t>
      </w:r>
      <w:r>
        <w:rPr>
          <w:rFonts w:hint="eastAsia" w:cs="Arial"/>
        </w:rPr>
        <w:t>类基金份额为：</w:t>
      </w:r>
    </w:p>
    <w:p w14:paraId="55ECDBEE">
      <w:pPr>
        <w:snapToGrid w:val="0"/>
        <w:spacing w:line="360" w:lineRule="auto"/>
        <w:ind w:firstLine="420" w:firstLineChars="200"/>
        <w:rPr>
          <w:rFonts w:cs="Arial"/>
        </w:rPr>
      </w:pPr>
      <w:r>
        <w:rPr>
          <w:rFonts w:hint="eastAsia" w:cs="Arial"/>
        </w:rPr>
        <w:t>申购份额＝</w:t>
      </w:r>
      <w:r>
        <w:rPr>
          <w:rFonts w:cs="Arial"/>
        </w:rPr>
        <w:t>1</w:t>
      </w:r>
      <w:r>
        <w:rPr>
          <w:rFonts w:hint="eastAsia" w:cs="Arial"/>
        </w:rPr>
        <w:t>0</w:t>
      </w:r>
      <w:r>
        <w:rPr>
          <w:rFonts w:cs="Arial"/>
        </w:rPr>
        <w:t>,</w:t>
      </w:r>
      <w:r>
        <w:rPr>
          <w:rFonts w:hint="eastAsia" w:cs="Arial"/>
        </w:rPr>
        <w:t>0</w:t>
      </w:r>
      <w:r>
        <w:rPr>
          <w:rFonts w:cs="Arial"/>
        </w:rPr>
        <w:t>00</w:t>
      </w:r>
      <w:r>
        <w:rPr>
          <w:rFonts w:hint="eastAsia" w:cs="Arial"/>
        </w:rPr>
        <w:t>/</w:t>
      </w:r>
      <w:r>
        <w:rPr>
          <w:rFonts w:cs="Arial"/>
        </w:rPr>
        <w:t>1.</w:t>
      </w:r>
      <w:r>
        <w:rPr>
          <w:rFonts w:hint="eastAsia" w:cs="Arial"/>
        </w:rPr>
        <w:t>15</w:t>
      </w:r>
      <w:r>
        <w:rPr>
          <w:rFonts w:cs="Arial"/>
        </w:rPr>
        <w:t>0</w:t>
      </w:r>
      <w:r>
        <w:rPr>
          <w:rFonts w:hint="eastAsia" w:cs="Arial"/>
        </w:rPr>
        <w:t>0＝8</w:t>
      </w:r>
      <w:r>
        <w:rPr>
          <w:rFonts w:cs="Arial"/>
        </w:rPr>
        <w:t>695.65</w:t>
      </w:r>
      <w:r>
        <w:rPr>
          <w:rFonts w:hint="eastAsia" w:cs="Arial"/>
        </w:rPr>
        <w:t>份</w:t>
      </w:r>
    </w:p>
    <w:p w14:paraId="76124D6E">
      <w:pPr>
        <w:snapToGrid w:val="0"/>
        <w:spacing w:line="360" w:lineRule="auto"/>
        <w:ind w:firstLine="420" w:firstLineChars="200"/>
        <w:rPr>
          <w:rFonts w:cs="Arial"/>
        </w:rPr>
      </w:pPr>
      <w:r>
        <w:rPr>
          <w:rFonts w:hint="eastAsia" w:cs="Arial"/>
        </w:rPr>
        <w:t>即：投资者选择通过直销机构投资</w:t>
      </w:r>
      <w:r>
        <w:rPr>
          <w:rFonts w:cs="Arial"/>
        </w:rPr>
        <w:t>10,</w:t>
      </w:r>
      <w:r>
        <w:rPr>
          <w:rFonts w:hint="eastAsia" w:cs="Arial"/>
        </w:rPr>
        <w:t>0</w:t>
      </w:r>
      <w:r>
        <w:rPr>
          <w:rFonts w:cs="Arial"/>
        </w:rPr>
        <w:t>00</w:t>
      </w:r>
      <w:r>
        <w:rPr>
          <w:rFonts w:hint="eastAsia" w:cs="Arial"/>
        </w:rPr>
        <w:t>元申购本基金A类基金份额，假定申购当日A类基金份额净值为</w:t>
      </w:r>
      <w:r>
        <w:rPr>
          <w:rFonts w:cs="Arial"/>
        </w:rPr>
        <w:t>1.</w:t>
      </w:r>
      <w:r>
        <w:rPr>
          <w:rFonts w:hint="eastAsia" w:cs="Arial"/>
        </w:rPr>
        <w:t>15</w:t>
      </w:r>
      <w:r>
        <w:rPr>
          <w:rFonts w:cs="Arial"/>
        </w:rPr>
        <w:t>0</w:t>
      </w:r>
      <w:r>
        <w:rPr>
          <w:rFonts w:hint="eastAsia" w:cs="Arial"/>
        </w:rPr>
        <w:t>0元，可得到8</w:t>
      </w:r>
      <w:r>
        <w:rPr>
          <w:rFonts w:cs="Arial"/>
        </w:rPr>
        <w:t>695.65</w:t>
      </w:r>
      <w:r>
        <w:rPr>
          <w:rFonts w:hint="eastAsia" w:cs="Arial"/>
        </w:rPr>
        <w:t>份A类基金份额。</w:t>
      </w:r>
    </w:p>
    <w:p w14:paraId="44805DA7">
      <w:pPr>
        <w:snapToGrid w:val="0"/>
        <w:spacing w:line="360" w:lineRule="auto"/>
        <w:ind w:firstLine="420" w:firstLineChars="200"/>
        <w:rPr>
          <w:rFonts w:cs="Arial"/>
        </w:rPr>
      </w:pPr>
      <w:r>
        <w:rPr>
          <w:rFonts w:hint="eastAsia" w:cs="Arial"/>
        </w:rPr>
        <w:t>例2：某投资者通过其他销售机构投资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元申购本基金A类基金份额，且该申购申请被全额确认，对应的申购费率为0</w:t>
      </w:r>
      <w:r>
        <w:rPr>
          <w:rFonts w:cs="Arial"/>
        </w:rPr>
        <w:t>.5</w:t>
      </w:r>
      <w:r>
        <w:rPr>
          <w:rFonts w:hint="eastAsia" w:cs="Arial"/>
        </w:rPr>
        <w:t>0%，假定申购当日A类基金份额净值为</w:t>
      </w:r>
      <w:r>
        <w:rPr>
          <w:rFonts w:cs="Arial"/>
        </w:rPr>
        <w:t>1.</w:t>
      </w:r>
      <w:r>
        <w:rPr>
          <w:rFonts w:hint="eastAsia" w:cs="Arial"/>
        </w:rPr>
        <w:t>15</w:t>
      </w:r>
      <w:r>
        <w:rPr>
          <w:rFonts w:cs="Arial"/>
        </w:rPr>
        <w:t>0</w:t>
      </w:r>
      <w:r>
        <w:rPr>
          <w:rFonts w:hint="eastAsia" w:cs="Arial"/>
        </w:rPr>
        <w:t>0元，则可得到的A类基金份额为：</w:t>
      </w:r>
    </w:p>
    <w:p w14:paraId="604330A7">
      <w:pPr>
        <w:snapToGrid w:val="0"/>
        <w:spacing w:line="360" w:lineRule="auto"/>
        <w:ind w:firstLine="420" w:firstLineChars="200"/>
        <w:rPr>
          <w:rFonts w:cs="Arial"/>
        </w:rPr>
      </w:pPr>
      <w:r>
        <w:rPr>
          <w:rFonts w:hint="eastAsia" w:cs="Arial"/>
        </w:rPr>
        <w:t>净申购金额＝</w:t>
      </w:r>
      <w:r>
        <w:rPr>
          <w:rFonts w:cs="Arial"/>
        </w:rPr>
        <w:t>10,</w:t>
      </w:r>
      <w:r>
        <w:rPr>
          <w:rFonts w:hint="eastAsia" w:cs="Arial"/>
        </w:rPr>
        <w:t>0</w:t>
      </w:r>
      <w:r>
        <w:rPr>
          <w:rFonts w:cs="Arial"/>
        </w:rPr>
        <w:t>00/(1+</w:t>
      </w:r>
      <w:r>
        <w:rPr>
          <w:rFonts w:hint="eastAsia" w:cs="Arial"/>
        </w:rPr>
        <w:t>0</w:t>
      </w:r>
      <w:r>
        <w:rPr>
          <w:rFonts w:cs="Arial"/>
        </w:rPr>
        <w:t>.5</w:t>
      </w:r>
      <w:r>
        <w:rPr>
          <w:rFonts w:hint="eastAsia" w:cs="Arial"/>
        </w:rPr>
        <w:t>0</w:t>
      </w:r>
      <w:r>
        <w:rPr>
          <w:rFonts w:cs="Arial"/>
        </w:rPr>
        <w:t>%)</w:t>
      </w:r>
      <w:r>
        <w:rPr>
          <w:rFonts w:hint="eastAsia" w:cs="Arial"/>
        </w:rPr>
        <w:t>＝9,9</w:t>
      </w:r>
      <w:r>
        <w:rPr>
          <w:rFonts w:cs="Arial"/>
        </w:rPr>
        <w:t>5</w:t>
      </w:r>
      <w:r>
        <w:rPr>
          <w:rFonts w:hint="eastAsia" w:cs="Arial"/>
        </w:rPr>
        <w:t>0.</w:t>
      </w:r>
      <w:r>
        <w:rPr>
          <w:rFonts w:cs="Arial"/>
        </w:rPr>
        <w:t>25</w:t>
      </w:r>
      <w:r>
        <w:rPr>
          <w:rFonts w:hint="eastAsia" w:cs="Arial"/>
        </w:rPr>
        <w:t>元</w:t>
      </w:r>
    </w:p>
    <w:p w14:paraId="0BE7BDF5">
      <w:pPr>
        <w:snapToGrid w:val="0"/>
        <w:spacing w:line="360" w:lineRule="auto"/>
        <w:ind w:firstLine="420" w:firstLineChars="200"/>
        <w:rPr>
          <w:rFonts w:cs="Arial"/>
        </w:rPr>
      </w:pPr>
      <w:r>
        <w:rPr>
          <w:rFonts w:hint="eastAsia" w:cs="Arial"/>
        </w:rPr>
        <w:t>申购费用＝</w:t>
      </w:r>
      <w:r>
        <w:rPr>
          <w:rFonts w:cs="Arial"/>
        </w:rPr>
        <w:t>10,</w:t>
      </w:r>
      <w:r>
        <w:rPr>
          <w:rFonts w:hint="eastAsia" w:cs="Arial"/>
        </w:rPr>
        <w:t>0</w:t>
      </w:r>
      <w:r>
        <w:rPr>
          <w:rFonts w:cs="Arial"/>
        </w:rPr>
        <w:t>00</w:t>
      </w:r>
      <w:r>
        <w:rPr>
          <w:rFonts w:hint="eastAsia" w:cs="Arial"/>
        </w:rPr>
        <w:t>－</w:t>
      </w:r>
      <w:r>
        <w:rPr>
          <w:rFonts w:cs="Arial"/>
        </w:rPr>
        <w:t>9,950.25</w:t>
      </w:r>
      <w:r>
        <w:rPr>
          <w:rFonts w:hint="eastAsia" w:cs="Arial"/>
        </w:rPr>
        <w:t>＝</w:t>
      </w:r>
      <w:r>
        <w:rPr>
          <w:rFonts w:cs="Arial"/>
        </w:rPr>
        <w:t>49.75</w:t>
      </w:r>
      <w:r>
        <w:rPr>
          <w:rFonts w:hint="eastAsia" w:cs="Arial"/>
        </w:rPr>
        <w:t>元</w:t>
      </w:r>
    </w:p>
    <w:p w14:paraId="5A76D15E">
      <w:pPr>
        <w:snapToGrid w:val="0"/>
        <w:spacing w:line="360" w:lineRule="auto"/>
        <w:ind w:firstLine="420" w:firstLineChars="200"/>
        <w:rPr>
          <w:rFonts w:cs="Arial"/>
        </w:rPr>
      </w:pPr>
      <w:r>
        <w:rPr>
          <w:rFonts w:hint="eastAsia" w:cs="Arial"/>
        </w:rPr>
        <w:t>申购份额＝</w:t>
      </w:r>
      <w:r>
        <w:rPr>
          <w:rFonts w:cs="Arial"/>
        </w:rPr>
        <w:t>9,950.25/1.</w:t>
      </w:r>
      <w:r>
        <w:rPr>
          <w:rFonts w:hint="eastAsia" w:cs="Arial"/>
        </w:rPr>
        <w:t>15</w:t>
      </w:r>
      <w:r>
        <w:rPr>
          <w:rFonts w:cs="Arial"/>
        </w:rPr>
        <w:t>0</w:t>
      </w:r>
      <w:r>
        <w:rPr>
          <w:rFonts w:hint="eastAsia" w:cs="Arial"/>
        </w:rPr>
        <w:t>0</w:t>
      </w:r>
      <w:r>
        <w:rPr>
          <w:rFonts w:cs="Arial"/>
        </w:rPr>
        <w:t>=</w:t>
      </w:r>
      <w:r>
        <w:rPr>
          <w:rFonts w:hint="eastAsia" w:cs="Arial"/>
        </w:rPr>
        <w:t>8</w:t>
      </w:r>
      <w:r>
        <w:rPr>
          <w:rFonts w:cs="Arial"/>
        </w:rPr>
        <w:t>,</w:t>
      </w:r>
      <w:r>
        <w:rPr>
          <w:rFonts w:hint="eastAsia" w:cs="Arial"/>
        </w:rPr>
        <w:t>6</w:t>
      </w:r>
      <w:r>
        <w:rPr>
          <w:rFonts w:cs="Arial"/>
        </w:rPr>
        <w:t>52.39</w:t>
      </w:r>
      <w:r>
        <w:rPr>
          <w:rFonts w:hint="eastAsia" w:cs="Arial"/>
        </w:rPr>
        <w:t>份</w:t>
      </w:r>
    </w:p>
    <w:p w14:paraId="63AFA834">
      <w:pPr>
        <w:snapToGrid w:val="0"/>
        <w:spacing w:line="360" w:lineRule="auto"/>
        <w:ind w:firstLine="420" w:firstLineChars="200"/>
        <w:rPr>
          <w:rFonts w:cs="Arial"/>
        </w:rPr>
      </w:pPr>
      <w:r>
        <w:rPr>
          <w:rFonts w:hint="eastAsia" w:cs="Arial"/>
        </w:rPr>
        <w:t>即：投资者选择通过其他销售机构投资</w:t>
      </w:r>
      <w:r>
        <w:rPr>
          <w:rFonts w:cs="Arial"/>
        </w:rPr>
        <w:t>10,</w:t>
      </w:r>
      <w:r>
        <w:rPr>
          <w:rFonts w:hint="eastAsia" w:cs="Arial"/>
        </w:rPr>
        <w:t>0</w:t>
      </w:r>
      <w:r>
        <w:rPr>
          <w:rFonts w:cs="Arial"/>
        </w:rPr>
        <w:t>00</w:t>
      </w:r>
      <w:r>
        <w:rPr>
          <w:rFonts w:hint="eastAsia" w:cs="Arial"/>
        </w:rPr>
        <w:t>元申购本基金A类基金份额，假定申购当日A类基金份额净值为</w:t>
      </w:r>
      <w:r>
        <w:rPr>
          <w:rFonts w:cs="Arial"/>
        </w:rPr>
        <w:t>1.</w:t>
      </w:r>
      <w:r>
        <w:rPr>
          <w:rFonts w:hint="eastAsia" w:cs="Arial"/>
        </w:rPr>
        <w:t>15</w:t>
      </w:r>
      <w:r>
        <w:rPr>
          <w:rFonts w:cs="Arial"/>
        </w:rPr>
        <w:t>0</w:t>
      </w:r>
      <w:r>
        <w:rPr>
          <w:rFonts w:hint="eastAsia" w:cs="Arial"/>
        </w:rPr>
        <w:t>0元，可得到</w:t>
      </w:r>
      <w:r>
        <w:rPr>
          <w:rFonts w:cs="Arial"/>
        </w:rPr>
        <w:t>8,652.39</w:t>
      </w:r>
      <w:r>
        <w:rPr>
          <w:rFonts w:hint="eastAsia" w:cs="Arial"/>
        </w:rPr>
        <w:t>份A类基金份额。</w:t>
      </w:r>
    </w:p>
    <w:p w14:paraId="13AB28A8">
      <w:pPr>
        <w:snapToGrid w:val="0"/>
        <w:spacing w:line="360" w:lineRule="auto"/>
        <w:ind w:firstLine="420" w:firstLineChars="200"/>
        <w:rPr>
          <w:rFonts w:cs="Arial"/>
        </w:rPr>
      </w:pPr>
      <w:r>
        <w:rPr>
          <w:rFonts w:hint="eastAsia" w:cs="Arial"/>
        </w:rPr>
        <w:t>例</w:t>
      </w:r>
      <w:r>
        <w:rPr>
          <w:rFonts w:cs="Arial"/>
        </w:rPr>
        <w:t>3</w:t>
      </w:r>
      <w:r>
        <w:rPr>
          <w:rFonts w:hint="eastAsia" w:cs="Arial"/>
        </w:rPr>
        <w:t>：某投资者投资</w:t>
      </w:r>
      <w:r>
        <w:rPr>
          <w:rFonts w:cs="Arial"/>
        </w:rPr>
        <w:t>1</w:t>
      </w:r>
      <w:r>
        <w:rPr>
          <w:rFonts w:hint="eastAsia" w:cs="Arial"/>
        </w:rPr>
        <w:t>0</w:t>
      </w:r>
      <w:r>
        <w:rPr>
          <w:rFonts w:cs="Arial"/>
        </w:rPr>
        <w:t>,</w:t>
      </w:r>
      <w:r>
        <w:rPr>
          <w:rFonts w:hint="eastAsia" w:cs="Arial"/>
        </w:rPr>
        <w:t>0</w:t>
      </w:r>
      <w:r>
        <w:rPr>
          <w:rFonts w:cs="Arial"/>
        </w:rPr>
        <w:t>00</w:t>
      </w:r>
      <w:r>
        <w:rPr>
          <w:rFonts w:hint="eastAsia" w:cs="Arial"/>
        </w:rPr>
        <w:t>元申购本基金</w:t>
      </w:r>
      <w:r>
        <w:rPr>
          <w:rFonts w:cs="Arial"/>
        </w:rPr>
        <w:t>C</w:t>
      </w:r>
      <w:r>
        <w:rPr>
          <w:rFonts w:hint="eastAsia" w:cs="Arial"/>
        </w:rPr>
        <w:t>类基金份额，且该申购申请被全额确认，假定申购当日C类基金份额净值为</w:t>
      </w:r>
      <w:r>
        <w:rPr>
          <w:rFonts w:cs="Arial"/>
        </w:rPr>
        <w:t>1.</w:t>
      </w:r>
      <w:r>
        <w:rPr>
          <w:rFonts w:hint="eastAsia" w:cs="Arial"/>
        </w:rPr>
        <w:t>15</w:t>
      </w:r>
      <w:r>
        <w:rPr>
          <w:rFonts w:cs="Arial"/>
        </w:rPr>
        <w:t>0</w:t>
      </w:r>
      <w:r>
        <w:rPr>
          <w:rFonts w:hint="eastAsia" w:cs="Arial"/>
        </w:rPr>
        <w:t>0元，则可得到的C类基金份额为：</w:t>
      </w:r>
    </w:p>
    <w:p w14:paraId="38F9698D">
      <w:pPr>
        <w:snapToGrid w:val="0"/>
        <w:spacing w:line="360" w:lineRule="auto"/>
        <w:ind w:firstLine="420" w:firstLineChars="200"/>
        <w:rPr>
          <w:rFonts w:cs="Arial"/>
        </w:rPr>
      </w:pPr>
      <w:r>
        <w:rPr>
          <w:rFonts w:hint="eastAsia" w:cs="Arial"/>
        </w:rPr>
        <w:t>申购份额＝</w:t>
      </w:r>
      <w:r>
        <w:rPr>
          <w:rFonts w:cs="Arial"/>
        </w:rPr>
        <w:t>1</w:t>
      </w:r>
      <w:r>
        <w:rPr>
          <w:rFonts w:hint="eastAsia" w:cs="Arial"/>
        </w:rPr>
        <w:t>0</w:t>
      </w:r>
      <w:r>
        <w:rPr>
          <w:rFonts w:cs="Arial"/>
        </w:rPr>
        <w:t>,</w:t>
      </w:r>
      <w:r>
        <w:rPr>
          <w:rFonts w:hint="eastAsia" w:cs="Arial"/>
        </w:rPr>
        <w:t>0</w:t>
      </w:r>
      <w:r>
        <w:rPr>
          <w:rFonts w:cs="Arial"/>
        </w:rPr>
        <w:t>00</w:t>
      </w:r>
      <w:r>
        <w:rPr>
          <w:rFonts w:hint="eastAsia" w:cs="Arial"/>
        </w:rPr>
        <w:t>/</w:t>
      </w:r>
      <w:r>
        <w:rPr>
          <w:rFonts w:cs="Arial"/>
        </w:rPr>
        <w:t>1.</w:t>
      </w:r>
      <w:r>
        <w:rPr>
          <w:rFonts w:hint="eastAsia" w:cs="Arial"/>
        </w:rPr>
        <w:t>15</w:t>
      </w:r>
      <w:r>
        <w:rPr>
          <w:rFonts w:cs="Arial"/>
        </w:rPr>
        <w:t>0</w:t>
      </w:r>
      <w:r>
        <w:rPr>
          <w:rFonts w:hint="eastAsia" w:cs="Arial"/>
        </w:rPr>
        <w:t>0＝8</w:t>
      </w:r>
      <w:r>
        <w:rPr>
          <w:rFonts w:cs="Arial"/>
        </w:rPr>
        <w:t>695.65</w:t>
      </w:r>
      <w:r>
        <w:rPr>
          <w:rFonts w:hint="eastAsia" w:cs="Arial"/>
        </w:rPr>
        <w:t>份</w:t>
      </w:r>
    </w:p>
    <w:p w14:paraId="2013FFD4">
      <w:pPr>
        <w:snapToGrid w:val="0"/>
        <w:spacing w:line="360" w:lineRule="auto"/>
        <w:ind w:firstLine="420" w:firstLineChars="200"/>
        <w:rPr>
          <w:rFonts w:hint="eastAsia" w:cs="Arial"/>
        </w:rPr>
      </w:pPr>
      <w:r>
        <w:rPr>
          <w:rFonts w:hint="eastAsia" w:cs="Arial"/>
        </w:rPr>
        <w:t>即：投资者选择投资</w:t>
      </w:r>
      <w:r>
        <w:rPr>
          <w:rFonts w:cs="Arial"/>
        </w:rPr>
        <w:t>10,</w:t>
      </w:r>
      <w:r>
        <w:rPr>
          <w:rFonts w:hint="eastAsia" w:cs="Arial"/>
        </w:rPr>
        <w:t>0</w:t>
      </w:r>
      <w:r>
        <w:rPr>
          <w:rFonts w:cs="Arial"/>
        </w:rPr>
        <w:t>00</w:t>
      </w:r>
      <w:r>
        <w:rPr>
          <w:rFonts w:hint="eastAsia" w:cs="Arial"/>
        </w:rPr>
        <w:t>元申购本基金</w:t>
      </w:r>
      <w:r>
        <w:rPr>
          <w:rFonts w:cs="Arial"/>
        </w:rPr>
        <w:t>C</w:t>
      </w:r>
      <w:r>
        <w:rPr>
          <w:rFonts w:hint="eastAsia" w:cs="Arial"/>
        </w:rPr>
        <w:t>类基金份额，假定申购当日</w:t>
      </w:r>
      <w:r>
        <w:rPr>
          <w:rFonts w:cs="Arial"/>
        </w:rPr>
        <w:t>C</w:t>
      </w:r>
      <w:r>
        <w:rPr>
          <w:rFonts w:hint="eastAsia" w:cs="Arial"/>
        </w:rPr>
        <w:t>类基金份额净值为</w:t>
      </w:r>
      <w:r>
        <w:rPr>
          <w:rFonts w:cs="Arial"/>
        </w:rPr>
        <w:t>1.</w:t>
      </w:r>
      <w:r>
        <w:rPr>
          <w:rFonts w:hint="eastAsia" w:cs="Arial"/>
        </w:rPr>
        <w:t>15</w:t>
      </w:r>
      <w:r>
        <w:rPr>
          <w:rFonts w:cs="Arial"/>
        </w:rPr>
        <w:t>0</w:t>
      </w:r>
      <w:r>
        <w:rPr>
          <w:rFonts w:hint="eastAsia" w:cs="Arial"/>
        </w:rPr>
        <w:t>0元，可得到8</w:t>
      </w:r>
      <w:r>
        <w:rPr>
          <w:rFonts w:cs="Arial"/>
        </w:rPr>
        <w:t>695.65</w:t>
      </w:r>
      <w:r>
        <w:rPr>
          <w:rFonts w:hint="eastAsia" w:cs="Arial"/>
        </w:rPr>
        <w:t>份</w:t>
      </w:r>
      <w:r>
        <w:rPr>
          <w:rFonts w:cs="Arial"/>
        </w:rPr>
        <w:t>C</w:t>
      </w:r>
      <w:r>
        <w:rPr>
          <w:rFonts w:hint="eastAsia" w:cs="Arial"/>
        </w:rPr>
        <w:t>类基金份额。</w:t>
      </w:r>
    </w:p>
    <w:p w14:paraId="7CCFE7C8">
      <w:pPr>
        <w:snapToGrid w:val="0"/>
        <w:spacing w:line="360" w:lineRule="auto"/>
        <w:ind w:firstLine="420" w:firstLineChars="200"/>
        <w:rPr>
          <w:rFonts w:cs="Arial"/>
          <w:szCs w:val="21"/>
        </w:rPr>
      </w:pPr>
      <w:r>
        <w:rPr>
          <w:rFonts w:cs="Arial"/>
          <w:szCs w:val="21"/>
        </w:rPr>
        <w:t>2、赎回金额的计算方式：</w:t>
      </w:r>
    </w:p>
    <w:p w14:paraId="1EAF1E5E">
      <w:pPr>
        <w:snapToGrid w:val="0"/>
        <w:spacing w:line="360" w:lineRule="auto"/>
        <w:ind w:firstLine="420" w:firstLineChars="200"/>
        <w:rPr>
          <w:rFonts w:cs="Arial"/>
        </w:rPr>
      </w:pPr>
      <w:r>
        <w:rPr>
          <w:rFonts w:hint="eastAsia" w:cs="Arial"/>
        </w:rPr>
        <w:t>赎回总金额</w:t>
      </w:r>
      <w:r>
        <w:rPr>
          <w:rFonts w:cs="Arial"/>
        </w:rPr>
        <w:t>=</w:t>
      </w:r>
      <w:r>
        <w:rPr>
          <w:rFonts w:hint="eastAsia" w:cs="Arial"/>
        </w:rPr>
        <w:t>赎回份额×</w:t>
      </w:r>
      <w:r>
        <w:rPr>
          <w:rFonts w:cs="Arial"/>
        </w:rPr>
        <w:t>T</w:t>
      </w:r>
      <w:r>
        <w:rPr>
          <w:rFonts w:hint="eastAsia" w:cs="Arial"/>
        </w:rPr>
        <w:t>日该类基金份额净值</w:t>
      </w:r>
    </w:p>
    <w:p w14:paraId="27394842">
      <w:pPr>
        <w:snapToGrid w:val="0"/>
        <w:spacing w:line="360" w:lineRule="auto"/>
        <w:ind w:firstLine="420" w:firstLineChars="200"/>
        <w:rPr>
          <w:rFonts w:cs="Arial"/>
        </w:rPr>
      </w:pPr>
      <w:r>
        <w:rPr>
          <w:rFonts w:hint="eastAsia" w:cs="Arial"/>
        </w:rPr>
        <w:t>赎回费用</w:t>
      </w:r>
      <w:r>
        <w:rPr>
          <w:rFonts w:cs="Arial"/>
        </w:rPr>
        <w:t>=</w:t>
      </w:r>
      <w:r>
        <w:rPr>
          <w:rFonts w:hint="eastAsia" w:cs="Arial"/>
        </w:rPr>
        <w:t>赎回总金额×赎回费率</w:t>
      </w:r>
    </w:p>
    <w:p w14:paraId="6B95FE3F">
      <w:pPr>
        <w:snapToGrid w:val="0"/>
        <w:spacing w:line="360" w:lineRule="auto"/>
        <w:ind w:firstLine="420" w:firstLineChars="200"/>
        <w:rPr>
          <w:rFonts w:cs="Arial"/>
        </w:rPr>
      </w:pPr>
      <w:r>
        <w:rPr>
          <w:rFonts w:hint="eastAsia" w:cs="Arial"/>
        </w:rPr>
        <w:t>净赎回金额</w:t>
      </w:r>
      <w:r>
        <w:rPr>
          <w:rFonts w:cs="Arial"/>
        </w:rPr>
        <w:t>=</w:t>
      </w:r>
      <w:r>
        <w:rPr>
          <w:rFonts w:hint="eastAsia" w:cs="Arial"/>
        </w:rPr>
        <w:t>赎回总金额－赎回费用</w:t>
      </w:r>
    </w:p>
    <w:p w14:paraId="4A10B0D1">
      <w:pPr>
        <w:snapToGrid w:val="0"/>
        <w:spacing w:line="360" w:lineRule="auto"/>
        <w:ind w:firstLine="420" w:firstLineChars="200"/>
        <w:rPr>
          <w:rFonts w:cs="Arial"/>
        </w:rPr>
      </w:pPr>
      <w:r>
        <w:rPr>
          <w:rFonts w:hint="eastAsia" w:cs="Arial"/>
        </w:rPr>
        <w:t>上述计算结果均按四舍五入方法，保留到小数点后2位，由此产生的收益或损失由基金财产承担。</w:t>
      </w:r>
    </w:p>
    <w:p w14:paraId="20AAC425">
      <w:pPr>
        <w:snapToGrid w:val="0"/>
        <w:spacing w:line="360" w:lineRule="auto"/>
        <w:ind w:firstLine="420" w:firstLineChars="200"/>
        <w:rPr>
          <w:rFonts w:hint="eastAsia" w:cs="Arial"/>
        </w:rPr>
      </w:pPr>
      <w:r>
        <w:rPr>
          <w:rFonts w:hint="eastAsia" w:cs="Arial"/>
        </w:rPr>
        <w:t>其中，对于投资者在直销机构保有的C类基金份额计提的销售服务费，或者在其他销售机构保有的且持续持有期限超过一年的C类基金份额继续计提的销售服务费，将在投资者赎回相应基金份额时随赎回款一并返还给投资者。</w:t>
      </w:r>
    </w:p>
    <w:p w14:paraId="19AE0AD9">
      <w:pPr>
        <w:snapToGrid w:val="0"/>
        <w:spacing w:line="360" w:lineRule="auto"/>
        <w:ind w:firstLine="420" w:firstLineChars="200"/>
        <w:rPr>
          <w:rFonts w:hint="eastAsia" w:cs="Arial"/>
        </w:rPr>
      </w:pPr>
      <w:r>
        <w:rPr>
          <w:rFonts w:hint="eastAsia" w:cs="Arial"/>
        </w:rPr>
        <w:t>例1：某投资者赎回本基金A类基金份额1万份，持有时间为1年，对应的赎回费率为0%，假设赎回当日A类基金份额净值是1.2500元，则其可得到的赎回金额为：</w:t>
      </w:r>
    </w:p>
    <w:p w14:paraId="2F6F727A">
      <w:pPr>
        <w:snapToGrid w:val="0"/>
        <w:spacing w:line="360" w:lineRule="auto"/>
        <w:ind w:firstLine="420" w:firstLineChars="200"/>
        <w:rPr>
          <w:rFonts w:hint="eastAsia" w:cs="Arial"/>
        </w:rPr>
      </w:pPr>
      <w:r>
        <w:rPr>
          <w:rFonts w:hint="eastAsia" w:cs="Arial"/>
        </w:rPr>
        <w:t>赎回总金额=10,000×1.2500=12,500.00元</w:t>
      </w:r>
    </w:p>
    <w:p w14:paraId="24CC5E09">
      <w:pPr>
        <w:snapToGrid w:val="0"/>
        <w:spacing w:line="360" w:lineRule="auto"/>
        <w:ind w:firstLine="420" w:firstLineChars="200"/>
        <w:rPr>
          <w:rFonts w:hint="eastAsia" w:cs="Arial"/>
        </w:rPr>
      </w:pPr>
      <w:r>
        <w:rPr>
          <w:rFonts w:hint="eastAsia" w:cs="Arial"/>
        </w:rPr>
        <w:t>赎回费用=12,500.00×0%=0.00元</w:t>
      </w:r>
    </w:p>
    <w:p w14:paraId="057A11AA">
      <w:pPr>
        <w:snapToGrid w:val="0"/>
        <w:spacing w:line="360" w:lineRule="auto"/>
        <w:ind w:firstLine="420" w:firstLineChars="200"/>
        <w:rPr>
          <w:rFonts w:hint="eastAsia" w:cs="Arial"/>
        </w:rPr>
      </w:pPr>
      <w:r>
        <w:rPr>
          <w:rFonts w:hint="eastAsia" w:cs="Arial"/>
        </w:rPr>
        <w:t>净赎回金额=12,500.00-0.00=12,500.00元</w:t>
      </w:r>
    </w:p>
    <w:p w14:paraId="2F378D1E">
      <w:pPr>
        <w:snapToGrid w:val="0"/>
        <w:spacing w:line="360" w:lineRule="auto"/>
        <w:ind w:firstLine="420" w:firstLineChars="200"/>
        <w:rPr>
          <w:rFonts w:cs="Arial"/>
        </w:rPr>
      </w:pPr>
      <w:r>
        <w:rPr>
          <w:rFonts w:hint="eastAsia" w:cs="Arial"/>
        </w:rPr>
        <w:t>即：投资者赎回本基金A类基金份额1万份，持有时间为1年，假设赎回当日A类基金份额净值是1.2500元，则其可得到的赎回金额为12,500.00元。</w:t>
      </w:r>
    </w:p>
    <w:p w14:paraId="5242CB9E">
      <w:pPr>
        <w:snapToGrid w:val="0"/>
        <w:spacing w:line="360" w:lineRule="auto"/>
        <w:ind w:firstLine="420" w:firstLineChars="200"/>
        <w:rPr>
          <w:rFonts w:hint="eastAsia" w:cs="Arial"/>
        </w:rPr>
      </w:pPr>
      <w:r>
        <w:rPr>
          <w:rFonts w:hint="eastAsia" w:cs="Arial"/>
        </w:rPr>
        <w:t>例</w:t>
      </w:r>
      <w:r>
        <w:rPr>
          <w:rFonts w:cs="Arial"/>
        </w:rPr>
        <w:t>2</w:t>
      </w:r>
      <w:r>
        <w:rPr>
          <w:rFonts w:hint="eastAsia" w:cs="Arial"/>
        </w:rPr>
        <w:t>：某投资者赎回本基金</w:t>
      </w:r>
      <w:r>
        <w:rPr>
          <w:rFonts w:cs="Arial"/>
        </w:rPr>
        <w:t>C</w:t>
      </w:r>
      <w:r>
        <w:rPr>
          <w:rFonts w:hint="eastAsia" w:cs="Arial"/>
        </w:rPr>
        <w:t>类基金份额1万份，持有时间为1年，对应的赎回费率为0%，假设赎回当日</w:t>
      </w:r>
      <w:r>
        <w:rPr>
          <w:rFonts w:cs="Arial"/>
        </w:rPr>
        <w:t>C</w:t>
      </w:r>
      <w:r>
        <w:rPr>
          <w:rFonts w:hint="eastAsia" w:cs="Arial"/>
        </w:rPr>
        <w:t>类基金份额净值是1.2500元，则其可得到的赎回金额为：</w:t>
      </w:r>
    </w:p>
    <w:p w14:paraId="6622AC90">
      <w:pPr>
        <w:snapToGrid w:val="0"/>
        <w:spacing w:line="360" w:lineRule="auto"/>
        <w:ind w:firstLine="420" w:firstLineChars="200"/>
        <w:rPr>
          <w:rFonts w:hint="eastAsia" w:cs="Arial"/>
        </w:rPr>
      </w:pPr>
      <w:r>
        <w:rPr>
          <w:rFonts w:hint="eastAsia" w:cs="Arial"/>
        </w:rPr>
        <w:t>赎回总金额=10,000×1.2500=12,500.00元</w:t>
      </w:r>
    </w:p>
    <w:p w14:paraId="0A25E963">
      <w:pPr>
        <w:snapToGrid w:val="0"/>
        <w:spacing w:line="360" w:lineRule="auto"/>
        <w:ind w:firstLine="420" w:firstLineChars="200"/>
        <w:rPr>
          <w:rFonts w:hint="eastAsia" w:cs="Arial"/>
        </w:rPr>
      </w:pPr>
      <w:r>
        <w:rPr>
          <w:rFonts w:hint="eastAsia" w:cs="Arial"/>
        </w:rPr>
        <w:t>赎回费用=12,500.00×0%=0.00元</w:t>
      </w:r>
    </w:p>
    <w:p w14:paraId="7C8457A2">
      <w:pPr>
        <w:snapToGrid w:val="0"/>
        <w:spacing w:line="360" w:lineRule="auto"/>
        <w:ind w:firstLine="420" w:firstLineChars="200"/>
        <w:rPr>
          <w:rFonts w:cs="Arial"/>
        </w:rPr>
      </w:pPr>
      <w:r>
        <w:rPr>
          <w:rFonts w:hint="eastAsia" w:cs="Arial"/>
        </w:rPr>
        <w:t>净赎回金额=12,500.00-0.00=12,500.00元</w:t>
      </w:r>
    </w:p>
    <w:p w14:paraId="339E5A82">
      <w:pPr>
        <w:snapToGrid w:val="0"/>
        <w:spacing w:line="360" w:lineRule="auto"/>
        <w:ind w:firstLine="420" w:firstLineChars="200"/>
        <w:rPr>
          <w:rFonts w:hint="eastAsia" w:cs="Arial"/>
        </w:rPr>
      </w:pPr>
      <w:r>
        <w:rPr>
          <w:rFonts w:hint="eastAsia" w:cs="Arial"/>
        </w:rPr>
        <w:t>即：投资者赎回本基金</w:t>
      </w:r>
      <w:r>
        <w:rPr>
          <w:rFonts w:cs="Arial"/>
        </w:rPr>
        <w:t>C</w:t>
      </w:r>
      <w:r>
        <w:rPr>
          <w:rFonts w:hint="eastAsia" w:cs="Arial"/>
        </w:rPr>
        <w:t>类基金份额1万份，持有时间为1年，假设赎回当日</w:t>
      </w:r>
      <w:r>
        <w:rPr>
          <w:rFonts w:cs="Arial"/>
        </w:rPr>
        <w:t>C</w:t>
      </w:r>
      <w:r>
        <w:rPr>
          <w:rFonts w:hint="eastAsia" w:cs="Arial"/>
        </w:rPr>
        <w:t>类基金份额净值是1.2500元，则其可得到的赎回金额为12,500.00元。</w:t>
      </w:r>
    </w:p>
    <w:p w14:paraId="313B6489">
      <w:pPr>
        <w:snapToGrid w:val="0"/>
        <w:spacing w:line="360" w:lineRule="auto"/>
        <w:ind w:firstLine="420" w:firstLineChars="200"/>
      </w:pPr>
      <w:r>
        <w:rPr>
          <w:rFonts w:cs="Arial"/>
        </w:rPr>
        <w:t>3、</w:t>
      </w:r>
      <w:r>
        <w:rPr>
          <w:rFonts w:hint="eastAsia" w:cs="Arial"/>
          <w:bCs/>
        </w:rPr>
        <w:t>本基金A类基金份额和C类基金份额分别设置代码，分别计算和公告各类基金份额净值和各类基金份额累计净值。</w:t>
      </w:r>
      <w:bookmarkStart w:id="31" w:name="_Hlk117606342"/>
      <w:r>
        <w:rPr>
          <w:rFonts w:hint="eastAsia" w:cs="Arial"/>
          <w:bCs/>
        </w:rPr>
        <w:t>本基金各类</w:t>
      </w:r>
      <w:r>
        <w:rPr>
          <w:rFonts w:cs="Arial"/>
          <w:bCs/>
        </w:rPr>
        <w:t>基金</w:t>
      </w:r>
      <w:r>
        <w:rPr>
          <w:rFonts w:hint="eastAsia" w:cs="Arial"/>
          <w:bCs/>
        </w:rPr>
        <w:t>份额净值的计算，均保留到小数点后</w:t>
      </w:r>
      <w:r>
        <w:rPr>
          <w:rFonts w:cs="Arial"/>
          <w:bCs/>
        </w:rPr>
        <w:t>4</w:t>
      </w:r>
      <w:r>
        <w:rPr>
          <w:rFonts w:hint="eastAsia" w:cs="Arial"/>
          <w:bCs/>
        </w:rPr>
        <w:t>位，小数点后第</w:t>
      </w:r>
      <w:r>
        <w:rPr>
          <w:rFonts w:cs="Arial"/>
          <w:bCs/>
        </w:rPr>
        <w:t>5</w:t>
      </w:r>
      <w:r>
        <w:rPr>
          <w:rFonts w:hint="eastAsia" w:cs="Arial"/>
          <w:bCs/>
        </w:rPr>
        <w:t>位四舍五入，由此产生的收益或损失由基金财产承担。T日的各类基金份额净值按基金合同的约定进行公告。遇特殊情况，经履行适当程序，可以适当延迟计算或公告</w:t>
      </w:r>
      <w:r>
        <w:rPr>
          <w:rFonts w:hint="eastAsia"/>
        </w:rPr>
        <w:t>。</w:t>
      </w:r>
      <w:bookmarkEnd w:id="31"/>
    </w:p>
    <w:p w14:paraId="13D4C3A0">
      <w:pPr>
        <w:snapToGrid w:val="0"/>
        <w:spacing w:line="360" w:lineRule="auto"/>
        <w:ind w:firstLine="422" w:firstLineChars="200"/>
        <w:rPr>
          <w:rFonts w:cs="Arial"/>
          <w:b/>
          <w:bCs/>
          <w:szCs w:val="21"/>
        </w:rPr>
      </w:pPr>
      <w:r>
        <w:rPr>
          <w:b/>
        </w:rPr>
        <w:t>八、申购与赎回的登记</w:t>
      </w:r>
      <w:r>
        <w:rPr>
          <w:rFonts w:hint="eastAsia"/>
          <w:b/>
        </w:rPr>
        <w:t>业务</w:t>
      </w:r>
    </w:p>
    <w:p w14:paraId="62B5617E">
      <w:pPr>
        <w:snapToGrid w:val="0"/>
        <w:spacing w:line="360" w:lineRule="auto"/>
        <w:ind w:firstLine="420" w:firstLineChars="200"/>
      </w:pPr>
      <w:r>
        <w:rPr>
          <w:rFonts w:hint="eastAsia" w:cs="Arial"/>
          <w:szCs w:val="21"/>
        </w:rPr>
        <w:t>1、</w:t>
      </w:r>
      <w:r>
        <w:rPr>
          <w:rFonts w:cs="Arial"/>
          <w:szCs w:val="21"/>
        </w:rPr>
        <w:t>投资</w:t>
      </w:r>
      <w:r>
        <w:rPr>
          <w:rFonts w:hint="eastAsia" w:cs="Arial"/>
          <w:szCs w:val="21"/>
        </w:rPr>
        <w:t>人</w:t>
      </w:r>
      <w:r>
        <w:t>申购基金成功后，在正常情况下，基金登记机构在</w:t>
      </w:r>
      <w:r>
        <w:rPr>
          <w:rFonts w:cs="Arial"/>
          <w:szCs w:val="21"/>
        </w:rPr>
        <w:t>T+</w:t>
      </w:r>
      <w:r>
        <w:rPr>
          <w:rFonts w:hint="eastAsia" w:cs="Arial"/>
          <w:szCs w:val="21"/>
        </w:rPr>
        <w:t>3</w:t>
      </w:r>
      <w:r>
        <w:t>日</w:t>
      </w:r>
      <w:r>
        <w:rPr>
          <w:rFonts w:hint="eastAsia"/>
        </w:rPr>
        <w:t>内</w:t>
      </w:r>
      <w:r>
        <w:t>为投资者登记权益并办理登记手续。</w:t>
      </w:r>
    </w:p>
    <w:p w14:paraId="3FD53546">
      <w:pPr>
        <w:snapToGrid w:val="0"/>
        <w:spacing w:line="360" w:lineRule="auto"/>
        <w:ind w:firstLine="420" w:firstLineChars="200"/>
        <w:rPr>
          <w:rFonts w:cs="Arial"/>
          <w:szCs w:val="21"/>
        </w:rPr>
      </w:pPr>
      <w:r>
        <w:rPr>
          <w:rFonts w:hint="eastAsia" w:cs="Arial"/>
          <w:szCs w:val="21"/>
        </w:rPr>
        <w:t>2、</w:t>
      </w:r>
      <w:r>
        <w:rPr>
          <w:rFonts w:cs="Arial"/>
          <w:szCs w:val="21"/>
        </w:rPr>
        <w:t>投资</w:t>
      </w:r>
      <w:r>
        <w:rPr>
          <w:rFonts w:hint="eastAsia" w:cs="Arial"/>
          <w:szCs w:val="21"/>
        </w:rPr>
        <w:t>人</w:t>
      </w:r>
      <w:r>
        <w:t>赎回基金成功后，在正常情况下，基金登记机构在</w:t>
      </w:r>
      <w:r>
        <w:rPr>
          <w:rFonts w:cs="Arial"/>
          <w:szCs w:val="21"/>
        </w:rPr>
        <w:t>T+</w:t>
      </w:r>
      <w:r>
        <w:rPr>
          <w:rFonts w:hint="eastAsia" w:cs="Arial"/>
          <w:szCs w:val="21"/>
        </w:rPr>
        <w:t>3</w:t>
      </w:r>
      <w:r>
        <w:t>日</w:t>
      </w:r>
      <w:r>
        <w:rPr>
          <w:rFonts w:hint="eastAsia"/>
        </w:rPr>
        <w:t>内</w:t>
      </w:r>
      <w:r>
        <w:t>为投资者办理扣除权益的登记手续。</w:t>
      </w:r>
    </w:p>
    <w:p w14:paraId="2EA02A91">
      <w:pPr>
        <w:snapToGrid w:val="0"/>
        <w:spacing w:line="360" w:lineRule="auto"/>
        <w:ind w:firstLine="420" w:firstLineChars="200"/>
        <w:rPr>
          <w:rFonts w:cs="Arial"/>
          <w:szCs w:val="21"/>
        </w:rPr>
      </w:pPr>
      <w:r>
        <w:rPr>
          <w:rFonts w:hint="eastAsia"/>
        </w:rPr>
        <w:t>3、</w:t>
      </w:r>
      <w:r>
        <w:t>基金管理人可以在法律法规允许的范围内，对上述登记办理时间进行调整，但不得实质影响投资者的合法权益，并最迟于开始实施前</w:t>
      </w:r>
      <w:r>
        <w:rPr>
          <w:rFonts w:hint="eastAsia" w:cs="Arial"/>
          <w:szCs w:val="21"/>
        </w:rPr>
        <w:t>依照《信息披露办法》的有关规定</w:t>
      </w:r>
      <w:r>
        <w:t>在</w:t>
      </w:r>
      <w:r>
        <w:rPr>
          <w:rFonts w:hint="eastAsia"/>
        </w:rPr>
        <w:t>规定媒介</w:t>
      </w:r>
      <w:r>
        <w:t>公告。</w:t>
      </w:r>
    </w:p>
    <w:p w14:paraId="7F5F156F">
      <w:pPr>
        <w:tabs>
          <w:tab w:val="left" w:pos="1110"/>
        </w:tabs>
        <w:snapToGrid w:val="0"/>
        <w:spacing w:line="360" w:lineRule="auto"/>
        <w:ind w:firstLine="422" w:firstLineChars="200"/>
        <w:rPr>
          <w:rFonts w:cs="Arial"/>
          <w:b/>
          <w:bCs/>
          <w:szCs w:val="21"/>
        </w:rPr>
      </w:pPr>
      <w:bookmarkStart w:id="32" w:name="_Hlk117606403"/>
      <w:r>
        <w:rPr>
          <w:rFonts w:cs="Arial"/>
          <w:b/>
          <w:bCs/>
          <w:szCs w:val="21"/>
        </w:rPr>
        <w:t>九、拒绝或暂停申购的情形</w:t>
      </w:r>
    </w:p>
    <w:p w14:paraId="38645DE4">
      <w:pPr>
        <w:snapToGrid w:val="0"/>
        <w:spacing w:line="360" w:lineRule="auto"/>
        <w:ind w:firstLine="420" w:firstLineChars="200"/>
        <w:rPr>
          <w:rFonts w:hint="eastAsia" w:cs="Arial"/>
          <w:szCs w:val="21"/>
        </w:rPr>
      </w:pPr>
      <w:r>
        <w:rPr>
          <w:rFonts w:hint="eastAsia" w:cs="Arial"/>
          <w:szCs w:val="21"/>
        </w:rPr>
        <w:t>发生下列情况时，基金管理人可拒绝或暂停接受投资人的申购申请：</w:t>
      </w:r>
    </w:p>
    <w:p w14:paraId="417E9CF1">
      <w:pPr>
        <w:snapToGrid w:val="0"/>
        <w:spacing w:line="360" w:lineRule="auto"/>
        <w:ind w:firstLine="420" w:firstLineChars="200"/>
        <w:rPr>
          <w:rFonts w:hint="eastAsia" w:cs="Arial"/>
          <w:szCs w:val="21"/>
        </w:rPr>
      </w:pPr>
      <w:r>
        <w:rPr>
          <w:rFonts w:hint="eastAsia" w:cs="Arial"/>
          <w:szCs w:val="21"/>
        </w:rPr>
        <w:t>1、因不可抗力导致基金无法正常运作。</w:t>
      </w:r>
    </w:p>
    <w:p w14:paraId="35002FCD">
      <w:pPr>
        <w:snapToGrid w:val="0"/>
        <w:spacing w:line="360" w:lineRule="auto"/>
        <w:ind w:firstLine="420" w:firstLineChars="200"/>
        <w:rPr>
          <w:rFonts w:hint="eastAsia" w:cs="Arial"/>
          <w:szCs w:val="21"/>
        </w:rPr>
      </w:pPr>
      <w:r>
        <w:rPr>
          <w:rFonts w:hint="eastAsia" w:cs="Arial"/>
          <w:szCs w:val="21"/>
        </w:rPr>
        <w:t>2、发生基金合同规定的暂停基金资产估值情况。</w:t>
      </w:r>
    </w:p>
    <w:p w14:paraId="66F8D510">
      <w:pPr>
        <w:snapToGrid w:val="0"/>
        <w:spacing w:line="360" w:lineRule="auto"/>
        <w:ind w:firstLine="420" w:firstLineChars="200"/>
        <w:rPr>
          <w:rFonts w:hint="eastAsia" w:cs="Arial"/>
          <w:szCs w:val="21"/>
        </w:rPr>
      </w:pPr>
      <w:r>
        <w:rPr>
          <w:rFonts w:hint="eastAsia" w:cs="Arial"/>
          <w:szCs w:val="21"/>
        </w:rPr>
        <w:t>3、证券交易所或外汇市场交易时间非正常停市，或本基金所持有基金暂停估值，导致基金管理人无法计算当日基金资产净值。</w:t>
      </w:r>
    </w:p>
    <w:p w14:paraId="579E9288">
      <w:pPr>
        <w:snapToGrid w:val="0"/>
        <w:spacing w:line="360" w:lineRule="auto"/>
        <w:ind w:firstLine="420" w:firstLineChars="200"/>
        <w:rPr>
          <w:rFonts w:hint="eastAsia" w:cs="Arial"/>
          <w:szCs w:val="21"/>
        </w:rPr>
      </w:pPr>
      <w:r>
        <w:rPr>
          <w:rFonts w:hint="eastAsia" w:cs="Arial"/>
          <w:szCs w:val="21"/>
        </w:rPr>
        <w:t>4、接受某笔或某些申购申请可能会影响或损害现有基金份额持有人利益或对存量基金份额持有人利益构成潜在重大不利影响。</w:t>
      </w:r>
    </w:p>
    <w:p w14:paraId="76546A64">
      <w:pPr>
        <w:snapToGrid w:val="0"/>
        <w:spacing w:line="360" w:lineRule="auto"/>
        <w:ind w:firstLine="420" w:firstLineChars="200"/>
        <w:rPr>
          <w:rFonts w:hint="eastAsia" w:cs="Arial"/>
          <w:szCs w:val="21"/>
        </w:rPr>
      </w:pPr>
      <w:r>
        <w:rPr>
          <w:rFonts w:hint="eastAsia" w:cs="Arial"/>
          <w:szCs w:val="21"/>
        </w:rPr>
        <w:t>5、基金资产规模过大，使基金管理人无法找到合适的投资品种，或其他可能对基金业绩产生负面影响，或发生其他损害现有基金份额持有人利益的情形。</w:t>
      </w:r>
    </w:p>
    <w:p w14:paraId="3AE2A605">
      <w:pPr>
        <w:snapToGrid w:val="0"/>
        <w:spacing w:line="360" w:lineRule="auto"/>
        <w:ind w:firstLine="420" w:firstLineChars="200"/>
        <w:rPr>
          <w:rFonts w:hint="eastAsia" w:cs="Arial"/>
          <w:szCs w:val="21"/>
        </w:rPr>
      </w:pPr>
      <w:r>
        <w:rPr>
          <w:rFonts w:hint="eastAsia" w:cs="Arial"/>
          <w:szCs w:val="21"/>
        </w:rPr>
        <w:t>6、基金管理人、基金托管人、基金销售机构、基金销售支付结算机构或登记机构的异常情况导致基金销售系统、基金销售支付结算系统、基金注册登记系统或基金会计系统无法正常运行。</w:t>
      </w:r>
    </w:p>
    <w:p w14:paraId="7AB4F961">
      <w:pPr>
        <w:snapToGrid w:val="0"/>
        <w:spacing w:line="360" w:lineRule="auto"/>
        <w:ind w:firstLine="420" w:firstLineChars="200"/>
        <w:rPr>
          <w:rFonts w:hint="eastAsia" w:cs="Arial"/>
          <w:szCs w:val="21"/>
        </w:rPr>
      </w:pPr>
      <w:r>
        <w:rPr>
          <w:rFonts w:hint="eastAsia" w:cs="Arial"/>
          <w:szCs w:val="21"/>
        </w:rPr>
        <w:t>7、当特定资产占前一估值日基金资产净值50%以上的，经与基金托管人协商确认后，基金管理人应当暂停接受基金申购申请。</w:t>
      </w:r>
    </w:p>
    <w:p w14:paraId="39DD4349">
      <w:pPr>
        <w:snapToGrid w:val="0"/>
        <w:spacing w:line="360" w:lineRule="auto"/>
        <w:ind w:firstLine="420" w:firstLineChars="200"/>
        <w:rPr>
          <w:rFonts w:hint="eastAsia" w:cs="Arial"/>
          <w:szCs w:val="21"/>
        </w:rPr>
      </w:pPr>
      <w:r>
        <w:rPr>
          <w:rFonts w:hint="eastAsia" w:cs="Arial"/>
          <w:szCs w:val="21"/>
        </w:rPr>
        <w:t>8、基金管理人接受某笔或者某些申购申请有可能导致单一投资者持有基金份额的比例达到或者超过50%，或者变相规避50%集中度的情形。</w:t>
      </w:r>
    </w:p>
    <w:p w14:paraId="61E973A0">
      <w:pPr>
        <w:snapToGrid w:val="0"/>
        <w:spacing w:line="360" w:lineRule="auto"/>
        <w:ind w:firstLine="420" w:firstLineChars="200"/>
        <w:rPr>
          <w:rFonts w:hint="eastAsia" w:cs="Arial"/>
          <w:szCs w:val="21"/>
        </w:rPr>
      </w:pPr>
      <w:r>
        <w:rPr>
          <w:rFonts w:hint="eastAsia" w:cs="Arial"/>
          <w:szCs w:val="21"/>
        </w:rPr>
        <w:t>9、占相当比例的被投资基金拒绝或暂停申购、暂停上市或二级市场交易停牌。</w:t>
      </w:r>
    </w:p>
    <w:p w14:paraId="37DFB8CD">
      <w:pPr>
        <w:snapToGrid w:val="0"/>
        <w:spacing w:line="360" w:lineRule="auto"/>
        <w:ind w:firstLine="420" w:firstLineChars="200"/>
        <w:rPr>
          <w:rFonts w:hint="eastAsia" w:cs="Arial"/>
          <w:szCs w:val="21"/>
        </w:rPr>
      </w:pPr>
      <w:r>
        <w:rPr>
          <w:rFonts w:hint="eastAsia" w:cs="Arial"/>
          <w:szCs w:val="21"/>
        </w:rPr>
        <w:t>10、占相当比例的被投资基金暂停估值，导致基金管理人无法计算当日基金资产净值。</w:t>
      </w:r>
    </w:p>
    <w:p w14:paraId="27277530">
      <w:pPr>
        <w:snapToGrid w:val="0"/>
        <w:spacing w:line="360" w:lineRule="auto"/>
        <w:ind w:firstLine="420" w:firstLineChars="200"/>
        <w:rPr>
          <w:rFonts w:hint="eastAsia" w:cs="Arial"/>
          <w:szCs w:val="21"/>
        </w:rPr>
      </w:pPr>
      <w:r>
        <w:rPr>
          <w:rFonts w:hint="eastAsia" w:cs="Arial"/>
          <w:szCs w:val="21"/>
        </w:rPr>
        <w:t>11、基金合同约定、法律法规规定或中国证监会认定的其他情形。</w:t>
      </w:r>
    </w:p>
    <w:p w14:paraId="2D6017AB">
      <w:pPr>
        <w:snapToGrid w:val="0"/>
        <w:spacing w:line="360" w:lineRule="auto"/>
        <w:ind w:firstLine="420" w:firstLineChars="200"/>
        <w:rPr>
          <w:rFonts w:cs="Arial"/>
          <w:b/>
          <w:bCs/>
          <w:szCs w:val="21"/>
        </w:rPr>
      </w:pPr>
      <w:r>
        <w:rPr>
          <w:rFonts w:hint="eastAsia" w:cs="Arial"/>
          <w:szCs w:val="21"/>
        </w:rPr>
        <w:t>发生上述第1、2、3、5、6、7、9、10、11项暂停申购情形之一且基金管理人决定暂停接受投资人申购申请时，基金管理人应当根据有关规定在规定媒介上刊登暂停申购公告。如果投资人的申购申请被全部或部分拒绝的，被拒绝的申购款项将退还给投资人。在暂停申购的情况消除时，基金管理人应及时恢复申购业务的办理。</w:t>
      </w:r>
    </w:p>
    <w:p w14:paraId="5B09A4AF">
      <w:pPr>
        <w:snapToGrid w:val="0"/>
        <w:spacing w:line="360" w:lineRule="auto"/>
        <w:ind w:firstLine="422" w:firstLineChars="200"/>
        <w:rPr>
          <w:rFonts w:cs="Arial"/>
          <w:b/>
          <w:bCs/>
          <w:szCs w:val="21"/>
        </w:rPr>
      </w:pPr>
      <w:r>
        <w:rPr>
          <w:rFonts w:cs="Arial"/>
          <w:b/>
          <w:bCs/>
          <w:szCs w:val="21"/>
        </w:rPr>
        <w:t>十、暂停赎回或延缓支付赎回款项的情形</w:t>
      </w:r>
    </w:p>
    <w:p w14:paraId="5708D060">
      <w:pPr>
        <w:snapToGrid w:val="0"/>
        <w:spacing w:line="360" w:lineRule="auto"/>
        <w:ind w:firstLine="420" w:firstLineChars="200"/>
        <w:rPr>
          <w:rFonts w:hint="eastAsia"/>
          <w:bCs/>
          <w:szCs w:val="21"/>
        </w:rPr>
      </w:pPr>
      <w:r>
        <w:rPr>
          <w:rFonts w:hint="eastAsia"/>
          <w:bCs/>
          <w:szCs w:val="21"/>
        </w:rPr>
        <w:t>发生下列情形时，基金管理人可暂停接受投资人的赎回申请或延缓支付赎回款项：</w:t>
      </w:r>
    </w:p>
    <w:p w14:paraId="62D5F212">
      <w:pPr>
        <w:snapToGrid w:val="0"/>
        <w:spacing w:line="360" w:lineRule="auto"/>
        <w:ind w:firstLine="420" w:firstLineChars="200"/>
        <w:rPr>
          <w:rFonts w:hint="eastAsia"/>
          <w:bCs/>
          <w:szCs w:val="21"/>
        </w:rPr>
      </w:pPr>
      <w:r>
        <w:rPr>
          <w:rFonts w:hint="eastAsia"/>
          <w:bCs/>
          <w:szCs w:val="21"/>
        </w:rPr>
        <w:t>1、因不可抗力导致基金管理人不能支付赎回款项。</w:t>
      </w:r>
    </w:p>
    <w:p w14:paraId="2B4D3DEF">
      <w:pPr>
        <w:snapToGrid w:val="0"/>
        <w:spacing w:line="360" w:lineRule="auto"/>
        <w:ind w:firstLine="420" w:firstLineChars="200"/>
        <w:rPr>
          <w:rFonts w:hint="eastAsia"/>
          <w:bCs/>
          <w:szCs w:val="21"/>
        </w:rPr>
      </w:pPr>
      <w:r>
        <w:rPr>
          <w:rFonts w:hint="eastAsia"/>
          <w:bCs/>
          <w:szCs w:val="21"/>
        </w:rPr>
        <w:t>2、发生基金合同规定的暂停基金资产估值情况。</w:t>
      </w:r>
    </w:p>
    <w:p w14:paraId="2D29EDE4">
      <w:pPr>
        <w:snapToGrid w:val="0"/>
        <w:spacing w:line="360" w:lineRule="auto"/>
        <w:ind w:firstLine="420" w:firstLineChars="200"/>
        <w:rPr>
          <w:rFonts w:hint="eastAsia"/>
          <w:bCs/>
          <w:szCs w:val="21"/>
        </w:rPr>
      </w:pPr>
      <w:r>
        <w:rPr>
          <w:rFonts w:hint="eastAsia"/>
          <w:bCs/>
          <w:szCs w:val="21"/>
        </w:rPr>
        <w:t>3、证券交易所或外汇市场交易时间非正常停市，或本基金所持有基金暂停估值，导致基金管理人无法计算当日基金资产净值。</w:t>
      </w:r>
    </w:p>
    <w:p w14:paraId="3E830B6F">
      <w:pPr>
        <w:snapToGrid w:val="0"/>
        <w:spacing w:line="360" w:lineRule="auto"/>
        <w:ind w:firstLine="420" w:firstLineChars="200"/>
        <w:rPr>
          <w:rFonts w:hint="eastAsia"/>
          <w:bCs/>
          <w:szCs w:val="21"/>
        </w:rPr>
      </w:pPr>
      <w:r>
        <w:rPr>
          <w:rFonts w:hint="eastAsia"/>
          <w:bCs/>
          <w:szCs w:val="21"/>
        </w:rPr>
        <w:t>4、本基金所持有的基金发生延缓支付赎回款项的情形时，基金管理人可延缓支付赎回款项。</w:t>
      </w:r>
    </w:p>
    <w:p w14:paraId="103732F1">
      <w:pPr>
        <w:snapToGrid w:val="0"/>
        <w:spacing w:line="360" w:lineRule="auto"/>
        <w:ind w:firstLine="420" w:firstLineChars="200"/>
        <w:rPr>
          <w:rFonts w:hint="eastAsia"/>
          <w:bCs/>
          <w:szCs w:val="21"/>
        </w:rPr>
      </w:pPr>
      <w:r>
        <w:rPr>
          <w:rFonts w:hint="eastAsia"/>
          <w:bCs/>
          <w:szCs w:val="21"/>
        </w:rPr>
        <w:t>5、占相当比例的被投资基金拒绝或暂停赎回、暂停上市或二级市场交易停牌。</w:t>
      </w:r>
    </w:p>
    <w:p w14:paraId="10DE1896">
      <w:pPr>
        <w:snapToGrid w:val="0"/>
        <w:spacing w:line="360" w:lineRule="auto"/>
        <w:ind w:firstLine="420" w:firstLineChars="200"/>
        <w:rPr>
          <w:rFonts w:hint="eastAsia"/>
          <w:bCs/>
          <w:szCs w:val="21"/>
        </w:rPr>
      </w:pPr>
      <w:r>
        <w:rPr>
          <w:rFonts w:hint="eastAsia"/>
          <w:bCs/>
          <w:szCs w:val="21"/>
        </w:rPr>
        <w:t>6、连续两个或两个以上开放日发生巨额赎回。</w:t>
      </w:r>
    </w:p>
    <w:p w14:paraId="23B38BC3">
      <w:pPr>
        <w:snapToGrid w:val="0"/>
        <w:spacing w:line="360" w:lineRule="auto"/>
        <w:ind w:firstLine="420" w:firstLineChars="200"/>
        <w:rPr>
          <w:rFonts w:hint="eastAsia"/>
          <w:bCs/>
          <w:szCs w:val="21"/>
        </w:rPr>
      </w:pPr>
      <w:r>
        <w:rPr>
          <w:rFonts w:hint="eastAsia"/>
          <w:bCs/>
          <w:szCs w:val="21"/>
        </w:rPr>
        <w:t>7、发生继续接受赎回申请将损害现有基金份额持有人利益的情形时，基金管理人可暂停接受基金份额持有人的赎回申请。</w:t>
      </w:r>
    </w:p>
    <w:p w14:paraId="7F3D717C">
      <w:pPr>
        <w:snapToGrid w:val="0"/>
        <w:spacing w:line="360" w:lineRule="auto"/>
        <w:ind w:firstLine="420" w:firstLineChars="200"/>
        <w:rPr>
          <w:rFonts w:hint="eastAsia"/>
          <w:bCs/>
          <w:szCs w:val="21"/>
        </w:rPr>
      </w:pPr>
      <w:r>
        <w:rPr>
          <w:rFonts w:hint="eastAsia"/>
          <w:bCs/>
          <w:szCs w:val="21"/>
        </w:rPr>
        <w:t>8、当特定资产占前一估值日基金资产净值50%以上的，经与基金托管人协商确认后，基金管理人应当延缓支付赎回款项或暂停接受基金赎回申请。</w:t>
      </w:r>
    </w:p>
    <w:p w14:paraId="6ADB7EFC">
      <w:pPr>
        <w:snapToGrid w:val="0"/>
        <w:spacing w:line="360" w:lineRule="auto"/>
        <w:ind w:firstLine="420" w:firstLineChars="200"/>
        <w:rPr>
          <w:rFonts w:hint="eastAsia"/>
          <w:bCs/>
          <w:szCs w:val="21"/>
        </w:rPr>
      </w:pPr>
    </w:p>
    <w:p w14:paraId="0D3F7DE8">
      <w:pPr>
        <w:snapToGrid w:val="0"/>
        <w:spacing w:line="360" w:lineRule="auto"/>
        <w:ind w:firstLine="420" w:firstLineChars="200"/>
        <w:rPr>
          <w:rFonts w:hint="eastAsia"/>
          <w:bCs/>
          <w:szCs w:val="21"/>
        </w:rPr>
      </w:pPr>
      <w:r>
        <w:rPr>
          <w:rFonts w:hint="eastAsia"/>
          <w:bCs/>
          <w:szCs w:val="21"/>
        </w:rPr>
        <w:t>9、占相当比例的被投资基金暂停估值，导致基金管理人无法计算当日基金资产净值。</w:t>
      </w:r>
    </w:p>
    <w:p w14:paraId="27A6C6B9">
      <w:pPr>
        <w:snapToGrid w:val="0"/>
        <w:spacing w:line="360" w:lineRule="auto"/>
        <w:ind w:firstLine="420" w:firstLineChars="200"/>
        <w:rPr>
          <w:rFonts w:hint="eastAsia"/>
          <w:bCs/>
          <w:szCs w:val="21"/>
        </w:rPr>
      </w:pPr>
      <w:r>
        <w:rPr>
          <w:rFonts w:hint="eastAsia"/>
          <w:bCs/>
          <w:szCs w:val="21"/>
        </w:rPr>
        <w:t>10、基金合同约定、法律法规规定或中国证监会认定的其他情形。</w:t>
      </w:r>
    </w:p>
    <w:p w14:paraId="247323E4">
      <w:pPr>
        <w:snapToGrid w:val="0"/>
        <w:spacing w:line="360" w:lineRule="auto"/>
        <w:ind w:firstLine="420" w:firstLineChars="200"/>
        <w:rPr>
          <w:rFonts w:hint="eastAsia" w:cs="Arial"/>
          <w:b/>
          <w:bCs/>
          <w:szCs w:val="21"/>
        </w:rPr>
      </w:pPr>
      <w:r>
        <w:rPr>
          <w:rFonts w:hint="eastAsia"/>
          <w:bCs/>
          <w:szCs w:val="21"/>
        </w:rPr>
        <w:t>发生上述情形（第6项除外）之一且基金管理人决定暂停接受赎回申请或延缓支付赎回款项时，基金管理人应按规定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14:paraId="24F2D1C4">
      <w:pPr>
        <w:snapToGrid w:val="0"/>
        <w:spacing w:line="360" w:lineRule="auto"/>
        <w:ind w:firstLine="422" w:firstLineChars="200"/>
        <w:rPr>
          <w:rFonts w:cs="Arial"/>
          <w:b/>
          <w:bCs/>
          <w:szCs w:val="21"/>
        </w:rPr>
      </w:pPr>
      <w:r>
        <w:rPr>
          <w:rFonts w:hint="eastAsia" w:cs="Arial"/>
          <w:b/>
          <w:bCs/>
          <w:szCs w:val="21"/>
        </w:rPr>
        <w:t>十一、巨额赎回的情形及处理方式</w:t>
      </w:r>
    </w:p>
    <w:p w14:paraId="72B5F83B">
      <w:pPr>
        <w:autoSpaceDE w:val="0"/>
        <w:autoSpaceDN w:val="0"/>
        <w:spacing w:line="360" w:lineRule="auto"/>
        <w:ind w:firstLine="420"/>
        <w:jc w:val="left"/>
        <w:rPr>
          <w:rFonts w:hint="eastAsia"/>
          <w:bCs/>
          <w:szCs w:val="21"/>
        </w:rPr>
      </w:pPr>
      <w:r>
        <w:rPr>
          <w:rFonts w:hint="eastAsia"/>
          <w:bCs/>
          <w:szCs w:val="21"/>
        </w:rPr>
        <w:t>1、巨额赎回的认定</w:t>
      </w:r>
    </w:p>
    <w:p w14:paraId="4A0BE769">
      <w:pPr>
        <w:autoSpaceDE w:val="0"/>
        <w:autoSpaceDN w:val="0"/>
        <w:spacing w:line="360" w:lineRule="auto"/>
        <w:ind w:firstLine="420"/>
        <w:jc w:val="left"/>
        <w:rPr>
          <w:rFonts w:hint="eastAsia"/>
          <w:bCs/>
          <w:szCs w:val="21"/>
        </w:rPr>
      </w:pPr>
      <w:r>
        <w:rPr>
          <w:rFonts w:hint="eastAsia"/>
          <w:bCs/>
          <w:szCs w:val="21"/>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5D2D837C">
      <w:pPr>
        <w:autoSpaceDE w:val="0"/>
        <w:autoSpaceDN w:val="0"/>
        <w:spacing w:line="360" w:lineRule="auto"/>
        <w:ind w:firstLine="420"/>
        <w:jc w:val="left"/>
        <w:rPr>
          <w:rFonts w:hint="eastAsia"/>
          <w:bCs/>
          <w:szCs w:val="21"/>
        </w:rPr>
      </w:pPr>
      <w:r>
        <w:rPr>
          <w:rFonts w:hint="eastAsia"/>
          <w:bCs/>
          <w:szCs w:val="21"/>
        </w:rPr>
        <w:t>2、巨额赎回的处理方式</w:t>
      </w:r>
    </w:p>
    <w:p w14:paraId="2B61397F">
      <w:pPr>
        <w:autoSpaceDE w:val="0"/>
        <w:autoSpaceDN w:val="0"/>
        <w:spacing w:line="360" w:lineRule="auto"/>
        <w:ind w:firstLine="420"/>
        <w:jc w:val="left"/>
        <w:rPr>
          <w:rFonts w:hint="eastAsia"/>
          <w:bCs/>
          <w:szCs w:val="21"/>
        </w:rPr>
      </w:pPr>
      <w:r>
        <w:rPr>
          <w:rFonts w:hint="eastAsia"/>
          <w:bCs/>
          <w:szCs w:val="21"/>
        </w:rPr>
        <w:t>当基金出现巨额赎回时，基金管理人可以根据基金当时的资产组合状况决定全额赎回或部分延期赎回。</w:t>
      </w:r>
    </w:p>
    <w:p w14:paraId="1D172787">
      <w:pPr>
        <w:autoSpaceDE w:val="0"/>
        <w:autoSpaceDN w:val="0"/>
        <w:spacing w:line="360" w:lineRule="auto"/>
        <w:ind w:firstLine="420"/>
        <w:jc w:val="left"/>
        <w:rPr>
          <w:rFonts w:hint="eastAsia"/>
          <w:bCs/>
          <w:szCs w:val="21"/>
        </w:rPr>
      </w:pPr>
      <w:r>
        <w:rPr>
          <w:rFonts w:hint="eastAsia"/>
          <w:bCs/>
          <w:szCs w:val="21"/>
        </w:rPr>
        <w:t>（1）全额赎回：当基金管理人认为有能力支付投资人的全部赎回申请时，按正常赎回程序执行。</w:t>
      </w:r>
    </w:p>
    <w:p w14:paraId="57288F4A">
      <w:pPr>
        <w:autoSpaceDE w:val="0"/>
        <w:autoSpaceDN w:val="0"/>
        <w:spacing w:line="360" w:lineRule="auto"/>
        <w:ind w:firstLine="420"/>
        <w:jc w:val="left"/>
        <w:rPr>
          <w:rFonts w:hint="eastAsia"/>
          <w:bCs/>
          <w:szCs w:val="21"/>
        </w:rPr>
      </w:pPr>
      <w:r>
        <w:rPr>
          <w:rFonts w:hint="eastAsia"/>
          <w:bCs/>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别基金份额净值为基础计算赎回金额，以此类推，直到全部赎回为止。如投资人在提交赎回申请时未作明确选择，投资人未能赎回部分作自动延期赎回处理。部分延期赎回不受单笔赎回最低份额的限制。</w:t>
      </w:r>
    </w:p>
    <w:p w14:paraId="68A8A45B">
      <w:pPr>
        <w:autoSpaceDE w:val="0"/>
        <w:autoSpaceDN w:val="0"/>
        <w:spacing w:line="360" w:lineRule="auto"/>
        <w:ind w:firstLine="420"/>
        <w:jc w:val="left"/>
        <w:rPr>
          <w:rFonts w:hint="eastAsia"/>
          <w:bCs/>
          <w:szCs w:val="21"/>
        </w:rPr>
      </w:pPr>
      <w:r>
        <w:rPr>
          <w:rFonts w:hint="eastAsia"/>
          <w:bCs/>
          <w:szCs w:val="21"/>
        </w:rPr>
        <w:t>（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别基金份额净值为基础计算赎回金额，以此类推，直到全部赎回为止）；对于该基金份额持有人申请赎回的份额中未超过上一开放日基金总份额10％的部分，基金管理人根据前述“（1）全额赎回”或“（2）部分延期赎回”的约定方式与其他基金份额持有人的赎回申请一并办理。但是，如该持有人在提交赎回申请时选择取消赎回，则其当日未获受理的部分赎回申请将被撤销。</w:t>
      </w:r>
    </w:p>
    <w:p w14:paraId="240E5DB8">
      <w:pPr>
        <w:autoSpaceDE w:val="0"/>
        <w:autoSpaceDN w:val="0"/>
        <w:spacing w:line="360" w:lineRule="auto"/>
        <w:ind w:firstLine="420"/>
        <w:jc w:val="left"/>
        <w:rPr>
          <w:rFonts w:hint="eastAsia"/>
          <w:bCs/>
          <w:szCs w:val="21"/>
        </w:rPr>
      </w:pPr>
      <w:r>
        <w:rPr>
          <w:rFonts w:hint="eastAsia"/>
          <w:bCs/>
          <w:szCs w:val="21"/>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077D701A">
      <w:pPr>
        <w:autoSpaceDE w:val="0"/>
        <w:autoSpaceDN w:val="0"/>
        <w:spacing w:line="360" w:lineRule="auto"/>
        <w:ind w:firstLine="420"/>
        <w:jc w:val="left"/>
        <w:rPr>
          <w:rFonts w:hint="eastAsia"/>
          <w:bCs/>
          <w:szCs w:val="21"/>
        </w:rPr>
      </w:pPr>
      <w:r>
        <w:rPr>
          <w:rFonts w:hint="eastAsia"/>
          <w:bCs/>
          <w:szCs w:val="21"/>
        </w:rPr>
        <w:t>3、巨额赎回的公告</w:t>
      </w:r>
    </w:p>
    <w:p w14:paraId="53298111">
      <w:pPr>
        <w:tabs>
          <w:tab w:val="left" w:pos="1110"/>
        </w:tabs>
        <w:snapToGrid w:val="0"/>
        <w:spacing w:line="360" w:lineRule="auto"/>
        <w:ind w:firstLine="420" w:firstLineChars="200"/>
        <w:rPr>
          <w:rFonts w:hint="eastAsia" w:cs="Arial"/>
          <w:b/>
          <w:bCs/>
          <w:szCs w:val="21"/>
        </w:rPr>
      </w:pPr>
      <w:r>
        <w:rPr>
          <w:rFonts w:hint="eastAsia"/>
          <w:bCs/>
          <w:szCs w:val="21"/>
        </w:rPr>
        <w:t>当发生上述巨额赎回并延期办理时，基金管理人应当通过邮寄、传真或者招募说明书规定的其他方式在3个交易日内通知基金份额持有人，说明有关处理方法，并于两日内在规定媒介上刊登公告。</w:t>
      </w:r>
    </w:p>
    <w:p w14:paraId="3C5CEDD7">
      <w:pPr>
        <w:tabs>
          <w:tab w:val="left" w:pos="1110"/>
        </w:tabs>
        <w:snapToGrid w:val="0"/>
        <w:spacing w:line="360" w:lineRule="auto"/>
        <w:ind w:firstLine="422" w:firstLineChars="200"/>
        <w:rPr>
          <w:rFonts w:cs="Arial"/>
          <w:b/>
          <w:bCs/>
          <w:szCs w:val="21"/>
        </w:rPr>
      </w:pPr>
      <w:r>
        <w:rPr>
          <w:rFonts w:hint="eastAsia" w:cs="Arial"/>
          <w:b/>
          <w:bCs/>
          <w:szCs w:val="21"/>
        </w:rPr>
        <w:t>十二、暂停申购或赎回的公告和重新开放申购或赎回的公告</w:t>
      </w:r>
    </w:p>
    <w:p w14:paraId="7A17DE9D">
      <w:pPr>
        <w:tabs>
          <w:tab w:val="left" w:pos="1110"/>
        </w:tabs>
        <w:snapToGrid w:val="0"/>
        <w:spacing w:line="360" w:lineRule="auto"/>
        <w:ind w:firstLine="420" w:firstLineChars="200"/>
        <w:rPr>
          <w:rFonts w:hint="eastAsia"/>
        </w:rPr>
      </w:pPr>
      <w:r>
        <w:rPr>
          <w:rFonts w:hint="eastAsia"/>
        </w:rPr>
        <w:t>1、发生上述暂停申购或赎回情况的，基金管理人应在规定期限内在规定媒介上刊登暂停公告。</w:t>
      </w:r>
    </w:p>
    <w:p w14:paraId="5593759F">
      <w:pPr>
        <w:tabs>
          <w:tab w:val="left" w:pos="1110"/>
        </w:tabs>
        <w:snapToGrid w:val="0"/>
        <w:spacing w:line="360" w:lineRule="auto"/>
        <w:ind w:firstLine="420" w:firstLineChars="200"/>
        <w:rPr>
          <w:rFonts w:hint="eastAsia"/>
        </w:rPr>
      </w:pPr>
      <w:r>
        <w:rPr>
          <w:rFonts w:hint="eastAsia"/>
        </w:rPr>
        <w:t>2、基金管理人可以根据暂停申购或赎回的时间，依照《信息披露办法》的有关规定，在规定媒介上刊登重新开放申购或赎回的公告；也可以根据实际情况在暂停公告中明确重新开放申购或赎回的时间，届时不再另行发布重新开放的公告。</w:t>
      </w:r>
    </w:p>
    <w:p w14:paraId="3F64ADBD">
      <w:pPr>
        <w:tabs>
          <w:tab w:val="left" w:pos="1110"/>
        </w:tabs>
        <w:snapToGrid w:val="0"/>
        <w:spacing w:line="360" w:lineRule="auto"/>
        <w:ind w:firstLine="420" w:firstLineChars="200"/>
        <w:rPr>
          <w:rFonts w:hint="eastAsia" w:cs="Arial"/>
          <w:b/>
          <w:bCs/>
          <w:szCs w:val="21"/>
        </w:rPr>
      </w:pPr>
      <w:r>
        <w:rPr>
          <w:rFonts w:hint="eastAsia"/>
        </w:rPr>
        <w:t>3、上述暂停申购或赎回情况消除的，基金管理人应于重新开放日公布最近1个开放日各类基金份额净值。</w:t>
      </w:r>
    </w:p>
    <w:p w14:paraId="7F09BD2A">
      <w:pPr>
        <w:tabs>
          <w:tab w:val="left" w:pos="1110"/>
        </w:tabs>
        <w:snapToGrid w:val="0"/>
        <w:spacing w:line="360" w:lineRule="auto"/>
        <w:ind w:firstLine="422" w:firstLineChars="200"/>
        <w:rPr>
          <w:rFonts w:cs="Arial"/>
          <w:b/>
          <w:bCs/>
          <w:szCs w:val="21"/>
        </w:rPr>
      </w:pPr>
      <w:r>
        <w:rPr>
          <w:rFonts w:hint="eastAsia" w:cs="Arial"/>
          <w:b/>
          <w:bCs/>
          <w:szCs w:val="21"/>
        </w:rPr>
        <w:t>十三、基金转换</w:t>
      </w:r>
    </w:p>
    <w:p w14:paraId="6720674B">
      <w:pPr>
        <w:snapToGrid w:val="0"/>
        <w:spacing w:line="360" w:lineRule="auto"/>
        <w:ind w:firstLine="420" w:firstLineChars="200"/>
        <w:rPr>
          <w:rFonts w:hint="eastAsia" w:cs="Arial"/>
          <w:b/>
          <w:bCs/>
          <w:szCs w:val="21"/>
        </w:rPr>
      </w:pPr>
      <w:r>
        <w:rPr>
          <w:rFonts w:hint="eastAsia"/>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14:paraId="0F1E538F">
      <w:pPr>
        <w:snapToGrid w:val="0"/>
        <w:spacing w:line="360" w:lineRule="auto"/>
        <w:ind w:firstLine="422" w:firstLineChars="200"/>
        <w:rPr>
          <w:rFonts w:cs="Arial"/>
          <w:b/>
          <w:bCs/>
          <w:szCs w:val="21"/>
        </w:rPr>
      </w:pPr>
      <w:r>
        <w:rPr>
          <w:rFonts w:hint="eastAsia" w:cs="Arial"/>
          <w:b/>
          <w:bCs/>
          <w:szCs w:val="21"/>
        </w:rPr>
        <w:t>十四、基金的非交易过户</w:t>
      </w:r>
    </w:p>
    <w:p w14:paraId="2799DF73">
      <w:pPr>
        <w:snapToGrid w:val="0"/>
        <w:spacing w:line="360" w:lineRule="auto"/>
        <w:ind w:firstLine="420" w:firstLineChars="200"/>
        <w:rPr>
          <w:rFonts w:hint="eastAsia" w:cs="Arial"/>
          <w:bCs/>
          <w:szCs w:val="21"/>
        </w:rPr>
      </w:pPr>
      <w:r>
        <w:rPr>
          <w:rFonts w:hint="eastAsia" w:cs="Arial"/>
          <w:bCs/>
          <w:szCs w:val="21"/>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4D8488D7">
      <w:pPr>
        <w:snapToGrid w:val="0"/>
        <w:spacing w:line="360" w:lineRule="auto"/>
        <w:ind w:firstLine="420" w:firstLineChars="200"/>
        <w:rPr>
          <w:rFonts w:hint="eastAsia" w:cs="Arial"/>
          <w:b/>
          <w:bCs/>
          <w:szCs w:val="21"/>
        </w:rPr>
      </w:pPr>
      <w:r>
        <w:rPr>
          <w:rFonts w:hint="eastAsia" w:cs="Arial"/>
          <w:bCs/>
          <w:szCs w:val="21"/>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229E6D4B">
      <w:pPr>
        <w:snapToGrid w:val="0"/>
        <w:spacing w:line="360" w:lineRule="auto"/>
        <w:ind w:firstLine="422" w:firstLineChars="200"/>
        <w:rPr>
          <w:rFonts w:cs="Arial"/>
          <w:b/>
          <w:bCs/>
          <w:szCs w:val="21"/>
        </w:rPr>
      </w:pPr>
      <w:r>
        <w:rPr>
          <w:rFonts w:hint="eastAsia" w:cs="Arial"/>
          <w:b/>
          <w:bCs/>
          <w:szCs w:val="21"/>
        </w:rPr>
        <w:t>十五、基金的转托管</w:t>
      </w:r>
    </w:p>
    <w:p w14:paraId="26ECA10F">
      <w:pPr>
        <w:snapToGrid w:val="0"/>
        <w:spacing w:line="360" w:lineRule="auto"/>
        <w:ind w:firstLine="420" w:firstLineChars="200"/>
        <w:rPr>
          <w:rFonts w:hint="eastAsia" w:cs="Arial"/>
          <w:bCs/>
          <w:szCs w:val="21"/>
        </w:rPr>
      </w:pPr>
      <w:r>
        <w:rPr>
          <w:rFonts w:hint="eastAsia" w:cs="Arial"/>
          <w:bCs/>
          <w:szCs w:val="21"/>
        </w:rPr>
        <w:t>基金份额持有人可办理已持有基金份额在不同销售机构之间的转托管，基金销售机构可以按照规定的标准收取转托管费。</w:t>
      </w:r>
    </w:p>
    <w:p w14:paraId="0589EFDB">
      <w:pPr>
        <w:autoSpaceDE w:val="0"/>
        <w:autoSpaceDN w:val="0"/>
        <w:spacing w:line="360" w:lineRule="auto"/>
        <w:ind w:firstLine="420"/>
        <w:jc w:val="left"/>
        <w:rPr>
          <w:b/>
        </w:rPr>
      </w:pPr>
      <w:r>
        <w:rPr>
          <w:rFonts w:hint="eastAsia"/>
          <w:b/>
        </w:rPr>
        <w:t>十六、</w:t>
      </w:r>
      <w:r>
        <w:rPr>
          <w:rFonts w:hint="eastAsia"/>
          <w:b/>
          <w:bCs/>
          <w:szCs w:val="21"/>
        </w:rPr>
        <w:t>定期定额投资计划</w:t>
      </w:r>
    </w:p>
    <w:p w14:paraId="4E79DDC8">
      <w:pPr>
        <w:snapToGrid w:val="0"/>
        <w:spacing w:line="360" w:lineRule="auto"/>
        <w:ind w:firstLine="420" w:firstLineChars="200"/>
        <w:rPr>
          <w:rFonts w:hint="eastAsia" w:cs="Arial"/>
          <w:b/>
          <w:bCs/>
          <w:szCs w:val="21"/>
        </w:rPr>
      </w:pPr>
      <w:r>
        <w:rPr>
          <w:rFonts w:hint="eastAsia"/>
          <w:bCs/>
          <w:szCs w:val="21"/>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00CD89F9">
      <w:pPr>
        <w:snapToGrid w:val="0"/>
        <w:spacing w:line="360" w:lineRule="auto"/>
        <w:ind w:firstLine="422" w:firstLineChars="200"/>
        <w:rPr>
          <w:rFonts w:hint="eastAsia"/>
          <w:b/>
          <w:bCs/>
        </w:rPr>
      </w:pPr>
      <w:r>
        <w:rPr>
          <w:rFonts w:hint="eastAsia" w:cs="Arial"/>
          <w:b/>
          <w:bCs/>
          <w:szCs w:val="21"/>
        </w:rPr>
        <w:t>十七、</w:t>
      </w:r>
      <w:r>
        <w:rPr>
          <w:rFonts w:hint="eastAsia"/>
          <w:b/>
          <w:bCs/>
        </w:rPr>
        <w:t>基金份额的冻结和解冻</w:t>
      </w:r>
    </w:p>
    <w:p w14:paraId="7C84048B">
      <w:pPr>
        <w:snapToGrid w:val="0"/>
        <w:spacing w:line="360" w:lineRule="auto"/>
        <w:ind w:firstLine="420" w:firstLineChars="200"/>
        <w:rPr>
          <w:rFonts w:hint="eastAsia"/>
        </w:rPr>
      </w:pPr>
      <w:r>
        <w:rPr>
          <w:rFonts w:hint="eastAsia"/>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784B3731">
      <w:pPr>
        <w:snapToGrid w:val="0"/>
        <w:spacing w:line="360" w:lineRule="auto"/>
        <w:ind w:firstLine="422" w:firstLineChars="200"/>
        <w:rPr>
          <w:rFonts w:hint="eastAsia" w:cs="Arial"/>
          <w:b/>
          <w:szCs w:val="21"/>
        </w:rPr>
      </w:pPr>
      <w:r>
        <w:rPr>
          <w:rFonts w:hint="eastAsia" w:cs="Arial"/>
          <w:b/>
          <w:szCs w:val="21"/>
        </w:rPr>
        <w:t>十八、基金份额的转让</w:t>
      </w:r>
    </w:p>
    <w:p w14:paraId="1FD64BA0">
      <w:pPr>
        <w:snapToGrid w:val="0"/>
        <w:spacing w:line="360" w:lineRule="auto"/>
        <w:ind w:firstLine="420" w:firstLineChars="200"/>
        <w:rPr>
          <w:rFonts w:hint="eastAsia" w:cs="Arial"/>
          <w:b/>
          <w:szCs w:val="21"/>
        </w:rPr>
      </w:pPr>
      <w:r>
        <w:rPr>
          <w:rFonts w:hint="eastAsia" w:cs="Arial"/>
          <w:bCs/>
          <w:szCs w:val="21"/>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68B9FDF5">
      <w:pPr>
        <w:snapToGrid w:val="0"/>
        <w:spacing w:line="360" w:lineRule="auto"/>
        <w:ind w:firstLine="422" w:firstLineChars="200"/>
        <w:rPr>
          <w:rFonts w:hint="eastAsia" w:cs="Arial"/>
          <w:b/>
          <w:szCs w:val="21"/>
        </w:rPr>
      </w:pPr>
      <w:r>
        <w:rPr>
          <w:rFonts w:hint="eastAsia" w:cs="Arial"/>
          <w:b/>
          <w:szCs w:val="21"/>
        </w:rPr>
        <w:t>十九、其他业务</w:t>
      </w:r>
    </w:p>
    <w:p w14:paraId="322B9CFB">
      <w:pPr>
        <w:snapToGrid w:val="0"/>
        <w:spacing w:line="360" w:lineRule="auto"/>
        <w:ind w:firstLine="420" w:firstLineChars="200"/>
        <w:rPr>
          <w:rFonts w:hint="eastAsia" w:cs="Arial"/>
          <w:b/>
          <w:szCs w:val="21"/>
        </w:rPr>
      </w:pPr>
      <w:r>
        <w:rPr>
          <w:rFonts w:hint="eastAsia" w:cs="Arial"/>
          <w:szCs w:val="21"/>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14:paraId="5870FEA4">
      <w:pPr>
        <w:snapToGrid w:val="0"/>
        <w:spacing w:line="360" w:lineRule="auto"/>
        <w:ind w:firstLine="422" w:firstLineChars="200"/>
        <w:rPr>
          <w:rFonts w:hint="eastAsia" w:cs="Arial"/>
          <w:b/>
          <w:szCs w:val="21"/>
        </w:rPr>
      </w:pPr>
      <w:r>
        <w:rPr>
          <w:rFonts w:hint="eastAsia" w:cs="Arial"/>
          <w:b/>
          <w:szCs w:val="21"/>
        </w:rPr>
        <w:t>二十、实施侧袋机制期间本基金的申购与赎回</w:t>
      </w:r>
    </w:p>
    <w:p w14:paraId="631F7D8C">
      <w:pPr>
        <w:snapToGrid w:val="0"/>
        <w:spacing w:line="360" w:lineRule="auto"/>
        <w:ind w:firstLine="420" w:firstLineChars="200"/>
        <w:rPr>
          <w:rFonts w:hint="eastAsia" w:eastAsia="宋体" w:cs="Arial"/>
          <w:szCs w:val="21"/>
          <w:lang w:eastAsia="zh-CN"/>
        </w:rPr>
        <w:sectPr>
          <w:footerReference r:id="rId14" w:type="default"/>
          <w:pgSz w:w="11906" w:h="16838"/>
          <w:pgMar w:top="1440" w:right="1800" w:bottom="1440" w:left="1800" w:header="851" w:footer="992" w:gutter="0"/>
          <w:pgNumType w:start="1" w:chapStyle="1"/>
          <w:cols w:space="720" w:num="1"/>
          <w:docGrid w:type="lines" w:linePitch="312" w:charSpace="0"/>
        </w:sectPr>
      </w:pPr>
      <w:r>
        <w:rPr>
          <w:rFonts w:hint="eastAsia" w:cs="Arial"/>
          <w:szCs w:val="21"/>
        </w:rPr>
        <w:t>本基金实施侧袋机制的，本基金的申购和赎回安排详见本招募说明书“侧袋机制”章节或相关公</w:t>
      </w:r>
      <w:bookmarkEnd w:id="32"/>
      <w:r>
        <w:rPr>
          <w:rFonts w:hint="eastAsia" w:cs="Arial"/>
          <w:szCs w:val="21"/>
          <w:lang w:eastAsia="zh-CN"/>
        </w:rPr>
        <w:t>告。</w:t>
      </w:r>
    </w:p>
    <w:bookmarkEnd w:id="15"/>
    <w:bookmarkEnd w:id="16"/>
    <w:p w14:paraId="0AD23EAF">
      <w:pPr>
        <w:pStyle w:val="2"/>
        <w:spacing w:before="93" w:beforeLines="30" w:after="93" w:afterLines="30" w:line="360" w:lineRule="auto"/>
        <w:rPr>
          <w:rFonts w:hint="eastAsia" w:ascii="Times New Roman" w:hAnsi="Times New Roman" w:eastAsia="宋体" w:cs="Times New Roman"/>
          <w:b/>
          <w:sz w:val="28"/>
          <w:szCs w:val="24"/>
        </w:rPr>
      </w:pPr>
      <w:bookmarkStart w:id="33" w:name="_Toc48231676"/>
      <w:r>
        <w:rPr>
          <w:rFonts w:hint="eastAsia" w:ascii="Times New Roman" w:hAnsi="Times New Roman" w:eastAsia="宋体" w:cs="Times New Roman"/>
          <w:b/>
          <w:sz w:val="28"/>
          <w:szCs w:val="24"/>
        </w:rPr>
        <w:t>第九部分 基金的投资</w:t>
      </w:r>
      <w:bookmarkEnd w:id="33"/>
      <w:bookmarkStart w:id="34" w:name="_Toc79392634"/>
    </w:p>
    <w:p w14:paraId="26FF4DB6">
      <w:pPr>
        <w:spacing w:line="360" w:lineRule="auto"/>
        <w:ind w:firstLine="422" w:firstLineChars="200"/>
        <w:rPr>
          <w:b/>
          <w:bCs/>
          <w:szCs w:val="21"/>
        </w:rPr>
      </w:pPr>
      <w:r>
        <w:rPr>
          <w:b/>
          <w:bCs/>
          <w:szCs w:val="21"/>
        </w:rPr>
        <w:t>一</w:t>
      </w:r>
      <w:r>
        <w:rPr>
          <w:rFonts w:hint="eastAsia"/>
          <w:b/>
          <w:bCs/>
          <w:szCs w:val="21"/>
        </w:rPr>
        <w:t>、</w:t>
      </w:r>
      <w:r>
        <w:rPr>
          <w:b/>
          <w:bCs/>
          <w:szCs w:val="21"/>
        </w:rPr>
        <w:t>投资目标</w:t>
      </w:r>
    </w:p>
    <w:p w14:paraId="2B78148B">
      <w:pPr>
        <w:spacing w:line="360" w:lineRule="auto"/>
        <w:ind w:firstLine="420" w:firstLineChars="200"/>
        <w:rPr>
          <w:rFonts w:hint="eastAsia"/>
          <w:bCs/>
          <w:szCs w:val="21"/>
        </w:rPr>
      </w:pPr>
      <w:r>
        <w:rPr>
          <w:rFonts w:hint="eastAsia"/>
          <w:bCs/>
          <w:szCs w:val="21"/>
        </w:rPr>
        <w:t>本基金在严格控制风险的前提下，通过有效的多资产配置，体系化的基金筛选以及动态的组合管理，追求基金资产的长期稳健增值。</w:t>
      </w:r>
    </w:p>
    <w:p w14:paraId="3E29860F">
      <w:pPr>
        <w:spacing w:line="360" w:lineRule="auto"/>
        <w:ind w:firstLine="422" w:firstLineChars="200"/>
        <w:rPr>
          <w:b/>
          <w:bCs/>
          <w:szCs w:val="21"/>
        </w:rPr>
      </w:pPr>
      <w:r>
        <w:rPr>
          <w:b/>
          <w:bCs/>
          <w:szCs w:val="21"/>
        </w:rPr>
        <w:t>二</w:t>
      </w:r>
      <w:r>
        <w:rPr>
          <w:rFonts w:hint="eastAsia"/>
          <w:b/>
          <w:bCs/>
          <w:szCs w:val="21"/>
        </w:rPr>
        <w:t>、</w:t>
      </w:r>
      <w:r>
        <w:rPr>
          <w:b/>
          <w:bCs/>
          <w:szCs w:val="21"/>
        </w:rPr>
        <w:t>投资范围</w:t>
      </w:r>
    </w:p>
    <w:p w14:paraId="24FDE1AD">
      <w:pPr>
        <w:spacing w:line="360" w:lineRule="auto"/>
        <w:ind w:firstLine="420" w:firstLineChars="200"/>
        <w:rPr>
          <w:rFonts w:hint="eastAsia"/>
          <w:bCs/>
          <w:szCs w:val="21"/>
        </w:rPr>
      </w:pPr>
      <w:r>
        <w:rPr>
          <w:rFonts w:hint="eastAsia"/>
          <w:bCs/>
          <w:szCs w:val="21"/>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w:t>
      </w:r>
      <w:r>
        <w:rPr>
          <w:rFonts w:hint="eastAsia"/>
          <w:bCs/>
          <w:szCs w:val="21"/>
          <w:lang w:eastAsia="zh-CN"/>
        </w:rPr>
        <w:t>超短期融资券</w:t>
      </w:r>
      <w:r>
        <w:rPr>
          <w:rFonts w:hint="eastAsia"/>
          <w:bCs/>
          <w:szCs w:val="21"/>
        </w:rPr>
        <w:t>、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0E13DB8E">
      <w:pPr>
        <w:spacing w:line="360" w:lineRule="auto"/>
        <w:ind w:firstLine="420" w:firstLineChars="200"/>
        <w:rPr>
          <w:rFonts w:hint="eastAsia"/>
          <w:bCs/>
          <w:szCs w:val="21"/>
        </w:rPr>
      </w:pPr>
      <w:r>
        <w:rPr>
          <w:rFonts w:hint="eastAsia"/>
          <w:bCs/>
          <w:szCs w:val="21"/>
        </w:rPr>
        <w:t>如法律法规或监管机构以后允许基金投资其他品种的，基金管理人在履行适当程序后，可以将其纳入投资范围。</w:t>
      </w:r>
    </w:p>
    <w:p w14:paraId="7504D1F3">
      <w:pPr>
        <w:spacing w:line="360" w:lineRule="auto"/>
        <w:ind w:firstLine="420" w:firstLineChars="200"/>
        <w:rPr>
          <w:rFonts w:hint="eastAsia"/>
          <w:bCs/>
          <w:szCs w:val="21"/>
        </w:rPr>
      </w:pPr>
      <w:r>
        <w:rPr>
          <w:rFonts w:hint="eastAsia"/>
          <w:bCs/>
          <w:szCs w:val="21"/>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54250A5A">
      <w:pPr>
        <w:spacing w:line="360" w:lineRule="auto"/>
        <w:ind w:firstLine="420" w:firstLineChars="200"/>
        <w:rPr>
          <w:rFonts w:hint="eastAsia"/>
          <w:bCs/>
          <w:szCs w:val="21"/>
        </w:rPr>
      </w:pPr>
      <w:r>
        <w:rPr>
          <w:rFonts w:hint="eastAsia"/>
          <w:bCs/>
          <w:szCs w:val="21"/>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6ECC7D12">
      <w:pPr>
        <w:spacing w:line="360" w:lineRule="auto"/>
        <w:ind w:firstLine="420" w:firstLineChars="200"/>
        <w:rPr>
          <w:rFonts w:hint="eastAsia"/>
          <w:b/>
          <w:bCs/>
          <w:szCs w:val="21"/>
        </w:rPr>
      </w:pPr>
      <w:r>
        <w:rPr>
          <w:rFonts w:hint="eastAsia"/>
          <w:bCs/>
          <w:szCs w:val="21"/>
        </w:rPr>
        <w:t>如法律法规或监管机构以后允许本基金投资其他品种或对投资比例要求有变更的，基金管理人在履行适当程序后，可以做出相应调整。</w:t>
      </w:r>
    </w:p>
    <w:p w14:paraId="2863A92D">
      <w:pPr>
        <w:spacing w:line="360" w:lineRule="auto"/>
        <w:ind w:firstLine="422" w:firstLineChars="200"/>
        <w:rPr>
          <w:b/>
          <w:bCs/>
          <w:szCs w:val="21"/>
        </w:rPr>
      </w:pPr>
      <w:r>
        <w:rPr>
          <w:rFonts w:hint="eastAsia"/>
          <w:b/>
          <w:bCs/>
          <w:szCs w:val="21"/>
        </w:rPr>
        <w:t>三、</w:t>
      </w:r>
      <w:r>
        <w:rPr>
          <w:b/>
          <w:bCs/>
          <w:szCs w:val="21"/>
        </w:rPr>
        <w:t>投资策略</w:t>
      </w:r>
    </w:p>
    <w:p w14:paraId="14D3CD46">
      <w:pPr>
        <w:spacing w:line="360" w:lineRule="auto"/>
        <w:ind w:firstLine="420" w:firstLineChars="200"/>
        <w:rPr>
          <w:rFonts w:hint="eastAsia"/>
          <w:bCs/>
          <w:szCs w:val="21"/>
        </w:rPr>
      </w:pPr>
      <w:bookmarkStart w:id="35" w:name="OLE_LINK6"/>
      <w:r>
        <w:rPr>
          <w:rFonts w:hint="eastAsia"/>
          <w:bCs/>
          <w:szCs w:val="21"/>
        </w:rPr>
        <w:t>本基金将秉承稳健的投资风格，充分发挥基金管理人的资产配置和基金研究经验累积与优势，将大类资产配置，基金研究与筛选以及基金的动态管理三个核心要素有机集合，力争在控制整体下行风险的前提下，实现基金资产的长期稳健增值。</w:t>
      </w:r>
    </w:p>
    <w:p w14:paraId="091439F8">
      <w:pPr>
        <w:spacing w:line="360" w:lineRule="auto"/>
        <w:ind w:firstLine="420" w:firstLineChars="200"/>
        <w:rPr>
          <w:rFonts w:hint="eastAsia"/>
          <w:bCs/>
          <w:szCs w:val="21"/>
        </w:rPr>
      </w:pPr>
      <w:r>
        <w:rPr>
          <w:rFonts w:hint="eastAsia"/>
          <w:bCs/>
          <w:szCs w:val="21"/>
        </w:rPr>
        <w:t>（一）大类资产配置策略</w:t>
      </w:r>
    </w:p>
    <w:p w14:paraId="2475B6FE">
      <w:pPr>
        <w:spacing w:line="360" w:lineRule="auto"/>
        <w:ind w:firstLine="420" w:firstLineChars="200"/>
        <w:rPr>
          <w:rFonts w:hint="eastAsia"/>
          <w:bCs/>
          <w:szCs w:val="21"/>
        </w:rPr>
      </w:pPr>
      <w:r>
        <w:rPr>
          <w:rFonts w:hint="eastAsia"/>
          <w:bCs/>
          <w:szCs w:val="21"/>
        </w:rPr>
        <w:t>本基金通过对宏观经济运行状况、国家财政和货币政策、国家产业政策以及市场资金环境、证券市场走势等因素进行重点研究，结合定量模型如库存周期模型和美联储估值模型（FED模型）等，对宏观经济状况、股票估值水平及市场利率走势进行预测，并据以评判在未来一段时间内各大类资产的相对风险收益状况，在遵守投资比例限制的基础上，调整本基金资产在权益类资产、债权类资产和流动性管理工具等大类资产之间的配置比例。</w:t>
      </w:r>
    </w:p>
    <w:p w14:paraId="526A0558">
      <w:pPr>
        <w:spacing w:line="360" w:lineRule="auto"/>
        <w:ind w:firstLine="420" w:firstLineChars="200"/>
        <w:rPr>
          <w:rFonts w:hint="eastAsia"/>
          <w:bCs/>
          <w:szCs w:val="21"/>
        </w:rPr>
      </w:pPr>
      <w:r>
        <w:rPr>
          <w:rFonts w:hint="eastAsia"/>
          <w:bCs/>
          <w:szCs w:val="21"/>
        </w:rPr>
        <w:t>（二）基金投资策略</w:t>
      </w:r>
    </w:p>
    <w:p w14:paraId="64838C0C">
      <w:pPr>
        <w:spacing w:line="360" w:lineRule="auto"/>
        <w:ind w:firstLine="420" w:firstLineChars="200"/>
        <w:rPr>
          <w:rFonts w:hint="eastAsia"/>
          <w:bCs/>
          <w:szCs w:val="21"/>
        </w:rPr>
      </w:pPr>
      <w:r>
        <w:rPr>
          <w:rFonts w:hint="eastAsia"/>
          <w:bCs/>
          <w:szCs w:val="21"/>
        </w:rPr>
        <w:t>本基金将结合定量分析与定性分析，采用以“基金经理”为核心的基金研究方法，从基金经理从业经验、业绩表现、风险控制能力、收益归因分析、基金经理风格等维度，并结合基金分类、基金管理人，结合基金产品的业绩数据，风险指标等，对全市场基金进行综合评判，并从中甄选出具有业绩可持续性的优秀基金作为投资备选库。通过全面深度调研和访谈，及时准确把握基金公司和基金经理动态及投资策略变化，结合市场状况建立基金投资组合，并积极主动的对投资组合进行动态监控和调整。</w:t>
      </w:r>
    </w:p>
    <w:p w14:paraId="19FF2BB7">
      <w:pPr>
        <w:spacing w:line="360" w:lineRule="auto"/>
        <w:ind w:firstLine="420" w:firstLineChars="200"/>
        <w:rPr>
          <w:rFonts w:hint="eastAsia"/>
          <w:bCs/>
          <w:szCs w:val="21"/>
        </w:rPr>
      </w:pPr>
      <w:r>
        <w:rPr>
          <w:rFonts w:hint="eastAsia"/>
          <w:bCs/>
          <w:szCs w:val="21"/>
        </w:rPr>
        <w:t>1、固定收益类基金（含债券型基金和货币市场基金）投资策略</w:t>
      </w:r>
    </w:p>
    <w:p w14:paraId="61C1A994">
      <w:pPr>
        <w:spacing w:line="360" w:lineRule="auto"/>
        <w:ind w:firstLine="420" w:firstLineChars="200"/>
        <w:rPr>
          <w:rFonts w:hint="eastAsia"/>
          <w:bCs/>
          <w:szCs w:val="21"/>
        </w:rPr>
      </w:pPr>
      <w:r>
        <w:rPr>
          <w:rFonts w:hint="eastAsia"/>
          <w:bCs/>
          <w:szCs w:val="21"/>
        </w:rPr>
        <w:t>本基金对固定收益类基金的配置坚持自上而下的策略框架，基于对宏观经济、通货膨胀、货币政策与流动性环境的判断，并结合对市场行情的预期，对利率债、信用债和可转债等品种的表现进行比较，在此基础上确定各固定收益结构板块的配置比例，筛选与债券结构板块配置意见相一致的固定收益类基金，构建固定收益类基金组合。</w:t>
      </w:r>
    </w:p>
    <w:p w14:paraId="075A443D">
      <w:pPr>
        <w:spacing w:line="360" w:lineRule="auto"/>
        <w:ind w:firstLine="420" w:firstLineChars="200"/>
        <w:rPr>
          <w:rFonts w:hint="eastAsia"/>
          <w:bCs/>
          <w:szCs w:val="21"/>
        </w:rPr>
      </w:pPr>
      <w:r>
        <w:rPr>
          <w:rFonts w:hint="eastAsia"/>
          <w:bCs/>
          <w:szCs w:val="21"/>
        </w:rPr>
        <w:t>基金筛选是为了选出长期优秀的基金，并根据资产配置观点和策略构建组合，作为投资管理的一环，需要根据投资管理的实际需求，针对每类基金在组合中的作用设定重点筛选指标——货币市场基金最看重的是流动性，纯债基金最看重的是收益的稳健性，即收益质量，二级债基作为固收增强类基金，最看重收益质量以及对风险的控制能力，可转债基金的波动较大，可以作为阶段性把握机会的品种。</w:t>
      </w:r>
    </w:p>
    <w:p w14:paraId="24BF9959">
      <w:pPr>
        <w:spacing w:line="360" w:lineRule="auto"/>
        <w:ind w:firstLine="420" w:firstLineChars="200"/>
        <w:rPr>
          <w:rFonts w:hint="eastAsia"/>
          <w:bCs/>
          <w:szCs w:val="21"/>
        </w:rPr>
      </w:pPr>
      <w:r>
        <w:rPr>
          <w:rFonts w:hint="eastAsia"/>
          <w:bCs/>
          <w:szCs w:val="21"/>
        </w:rPr>
        <w:t>2、权益类基金（含股票型基金和混合型基金）投资策略</w:t>
      </w:r>
    </w:p>
    <w:p w14:paraId="33C90D97">
      <w:pPr>
        <w:spacing w:line="360" w:lineRule="auto"/>
        <w:ind w:firstLine="420" w:firstLineChars="200"/>
        <w:rPr>
          <w:rFonts w:hint="eastAsia"/>
          <w:bCs/>
          <w:szCs w:val="21"/>
        </w:rPr>
      </w:pPr>
      <w:r>
        <w:rPr>
          <w:rFonts w:hint="eastAsia"/>
          <w:bCs/>
          <w:szCs w:val="21"/>
        </w:rPr>
        <w:t>本基金对权益类基金的配置策略，分为结构配置和策略配置两方面：</w:t>
      </w:r>
    </w:p>
    <w:p w14:paraId="05848D11">
      <w:pPr>
        <w:spacing w:line="360" w:lineRule="auto"/>
        <w:ind w:firstLine="420" w:firstLineChars="200"/>
        <w:rPr>
          <w:rFonts w:hint="eastAsia"/>
          <w:bCs/>
          <w:szCs w:val="21"/>
        </w:rPr>
      </w:pPr>
      <w:r>
        <w:rPr>
          <w:rFonts w:hint="eastAsia"/>
          <w:bCs/>
          <w:szCs w:val="21"/>
        </w:rPr>
        <w:t>（1）结构配置体现在风格与行业两个维度。基于对整体市场的判断，考虑宏观经济变量的总量与结构特征、制造业与非制造业的景气比较等基本面因素，结合可客观跟踪的市场预期、投资者偏好以及市场交易特征等，确定A股的风格与行业配置倾向，以给定的资产配置比例优选与风格、行业配置相一致的股票型基金。</w:t>
      </w:r>
    </w:p>
    <w:p w14:paraId="00390525">
      <w:pPr>
        <w:spacing w:line="360" w:lineRule="auto"/>
        <w:ind w:firstLine="420" w:firstLineChars="200"/>
        <w:rPr>
          <w:rFonts w:hint="eastAsia"/>
          <w:bCs/>
          <w:szCs w:val="21"/>
        </w:rPr>
      </w:pPr>
      <w:r>
        <w:rPr>
          <w:rFonts w:hint="eastAsia"/>
          <w:bCs/>
          <w:szCs w:val="21"/>
        </w:rPr>
        <w:t>（2）策略配置。本基金将保持对权益类基金的评估与跟踪，对长期采取稳定投资策略并能够获得超额收益的公募基金进行筛选，构建多策略的基金投资组合，在资产配置的基础上进一步分散投资风险，提高本基金投资的稳健性。</w:t>
      </w:r>
    </w:p>
    <w:p w14:paraId="6021D622">
      <w:pPr>
        <w:spacing w:line="360" w:lineRule="auto"/>
        <w:ind w:firstLine="420" w:firstLineChars="200"/>
        <w:rPr>
          <w:rFonts w:hint="eastAsia"/>
          <w:bCs/>
          <w:szCs w:val="21"/>
        </w:rPr>
      </w:pPr>
      <w:r>
        <w:rPr>
          <w:rFonts w:hint="eastAsia"/>
          <w:bCs/>
          <w:szCs w:val="21"/>
        </w:rPr>
        <w:t>3、商品基金（含商品期货基金和黄金ETF）投资策略</w:t>
      </w:r>
    </w:p>
    <w:p w14:paraId="4CBA249E">
      <w:pPr>
        <w:spacing w:line="360" w:lineRule="auto"/>
        <w:ind w:firstLine="420" w:firstLineChars="200"/>
        <w:rPr>
          <w:rFonts w:hint="eastAsia"/>
          <w:bCs/>
          <w:szCs w:val="21"/>
        </w:rPr>
      </w:pPr>
      <w:r>
        <w:rPr>
          <w:rFonts w:hint="eastAsia"/>
          <w:bCs/>
          <w:szCs w:val="21"/>
        </w:rPr>
        <w:t>本基金主要选择具备有效抵御通胀，与其他资产的相关度低的商品进行配置。在子基金的选择上，重点配置跟踪误差较小、流动性较好的产品，并合理控制投资比例及组合风险。</w:t>
      </w:r>
    </w:p>
    <w:p w14:paraId="10A30725">
      <w:pPr>
        <w:spacing w:line="360" w:lineRule="auto"/>
        <w:ind w:firstLine="420" w:firstLineChars="200"/>
        <w:rPr>
          <w:rFonts w:hint="eastAsia"/>
          <w:bCs/>
          <w:szCs w:val="21"/>
        </w:rPr>
      </w:pPr>
      <w:r>
        <w:rPr>
          <w:rFonts w:hint="eastAsia"/>
          <w:bCs/>
          <w:szCs w:val="21"/>
        </w:rPr>
        <w:t>4、公募REITs投资策略</w:t>
      </w:r>
    </w:p>
    <w:p w14:paraId="19D44CD8">
      <w:pPr>
        <w:spacing w:line="360" w:lineRule="auto"/>
        <w:ind w:firstLine="420" w:firstLineChars="200"/>
        <w:rPr>
          <w:rFonts w:hint="eastAsia"/>
          <w:bCs/>
          <w:szCs w:val="21"/>
        </w:rPr>
      </w:pPr>
      <w:r>
        <w:rPr>
          <w:rFonts w:hint="eastAsia"/>
          <w:bCs/>
          <w:szCs w:val="21"/>
        </w:rPr>
        <w:t>本基金可投资公募REITs。本基金将综合考量宏观经济运行情况、基金资产配置策略、底层资产运营情况、流动性及估值水平等因素，对公募REITs的投资价值进行深入研究，精选出具有较高投资价值的公募REITs进行投资。本基金根据投资策略需要或市场环境变化，可选择将部分基金资产投资于公募REITs，但本基金并非必然投资公募REITs。</w:t>
      </w:r>
    </w:p>
    <w:p w14:paraId="2AC3A2AC">
      <w:pPr>
        <w:spacing w:line="360" w:lineRule="auto"/>
        <w:ind w:firstLine="420" w:firstLineChars="200"/>
        <w:rPr>
          <w:rFonts w:hint="eastAsia"/>
          <w:bCs/>
          <w:szCs w:val="21"/>
        </w:rPr>
      </w:pPr>
      <w:r>
        <w:rPr>
          <w:rFonts w:hint="eastAsia"/>
          <w:bCs/>
          <w:szCs w:val="21"/>
        </w:rPr>
        <w:t>（三）股票投资策略</w:t>
      </w:r>
    </w:p>
    <w:p w14:paraId="1C33910F">
      <w:pPr>
        <w:spacing w:line="360" w:lineRule="auto"/>
        <w:ind w:firstLine="420" w:firstLineChars="200"/>
        <w:rPr>
          <w:rFonts w:hint="eastAsia"/>
          <w:bCs/>
          <w:szCs w:val="21"/>
        </w:rPr>
      </w:pPr>
      <w:r>
        <w:rPr>
          <w:rFonts w:hint="eastAsia"/>
          <w:bCs/>
          <w:szCs w:val="21"/>
        </w:rPr>
        <w:t>1、A股投资策略</w:t>
      </w:r>
    </w:p>
    <w:p w14:paraId="7F189F5C">
      <w:pPr>
        <w:spacing w:line="360" w:lineRule="auto"/>
        <w:ind w:firstLine="420" w:firstLineChars="200"/>
        <w:rPr>
          <w:rFonts w:hint="eastAsia"/>
          <w:bCs/>
          <w:szCs w:val="21"/>
        </w:rPr>
      </w:pPr>
      <w:r>
        <w:rPr>
          <w:rFonts w:hint="eastAsia"/>
          <w:bCs/>
          <w:szCs w:val="21"/>
        </w:rPr>
        <w:t>本基金对股票的投资，采用“自上而下”和“自下而上”相结合的策略，对上市公司的行业发展趋势、成长性与投资价值进行权衡，根据实体经济运行、产业发展趋势、上下游行业运行态势等观察并选取景气度上行行业，并通过对上市公司基本面的深入研究筛选价格处于合理水平的股票进行投资，基金资产并非必然投资A股股票。</w:t>
      </w:r>
    </w:p>
    <w:p w14:paraId="5B2202E3">
      <w:pPr>
        <w:spacing w:line="360" w:lineRule="auto"/>
        <w:ind w:firstLine="420" w:firstLineChars="200"/>
        <w:rPr>
          <w:bCs/>
          <w:szCs w:val="21"/>
        </w:rPr>
      </w:pPr>
      <w:r>
        <w:rPr>
          <w:rFonts w:hint="eastAsia"/>
          <w:bCs/>
          <w:szCs w:val="21"/>
        </w:rPr>
        <w:t>2、港股通标的证券投资策略</w:t>
      </w:r>
    </w:p>
    <w:p w14:paraId="43805B34">
      <w:pPr>
        <w:spacing w:line="360" w:lineRule="auto"/>
        <w:ind w:firstLine="420" w:firstLineChars="200"/>
        <w:rPr>
          <w:rFonts w:hint="eastAsia"/>
          <w:bCs/>
          <w:szCs w:val="21"/>
        </w:rPr>
      </w:pPr>
      <w:r>
        <w:rPr>
          <w:bCs/>
          <w:szCs w:val="21"/>
        </w:rPr>
        <w:t>考虑到香港股票市场与A股股票市场的差异，对于香港联合交易所上市的证券（包含股票和ETF），本基金将结合公司基本面、国内经济和相关行业发展前景、香港市场资金面和投资者行为，以及世界主要经济体经济发展前景和货币政策、主流资本市场对投资者的相对吸引力等因素，精选符合本基金投资目标的香港联合交易所上市的证券。</w:t>
      </w:r>
    </w:p>
    <w:p w14:paraId="725CEFC4">
      <w:pPr>
        <w:spacing w:line="360" w:lineRule="auto"/>
        <w:ind w:firstLine="420" w:firstLineChars="200"/>
        <w:rPr>
          <w:rFonts w:hint="eastAsia"/>
          <w:bCs/>
          <w:szCs w:val="21"/>
        </w:rPr>
      </w:pPr>
      <w:r>
        <w:rPr>
          <w:rFonts w:hint="eastAsia"/>
          <w:bCs/>
          <w:szCs w:val="21"/>
        </w:rPr>
        <w:t>3、存托凭证投资策略</w:t>
      </w:r>
    </w:p>
    <w:p w14:paraId="65B5BC49">
      <w:pPr>
        <w:spacing w:line="360" w:lineRule="auto"/>
        <w:ind w:firstLine="420" w:firstLineChars="200"/>
        <w:rPr>
          <w:rFonts w:hint="eastAsia"/>
          <w:bCs/>
          <w:szCs w:val="21"/>
        </w:rPr>
      </w:pPr>
      <w:r>
        <w:rPr>
          <w:rFonts w:hint="eastAsia"/>
          <w:bCs/>
          <w:szCs w:val="21"/>
        </w:rPr>
        <w:t>本基金将根据本基金的投资目标和股票投资策略，基于对基础证券投资价值的深入研究判断，进行存托凭证的投资。</w:t>
      </w:r>
    </w:p>
    <w:p w14:paraId="67E72215">
      <w:pPr>
        <w:spacing w:line="360" w:lineRule="auto"/>
        <w:ind w:firstLine="420" w:firstLineChars="200"/>
        <w:rPr>
          <w:rFonts w:hint="eastAsia"/>
          <w:bCs/>
          <w:szCs w:val="21"/>
        </w:rPr>
      </w:pPr>
      <w:r>
        <w:rPr>
          <w:rFonts w:hint="eastAsia"/>
          <w:bCs/>
          <w:szCs w:val="21"/>
        </w:rPr>
        <w:t>（四）债券投资策略</w:t>
      </w:r>
    </w:p>
    <w:p w14:paraId="74D4133E">
      <w:pPr>
        <w:spacing w:line="360" w:lineRule="auto"/>
        <w:ind w:firstLine="420" w:firstLineChars="200"/>
        <w:rPr>
          <w:rFonts w:hint="eastAsia"/>
          <w:bCs/>
          <w:szCs w:val="21"/>
        </w:rPr>
      </w:pPr>
      <w:r>
        <w:rPr>
          <w:rFonts w:hint="eastAsia"/>
          <w:bCs/>
          <w:szCs w:val="21"/>
        </w:rPr>
        <w:t>本基金的债券投资采取主动的投资管理方式，获得与风险相匹配的投资收益，以实现在一定程度上规避股票市场的系统性风险和保证基金资产的流动性。</w:t>
      </w:r>
    </w:p>
    <w:p w14:paraId="118E63CF">
      <w:pPr>
        <w:spacing w:line="360" w:lineRule="auto"/>
        <w:ind w:firstLine="420" w:firstLineChars="200"/>
        <w:rPr>
          <w:rFonts w:hint="eastAsia"/>
          <w:bCs/>
          <w:szCs w:val="21"/>
        </w:rPr>
      </w:pPr>
      <w:r>
        <w:rPr>
          <w:rFonts w:hint="eastAsia"/>
          <w:bCs/>
          <w:szCs w:val="21"/>
        </w:rPr>
        <w:t>在全球经济的框架下，本基金对宏观经济运行趋势及其引致的财政货币政策变化作出判断，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14:paraId="635BF81F">
      <w:pPr>
        <w:spacing w:line="360" w:lineRule="auto"/>
        <w:ind w:firstLine="420" w:firstLineChars="200"/>
        <w:rPr>
          <w:rFonts w:hint="eastAsia"/>
          <w:bCs/>
          <w:szCs w:val="21"/>
        </w:rPr>
      </w:pPr>
      <w:r>
        <w:rPr>
          <w:rFonts w:hint="eastAsia"/>
          <w:bCs/>
          <w:szCs w:val="21"/>
        </w:rPr>
        <w:t>（五）资产支持证券投资策略</w:t>
      </w:r>
    </w:p>
    <w:p w14:paraId="47E0F55E">
      <w:pPr>
        <w:spacing w:line="360" w:lineRule="auto"/>
        <w:ind w:firstLine="420" w:firstLineChars="200"/>
        <w:rPr>
          <w:rFonts w:hint="eastAsia"/>
          <w:bCs/>
          <w:szCs w:val="21"/>
        </w:rPr>
      </w:pPr>
      <w:r>
        <w:rPr>
          <w:rFonts w:hint="eastAsia"/>
          <w:bCs/>
          <w:szCs w:val="21"/>
        </w:rPr>
        <w:t>本基金将通过对资产支持证券基础资产及结构设计的研究，结合多种定价模型，根据基金资产组合情况适度进行资产支持证券的投资。</w:t>
      </w:r>
    </w:p>
    <w:p w14:paraId="5771E318">
      <w:pPr>
        <w:spacing w:line="360" w:lineRule="auto"/>
        <w:ind w:firstLine="420" w:firstLineChars="200"/>
        <w:rPr>
          <w:rFonts w:hint="eastAsia"/>
          <w:b/>
          <w:szCs w:val="21"/>
        </w:rPr>
      </w:pPr>
      <w:r>
        <w:rPr>
          <w:rFonts w:hint="eastAsia"/>
          <w:bCs/>
          <w:szCs w:val="21"/>
        </w:rPr>
        <w:t>今后，随着证券市场的发展、金融工具的丰富和交易方式的创新等，本基金还将积极寻求其他投资机会，如法律法规或监管机构以后允许基金投资其他品种，本基金将在履行适当程序后，将其纳入投资范围以丰富组合投资策略，并在招募说明书更新中公告。</w:t>
      </w:r>
      <w:bookmarkEnd w:id="35"/>
    </w:p>
    <w:p w14:paraId="1732845F">
      <w:pPr>
        <w:spacing w:line="360" w:lineRule="auto"/>
        <w:ind w:firstLine="422" w:firstLineChars="200"/>
        <w:rPr>
          <w:b/>
          <w:bCs/>
          <w:szCs w:val="21"/>
        </w:rPr>
      </w:pPr>
      <w:r>
        <w:rPr>
          <w:rFonts w:hint="eastAsia"/>
          <w:b/>
          <w:szCs w:val="21"/>
        </w:rPr>
        <w:t>四</w:t>
      </w:r>
      <w:r>
        <w:rPr>
          <w:b/>
          <w:bCs/>
          <w:szCs w:val="21"/>
        </w:rPr>
        <w:t>、投资限制</w:t>
      </w:r>
    </w:p>
    <w:p w14:paraId="2153A968">
      <w:pPr>
        <w:spacing w:line="360" w:lineRule="auto"/>
        <w:ind w:firstLine="420" w:firstLineChars="200"/>
        <w:rPr>
          <w:rFonts w:hint="eastAsia"/>
          <w:bCs/>
          <w:szCs w:val="21"/>
        </w:rPr>
      </w:pPr>
      <w:r>
        <w:rPr>
          <w:rFonts w:hint="eastAsia"/>
          <w:bCs/>
          <w:szCs w:val="21"/>
        </w:rPr>
        <w:t>1、组合限制</w:t>
      </w:r>
    </w:p>
    <w:p w14:paraId="6351EFAC">
      <w:pPr>
        <w:spacing w:line="360" w:lineRule="auto"/>
        <w:ind w:firstLine="420" w:firstLineChars="200"/>
        <w:rPr>
          <w:rFonts w:hint="eastAsia"/>
          <w:bCs/>
          <w:szCs w:val="21"/>
        </w:rPr>
      </w:pPr>
      <w:r>
        <w:rPr>
          <w:rFonts w:hint="eastAsia"/>
          <w:bCs/>
          <w:szCs w:val="21"/>
        </w:rPr>
        <w:t>基金的投资组合将遵循以下限制：</w:t>
      </w:r>
    </w:p>
    <w:p w14:paraId="129F9E5F">
      <w:pPr>
        <w:spacing w:line="360" w:lineRule="auto"/>
        <w:ind w:firstLine="420" w:firstLineChars="200"/>
        <w:rPr>
          <w:rFonts w:hint="eastAsia"/>
          <w:bCs/>
          <w:szCs w:val="21"/>
        </w:rPr>
      </w:pPr>
      <w:r>
        <w:rPr>
          <w:rFonts w:hint="eastAsia"/>
          <w:bCs/>
          <w:szCs w:val="21"/>
        </w:rPr>
        <w:t>（1）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w:t>
      </w:r>
    </w:p>
    <w:p w14:paraId="43874032">
      <w:pPr>
        <w:spacing w:line="360" w:lineRule="auto"/>
        <w:ind w:firstLine="420" w:firstLineChars="200"/>
        <w:rPr>
          <w:rFonts w:hint="eastAsia"/>
          <w:bCs/>
          <w:szCs w:val="21"/>
        </w:rPr>
      </w:pPr>
      <w:r>
        <w:rPr>
          <w:rFonts w:hint="eastAsia"/>
          <w:bCs/>
          <w:szCs w:val="21"/>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1426A9E9">
      <w:pPr>
        <w:spacing w:line="360" w:lineRule="auto"/>
        <w:ind w:firstLine="420" w:firstLineChars="200"/>
        <w:rPr>
          <w:rFonts w:hint="eastAsia"/>
          <w:bCs/>
          <w:szCs w:val="21"/>
        </w:rPr>
      </w:pPr>
      <w:r>
        <w:rPr>
          <w:rFonts w:hint="eastAsia"/>
          <w:bCs/>
          <w:szCs w:val="21"/>
        </w:rPr>
        <w:t>（2）本基金持有的现金或者到期日在一年以内的政府债券不低于基金资产净值的5%，其中现金不包括结算备付金、存出保证金、应收申购款等；</w:t>
      </w:r>
    </w:p>
    <w:p w14:paraId="23BB3597">
      <w:pPr>
        <w:spacing w:line="360" w:lineRule="auto"/>
        <w:ind w:firstLine="420" w:firstLineChars="200"/>
        <w:rPr>
          <w:rFonts w:hint="eastAsia"/>
          <w:bCs/>
          <w:szCs w:val="21"/>
        </w:rPr>
      </w:pPr>
      <w:r>
        <w:rPr>
          <w:rFonts w:hint="eastAsia"/>
          <w:bCs/>
          <w:szCs w:val="21"/>
        </w:rPr>
        <w:t>（3）本基金持有单只基金，其市值不得超过基金资产净值的20%；</w:t>
      </w:r>
    </w:p>
    <w:p w14:paraId="6DB2DC00">
      <w:pPr>
        <w:spacing w:line="360" w:lineRule="auto"/>
        <w:ind w:firstLine="420" w:firstLineChars="200"/>
        <w:rPr>
          <w:rFonts w:hint="eastAsia"/>
          <w:bCs/>
          <w:szCs w:val="21"/>
        </w:rPr>
      </w:pPr>
      <w:r>
        <w:rPr>
          <w:rFonts w:hint="eastAsia"/>
          <w:bCs/>
          <w:szCs w:val="21"/>
        </w:rPr>
        <w:t>（4）被投资基金的运作期限应当不少于1年，最近定期报告披露的基金净资产应当不低于1亿元；</w:t>
      </w:r>
    </w:p>
    <w:p w14:paraId="283ABDFF">
      <w:pPr>
        <w:spacing w:line="360" w:lineRule="auto"/>
        <w:ind w:firstLine="420" w:firstLineChars="200"/>
        <w:rPr>
          <w:rFonts w:hint="eastAsia"/>
          <w:bCs/>
          <w:szCs w:val="21"/>
        </w:rPr>
      </w:pPr>
      <w:r>
        <w:rPr>
          <w:rFonts w:hint="eastAsia"/>
          <w:bCs/>
          <w:szCs w:val="21"/>
        </w:rPr>
        <w:t>（5）本基金管理人管理的全部基金（ETF联接基金除外）持有单只基金不得超过被投资基金净资产的20％，被投资基金净资产规模以最近定期报告披露的规模为准；</w:t>
      </w:r>
    </w:p>
    <w:p w14:paraId="2C8AEE06">
      <w:pPr>
        <w:spacing w:line="360" w:lineRule="auto"/>
        <w:ind w:firstLine="420" w:firstLineChars="200"/>
        <w:rPr>
          <w:rFonts w:hint="eastAsia"/>
          <w:bCs/>
          <w:szCs w:val="21"/>
        </w:rPr>
      </w:pPr>
      <w:r>
        <w:rPr>
          <w:rFonts w:hint="eastAsia"/>
          <w:bCs/>
          <w:szCs w:val="21"/>
        </w:rPr>
        <w:t>（6）本基金持有一家公司发行的证券（不含本基金所投资的基金份额，同一家公司在内地和香港同时上市的A+H股合并计算），其市值不超过基金资产净值的10%；</w:t>
      </w:r>
    </w:p>
    <w:p w14:paraId="64C64C51">
      <w:pPr>
        <w:spacing w:line="360" w:lineRule="auto"/>
        <w:ind w:firstLine="420" w:firstLineChars="200"/>
        <w:rPr>
          <w:rFonts w:hint="eastAsia"/>
          <w:bCs/>
          <w:szCs w:val="21"/>
        </w:rPr>
      </w:pPr>
      <w:r>
        <w:rPr>
          <w:rFonts w:hint="eastAsia"/>
          <w:bCs/>
          <w:szCs w:val="21"/>
        </w:rPr>
        <w:t>（7）本基金管理人管理的全部基金持有一家公司发行的证券（不含本基金所投资的基金份额，同一家公司在内地和香港同时上市的A+H股合并计算），不超过该证券的10%；</w:t>
      </w:r>
    </w:p>
    <w:p w14:paraId="1C3A2C6F">
      <w:pPr>
        <w:spacing w:line="360" w:lineRule="auto"/>
        <w:ind w:firstLine="420" w:firstLineChars="200"/>
        <w:rPr>
          <w:rFonts w:hint="eastAsia"/>
          <w:bCs/>
          <w:szCs w:val="21"/>
        </w:rPr>
      </w:pPr>
      <w:r>
        <w:rPr>
          <w:rFonts w:hint="eastAsia"/>
          <w:bCs/>
          <w:szCs w:val="21"/>
        </w:rPr>
        <w:t>（8）本基金投资于同一原始权益人的各类资产支持证券的比例，不得超过基金资产净值的10%；</w:t>
      </w:r>
    </w:p>
    <w:p w14:paraId="77977D5D">
      <w:pPr>
        <w:spacing w:line="360" w:lineRule="auto"/>
        <w:ind w:firstLine="420" w:firstLineChars="200"/>
        <w:rPr>
          <w:rFonts w:hint="eastAsia"/>
          <w:bCs/>
          <w:szCs w:val="21"/>
        </w:rPr>
      </w:pPr>
      <w:r>
        <w:rPr>
          <w:rFonts w:hint="eastAsia"/>
          <w:bCs/>
          <w:szCs w:val="21"/>
        </w:rPr>
        <w:t>（9）本基金持有的全部资产支持证券，其市值不得超过基金资产净值的20%；</w:t>
      </w:r>
    </w:p>
    <w:p w14:paraId="22B3B2B3">
      <w:pPr>
        <w:spacing w:line="360" w:lineRule="auto"/>
        <w:ind w:firstLine="420" w:firstLineChars="200"/>
        <w:rPr>
          <w:rFonts w:hint="eastAsia"/>
          <w:bCs/>
          <w:szCs w:val="21"/>
        </w:rPr>
      </w:pPr>
      <w:r>
        <w:rPr>
          <w:rFonts w:hint="eastAsia"/>
          <w:bCs/>
          <w:szCs w:val="21"/>
        </w:rPr>
        <w:t>（10）本基金持有的同一（指同一信用级别）资产支持证券的比例，不得超过该资产支持证券规模的10%；</w:t>
      </w:r>
    </w:p>
    <w:p w14:paraId="4A3DE51B">
      <w:pPr>
        <w:spacing w:line="360" w:lineRule="auto"/>
        <w:ind w:firstLine="420" w:firstLineChars="200"/>
        <w:rPr>
          <w:rFonts w:hint="eastAsia"/>
          <w:bCs/>
          <w:szCs w:val="21"/>
        </w:rPr>
      </w:pPr>
      <w:r>
        <w:rPr>
          <w:rFonts w:hint="eastAsia"/>
          <w:bCs/>
          <w:szCs w:val="21"/>
        </w:rPr>
        <w:t>（11）本基金管理人管理的全部基金投资于同一原始权益人的各类资产支持证券，不得超过其各类资产支持证券合计规模的10%；</w:t>
      </w:r>
    </w:p>
    <w:p w14:paraId="400D2601">
      <w:pPr>
        <w:spacing w:line="360" w:lineRule="auto"/>
        <w:ind w:firstLine="420" w:firstLineChars="200"/>
        <w:rPr>
          <w:rFonts w:hint="eastAsia"/>
          <w:bCs/>
          <w:szCs w:val="21"/>
        </w:rPr>
      </w:pPr>
      <w:r>
        <w:rPr>
          <w:rFonts w:hint="eastAsia"/>
          <w:bCs/>
          <w:szCs w:val="21"/>
        </w:rPr>
        <w:t>（12）本基金应投资于信用级别评级为BBB以上（含BBB）的资产支持证券。基金持有资产支持证券期间，如果其信用等级下降、不再符合投资标准，应在评级报告发布之日起3个月内予以全部卖出；</w:t>
      </w:r>
    </w:p>
    <w:p w14:paraId="290CC069">
      <w:pPr>
        <w:spacing w:line="360" w:lineRule="auto"/>
        <w:ind w:firstLine="420" w:firstLineChars="200"/>
        <w:rPr>
          <w:rFonts w:hint="eastAsia"/>
          <w:bCs/>
          <w:szCs w:val="21"/>
        </w:rPr>
      </w:pPr>
      <w:r>
        <w:rPr>
          <w:rFonts w:hint="eastAsia"/>
          <w:bCs/>
          <w:szCs w:val="21"/>
        </w:rPr>
        <w:t>（13）本基金财产参与股票发行申购，本基金所申报的金额不超过本基金的总资产，本基金所申报的股票数量不超过拟发行股票公司本次发行股票的总量；</w:t>
      </w:r>
    </w:p>
    <w:p w14:paraId="76B5DE71">
      <w:pPr>
        <w:spacing w:line="360" w:lineRule="auto"/>
        <w:ind w:firstLine="420" w:firstLineChars="200"/>
        <w:rPr>
          <w:rFonts w:hint="eastAsia"/>
          <w:bCs/>
          <w:szCs w:val="21"/>
        </w:rPr>
      </w:pPr>
      <w:r>
        <w:rPr>
          <w:rFonts w:hint="eastAsia"/>
          <w:bCs/>
          <w:szCs w:val="21"/>
        </w:rPr>
        <w:t>（14）本基金的基金资产总值不得超过基金资产净值的140%；</w:t>
      </w:r>
    </w:p>
    <w:p w14:paraId="376C4028">
      <w:pPr>
        <w:spacing w:line="360" w:lineRule="auto"/>
        <w:ind w:firstLine="420" w:firstLineChars="200"/>
        <w:rPr>
          <w:rFonts w:hint="eastAsia"/>
          <w:bCs/>
          <w:szCs w:val="21"/>
        </w:rPr>
      </w:pPr>
      <w:r>
        <w:rPr>
          <w:rFonts w:hint="eastAsia"/>
          <w:bCs/>
          <w:szCs w:val="21"/>
        </w:rPr>
        <w:t>（15）本基金投资于封闭运作基金、定期开放基金等流通受限基金，不得超过基金资产净值的10%；</w:t>
      </w:r>
    </w:p>
    <w:p w14:paraId="0C7ED8DA">
      <w:pPr>
        <w:spacing w:line="360" w:lineRule="auto"/>
        <w:ind w:firstLine="420" w:firstLineChars="200"/>
        <w:rPr>
          <w:rFonts w:hint="eastAsia"/>
          <w:bCs/>
          <w:szCs w:val="21"/>
        </w:rPr>
      </w:pPr>
      <w:r>
        <w:rPr>
          <w:rFonts w:hint="eastAsia"/>
          <w:bCs/>
          <w:szCs w:val="21"/>
        </w:rPr>
        <w:t>（16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0198EECA">
      <w:pPr>
        <w:spacing w:line="360" w:lineRule="auto"/>
        <w:ind w:firstLine="420" w:firstLineChars="200"/>
        <w:rPr>
          <w:rFonts w:hint="eastAsia"/>
          <w:bCs/>
          <w:szCs w:val="21"/>
        </w:rPr>
      </w:pPr>
      <w:r>
        <w:rPr>
          <w:rFonts w:hint="eastAsia"/>
          <w:bCs/>
          <w:szCs w:val="21"/>
        </w:rPr>
        <w:t>（17）本基金主动投资于流动性受限资产的市值合计不得超过该基金资产净值的15% ；</w:t>
      </w:r>
    </w:p>
    <w:p w14:paraId="79E71E8D">
      <w:pPr>
        <w:spacing w:line="360" w:lineRule="auto"/>
        <w:ind w:firstLine="420" w:firstLineChars="200"/>
        <w:rPr>
          <w:rFonts w:hint="eastAsia"/>
          <w:bCs/>
          <w:szCs w:val="21"/>
        </w:rPr>
      </w:pPr>
      <w:r>
        <w:rPr>
          <w:rFonts w:hint="eastAsia"/>
          <w:bCs/>
          <w:szCs w:val="21"/>
        </w:rPr>
        <w:t>因证券市场波动、上市公司股票停牌、基金规模变动等基金管理人之外的因素致使基金不符合该比例限制的，基金管理人不得主动新增流动性受限资产的投资；</w:t>
      </w:r>
    </w:p>
    <w:p w14:paraId="30DC2624">
      <w:pPr>
        <w:spacing w:line="360" w:lineRule="auto"/>
        <w:ind w:firstLine="420" w:firstLineChars="200"/>
        <w:rPr>
          <w:rFonts w:hint="eastAsia"/>
          <w:bCs/>
          <w:szCs w:val="21"/>
        </w:rPr>
      </w:pPr>
      <w:r>
        <w:rPr>
          <w:rFonts w:hint="eastAsia"/>
          <w:bCs/>
          <w:szCs w:val="21"/>
        </w:rPr>
        <w:t>（18）本基金与私募类证券资管产品及中国证监会认定的其他主体为交易对手开展逆回购交易的，可接受质押品的资质要求应当与基金合同约定的投资范围保持一致；</w:t>
      </w:r>
    </w:p>
    <w:p w14:paraId="4D61CAC6">
      <w:pPr>
        <w:spacing w:line="360" w:lineRule="auto"/>
        <w:ind w:firstLine="420" w:firstLineChars="200"/>
        <w:rPr>
          <w:rFonts w:hint="eastAsia"/>
          <w:bCs/>
          <w:szCs w:val="21"/>
        </w:rPr>
      </w:pPr>
      <w:r>
        <w:rPr>
          <w:rFonts w:hint="eastAsia"/>
          <w:bCs/>
          <w:szCs w:val="21"/>
        </w:rPr>
        <w:t>（19）本基金投资存托凭证的比例限制依照境内上市交易的股票执行，与境内上市交易的股票合并计算；</w:t>
      </w:r>
    </w:p>
    <w:p w14:paraId="03A74AFD">
      <w:pPr>
        <w:spacing w:line="360" w:lineRule="auto"/>
        <w:ind w:firstLine="420" w:firstLineChars="200"/>
        <w:rPr>
          <w:rFonts w:hint="eastAsia"/>
          <w:bCs/>
          <w:szCs w:val="21"/>
        </w:rPr>
      </w:pPr>
      <w:r>
        <w:rPr>
          <w:rFonts w:hint="eastAsia"/>
          <w:bCs/>
          <w:szCs w:val="21"/>
        </w:rPr>
        <w:t>（20）法律法规及中国证监会规定的和基金合同约定的其他投资限制。</w:t>
      </w:r>
    </w:p>
    <w:p w14:paraId="13415C68">
      <w:pPr>
        <w:spacing w:line="360" w:lineRule="auto"/>
        <w:ind w:firstLine="420" w:firstLineChars="200"/>
        <w:rPr>
          <w:rFonts w:hint="eastAsia"/>
          <w:bCs/>
          <w:szCs w:val="21"/>
        </w:rPr>
      </w:pPr>
      <w:r>
        <w:rPr>
          <w:rFonts w:hint="eastAsia"/>
          <w:bCs/>
          <w:szCs w:val="21"/>
        </w:rPr>
        <w:t>因证券市场波动、基金规模变动等基金管理人之外的因素致使基金投资不符合上述第（3）、（5）项的，基金管理人应当在20个交易日内进行调整，但中国证监会规定的特殊情形除外；对于除第（2）、（3）、（5）、（12）、（17）、（18）项外的其他比例限制，因证券市场波动、证券发行人合并、基金规模变动等基金管理人之外的因素致使基金投资比例不符合上述规定投资比例的，基金管理人应当在10个交易日内进行调整，但中国证监会规定的特殊情形除外。</w:t>
      </w:r>
    </w:p>
    <w:p w14:paraId="4978F227">
      <w:pPr>
        <w:spacing w:line="360" w:lineRule="auto"/>
        <w:ind w:firstLine="420" w:firstLineChars="200"/>
        <w:rPr>
          <w:rFonts w:hint="eastAsia"/>
          <w:bCs/>
          <w:szCs w:val="21"/>
        </w:rPr>
      </w:pPr>
      <w:r>
        <w:rPr>
          <w:rFonts w:hint="eastAsia"/>
          <w:bCs/>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2005DDD4">
      <w:pPr>
        <w:spacing w:line="360" w:lineRule="auto"/>
        <w:ind w:firstLine="420" w:firstLineChars="200"/>
        <w:rPr>
          <w:rFonts w:hint="eastAsia"/>
          <w:bCs/>
          <w:szCs w:val="21"/>
        </w:rPr>
      </w:pPr>
      <w:r>
        <w:rPr>
          <w:rFonts w:hint="eastAsia"/>
          <w:bCs/>
          <w:szCs w:val="21"/>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3D1AB3EF">
      <w:pPr>
        <w:spacing w:line="360" w:lineRule="auto"/>
        <w:ind w:firstLine="420" w:firstLineChars="200"/>
        <w:rPr>
          <w:rFonts w:hint="eastAsia"/>
          <w:bCs/>
          <w:szCs w:val="21"/>
        </w:rPr>
      </w:pPr>
      <w:r>
        <w:rPr>
          <w:rFonts w:hint="eastAsia"/>
          <w:bCs/>
          <w:szCs w:val="21"/>
        </w:rPr>
        <w:t>2、禁止行为</w:t>
      </w:r>
    </w:p>
    <w:p w14:paraId="6B53B087">
      <w:pPr>
        <w:spacing w:line="360" w:lineRule="auto"/>
        <w:ind w:firstLine="420" w:firstLineChars="200"/>
        <w:rPr>
          <w:rFonts w:hint="eastAsia"/>
          <w:bCs/>
          <w:szCs w:val="21"/>
        </w:rPr>
      </w:pPr>
      <w:r>
        <w:rPr>
          <w:rFonts w:hint="eastAsia"/>
          <w:bCs/>
          <w:szCs w:val="21"/>
        </w:rPr>
        <w:t>根据法律法规的规定及基金合同的约定，本基金禁止从事下列行为：</w:t>
      </w:r>
    </w:p>
    <w:p w14:paraId="7D657CFD">
      <w:pPr>
        <w:spacing w:line="360" w:lineRule="auto"/>
        <w:ind w:firstLine="420" w:firstLineChars="200"/>
        <w:rPr>
          <w:rFonts w:hint="eastAsia"/>
          <w:bCs/>
          <w:szCs w:val="21"/>
        </w:rPr>
      </w:pPr>
      <w:r>
        <w:rPr>
          <w:rFonts w:hint="eastAsia"/>
          <w:bCs/>
          <w:szCs w:val="21"/>
        </w:rPr>
        <w:t>（1）承销证券；</w:t>
      </w:r>
    </w:p>
    <w:p w14:paraId="1088210F">
      <w:pPr>
        <w:spacing w:line="360" w:lineRule="auto"/>
        <w:ind w:firstLine="420" w:firstLineChars="200"/>
        <w:rPr>
          <w:rFonts w:hint="eastAsia"/>
          <w:bCs/>
          <w:szCs w:val="21"/>
        </w:rPr>
      </w:pPr>
      <w:r>
        <w:rPr>
          <w:rFonts w:hint="eastAsia"/>
          <w:bCs/>
          <w:szCs w:val="21"/>
        </w:rPr>
        <w:t>（2）违反规定向他人贷款或者提供担保；</w:t>
      </w:r>
    </w:p>
    <w:p w14:paraId="038B4D53">
      <w:pPr>
        <w:spacing w:line="360" w:lineRule="auto"/>
        <w:ind w:firstLine="420" w:firstLineChars="200"/>
        <w:rPr>
          <w:rFonts w:hint="eastAsia"/>
          <w:bCs/>
          <w:szCs w:val="21"/>
        </w:rPr>
      </w:pPr>
      <w:r>
        <w:rPr>
          <w:rFonts w:hint="eastAsia"/>
          <w:bCs/>
          <w:szCs w:val="21"/>
        </w:rPr>
        <w:t>（3）从事承担无限责任的投资；</w:t>
      </w:r>
    </w:p>
    <w:p w14:paraId="5677CEFE">
      <w:pPr>
        <w:spacing w:line="360" w:lineRule="auto"/>
        <w:ind w:firstLine="420" w:firstLineChars="200"/>
        <w:rPr>
          <w:rFonts w:hint="eastAsia"/>
          <w:bCs/>
          <w:szCs w:val="21"/>
        </w:rPr>
      </w:pPr>
      <w:r>
        <w:rPr>
          <w:rFonts w:hint="eastAsia"/>
          <w:bCs/>
          <w:szCs w:val="21"/>
        </w:rPr>
        <w:t>（4）向基金管理人、基金托管人出资；</w:t>
      </w:r>
    </w:p>
    <w:p w14:paraId="0306B948">
      <w:pPr>
        <w:spacing w:line="360" w:lineRule="auto"/>
        <w:ind w:firstLine="420" w:firstLineChars="200"/>
        <w:rPr>
          <w:rFonts w:hint="eastAsia"/>
          <w:bCs/>
          <w:szCs w:val="21"/>
        </w:rPr>
      </w:pPr>
      <w:r>
        <w:rPr>
          <w:rFonts w:hint="eastAsia"/>
          <w:bCs/>
          <w:szCs w:val="21"/>
        </w:rPr>
        <w:t>（5）从事内幕交易、操纵证券交易价格及其他不正当的证券交易活动；</w:t>
      </w:r>
    </w:p>
    <w:p w14:paraId="569B00C7">
      <w:pPr>
        <w:spacing w:line="360" w:lineRule="auto"/>
        <w:ind w:firstLine="420" w:firstLineChars="200"/>
        <w:rPr>
          <w:rFonts w:hint="eastAsia"/>
          <w:bCs/>
          <w:szCs w:val="21"/>
        </w:rPr>
      </w:pPr>
      <w:r>
        <w:rPr>
          <w:rFonts w:hint="eastAsia"/>
          <w:bCs/>
          <w:szCs w:val="21"/>
        </w:rPr>
        <w:t>（6）持有具有复杂、衍生品性质的基金份额，包括分级基金和中国证监会认定的其他基金份额，但中国证监会认可或批准的特殊基金中基金除外；</w:t>
      </w:r>
    </w:p>
    <w:p w14:paraId="6009336D">
      <w:pPr>
        <w:spacing w:line="360" w:lineRule="auto"/>
        <w:ind w:firstLine="420" w:firstLineChars="200"/>
        <w:rPr>
          <w:rFonts w:hint="eastAsia"/>
          <w:bCs/>
          <w:szCs w:val="21"/>
        </w:rPr>
      </w:pPr>
      <w:r>
        <w:rPr>
          <w:rFonts w:hint="eastAsia"/>
          <w:bCs/>
          <w:szCs w:val="21"/>
        </w:rPr>
        <w:t>（7）投资其他基金中基金；</w:t>
      </w:r>
    </w:p>
    <w:p w14:paraId="2431BBC9">
      <w:pPr>
        <w:spacing w:line="360" w:lineRule="auto"/>
        <w:ind w:firstLine="420" w:firstLineChars="200"/>
        <w:rPr>
          <w:rFonts w:hint="eastAsia"/>
          <w:bCs/>
          <w:szCs w:val="21"/>
        </w:rPr>
      </w:pPr>
      <w:r>
        <w:rPr>
          <w:rFonts w:hint="eastAsia"/>
          <w:bCs/>
          <w:szCs w:val="21"/>
        </w:rPr>
        <w:t>（8）法律、行政法规和中国证监会规定禁止的其他活动。</w:t>
      </w:r>
    </w:p>
    <w:p w14:paraId="0087CBA2">
      <w:pPr>
        <w:spacing w:line="360" w:lineRule="auto"/>
        <w:ind w:firstLine="420" w:firstLineChars="200"/>
        <w:rPr>
          <w:rFonts w:hint="eastAsia"/>
          <w:bCs/>
          <w:szCs w:val="21"/>
        </w:rPr>
      </w:pPr>
      <w:r>
        <w:rPr>
          <w:rFonts w:hint="eastAsia"/>
          <w:bCs/>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275C3BF">
      <w:pPr>
        <w:spacing w:line="360" w:lineRule="auto"/>
        <w:ind w:firstLine="420" w:firstLineChars="200"/>
        <w:rPr>
          <w:rFonts w:hint="eastAsia"/>
          <w:b/>
          <w:bCs/>
          <w:szCs w:val="21"/>
        </w:rPr>
      </w:pPr>
      <w:r>
        <w:rPr>
          <w:rFonts w:hint="eastAsia"/>
          <w:bCs/>
          <w:szCs w:val="21"/>
        </w:rPr>
        <w:t>法律、行政法规或监管部门取消或变更上述限制，如适用于本基金，基金管理人在履行适当程序后，则本基金投资不再受相关限制或按变更后的规定执行。</w:t>
      </w:r>
    </w:p>
    <w:p w14:paraId="55D5B789">
      <w:pPr>
        <w:spacing w:line="360" w:lineRule="auto"/>
        <w:ind w:firstLine="422" w:firstLineChars="200"/>
        <w:rPr>
          <w:b/>
          <w:bCs/>
          <w:szCs w:val="21"/>
        </w:rPr>
      </w:pPr>
      <w:r>
        <w:rPr>
          <w:rFonts w:hint="eastAsia"/>
          <w:b/>
          <w:bCs/>
          <w:szCs w:val="21"/>
        </w:rPr>
        <w:t>五、</w:t>
      </w:r>
      <w:r>
        <w:rPr>
          <w:b/>
          <w:bCs/>
          <w:szCs w:val="21"/>
        </w:rPr>
        <w:t>业绩比较基准</w:t>
      </w:r>
    </w:p>
    <w:p w14:paraId="2ADD9134">
      <w:pPr>
        <w:spacing w:line="360" w:lineRule="auto"/>
        <w:ind w:firstLine="420" w:firstLineChars="200"/>
        <w:rPr>
          <w:rFonts w:hint="eastAsia"/>
          <w:bCs/>
          <w:szCs w:val="21"/>
        </w:rPr>
      </w:pPr>
      <w:r>
        <w:rPr>
          <w:rFonts w:hint="eastAsia"/>
          <w:bCs/>
          <w:szCs w:val="21"/>
        </w:rPr>
        <w:t>本基金业绩比较基准为：中债-综合全价（总值）指数收益率×80%+沪深300指数收益率×15%+活期存款基准利率×5%。</w:t>
      </w:r>
    </w:p>
    <w:p w14:paraId="1450A0EA">
      <w:pPr>
        <w:spacing w:line="360" w:lineRule="auto"/>
        <w:ind w:firstLine="420" w:firstLineChars="200"/>
        <w:rPr>
          <w:rFonts w:hint="eastAsia"/>
          <w:bCs/>
          <w:szCs w:val="21"/>
        </w:rPr>
      </w:pPr>
      <w:r>
        <w:rPr>
          <w:rFonts w:hint="eastAsia"/>
          <w:bCs/>
          <w:szCs w:val="21"/>
        </w:rPr>
        <w:t>1、业绩比较基准设定的原因</w:t>
      </w:r>
    </w:p>
    <w:p w14:paraId="2516EB8A">
      <w:pPr>
        <w:spacing w:line="360" w:lineRule="auto"/>
        <w:ind w:firstLine="420" w:firstLineChars="200"/>
        <w:rPr>
          <w:rFonts w:hint="eastAsia"/>
          <w:bCs/>
          <w:szCs w:val="21"/>
        </w:rPr>
      </w:pPr>
      <w:r>
        <w:rPr>
          <w:rFonts w:hint="eastAsia"/>
          <w:bCs/>
          <w:szCs w:val="21"/>
        </w:rPr>
        <w:t>（1）基于基金投资范围以及预期投资的主要资产类别，本基金主要投资于固定收益类资产、权益类资产及现金类资产等，相应选取与之匹配的中债-综合全价（总值）指数、沪深300指数及活期存款基准利率作为业绩比较基准要素。同时基于基金的投资比例限制及预期的资产配置比例中枢，将中债-综合全价（总值）指数、沪深300指数及活期存款利率所对应的业绩比较基准要素权重分别设置为80%、15%、5%，与基金资产的主流配置方向和比例相契合。</w:t>
      </w:r>
    </w:p>
    <w:p w14:paraId="63097380">
      <w:pPr>
        <w:spacing w:line="360" w:lineRule="auto"/>
        <w:ind w:firstLine="420" w:firstLineChars="200"/>
        <w:rPr>
          <w:rFonts w:hint="eastAsia"/>
          <w:bCs/>
          <w:szCs w:val="21"/>
        </w:rPr>
      </w:pPr>
      <w:r>
        <w:rPr>
          <w:rFonts w:hint="eastAsia"/>
          <w:bCs/>
          <w:szCs w:val="21"/>
        </w:rPr>
        <w:t>（2）基于基金投资目标、投资范围和投资策略，本基金将依托资产配置策略，配置权益类</w:t>
      </w:r>
      <w:r>
        <w:rPr>
          <w:rFonts w:hint="eastAsia"/>
          <w:bCs/>
          <w:szCs w:val="21"/>
          <w:lang w:val="en-US" w:eastAsia="zh-CN"/>
        </w:rPr>
        <w:t>基金</w:t>
      </w:r>
      <w:r>
        <w:rPr>
          <w:rFonts w:hint="eastAsia"/>
          <w:bCs/>
          <w:szCs w:val="21"/>
        </w:rPr>
        <w:t>，</w:t>
      </w:r>
      <w:r>
        <w:rPr>
          <w:rFonts w:hint="eastAsia"/>
          <w:bCs/>
          <w:szCs w:val="21"/>
          <w:lang w:val="en-US" w:eastAsia="zh-CN"/>
        </w:rPr>
        <w:t>同时</w:t>
      </w:r>
      <w:r>
        <w:rPr>
          <w:rFonts w:hint="eastAsia"/>
          <w:bCs/>
          <w:szCs w:val="21"/>
        </w:rPr>
        <w:t>通过对上市公司基本面的深入研究筛选价格处于合理水平的股票进行投资，适度参与股票投资。综合考虑基准指数与产品定位和投资风格的匹配度，兼顾指数的表征性、市场认可度、市值覆盖及行业分布等，选取沪深300指数作为本基金权益类资产的业绩比较基准要素。</w:t>
      </w:r>
    </w:p>
    <w:p w14:paraId="29676615">
      <w:pPr>
        <w:spacing w:line="360" w:lineRule="auto"/>
        <w:ind w:firstLine="420" w:firstLineChars="200"/>
        <w:rPr>
          <w:rFonts w:hint="eastAsia"/>
          <w:bCs/>
          <w:szCs w:val="21"/>
        </w:rPr>
      </w:pPr>
      <w:r>
        <w:rPr>
          <w:rFonts w:hint="eastAsia"/>
          <w:bCs/>
          <w:szCs w:val="21"/>
        </w:rPr>
        <w:t>沪深300指数由沪深市场规模大、流动性好的300只股票构成，以反映沪深市场上市公司证券的整体表现，指数代表性强，适合作为本基金权益类资产的业绩比较基准要素。</w:t>
      </w:r>
    </w:p>
    <w:p w14:paraId="6CC662D6">
      <w:pPr>
        <w:spacing w:line="360" w:lineRule="auto"/>
        <w:ind w:firstLine="420" w:firstLineChars="200"/>
        <w:rPr>
          <w:rFonts w:hint="eastAsia"/>
          <w:bCs/>
          <w:szCs w:val="21"/>
        </w:rPr>
      </w:pPr>
      <w:r>
        <w:rPr>
          <w:rFonts w:hint="eastAsia"/>
          <w:bCs/>
          <w:szCs w:val="21"/>
        </w:rPr>
        <w:t>（3）基于基金投资目标、投资范围和投资策略，本基金将依托资产配置策略，配置固定收益类基金，同时本基金将密切跟踪市场动态变化，选择合适的投资机会，在保持流动性的基础上，适度参与债券投资。综合考虑基准指数与产品固定收益类资产投资风格的匹配度，兼顾指数的表征性、认可度及券种、久期、信用等级分布特征等，选取中债-综合全价（总值）指数作为固定收益类资产的业绩比较基准要素。</w:t>
      </w:r>
    </w:p>
    <w:p w14:paraId="7D9F05F5">
      <w:pPr>
        <w:spacing w:line="360" w:lineRule="auto"/>
        <w:ind w:firstLine="420" w:firstLineChars="200"/>
        <w:rPr>
          <w:rFonts w:hint="eastAsia"/>
          <w:bCs/>
          <w:szCs w:val="21"/>
        </w:rPr>
      </w:pPr>
      <w:r>
        <w:rPr>
          <w:rFonts w:hint="eastAsia"/>
          <w:bCs/>
          <w:szCs w:val="21"/>
        </w:rPr>
        <w:t>中债-综合全价（总值）指数旨在综合反映债券全市场整体价格和投资回报情况，该指数涵盖了银行间市场和交易所市场，具有广泛的市场代表性，适合作为本基金固定收益类资产的业绩比较基准要素。</w:t>
      </w:r>
    </w:p>
    <w:p w14:paraId="38EEFF23">
      <w:pPr>
        <w:spacing w:line="360" w:lineRule="auto"/>
        <w:ind w:firstLine="420" w:firstLineChars="200"/>
        <w:rPr>
          <w:rFonts w:hint="eastAsia"/>
          <w:bCs/>
          <w:szCs w:val="21"/>
        </w:rPr>
      </w:pPr>
      <w:r>
        <w:rPr>
          <w:rFonts w:hint="eastAsia"/>
          <w:bCs/>
          <w:szCs w:val="21"/>
        </w:rPr>
        <w:t>（4）本基金将活期存款基准利率纳入业绩比较基准，对应基金投资的现金类资产，该业绩比较基准要素能准确反映现金类资产的无风险收益水平，与基金现金类资产的投资收益特征高度匹配。</w:t>
      </w:r>
    </w:p>
    <w:p w14:paraId="55C8C9C8">
      <w:pPr>
        <w:spacing w:line="360" w:lineRule="auto"/>
        <w:ind w:firstLine="420" w:firstLineChars="200"/>
        <w:rPr>
          <w:rFonts w:hint="eastAsia"/>
          <w:bCs/>
          <w:szCs w:val="21"/>
        </w:rPr>
      </w:pPr>
      <w:r>
        <w:rPr>
          <w:rFonts w:hint="eastAsia"/>
          <w:bCs/>
          <w:szCs w:val="21"/>
        </w:rPr>
        <w:t>综上，本基金选取的业绩比较基准与基金投资目标、投资范围、投资策略、投资比例限制相匹配。</w:t>
      </w:r>
    </w:p>
    <w:p w14:paraId="61511AFD">
      <w:pPr>
        <w:spacing w:line="360" w:lineRule="auto"/>
        <w:ind w:firstLine="420" w:firstLineChars="200"/>
        <w:rPr>
          <w:rFonts w:hint="eastAsia"/>
          <w:bCs/>
          <w:szCs w:val="21"/>
        </w:rPr>
      </w:pPr>
      <w:r>
        <w:rPr>
          <w:rFonts w:hint="eastAsia"/>
          <w:bCs/>
          <w:szCs w:val="21"/>
        </w:rPr>
        <w:t>2、业绩比较基准要素的基本信息</w:t>
      </w:r>
    </w:p>
    <w:p w14:paraId="119C305C">
      <w:pPr>
        <w:spacing w:line="360" w:lineRule="auto"/>
        <w:ind w:firstLine="420" w:firstLineChars="200"/>
        <w:rPr>
          <w:rFonts w:hint="eastAsia"/>
          <w:bCs/>
          <w:szCs w:val="21"/>
        </w:rPr>
      </w:pPr>
      <w:r>
        <w:rPr>
          <w:rFonts w:hint="eastAsia"/>
          <w:bCs/>
          <w:szCs w:val="21"/>
        </w:rPr>
        <w:t>中债-综合全价（总值）指数由中债金融估值中心有限公司编制发布，指数代码为CBA00203，指数具体信息详见中国债券信息网，网址：www.chinabond.com.cn。</w:t>
      </w:r>
    </w:p>
    <w:p w14:paraId="17C44640">
      <w:pPr>
        <w:spacing w:line="360" w:lineRule="auto"/>
        <w:ind w:firstLine="420" w:firstLineChars="200"/>
        <w:rPr>
          <w:rFonts w:hint="eastAsia"/>
          <w:bCs/>
          <w:szCs w:val="21"/>
        </w:rPr>
      </w:pPr>
      <w:r>
        <w:rPr>
          <w:rFonts w:hint="eastAsia"/>
          <w:bCs/>
          <w:szCs w:val="21"/>
        </w:rPr>
        <w:t>沪深300指数由中证指数有限公司编制发布，指数代码为000300，指数具体信息详见中证指数有限公司网站，网址：www.csindex.com.cn。</w:t>
      </w:r>
    </w:p>
    <w:p w14:paraId="390DFAA7">
      <w:pPr>
        <w:spacing w:line="360" w:lineRule="auto"/>
        <w:ind w:firstLine="420" w:firstLineChars="200"/>
        <w:rPr>
          <w:rFonts w:hint="eastAsia"/>
          <w:bCs/>
          <w:szCs w:val="21"/>
        </w:rPr>
      </w:pPr>
      <w:r>
        <w:rPr>
          <w:rFonts w:hint="eastAsia"/>
          <w:bCs/>
          <w:szCs w:val="21"/>
        </w:rPr>
        <w:t>活期存款基准利率由中国人民银行发布，具体信息详见中国人民银行官网，网址：www.pbc.gov.cn。</w:t>
      </w:r>
    </w:p>
    <w:p w14:paraId="5531390B">
      <w:pPr>
        <w:spacing w:line="360" w:lineRule="auto"/>
        <w:ind w:firstLine="420" w:firstLineChars="200"/>
        <w:rPr>
          <w:rFonts w:hint="eastAsia"/>
          <w:bCs/>
          <w:szCs w:val="21"/>
        </w:rPr>
      </w:pPr>
      <w:r>
        <w:rPr>
          <w:rFonts w:hint="eastAsia"/>
          <w:bCs/>
          <w:szCs w:val="21"/>
        </w:rPr>
        <w:t>3、业绩比较基准的计算方法</w:t>
      </w:r>
    </w:p>
    <w:p w14:paraId="3ADFCFFC">
      <w:pPr>
        <w:spacing w:line="360" w:lineRule="auto"/>
        <w:ind w:firstLine="420" w:firstLineChars="200"/>
        <w:rPr>
          <w:rFonts w:hint="eastAsia"/>
          <w:bCs/>
          <w:szCs w:val="21"/>
        </w:rPr>
      </w:pPr>
      <w:r>
        <w:rPr>
          <w:rFonts w:hint="eastAsia"/>
          <w:bCs/>
          <w:szCs w:val="21"/>
        </w:rPr>
        <w:t>本基金业绩比较基准收益率的计算方法以每日收益率为基础，以时间加权为计算原则。本基金先分别计算业绩比较基准中债-综合全价（总值）指数、沪深300指数及活期存款基准利率的每日收益率，再按照预设权重比例计算当日组合要素基准的日收益率，并连乘每日收益率。</w:t>
      </w:r>
    </w:p>
    <w:p w14:paraId="2275636E">
      <w:pPr>
        <w:spacing w:line="360" w:lineRule="auto"/>
        <w:ind w:firstLine="420" w:firstLineChars="200"/>
        <w:rPr>
          <w:rFonts w:hint="eastAsia"/>
          <w:bCs/>
          <w:szCs w:val="21"/>
        </w:rPr>
      </w:pPr>
      <w:r>
        <w:rPr>
          <w:rFonts w:hint="eastAsia"/>
          <w:bCs/>
          <w:szCs w:val="21"/>
        </w:rPr>
        <w:t>4、管理投资偏离业绩比较基准的定性或定量方法</w:t>
      </w:r>
    </w:p>
    <w:p w14:paraId="200DD9CA">
      <w:pPr>
        <w:spacing w:line="360" w:lineRule="auto"/>
        <w:ind w:firstLine="420" w:firstLineChars="200"/>
        <w:rPr>
          <w:rFonts w:hint="eastAsia"/>
          <w:bCs/>
          <w:szCs w:val="21"/>
        </w:rPr>
      </w:pPr>
      <w:r>
        <w:rPr>
          <w:rFonts w:hint="eastAsia"/>
          <w:bCs/>
          <w:szCs w:val="21"/>
        </w:rPr>
        <w:t>本基金管理人对基金实际投资与业绩比较基准的偏离情况进行动态跟踪与监测评估，监测指标主要包括采用合适的基金业绩表现类指标，以更好管理基金实际投资与业绩比较基准的偏离情况，从而在控制风险的基础上追求超越业绩比较基准的投资回报。</w:t>
      </w:r>
    </w:p>
    <w:p w14:paraId="3030A180">
      <w:pPr>
        <w:spacing w:line="360" w:lineRule="auto"/>
        <w:ind w:firstLine="420" w:firstLineChars="200"/>
        <w:rPr>
          <w:rFonts w:hint="eastAsia"/>
          <w:bCs/>
          <w:szCs w:val="21"/>
        </w:rPr>
      </w:pPr>
      <w:r>
        <w:rPr>
          <w:rFonts w:hint="eastAsia"/>
          <w:bCs/>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140BB678">
      <w:pPr>
        <w:spacing w:line="360" w:lineRule="auto"/>
        <w:ind w:firstLine="420" w:firstLineChars="200"/>
        <w:rPr>
          <w:rFonts w:hint="eastAsia"/>
          <w:bCs/>
          <w:szCs w:val="21"/>
        </w:rPr>
      </w:pPr>
      <w:r>
        <w:rPr>
          <w:rFonts w:hint="eastAsia"/>
          <w:bCs/>
          <w:szCs w:val="21"/>
        </w:rPr>
        <w:t>5、未来可能变更业绩比较基准的情况和程序</w:t>
      </w:r>
    </w:p>
    <w:p w14:paraId="713FD95C">
      <w:pPr>
        <w:spacing w:line="360" w:lineRule="auto"/>
        <w:ind w:firstLine="420" w:firstLineChars="200"/>
        <w:rPr>
          <w:rFonts w:hint="eastAsia"/>
          <w:bCs/>
          <w:szCs w:val="21"/>
        </w:rPr>
      </w:pPr>
      <w:r>
        <w:rPr>
          <w:rFonts w:hint="eastAsia"/>
          <w:bCs/>
          <w:szCs w:val="21"/>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086CB392">
      <w:pPr>
        <w:spacing w:line="360" w:lineRule="auto"/>
        <w:ind w:firstLine="420" w:firstLineChars="200"/>
        <w:rPr>
          <w:rFonts w:hint="eastAsia"/>
          <w:bCs/>
          <w:szCs w:val="21"/>
        </w:rPr>
      </w:pPr>
      <w:r>
        <w:rPr>
          <w:rFonts w:hint="eastAsia"/>
          <w:bCs/>
          <w:szCs w:val="21"/>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1954B9A3">
      <w:pPr>
        <w:spacing w:line="360" w:lineRule="auto"/>
        <w:ind w:firstLine="420" w:firstLineChars="200"/>
        <w:rPr>
          <w:rFonts w:hint="eastAsia"/>
          <w:bCs/>
          <w:szCs w:val="21"/>
        </w:rPr>
      </w:pPr>
      <w:r>
        <w:rPr>
          <w:rFonts w:hint="eastAsia"/>
          <w:bCs/>
          <w:szCs w:val="21"/>
        </w:rPr>
        <w:t>（2）调整业绩比较基准的要素权重、更换相同或相近特征的要素等，使新业绩比较基准代表性更强，且符合相关法律法规规定的；</w:t>
      </w:r>
    </w:p>
    <w:p w14:paraId="5F055344">
      <w:pPr>
        <w:spacing w:line="360" w:lineRule="auto"/>
        <w:ind w:firstLine="420" w:firstLineChars="200"/>
        <w:rPr>
          <w:rFonts w:hint="eastAsia"/>
          <w:bCs/>
          <w:szCs w:val="21"/>
        </w:rPr>
      </w:pPr>
      <w:r>
        <w:rPr>
          <w:rFonts w:hint="eastAsia"/>
          <w:bCs/>
          <w:szCs w:val="21"/>
        </w:rPr>
        <w:t>（3）中国证监会认可的其他情形。</w:t>
      </w:r>
    </w:p>
    <w:p w14:paraId="0B62EA3D">
      <w:pPr>
        <w:spacing w:line="360" w:lineRule="auto"/>
        <w:ind w:firstLine="420" w:firstLineChars="200"/>
        <w:rPr>
          <w:rFonts w:hint="eastAsia"/>
          <w:bCs/>
          <w:szCs w:val="21"/>
        </w:rPr>
      </w:pPr>
      <w:r>
        <w:rPr>
          <w:rFonts w:hint="eastAsia"/>
          <w:bCs/>
          <w:szCs w:val="21"/>
        </w:rPr>
        <w:t>业绩比较基准变更涉及以下情形的，基金管理人应当按照规定履行变更注册、召开基金份额持有人大会等程序，法律法规、中国证监会另有规定的除外：</w:t>
      </w:r>
    </w:p>
    <w:p w14:paraId="5730A561">
      <w:pPr>
        <w:spacing w:line="360" w:lineRule="auto"/>
        <w:ind w:firstLine="420" w:firstLineChars="200"/>
        <w:rPr>
          <w:rFonts w:hint="eastAsia"/>
          <w:bCs/>
          <w:szCs w:val="21"/>
        </w:rPr>
      </w:pPr>
      <w:r>
        <w:rPr>
          <w:rFonts w:hint="eastAsia"/>
          <w:bCs/>
          <w:szCs w:val="21"/>
        </w:rPr>
        <w:t>（1）基金投资目标、投资范围、投资策略、投资比例等拟进行重大调整，并变更业绩比较基准的；</w:t>
      </w:r>
    </w:p>
    <w:p w14:paraId="1EC5BCD0">
      <w:pPr>
        <w:spacing w:line="360" w:lineRule="auto"/>
        <w:ind w:firstLine="420" w:firstLineChars="200"/>
        <w:rPr>
          <w:bCs/>
          <w:szCs w:val="21"/>
        </w:rPr>
      </w:pPr>
      <w:r>
        <w:rPr>
          <w:rFonts w:hint="eastAsia"/>
          <w:bCs/>
          <w:szCs w:val="21"/>
        </w:rPr>
        <w:t>（2）其他对基金份额持有人利益产生重大实质性影响的情形。</w:t>
      </w:r>
    </w:p>
    <w:p w14:paraId="7B274470">
      <w:pPr>
        <w:spacing w:line="360" w:lineRule="auto"/>
        <w:ind w:firstLine="422" w:firstLineChars="200"/>
        <w:rPr>
          <w:b/>
          <w:bCs/>
          <w:szCs w:val="21"/>
        </w:rPr>
      </w:pPr>
      <w:r>
        <w:rPr>
          <w:rFonts w:hint="eastAsia"/>
          <w:b/>
          <w:bCs/>
          <w:szCs w:val="21"/>
        </w:rPr>
        <w:t>六、</w:t>
      </w:r>
      <w:r>
        <w:rPr>
          <w:b/>
          <w:bCs/>
          <w:szCs w:val="21"/>
        </w:rPr>
        <w:t>风险收益特征</w:t>
      </w:r>
    </w:p>
    <w:p w14:paraId="6AA1EBDC">
      <w:pPr>
        <w:spacing w:line="360" w:lineRule="auto"/>
        <w:ind w:firstLine="420" w:firstLineChars="200"/>
        <w:rPr>
          <w:rFonts w:hint="eastAsia"/>
          <w:b/>
          <w:bCs/>
          <w:szCs w:val="21"/>
        </w:rPr>
      </w:pPr>
      <w:bookmarkStart w:id="36" w:name="OLE_LINK5"/>
      <w:r>
        <w:rPr>
          <w:rFonts w:hint="eastAsia"/>
          <w:bCs/>
          <w:kern w:val="0"/>
          <w:szCs w:val="21"/>
        </w:rPr>
        <w:t>本基金为混合型基金中基金，其预期收益和预期风险高于货币市场基金、货币型基金中基金、债券型基金和债券型基金中基金，低于股票型基金、股票型基金中基金。本基金可通过港股通机制投资港股通标的证券，需承担港股通机制下因交易规则等差异带来的特有风险。</w:t>
      </w:r>
      <w:bookmarkEnd w:id="36"/>
    </w:p>
    <w:p w14:paraId="0BF60CB6">
      <w:pPr>
        <w:spacing w:line="360" w:lineRule="auto"/>
        <w:ind w:firstLine="422" w:firstLineChars="200"/>
        <w:rPr>
          <w:b/>
          <w:bCs/>
          <w:szCs w:val="21"/>
        </w:rPr>
      </w:pPr>
      <w:r>
        <w:rPr>
          <w:rFonts w:hint="eastAsia"/>
          <w:b/>
          <w:bCs/>
          <w:szCs w:val="21"/>
        </w:rPr>
        <w:t>七、</w:t>
      </w:r>
      <w:r>
        <w:rPr>
          <w:b/>
          <w:bCs/>
          <w:szCs w:val="21"/>
        </w:rPr>
        <w:t>基金管理人代表基金行使</w:t>
      </w:r>
      <w:r>
        <w:rPr>
          <w:rFonts w:hint="eastAsia"/>
          <w:b/>
          <w:bCs/>
          <w:szCs w:val="21"/>
        </w:rPr>
        <w:t>相关</w:t>
      </w:r>
      <w:r>
        <w:rPr>
          <w:b/>
          <w:bCs/>
          <w:szCs w:val="21"/>
        </w:rPr>
        <w:t>权利的处理原则及方法</w:t>
      </w:r>
    </w:p>
    <w:bookmarkEnd w:id="34"/>
    <w:p w14:paraId="36B52908">
      <w:pPr>
        <w:spacing w:line="360" w:lineRule="auto"/>
        <w:ind w:firstLine="420" w:firstLineChars="200"/>
        <w:rPr>
          <w:rFonts w:hint="eastAsia"/>
          <w:bCs/>
          <w:kern w:val="0"/>
          <w:szCs w:val="21"/>
        </w:rPr>
      </w:pPr>
      <w:r>
        <w:rPr>
          <w:rFonts w:hint="eastAsia"/>
          <w:bCs/>
          <w:kern w:val="0"/>
          <w:szCs w:val="21"/>
        </w:rPr>
        <w:t>1．基金管理人按照国家有关规定代表基金独立行使股东或债权人权利，保护基金份额持有人的利益；</w:t>
      </w:r>
    </w:p>
    <w:p w14:paraId="21C0EFA0">
      <w:pPr>
        <w:spacing w:line="360" w:lineRule="auto"/>
        <w:ind w:firstLine="420" w:firstLineChars="200"/>
        <w:rPr>
          <w:rFonts w:hint="eastAsia"/>
          <w:bCs/>
          <w:kern w:val="0"/>
          <w:szCs w:val="21"/>
        </w:rPr>
      </w:pPr>
      <w:r>
        <w:rPr>
          <w:rFonts w:hint="eastAsia"/>
          <w:bCs/>
          <w:kern w:val="0"/>
          <w:szCs w:val="21"/>
        </w:rPr>
        <w:t>2．本基金持有的基金召开基金份额持有人大会时，基金管理人可直接参与该基金份额持有人大会，基金管理人应当在遵循本基金基金份额持有人利益优先原则的前提下，行使相关投票权利；</w:t>
      </w:r>
    </w:p>
    <w:p w14:paraId="591EFC43">
      <w:pPr>
        <w:spacing w:line="360" w:lineRule="auto"/>
        <w:ind w:firstLine="420" w:firstLineChars="200"/>
        <w:rPr>
          <w:rFonts w:hint="eastAsia"/>
          <w:bCs/>
          <w:kern w:val="0"/>
          <w:szCs w:val="21"/>
        </w:rPr>
      </w:pPr>
      <w:r>
        <w:rPr>
          <w:rFonts w:hint="eastAsia"/>
          <w:bCs/>
          <w:kern w:val="0"/>
          <w:szCs w:val="21"/>
        </w:rPr>
        <w:t>3．不谋求对上市公司的控股，不参与所投资上市公司的经营管理；</w:t>
      </w:r>
    </w:p>
    <w:p w14:paraId="7FC878DE">
      <w:pPr>
        <w:spacing w:line="360" w:lineRule="auto"/>
        <w:ind w:firstLine="420" w:firstLineChars="200"/>
        <w:rPr>
          <w:rFonts w:hint="eastAsia"/>
          <w:bCs/>
          <w:kern w:val="0"/>
          <w:szCs w:val="21"/>
        </w:rPr>
      </w:pPr>
      <w:r>
        <w:rPr>
          <w:rFonts w:hint="eastAsia"/>
          <w:bCs/>
          <w:kern w:val="0"/>
          <w:szCs w:val="21"/>
        </w:rPr>
        <w:t>4．有利于基金财产的安全与增值；</w:t>
      </w:r>
    </w:p>
    <w:p w14:paraId="35DBFBC9">
      <w:pPr>
        <w:adjustRightInd/>
        <w:spacing w:line="360" w:lineRule="auto"/>
        <w:ind w:firstLine="420" w:firstLineChars="200"/>
        <w:textAlignment w:val="auto"/>
        <w:rPr>
          <w:rFonts w:hint="eastAsia" w:ascii="Arial Unicode MS" w:hAnsi="Arial Unicode MS" w:cs="Calibri"/>
          <w:b/>
          <w:szCs w:val="21"/>
        </w:rPr>
      </w:pPr>
      <w:r>
        <w:rPr>
          <w:rFonts w:hint="eastAsia"/>
          <w:bCs/>
          <w:kern w:val="0"/>
          <w:szCs w:val="21"/>
        </w:rPr>
        <w:t>5．不通过关联交易为自身、雇员、授权代理人或任何存在利害关系的第三人牟取任何不当利益。</w:t>
      </w:r>
    </w:p>
    <w:p w14:paraId="123A0FAD">
      <w:pPr>
        <w:adjustRightInd/>
        <w:spacing w:line="360" w:lineRule="auto"/>
        <w:ind w:firstLine="422" w:firstLineChars="200"/>
        <w:textAlignment w:val="auto"/>
        <w:rPr>
          <w:rFonts w:ascii="Arial Unicode MS" w:hAnsi="Arial Unicode MS" w:cs="Calibri"/>
          <w:b/>
          <w:szCs w:val="21"/>
        </w:rPr>
      </w:pPr>
      <w:r>
        <w:rPr>
          <w:rFonts w:hint="eastAsia" w:ascii="Arial Unicode MS" w:hAnsi="Arial Unicode MS" w:cs="Calibri"/>
          <w:b/>
          <w:szCs w:val="21"/>
        </w:rPr>
        <w:t>八、侧袋机制的实施和投资运作安排</w:t>
      </w:r>
    </w:p>
    <w:p w14:paraId="5831AC4C">
      <w:pPr>
        <w:adjustRightInd/>
        <w:spacing w:line="360" w:lineRule="auto"/>
        <w:ind w:firstLine="420" w:firstLineChars="200"/>
        <w:textAlignment w:val="auto"/>
        <w:rPr>
          <w:rFonts w:cs="Calibri"/>
          <w:bCs/>
          <w:szCs w:val="21"/>
        </w:rPr>
      </w:pPr>
      <w:r>
        <w:rPr>
          <w:rFonts w:hint="eastAsia" w:cs="Calibri"/>
          <w:bCs/>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7B7E9B52">
      <w:pPr>
        <w:adjustRightInd/>
        <w:spacing w:line="360" w:lineRule="auto"/>
        <w:ind w:firstLine="420" w:firstLineChars="200"/>
        <w:textAlignment w:val="auto"/>
        <w:rPr>
          <w:rFonts w:cs="Calibri"/>
          <w:bCs/>
          <w:szCs w:val="21"/>
        </w:rPr>
      </w:pPr>
      <w:r>
        <w:rPr>
          <w:rFonts w:hint="eastAsia" w:cs="Calibri"/>
          <w:bCs/>
          <w:szCs w:val="21"/>
        </w:rPr>
        <w:t>侧袋机制实施期间，本部分约定的投资组合比例、投资策略、组合限制、业绩比较基准、风险收益特征等约定仅适用于主袋账户。</w:t>
      </w:r>
    </w:p>
    <w:p w14:paraId="2F94E70E">
      <w:pPr>
        <w:autoSpaceDE w:val="0"/>
        <w:autoSpaceDN w:val="0"/>
        <w:spacing w:line="360" w:lineRule="auto"/>
        <w:ind w:firstLine="420"/>
        <w:jc w:val="left"/>
        <w:textAlignment w:val="auto"/>
        <w:rPr>
          <w:rFonts w:hint="eastAsia"/>
          <w:bCs/>
          <w:kern w:val="0"/>
          <w:szCs w:val="21"/>
        </w:rPr>
        <w:sectPr>
          <w:footerReference r:id="rId15" w:type="default"/>
          <w:pgSz w:w="11906" w:h="16838"/>
          <w:pgMar w:top="1440" w:right="1797" w:bottom="1440" w:left="1797" w:header="851" w:footer="992" w:gutter="0"/>
          <w:pgNumType w:start="1"/>
          <w:cols w:space="720" w:num="1"/>
          <w:docGrid w:linePitch="312" w:charSpace="0"/>
        </w:sectPr>
      </w:pPr>
      <w:r>
        <w:rPr>
          <w:rFonts w:hint="eastAsia" w:cs="Calibri"/>
          <w:bCs/>
          <w:szCs w:val="21"/>
        </w:rPr>
        <w:t>侧袋账户的实施条件、实施程序、运作安排、投资安排、特定资产的处置变现和支付等对投资者权益有重大影响的事项详见本招募说明书“侧袋机制”章节的规定。</w:t>
      </w:r>
    </w:p>
    <w:p w14:paraId="3175BCA0">
      <w:pPr>
        <w:pStyle w:val="2"/>
        <w:spacing w:before="72" w:beforeLines="30" w:after="72" w:afterLines="30" w:line="360" w:lineRule="auto"/>
        <w:jc w:val="center"/>
        <w:rPr>
          <w:rFonts w:hint="eastAsia"/>
          <w:b/>
          <w:kern w:val="0"/>
        </w:rPr>
      </w:pPr>
      <w:bookmarkStart w:id="37" w:name="_Toc48231677"/>
      <w:r>
        <w:rPr>
          <w:rFonts w:hint="eastAsia" w:eastAsia="宋体"/>
          <w:b/>
          <w:sz w:val="28"/>
          <w:szCs w:val="24"/>
        </w:rPr>
        <w:t xml:space="preserve">第十部分 </w:t>
      </w:r>
      <w:r>
        <w:rPr>
          <w:rFonts w:eastAsia="宋体"/>
          <w:b/>
          <w:sz w:val="28"/>
          <w:szCs w:val="24"/>
        </w:rPr>
        <w:t>基金的财产</w:t>
      </w:r>
      <w:bookmarkEnd w:id="37"/>
    </w:p>
    <w:p w14:paraId="32612BE1">
      <w:pPr>
        <w:spacing w:line="360" w:lineRule="auto"/>
        <w:ind w:firstLine="422" w:firstLineChars="200"/>
        <w:rPr>
          <w:b/>
          <w:kern w:val="0"/>
        </w:rPr>
      </w:pPr>
      <w:r>
        <w:rPr>
          <w:b/>
          <w:kern w:val="0"/>
        </w:rPr>
        <w:t>一</w:t>
      </w:r>
      <w:r>
        <w:rPr>
          <w:rFonts w:hint="eastAsia"/>
          <w:b/>
          <w:kern w:val="0"/>
        </w:rPr>
        <w:t>、</w:t>
      </w:r>
      <w:r>
        <w:rPr>
          <w:b/>
          <w:kern w:val="0"/>
        </w:rPr>
        <w:t>基金资产总值</w:t>
      </w:r>
    </w:p>
    <w:p w14:paraId="335FE14F">
      <w:pPr>
        <w:spacing w:line="360" w:lineRule="auto"/>
        <w:ind w:firstLine="420" w:firstLineChars="200"/>
        <w:rPr>
          <w:b/>
          <w:kern w:val="0"/>
        </w:rPr>
      </w:pPr>
      <w:r>
        <w:rPr>
          <w:rFonts w:hint="eastAsia"/>
          <w:kern w:val="0"/>
        </w:rPr>
        <w:t>基金资产总值是指基金拥有的各类有价证券、证券投资基金、银行存款本息、基金应收款项及其他资产的价值总和。</w:t>
      </w:r>
    </w:p>
    <w:p w14:paraId="5D60F377">
      <w:pPr>
        <w:spacing w:line="360" w:lineRule="auto"/>
        <w:ind w:firstLine="422" w:firstLineChars="200"/>
        <w:rPr>
          <w:b/>
          <w:kern w:val="0"/>
        </w:rPr>
      </w:pPr>
      <w:r>
        <w:rPr>
          <w:b/>
          <w:kern w:val="0"/>
        </w:rPr>
        <w:t>二</w:t>
      </w:r>
      <w:r>
        <w:rPr>
          <w:rFonts w:hint="eastAsia"/>
          <w:b/>
          <w:kern w:val="0"/>
        </w:rPr>
        <w:t>、</w:t>
      </w:r>
      <w:r>
        <w:rPr>
          <w:b/>
          <w:kern w:val="0"/>
        </w:rPr>
        <w:t>基金资产净值</w:t>
      </w:r>
    </w:p>
    <w:p w14:paraId="1B858698">
      <w:pPr>
        <w:spacing w:line="360" w:lineRule="auto"/>
        <w:ind w:firstLine="420" w:firstLineChars="200"/>
        <w:rPr>
          <w:b/>
          <w:kern w:val="0"/>
        </w:rPr>
      </w:pPr>
      <w:r>
        <w:rPr>
          <w:rFonts w:hint="eastAsia"/>
          <w:kern w:val="0"/>
        </w:rPr>
        <w:t>基金资产净值是指基金资产总值减去基金负债后的价值。</w:t>
      </w:r>
    </w:p>
    <w:p w14:paraId="7924E654">
      <w:pPr>
        <w:spacing w:line="360" w:lineRule="auto"/>
        <w:ind w:firstLine="422" w:firstLineChars="200"/>
        <w:rPr>
          <w:b/>
          <w:kern w:val="0"/>
        </w:rPr>
      </w:pPr>
      <w:r>
        <w:rPr>
          <w:b/>
          <w:kern w:val="0"/>
        </w:rPr>
        <w:t>三</w:t>
      </w:r>
      <w:r>
        <w:rPr>
          <w:rFonts w:hint="eastAsia"/>
          <w:b/>
          <w:kern w:val="0"/>
        </w:rPr>
        <w:t>、</w:t>
      </w:r>
      <w:r>
        <w:rPr>
          <w:b/>
          <w:kern w:val="0"/>
        </w:rPr>
        <w:t>基金财产的账户</w:t>
      </w:r>
    </w:p>
    <w:p w14:paraId="230E3820">
      <w:pPr>
        <w:spacing w:line="360" w:lineRule="auto"/>
        <w:ind w:firstLine="420" w:firstLineChars="200"/>
        <w:rPr>
          <w:b/>
          <w:kern w:val="0"/>
        </w:rPr>
      </w:pPr>
      <w:bookmarkStart w:id="38" w:name="_Hlt88841837"/>
      <w:bookmarkEnd w:id="38"/>
      <w:r>
        <w:rPr>
          <w:rFonts w:hint="eastAsia"/>
          <w:kern w:val="0"/>
        </w:rPr>
        <w:t>基金托管人根据相关法律法规、规范性文件为本基金开立资金账户、证券账户以及投资所需的其他专用账户。开立的基金专用账户与基金管理人、基金托管人、基金销售机构和登记机构自有的财产账户以及其他基金财产账户相独立。</w:t>
      </w:r>
    </w:p>
    <w:p w14:paraId="2EBB8979">
      <w:pPr>
        <w:spacing w:line="360" w:lineRule="auto"/>
        <w:ind w:firstLine="422" w:firstLineChars="200"/>
        <w:rPr>
          <w:b/>
          <w:kern w:val="0"/>
        </w:rPr>
      </w:pPr>
      <w:r>
        <w:rPr>
          <w:b/>
          <w:kern w:val="0"/>
        </w:rPr>
        <w:t>四</w:t>
      </w:r>
      <w:r>
        <w:rPr>
          <w:rFonts w:hint="eastAsia"/>
          <w:b/>
          <w:kern w:val="0"/>
        </w:rPr>
        <w:t>、</w:t>
      </w:r>
      <w:r>
        <w:rPr>
          <w:b/>
          <w:kern w:val="0"/>
        </w:rPr>
        <w:t>基金财产的保管和处分</w:t>
      </w:r>
      <w:bookmarkStart w:id="39" w:name="_Hlt88900062"/>
      <w:bookmarkEnd w:id="39"/>
    </w:p>
    <w:p w14:paraId="2F96D19D">
      <w:pPr>
        <w:spacing w:line="360" w:lineRule="auto"/>
        <w:ind w:firstLine="420" w:firstLineChars="200"/>
        <w:rPr>
          <w:rFonts w:hint="eastAsia"/>
          <w:kern w:val="0"/>
        </w:rPr>
      </w:pPr>
      <w:r>
        <w:rPr>
          <w:rFonts w:hint="eastAsia"/>
          <w:kern w:val="0"/>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01AFECC9">
      <w:pPr>
        <w:spacing w:line="360" w:lineRule="auto"/>
        <w:ind w:firstLine="420" w:firstLineChars="200"/>
        <w:rPr>
          <w:kern w:val="0"/>
        </w:rPr>
      </w:pPr>
      <w:r>
        <w:rPr>
          <w:rFonts w:hint="eastAsia"/>
          <w:kern w:val="0"/>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352BFAC9">
      <w:pPr>
        <w:spacing w:line="360" w:lineRule="auto"/>
        <w:ind w:firstLine="420" w:firstLineChars="200"/>
        <w:rPr>
          <w:kern w:val="0"/>
        </w:rPr>
        <w:sectPr>
          <w:footerReference r:id="rId16" w:type="default"/>
          <w:pgSz w:w="11906" w:h="16838"/>
          <w:pgMar w:top="1440" w:right="1797" w:bottom="1440" w:left="1797" w:header="851" w:footer="992" w:gutter="0"/>
          <w:pgNumType w:start="1"/>
          <w:cols w:space="720" w:num="1"/>
          <w:docGrid w:linePitch="312" w:charSpace="0"/>
        </w:sectPr>
      </w:pPr>
    </w:p>
    <w:p w14:paraId="25C94E7D">
      <w:pPr>
        <w:pStyle w:val="2"/>
        <w:spacing w:before="72" w:beforeLines="30" w:after="72" w:afterLines="30" w:line="360" w:lineRule="auto"/>
        <w:rPr>
          <w:rFonts w:hint="eastAsia"/>
          <w:b/>
          <w:bCs/>
          <w:szCs w:val="21"/>
        </w:rPr>
      </w:pPr>
      <w:bookmarkStart w:id="40" w:name="_Toc48231678"/>
      <w:r>
        <w:rPr>
          <w:rFonts w:hint="eastAsia" w:eastAsia="宋体"/>
          <w:b/>
          <w:sz w:val="28"/>
          <w:szCs w:val="24"/>
        </w:rPr>
        <w:t xml:space="preserve">第十一部分 </w:t>
      </w:r>
      <w:r>
        <w:rPr>
          <w:rFonts w:eastAsia="宋体"/>
          <w:b/>
          <w:sz w:val="28"/>
          <w:szCs w:val="24"/>
        </w:rPr>
        <w:t>基金资产的估值</w:t>
      </w:r>
      <w:bookmarkEnd w:id="40"/>
    </w:p>
    <w:p w14:paraId="74C2A853">
      <w:pPr>
        <w:spacing w:line="360" w:lineRule="auto"/>
        <w:ind w:firstLine="422" w:firstLineChars="200"/>
        <w:rPr>
          <w:b/>
          <w:bCs/>
          <w:szCs w:val="21"/>
        </w:rPr>
      </w:pPr>
      <w:r>
        <w:rPr>
          <w:b/>
          <w:bCs/>
          <w:szCs w:val="21"/>
        </w:rPr>
        <w:t>一、估值日</w:t>
      </w:r>
    </w:p>
    <w:p w14:paraId="02C94C71">
      <w:pPr>
        <w:spacing w:line="360" w:lineRule="auto"/>
        <w:ind w:firstLine="420" w:firstLineChars="200"/>
        <w:rPr>
          <w:b/>
          <w:bCs/>
          <w:szCs w:val="21"/>
        </w:rPr>
      </w:pPr>
      <w:r>
        <w:rPr>
          <w:rFonts w:hint="eastAsia"/>
          <w:bCs/>
          <w:szCs w:val="21"/>
        </w:rPr>
        <w:t>本基金的估值日为本基金相关的证券交易场所的交易日以及国家法律法规规定需要对外披露基金净值的非交易日。</w:t>
      </w:r>
    </w:p>
    <w:p w14:paraId="39226962">
      <w:pPr>
        <w:spacing w:line="360" w:lineRule="auto"/>
        <w:ind w:firstLine="422" w:firstLineChars="200"/>
        <w:rPr>
          <w:b/>
          <w:bCs/>
          <w:szCs w:val="21"/>
        </w:rPr>
      </w:pPr>
      <w:r>
        <w:rPr>
          <w:b/>
          <w:bCs/>
          <w:szCs w:val="21"/>
        </w:rPr>
        <w:t>二、估值对象</w:t>
      </w:r>
    </w:p>
    <w:p w14:paraId="4C5689AF">
      <w:pPr>
        <w:spacing w:line="360" w:lineRule="auto"/>
        <w:ind w:firstLine="420" w:firstLineChars="200"/>
        <w:rPr>
          <w:b/>
          <w:bCs/>
          <w:szCs w:val="21"/>
        </w:rPr>
      </w:pPr>
      <w:r>
        <w:rPr>
          <w:rFonts w:hint="eastAsia"/>
          <w:szCs w:val="21"/>
        </w:rPr>
        <w:t>基金所拥有的股票（含存托凭证）、基金份额、债券、银行存款本息、应收款项、资产支持证券及其它投资等资产及负债。</w:t>
      </w:r>
    </w:p>
    <w:p w14:paraId="53A5C6ED">
      <w:pPr>
        <w:spacing w:line="360" w:lineRule="auto"/>
        <w:ind w:firstLine="422" w:firstLineChars="200"/>
        <w:rPr>
          <w:rFonts w:hint="eastAsia"/>
          <w:b/>
          <w:bCs/>
          <w:szCs w:val="21"/>
        </w:rPr>
      </w:pPr>
      <w:r>
        <w:rPr>
          <w:b/>
          <w:bCs/>
          <w:szCs w:val="21"/>
        </w:rPr>
        <w:t>三、</w:t>
      </w:r>
      <w:r>
        <w:rPr>
          <w:rFonts w:hint="eastAsia"/>
          <w:b/>
          <w:bCs/>
          <w:szCs w:val="21"/>
        </w:rPr>
        <w:t>估值原则</w:t>
      </w:r>
    </w:p>
    <w:p w14:paraId="3E9C3A80">
      <w:pPr>
        <w:spacing w:line="360" w:lineRule="auto"/>
        <w:ind w:firstLine="420" w:firstLineChars="200"/>
        <w:rPr>
          <w:rFonts w:hint="eastAsia"/>
          <w:bCs/>
          <w:szCs w:val="21"/>
        </w:rPr>
      </w:pPr>
      <w:r>
        <w:rPr>
          <w:rFonts w:hint="eastAsia"/>
          <w:bCs/>
          <w:szCs w:val="21"/>
        </w:rPr>
        <w:t>基金管理人在确定相关金融资产和金融负债的公允价值时，应符合《企业会计准则》、监管部门有关规定。</w:t>
      </w:r>
    </w:p>
    <w:p w14:paraId="089E0385">
      <w:pPr>
        <w:spacing w:line="360" w:lineRule="auto"/>
        <w:ind w:firstLine="420" w:firstLineChars="200"/>
        <w:rPr>
          <w:rFonts w:hint="eastAsia"/>
          <w:bCs/>
          <w:szCs w:val="21"/>
        </w:rPr>
      </w:pPr>
      <w:r>
        <w:rPr>
          <w:rFonts w:hint="eastAsia"/>
          <w:bCs/>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2C9803D8">
      <w:pPr>
        <w:spacing w:line="360" w:lineRule="auto"/>
        <w:ind w:firstLine="420" w:firstLineChars="200"/>
        <w:rPr>
          <w:rFonts w:hint="eastAsia"/>
          <w:bCs/>
          <w:szCs w:val="21"/>
        </w:rPr>
      </w:pPr>
      <w:r>
        <w:rPr>
          <w:rFonts w:hint="eastAsia"/>
          <w:bCs/>
          <w:szCs w:val="21"/>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3233DE49">
      <w:pPr>
        <w:spacing w:line="360" w:lineRule="auto"/>
        <w:ind w:firstLine="420" w:firstLineChars="200"/>
        <w:rPr>
          <w:rFonts w:hint="eastAsia"/>
          <w:bCs/>
          <w:szCs w:val="21"/>
        </w:rPr>
      </w:pPr>
      <w:r>
        <w:rPr>
          <w:rFonts w:hint="eastAsia"/>
          <w:bCs/>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648B818B">
      <w:pPr>
        <w:spacing w:line="360" w:lineRule="auto"/>
        <w:ind w:firstLine="420" w:firstLineChars="200"/>
        <w:rPr>
          <w:rFonts w:hint="eastAsia"/>
          <w:b/>
          <w:bCs/>
          <w:szCs w:val="21"/>
        </w:rPr>
      </w:pPr>
      <w:r>
        <w:rPr>
          <w:rFonts w:hint="eastAsia"/>
          <w:bCs/>
          <w:szCs w:val="21"/>
        </w:rPr>
        <w:t>（三）如经济环境发生重大变化或证券发行人发生影响证券价格的重大事件，使潜在估值调整对前一估值日的基金资产净值的影响在0.25%以上的，应对估值进行调整并确定公允价值。</w:t>
      </w:r>
    </w:p>
    <w:p w14:paraId="7FD1E362">
      <w:pPr>
        <w:spacing w:line="360" w:lineRule="auto"/>
        <w:ind w:firstLine="422" w:firstLineChars="200"/>
        <w:rPr>
          <w:b/>
          <w:bCs/>
          <w:szCs w:val="21"/>
        </w:rPr>
      </w:pPr>
      <w:r>
        <w:rPr>
          <w:rFonts w:hint="eastAsia"/>
          <w:b/>
          <w:bCs/>
          <w:szCs w:val="21"/>
        </w:rPr>
        <w:t>四、</w:t>
      </w:r>
      <w:r>
        <w:rPr>
          <w:b/>
          <w:bCs/>
          <w:szCs w:val="21"/>
        </w:rPr>
        <w:t>估值方法</w:t>
      </w:r>
    </w:p>
    <w:p w14:paraId="0E8BFA52">
      <w:pPr>
        <w:spacing w:line="360" w:lineRule="auto"/>
        <w:ind w:firstLine="420" w:firstLineChars="200"/>
        <w:rPr>
          <w:rFonts w:hint="eastAsia"/>
          <w:bCs/>
          <w:szCs w:val="21"/>
        </w:rPr>
      </w:pPr>
      <w:bookmarkStart w:id="41" w:name="_Hlk117606798"/>
      <w:r>
        <w:rPr>
          <w:rFonts w:hint="eastAsia"/>
          <w:bCs/>
          <w:szCs w:val="21"/>
        </w:rPr>
        <w:t>1、基金的估值</w:t>
      </w:r>
    </w:p>
    <w:p w14:paraId="339090BF">
      <w:pPr>
        <w:spacing w:line="360" w:lineRule="auto"/>
        <w:ind w:firstLine="420" w:firstLineChars="200"/>
        <w:rPr>
          <w:rFonts w:hint="eastAsia"/>
          <w:bCs/>
          <w:szCs w:val="21"/>
        </w:rPr>
      </w:pPr>
      <w:r>
        <w:rPr>
          <w:rFonts w:hint="eastAsia"/>
          <w:bCs/>
          <w:szCs w:val="21"/>
        </w:rPr>
        <w:t>（1）非上市基金的估值</w:t>
      </w:r>
    </w:p>
    <w:p w14:paraId="20A4CC3F">
      <w:pPr>
        <w:spacing w:line="360" w:lineRule="auto"/>
        <w:ind w:firstLine="420" w:firstLineChars="200"/>
        <w:rPr>
          <w:rFonts w:hint="eastAsia"/>
          <w:bCs/>
          <w:szCs w:val="21"/>
        </w:rPr>
      </w:pPr>
      <w:r>
        <w:rPr>
          <w:rFonts w:hint="eastAsia"/>
          <w:bCs/>
          <w:szCs w:val="21"/>
        </w:rPr>
        <w:t xml:space="preserve">1）投资于境内非货币市场基金，按所投资基金估值日的份额净值估值。 </w:t>
      </w:r>
    </w:p>
    <w:p w14:paraId="76B02EB9">
      <w:pPr>
        <w:spacing w:line="360" w:lineRule="auto"/>
        <w:ind w:firstLine="420" w:firstLineChars="200"/>
        <w:rPr>
          <w:rFonts w:hint="eastAsia"/>
          <w:bCs/>
          <w:szCs w:val="21"/>
        </w:rPr>
      </w:pPr>
      <w:r>
        <w:rPr>
          <w:rFonts w:hint="eastAsia"/>
          <w:bCs/>
          <w:szCs w:val="21"/>
        </w:rPr>
        <w:t>2）投资于境内货币市场基金，如基金管理人披露万份收益，则按所投资基金前一估值日后至估值日期间（含节假日）的万份收益计提估值日基金收益；如基金管理人披露份额净值，则按所投资基金的基金管理人披露的估值日份额净值估值。</w:t>
      </w:r>
    </w:p>
    <w:p w14:paraId="71226DDD">
      <w:pPr>
        <w:spacing w:line="360" w:lineRule="auto"/>
        <w:ind w:firstLine="420" w:firstLineChars="200"/>
        <w:rPr>
          <w:rFonts w:hint="eastAsia"/>
          <w:bCs/>
          <w:szCs w:val="21"/>
        </w:rPr>
      </w:pPr>
      <w:r>
        <w:rPr>
          <w:rFonts w:hint="eastAsia"/>
          <w:bCs/>
          <w:szCs w:val="21"/>
        </w:rPr>
        <w:t>（2）交易所上市基金的估值</w:t>
      </w:r>
    </w:p>
    <w:p w14:paraId="600BAC01">
      <w:pPr>
        <w:spacing w:line="360" w:lineRule="auto"/>
        <w:ind w:firstLine="420" w:firstLineChars="200"/>
        <w:rPr>
          <w:rFonts w:hint="eastAsia"/>
          <w:bCs/>
          <w:szCs w:val="21"/>
        </w:rPr>
      </w:pPr>
      <w:r>
        <w:rPr>
          <w:rFonts w:hint="eastAsia"/>
          <w:bCs/>
          <w:szCs w:val="21"/>
        </w:rPr>
        <w:t>1）投资于交易所交易型开放式指数基金（ETF基金，不含ETF联接基金），按估值日所投资基金的收盘价进行估值。</w:t>
      </w:r>
    </w:p>
    <w:p w14:paraId="1A7AD5DC">
      <w:pPr>
        <w:spacing w:line="360" w:lineRule="auto"/>
        <w:ind w:firstLine="420" w:firstLineChars="200"/>
        <w:rPr>
          <w:rFonts w:hint="eastAsia"/>
          <w:bCs/>
          <w:szCs w:val="21"/>
        </w:rPr>
      </w:pPr>
      <w:r>
        <w:rPr>
          <w:rFonts w:hint="eastAsia"/>
          <w:bCs/>
          <w:szCs w:val="21"/>
        </w:rPr>
        <w:t>2）投资于境内上市开放式基金（LOF），按所投资基金估值日的份额净值进行估值。</w:t>
      </w:r>
    </w:p>
    <w:p w14:paraId="2F0FF944">
      <w:pPr>
        <w:spacing w:line="360" w:lineRule="auto"/>
        <w:ind w:firstLine="420" w:firstLineChars="200"/>
        <w:rPr>
          <w:rFonts w:hint="eastAsia"/>
          <w:bCs/>
          <w:szCs w:val="21"/>
        </w:rPr>
      </w:pPr>
      <w:r>
        <w:rPr>
          <w:rFonts w:hint="eastAsia"/>
          <w:bCs/>
          <w:szCs w:val="21"/>
        </w:rPr>
        <w:t>3）投资于境内上市定期开放式基金、封闭式基金，按估值日所投资基金的收盘价进行估值。</w:t>
      </w:r>
    </w:p>
    <w:p w14:paraId="23215629">
      <w:pPr>
        <w:spacing w:line="360" w:lineRule="auto"/>
        <w:ind w:firstLine="420" w:firstLineChars="200"/>
        <w:rPr>
          <w:rFonts w:hint="eastAsia"/>
          <w:bCs/>
          <w:szCs w:val="21"/>
        </w:rPr>
      </w:pPr>
      <w:r>
        <w:rPr>
          <w:rFonts w:hint="eastAsia"/>
          <w:bCs/>
          <w:szCs w:val="21"/>
        </w:rPr>
        <w:t>4）投资于境内上市交易型货币市场基金，如基金管理人披露份额净值，则按所投资基金的基金管理人披露的估值日份额净值进行估值；如基金管理人披露万份（百份）收益，则按所投资基金前一估值日后至估值日期间（含节假日）的万份（百份）收益计提估值日基金收益。</w:t>
      </w:r>
    </w:p>
    <w:p w14:paraId="59FC9A74">
      <w:pPr>
        <w:spacing w:line="360" w:lineRule="auto"/>
        <w:ind w:firstLine="420" w:firstLineChars="200"/>
        <w:rPr>
          <w:rFonts w:hint="eastAsia"/>
          <w:bCs/>
          <w:szCs w:val="21"/>
        </w:rPr>
      </w:pPr>
      <w:r>
        <w:rPr>
          <w:rFonts w:hint="eastAsia"/>
          <w:bCs/>
          <w:szCs w:val="21"/>
        </w:rPr>
        <w:t>（3）如遇所投资基金不公布基金份额净值、进行折算或拆分、估值日无交易等特殊情况，基金管理人根据以下原则进行估值：</w:t>
      </w:r>
    </w:p>
    <w:p w14:paraId="053860B7">
      <w:pPr>
        <w:spacing w:line="360" w:lineRule="auto"/>
        <w:ind w:firstLine="420" w:firstLineChars="200"/>
        <w:rPr>
          <w:rFonts w:hint="eastAsia"/>
          <w:bCs/>
          <w:szCs w:val="21"/>
        </w:rPr>
      </w:pPr>
      <w:r>
        <w:rPr>
          <w:rFonts w:hint="eastAsia"/>
          <w:bCs/>
          <w:szCs w:val="21"/>
        </w:rPr>
        <w:t>1）以所投资基金的基金份额净值估值的，若所投资基金与本基金估值频率一致但未公布估值日基金份额净值，按其最近公布的基金份额净值为基础估值。</w:t>
      </w:r>
    </w:p>
    <w:p w14:paraId="071160DE">
      <w:pPr>
        <w:spacing w:line="360" w:lineRule="auto"/>
        <w:ind w:firstLine="420" w:firstLineChars="200"/>
        <w:rPr>
          <w:rFonts w:hint="eastAsia"/>
          <w:bCs/>
          <w:szCs w:val="21"/>
        </w:rPr>
      </w:pPr>
      <w:r>
        <w:rPr>
          <w:rFonts w:hint="eastAsia"/>
          <w:bCs/>
          <w:szCs w:val="21"/>
        </w:rPr>
        <w:t>2）以所投资基金的收盘价估值的，若估值日无交易，且最近交易日后市场环境未发生重大变化，以最近交易日的收盘价估值；如最近交易日后市场环境发生了重大变化的，可使用最新的基金份额净值或参考类似投资品种的现行市价及重大变化因素，调整最近交易市价，确定公允价值。</w:t>
      </w:r>
    </w:p>
    <w:p w14:paraId="712FCD83">
      <w:pPr>
        <w:spacing w:line="360" w:lineRule="auto"/>
        <w:ind w:firstLine="420" w:firstLineChars="200"/>
        <w:rPr>
          <w:rFonts w:hint="eastAsia"/>
          <w:bCs/>
          <w:szCs w:val="21"/>
        </w:rPr>
      </w:pPr>
      <w:r>
        <w:rPr>
          <w:rFonts w:hint="eastAsia"/>
          <w:bCs/>
          <w:szCs w:val="21"/>
        </w:rPr>
        <w:t>3）如果所投资基金前一估值日至估值日期间发生分红除权、折算或拆分，基金管理人应根据基金份额净值或收盘价、单位基金份额分红金额、折算拆分比例、持仓份额等因素合理确定公允价值。</w:t>
      </w:r>
    </w:p>
    <w:p w14:paraId="5E24EC4C">
      <w:pPr>
        <w:spacing w:line="360" w:lineRule="auto"/>
        <w:ind w:firstLine="420" w:firstLineChars="200"/>
        <w:rPr>
          <w:rFonts w:hint="eastAsia"/>
          <w:bCs/>
          <w:szCs w:val="21"/>
        </w:rPr>
      </w:pPr>
      <w:r>
        <w:rPr>
          <w:rFonts w:hint="eastAsia"/>
          <w:bCs/>
          <w:szCs w:val="21"/>
        </w:rPr>
        <w:t>（4）当基金管理人认为所投资基金按上述第（1）至第（3）项进行估值存在不公允时，应与基金托管人协商一致采用合理的估值技术或估值标准确定其公允价值。</w:t>
      </w:r>
    </w:p>
    <w:p w14:paraId="70214D3A">
      <w:pPr>
        <w:spacing w:line="360" w:lineRule="auto"/>
        <w:ind w:firstLine="420" w:firstLineChars="200"/>
        <w:rPr>
          <w:rFonts w:hint="eastAsia"/>
          <w:bCs/>
          <w:szCs w:val="21"/>
        </w:rPr>
      </w:pPr>
      <w:r>
        <w:rPr>
          <w:rFonts w:hint="eastAsia"/>
          <w:bCs/>
          <w:szCs w:val="21"/>
        </w:rPr>
        <w:t>2、交易所上市或挂牌转让的有价证券（包括股票、存托凭证等，不包括基金），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0216312">
      <w:pPr>
        <w:spacing w:line="360" w:lineRule="auto"/>
        <w:ind w:firstLine="420" w:firstLineChars="200"/>
        <w:rPr>
          <w:rFonts w:hint="eastAsia"/>
          <w:bCs/>
          <w:szCs w:val="21"/>
        </w:rPr>
      </w:pPr>
      <w:r>
        <w:rPr>
          <w:rFonts w:hint="eastAsia"/>
          <w:bCs/>
          <w:szCs w:val="21"/>
        </w:rPr>
        <w:t>3、对于已上市或已挂牌转让的不含权固定收益品种，选取估值日第三方估值基准服务机构提供的相应品种当日的估值全价进行估值。</w:t>
      </w:r>
    </w:p>
    <w:p w14:paraId="1D14FCA8">
      <w:pPr>
        <w:spacing w:line="360" w:lineRule="auto"/>
        <w:ind w:firstLine="420" w:firstLineChars="200"/>
        <w:rPr>
          <w:rFonts w:hint="eastAsia"/>
          <w:bCs/>
          <w:szCs w:val="21"/>
        </w:rPr>
      </w:pPr>
      <w:r>
        <w:rPr>
          <w:rFonts w:hint="eastAsia"/>
          <w:bCs/>
          <w:szCs w:val="21"/>
        </w:rPr>
        <w:t>4、对于已上市或已挂牌转让的含权固定收益品种，选取估值日第三方估值基准服务机构提供的相应品种当日的唯一估值全价或推荐估值全价进行估值。</w:t>
      </w:r>
    </w:p>
    <w:p w14:paraId="561E8ED0">
      <w:pPr>
        <w:spacing w:line="360" w:lineRule="auto"/>
        <w:ind w:firstLine="420" w:firstLineChars="200"/>
        <w:rPr>
          <w:rFonts w:hint="eastAsia"/>
          <w:bCs/>
          <w:szCs w:val="21"/>
        </w:rPr>
      </w:pPr>
      <w:r>
        <w:rPr>
          <w:rFonts w:hint="eastAsia"/>
          <w:bCs/>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7EE48138">
      <w:pPr>
        <w:spacing w:line="360" w:lineRule="auto"/>
        <w:ind w:firstLine="420" w:firstLineChars="200"/>
        <w:rPr>
          <w:rFonts w:hint="eastAsia"/>
          <w:bCs/>
          <w:szCs w:val="21"/>
        </w:rPr>
      </w:pPr>
      <w:r>
        <w:rPr>
          <w:rFonts w:hint="eastAsia"/>
          <w:bCs/>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16AEC8A">
      <w:pPr>
        <w:spacing w:line="360" w:lineRule="auto"/>
        <w:ind w:firstLine="420" w:firstLineChars="200"/>
        <w:rPr>
          <w:rFonts w:hint="eastAsia"/>
          <w:bCs/>
          <w:szCs w:val="21"/>
        </w:rPr>
      </w:pPr>
      <w:r>
        <w:rPr>
          <w:rFonts w:hint="eastAsia"/>
          <w:bCs/>
          <w:szCs w:val="21"/>
        </w:rPr>
        <w:t>6、对于未上市或未挂牌转让且不存在活跃市场的固定收益品种，应采用在当前情况下适用并且有足够可利用数据和其他信息支持的估值技术确定其公允价值。</w:t>
      </w:r>
    </w:p>
    <w:p w14:paraId="275CDE3E">
      <w:pPr>
        <w:spacing w:line="360" w:lineRule="auto"/>
        <w:ind w:firstLine="420" w:firstLineChars="200"/>
        <w:rPr>
          <w:rFonts w:hint="eastAsia"/>
          <w:bCs/>
          <w:szCs w:val="21"/>
        </w:rPr>
      </w:pPr>
      <w:r>
        <w:rPr>
          <w:rFonts w:hint="eastAsia"/>
          <w:bCs/>
          <w:szCs w:val="21"/>
        </w:rPr>
        <w:t>7、处于未上市期间的股票应区分如下情况处理：</w:t>
      </w:r>
    </w:p>
    <w:p w14:paraId="2182C87C">
      <w:pPr>
        <w:spacing w:line="360" w:lineRule="auto"/>
        <w:ind w:firstLine="420" w:firstLineChars="200"/>
        <w:rPr>
          <w:rFonts w:hint="eastAsia"/>
          <w:bCs/>
          <w:szCs w:val="21"/>
        </w:rPr>
      </w:pPr>
      <w:r>
        <w:rPr>
          <w:rFonts w:hint="eastAsia"/>
          <w:bCs/>
          <w:szCs w:val="21"/>
        </w:rPr>
        <w:t>（1）送股、转增股、配股和公开增发的新股，按估值日在证券交易所挂牌的同一股票的估值方法估值；该日无交易的，以最近一日的市价（收盘价）估值；</w:t>
      </w:r>
    </w:p>
    <w:p w14:paraId="0A167877">
      <w:pPr>
        <w:spacing w:line="360" w:lineRule="auto"/>
        <w:ind w:firstLine="420" w:firstLineChars="200"/>
        <w:rPr>
          <w:rFonts w:hint="eastAsia"/>
          <w:bCs/>
          <w:szCs w:val="21"/>
        </w:rPr>
      </w:pPr>
      <w:r>
        <w:rPr>
          <w:rFonts w:hint="eastAsia"/>
          <w:bCs/>
          <w:szCs w:val="21"/>
        </w:rPr>
        <w:t>（2）首次公开发行未上市或未挂牌转让的股票，采用估值技术确定公允价值，在估值技术难以可靠计量公允价值的情况下，按成本估值；</w:t>
      </w:r>
    </w:p>
    <w:p w14:paraId="1EF5086F">
      <w:pPr>
        <w:spacing w:line="360" w:lineRule="auto"/>
        <w:ind w:firstLine="420" w:firstLineChars="200"/>
        <w:rPr>
          <w:rFonts w:hint="eastAsia"/>
          <w:bCs/>
          <w:szCs w:val="21"/>
        </w:rPr>
      </w:pPr>
      <w:r>
        <w:rPr>
          <w:rFonts w:hint="eastAsia"/>
          <w:bCs/>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B842262">
      <w:pPr>
        <w:spacing w:line="360" w:lineRule="auto"/>
        <w:ind w:firstLine="420" w:firstLineChars="200"/>
        <w:rPr>
          <w:rFonts w:hint="eastAsia"/>
          <w:bCs/>
          <w:szCs w:val="21"/>
        </w:rPr>
      </w:pPr>
      <w:r>
        <w:rPr>
          <w:rFonts w:hint="eastAsia"/>
          <w:bCs/>
          <w:szCs w:val="21"/>
        </w:rPr>
        <w:t>8、同一证券同时在两个或两个以上市场交易的，按证券所处的市场分别估值。</w:t>
      </w:r>
    </w:p>
    <w:p w14:paraId="0D7FE40B">
      <w:pPr>
        <w:spacing w:line="360" w:lineRule="auto"/>
        <w:ind w:firstLine="420" w:firstLineChars="200"/>
        <w:rPr>
          <w:rFonts w:hint="eastAsia"/>
          <w:bCs/>
          <w:szCs w:val="21"/>
        </w:rPr>
      </w:pPr>
      <w:r>
        <w:rPr>
          <w:rFonts w:hint="eastAsia"/>
          <w:bCs/>
          <w:szCs w:val="21"/>
        </w:rPr>
        <w:t>9、当本基金发生大额申购或赎回情形时，基金管理人可以采用摆动定价机制，以确保基金估值的公平性。具体处理原则与操作规范遵循相关法律法规以及监管部门、自律规则的规定。</w:t>
      </w:r>
    </w:p>
    <w:p w14:paraId="4775AB73">
      <w:pPr>
        <w:spacing w:line="360" w:lineRule="auto"/>
        <w:ind w:firstLine="420" w:firstLineChars="200"/>
        <w:rPr>
          <w:rFonts w:hint="eastAsia"/>
          <w:bCs/>
          <w:szCs w:val="21"/>
        </w:rPr>
      </w:pPr>
      <w:r>
        <w:rPr>
          <w:rFonts w:hint="eastAsia"/>
          <w:bCs/>
          <w:szCs w:val="21"/>
        </w:rPr>
        <w:t>10、汇率</w:t>
      </w:r>
    </w:p>
    <w:p w14:paraId="225873AF">
      <w:pPr>
        <w:spacing w:line="360" w:lineRule="auto"/>
        <w:ind w:firstLine="420" w:firstLineChars="200"/>
        <w:rPr>
          <w:rFonts w:hint="eastAsia"/>
          <w:bCs/>
          <w:szCs w:val="21"/>
        </w:rPr>
      </w:pPr>
      <w:r>
        <w:rPr>
          <w:rFonts w:hint="eastAsia"/>
          <w:bCs/>
          <w:szCs w:val="21"/>
        </w:rPr>
        <w:t>本基金外币资产价值计算中，涉及主要货币对人民币汇率的，应当以基金估值日中国人民银行或其授权机构公布的人民币汇率中间价为准。</w:t>
      </w:r>
    </w:p>
    <w:p w14:paraId="444A4E75">
      <w:pPr>
        <w:spacing w:line="360" w:lineRule="auto"/>
        <w:ind w:firstLine="420" w:firstLineChars="200"/>
        <w:rPr>
          <w:rFonts w:hint="eastAsia"/>
          <w:bCs/>
          <w:szCs w:val="21"/>
        </w:rPr>
      </w:pPr>
      <w:r>
        <w:rPr>
          <w:rFonts w:hint="eastAsia"/>
          <w:bCs/>
          <w:szCs w:val="21"/>
        </w:rPr>
        <w:t>11、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38B61175">
      <w:pPr>
        <w:spacing w:line="360" w:lineRule="auto"/>
        <w:ind w:firstLine="420" w:firstLineChars="200"/>
        <w:rPr>
          <w:rFonts w:hint="eastAsia"/>
          <w:bCs/>
          <w:szCs w:val="21"/>
        </w:rPr>
      </w:pPr>
      <w:r>
        <w:rPr>
          <w:rFonts w:hint="eastAsia"/>
          <w:bCs/>
          <w:szCs w:val="21"/>
        </w:rPr>
        <w:t>12、本基金投资存托凭证的估值核算，依照境内上市交易的股票执行。</w:t>
      </w:r>
    </w:p>
    <w:p w14:paraId="095E7859">
      <w:pPr>
        <w:spacing w:line="360" w:lineRule="auto"/>
        <w:ind w:firstLine="420" w:firstLineChars="200"/>
        <w:rPr>
          <w:rFonts w:hint="eastAsia"/>
          <w:bCs/>
          <w:szCs w:val="21"/>
        </w:rPr>
      </w:pPr>
      <w:r>
        <w:rPr>
          <w:rFonts w:hint="eastAsia"/>
          <w:bCs/>
          <w:szCs w:val="21"/>
        </w:rPr>
        <w:t>13、如有确凿证据表明按上述方法进行估值不能客观反映其公允价值的，基金管理人可根据具体情况与基金托管人商定后，按最能反映公允价值的价格估值。</w:t>
      </w:r>
    </w:p>
    <w:p w14:paraId="2CAF6D39">
      <w:pPr>
        <w:spacing w:line="360" w:lineRule="auto"/>
        <w:ind w:firstLine="420" w:firstLineChars="200"/>
        <w:rPr>
          <w:rFonts w:hint="eastAsia"/>
          <w:bCs/>
          <w:szCs w:val="21"/>
        </w:rPr>
      </w:pPr>
      <w:r>
        <w:rPr>
          <w:rFonts w:hint="eastAsia"/>
          <w:bCs/>
          <w:szCs w:val="21"/>
        </w:rPr>
        <w:t>14、相关法律法规以及监管部门有强制规定的，从其规定。如有新增事项，按国家最新规定估值。</w:t>
      </w:r>
    </w:p>
    <w:p w14:paraId="6F0D2473">
      <w:pPr>
        <w:spacing w:line="360" w:lineRule="auto"/>
        <w:ind w:firstLine="420" w:firstLineChars="200"/>
        <w:rPr>
          <w:rFonts w:hint="eastAsia"/>
          <w:bCs/>
          <w:szCs w:val="21"/>
        </w:rPr>
      </w:pPr>
      <w:r>
        <w:rPr>
          <w:rFonts w:hint="eastAsia"/>
          <w:bCs/>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103C6669">
      <w:pPr>
        <w:spacing w:line="360" w:lineRule="auto"/>
        <w:ind w:firstLine="420" w:firstLineChars="200"/>
        <w:rPr>
          <w:rFonts w:hint="eastAsia"/>
          <w:bCs/>
          <w:szCs w:val="21"/>
        </w:rPr>
      </w:pPr>
      <w:r>
        <w:rPr>
          <w:rFonts w:hint="eastAsia"/>
          <w:bCs/>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bookmarkEnd w:id="41"/>
    <w:p w14:paraId="47139DE5">
      <w:pPr>
        <w:spacing w:line="360" w:lineRule="auto"/>
        <w:ind w:firstLine="422" w:firstLineChars="200"/>
        <w:rPr>
          <w:b/>
          <w:bCs/>
          <w:szCs w:val="21"/>
        </w:rPr>
      </w:pPr>
      <w:r>
        <w:rPr>
          <w:rFonts w:hint="eastAsia"/>
          <w:b/>
          <w:bCs/>
          <w:szCs w:val="21"/>
        </w:rPr>
        <w:t>五</w:t>
      </w:r>
      <w:r>
        <w:rPr>
          <w:b/>
          <w:bCs/>
          <w:szCs w:val="21"/>
        </w:rPr>
        <w:t>、估值程序</w:t>
      </w:r>
    </w:p>
    <w:p w14:paraId="5F88F898">
      <w:pPr>
        <w:spacing w:line="360" w:lineRule="auto"/>
        <w:ind w:firstLine="420" w:firstLineChars="200"/>
        <w:rPr>
          <w:rFonts w:hint="eastAsia"/>
          <w:bCs/>
          <w:szCs w:val="21"/>
        </w:rPr>
      </w:pPr>
      <w:r>
        <w:rPr>
          <w:rFonts w:hint="eastAsia"/>
          <w:bCs/>
          <w:szCs w:val="21"/>
        </w:rPr>
        <w:t>1、各类基金份额净值是按照每个估值日，各类基金份额的基金资产净值除以该类基金份额的余额数量计算，均精确到0.0001元，小数点后第5位四舍五入，由此产生的误差计入基金财产。基金管理人可以设立大额赎回情形下的净值精度应急调整机制。国家另有规定的，从其规定。</w:t>
      </w:r>
    </w:p>
    <w:p w14:paraId="60FEFA30">
      <w:pPr>
        <w:spacing w:line="360" w:lineRule="auto"/>
        <w:ind w:firstLine="420" w:firstLineChars="200"/>
        <w:rPr>
          <w:rFonts w:hint="eastAsia"/>
          <w:bCs/>
          <w:szCs w:val="21"/>
        </w:rPr>
      </w:pPr>
      <w:r>
        <w:rPr>
          <w:rFonts w:hint="eastAsia"/>
          <w:bCs/>
          <w:szCs w:val="21"/>
        </w:rPr>
        <w:t>基金管理人于每个估值日</w:t>
      </w:r>
      <w:bookmarkStart w:id="42" w:name="_Hlk116241339"/>
      <w:r>
        <w:rPr>
          <w:rFonts w:hint="eastAsia"/>
          <w:bCs/>
          <w:szCs w:val="21"/>
        </w:rPr>
        <w:t>的次二个工作日内计算基金资产净值及各类基金份额净值</w:t>
      </w:r>
      <w:bookmarkEnd w:id="42"/>
      <w:r>
        <w:rPr>
          <w:rFonts w:hint="eastAsia"/>
          <w:bCs/>
          <w:szCs w:val="21"/>
        </w:rPr>
        <w:t>，并按基金合同约定公告，但基金管理人根据法律法规或基金合同的规定暂停估值时除外。</w:t>
      </w:r>
    </w:p>
    <w:p w14:paraId="73309342">
      <w:pPr>
        <w:spacing w:line="360" w:lineRule="auto"/>
        <w:ind w:firstLine="420" w:firstLineChars="200"/>
        <w:rPr>
          <w:rFonts w:hint="eastAsia"/>
          <w:bCs/>
          <w:szCs w:val="21"/>
        </w:rPr>
      </w:pPr>
      <w:r>
        <w:rPr>
          <w:rFonts w:hint="eastAsia"/>
          <w:bCs/>
          <w:szCs w:val="21"/>
        </w:rPr>
        <w:t>2、基金管理人估值工作完成后，将各类基金份额净值结果发送基金托管人，经基金托管人复核无误后，由基金管理人按基金合同约定对外公布。如遇特殊情况，经中国证监会同意，可以适当延迟计算或公告。</w:t>
      </w:r>
    </w:p>
    <w:p w14:paraId="0C8A695C">
      <w:pPr>
        <w:spacing w:line="360" w:lineRule="auto"/>
        <w:ind w:firstLine="422" w:firstLineChars="200"/>
        <w:rPr>
          <w:b/>
          <w:bCs/>
          <w:szCs w:val="21"/>
        </w:rPr>
      </w:pPr>
      <w:bookmarkStart w:id="43" w:name="_Hlk117606911"/>
      <w:r>
        <w:rPr>
          <w:rFonts w:hint="eastAsia"/>
          <w:b/>
          <w:bCs/>
          <w:szCs w:val="21"/>
        </w:rPr>
        <w:t>六</w:t>
      </w:r>
      <w:r>
        <w:rPr>
          <w:b/>
          <w:bCs/>
          <w:szCs w:val="21"/>
        </w:rPr>
        <w:t>、估值错误的处理</w:t>
      </w:r>
    </w:p>
    <w:p w14:paraId="1999FE58">
      <w:pPr>
        <w:spacing w:line="360" w:lineRule="auto"/>
        <w:ind w:firstLine="420" w:firstLineChars="200"/>
        <w:rPr>
          <w:rFonts w:hint="eastAsia"/>
          <w:bCs/>
          <w:szCs w:val="21"/>
        </w:rPr>
      </w:pPr>
      <w:r>
        <w:rPr>
          <w:rFonts w:hint="eastAsia"/>
          <w:bCs/>
          <w:szCs w:val="21"/>
        </w:rPr>
        <w:t>基金管理人和基金托管人将采取必要、适当、合理的措施确保基金资产估值的准确性、及时性。当任一类基金份额净值小数点后4位以内（含第4位）发生估值错误时，视为该类基金份额净值错误。</w:t>
      </w:r>
    </w:p>
    <w:p w14:paraId="681157C4">
      <w:pPr>
        <w:spacing w:line="360" w:lineRule="auto"/>
        <w:ind w:firstLine="420" w:firstLineChars="200"/>
        <w:rPr>
          <w:rFonts w:hint="eastAsia"/>
          <w:bCs/>
          <w:szCs w:val="21"/>
        </w:rPr>
      </w:pPr>
      <w:r>
        <w:rPr>
          <w:rFonts w:hint="eastAsia"/>
          <w:bCs/>
          <w:szCs w:val="21"/>
        </w:rPr>
        <w:t>基金合同的当事人应按照以下约定处理：</w:t>
      </w:r>
    </w:p>
    <w:p w14:paraId="3E569B4C">
      <w:pPr>
        <w:spacing w:line="360" w:lineRule="auto"/>
        <w:ind w:firstLine="420" w:firstLineChars="200"/>
        <w:rPr>
          <w:rFonts w:hint="eastAsia"/>
          <w:bCs/>
          <w:szCs w:val="21"/>
        </w:rPr>
      </w:pPr>
      <w:r>
        <w:rPr>
          <w:rFonts w:hint="eastAsia"/>
          <w:bCs/>
          <w:szCs w:val="21"/>
        </w:rPr>
        <w:t>1、估值错误类型</w:t>
      </w:r>
    </w:p>
    <w:p w14:paraId="4161EEEC">
      <w:pPr>
        <w:spacing w:line="360" w:lineRule="auto"/>
        <w:ind w:firstLine="420" w:firstLineChars="200"/>
        <w:rPr>
          <w:rFonts w:hint="eastAsia"/>
          <w:bCs/>
          <w:szCs w:val="21"/>
        </w:rPr>
      </w:pPr>
      <w:r>
        <w:rPr>
          <w:rFonts w:hint="eastAsia"/>
          <w:bCs/>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AF4C1FA">
      <w:pPr>
        <w:spacing w:line="360" w:lineRule="auto"/>
        <w:ind w:firstLine="420" w:firstLineChars="200"/>
        <w:rPr>
          <w:rFonts w:hint="eastAsia"/>
          <w:bCs/>
          <w:szCs w:val="21"/>
        </w:rPr>
      </w:pPr>
      <w:r>
        <w:rPr>
          <w:rFonts w:hint="eastAsia"/>
          <w:bCs/>
          <w:szCs w:val="21"/>
        </w:rPr>
        <w:t>上述估值错误的主要类型包括但不限于：资料申报差错、数据传输差错、数据计算差错、系统故障差错、下达指令差错等。</w:t>
      </w:r>
    </w:p>
    <w:p w14:paraId="60F7BABD">
      <w:pPr>
        <w:spacing w:line="360" w:lineRule="auto"/>
        <w:ind w:firstLine="420" w:firstLineChars="200"/>
        <w:rPr>
          <w:rFonts w:hint="eastAsia"/>
          <w:bCs/>
          <w:szCs w:val="21"/>
        </w:rPr>
      </w:pPr>
      <w:r>
        <w:rPr>
          <w:rFonts w:hint="eastAsia"/>
          <w:bCs/>
          <w:szCs w:val="21"/>
        </w:rPr>
        <w:t>对于因技术原因引起的差错，若系同行业现有技术水平无法预见、无法避免、无法抗拒，则属不可抗力，按照下述规定执行。</w:t>
      </w:r>
    </w:p>
    <w:p w14:paraId="51B62928">
      <w:pPr>
        <w:spacing w:line="360" w:lineRule="auto"/>
        <w:ind w:firstLine="420" w:firstLineChars="200"/>
        <w:rPr>
          <w:rFonts w:hint="eastAsia"/>
          <w:bCs/>
          <w:szCs w:val="21"/>
        </w:rPr>
      </w:pPr>
      <w:r>
        <w:rPr>
          <w:rFonts w:hint="eastAsia"/>
          <w:bCs/>
          <w:szCs w:val="21"/>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5E176963">
      <w:pPr>
        <w:spacing w:line="360" w:lineRule="auto"/>
        <w:ind w:firstLine="420" w:firstLineChars="200"/>
        <w:rPr>
          <w:rFonts w:hint="eastAsia"/>
          <w:bCs/>
          <w:szCs w:val="21"/>
        </w:rPr>
      </w:pPr>
      <w:r>
        <w:rPr>
          <w:rFonts w:hint="eastAsia"/>
          <w:bCs/>
          <w:szCs w:val="21"/>
        </w:rPr>
        <w:t>2、估值错误处理原则</w:t>
      </w:r>
    </w:p>
    <w:p w14:paraId="15D6907B">
      <w:pPr>
        <w:spacing w:line="360" w:lineRule="auto"/>
        <w:ind w:firstLine="420" w:firstLineChars="200"/>
        <w:rPr>
          <w:rFonts w:hint="eastAsia"/>
          <w:bCs/>
          <w:szCs w:val="21"/>
        </w:rPr>
      </w:pPr>
      <w:r>
        <w:rPr>
          <w:rFonts w:hint="eastAsia"/>
          <w:bCs/>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5187A230">
      <w:pPr>
        <w:spacing w:line="360" w:lineRule="auto"/>
        <w:ind w:firstLine="420" w:firstLineChars="200"/>
        <w:rPr>
          <w:rFonts w:hint="eastAsia"/>
          <w:bCs/>
          <w:szCs w:val="21"/>
        </w:rPr>
      </w:pPr>
      <w:r>
        <w:rPr>
          <w:rFonts w:hint="eastAsia"/>
          <w:bCs/>
          <w:szCs w:val="21"/>
        </w:rPr>
        <w:t>（2）估值错误的责任方对有关当事人的直接损失负责，不对间接损失负责，并且仅对估值错误的有关直接当事人负责，不对第三方负责。</w:t>
      </w:r>
    </w:p>
    <w:p w14:paraId="71987F39">
      <w:pPr>
        <w:spacing w:line="360" w:lineRule="auto"/>
        <w:ind w:firstLine="420" w:firstLineChars="200"/>
        <w:rPr>
          <w:rFonts w:hint="eastAsia"/>
          <w:bCs/>
          <w:szCs w:val="21"/>
        </w:rPr>
      </w:pPr>
      <w:r>
        <w:rPr>
          <w:rFonts w:hint="eastAsia"/>
          <w:bCs/>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595D6D71">
      <w:pPr>
        <w:spacing w:line="360" w:lineRule="auto"/>
        <w:ind w:firstLine="420" w:firstLineChars="200"/>
        <w:rPr>
          <w:rFonts w:hint="eastAsia"/>
          <w:bCs/>
          <w:szCs w:val="21"/>
        </w:rPr>
      </w:pPr>
      <w:r>
        <w:rPr>
          <w:rFonts w:hint="eastAsia"/>
          <w:bCs/>
          <w:szCs w:val="21"/>
        </w:rPr>
        <w:t>（4）估值错误调整采用尽量恢复至假设未发生估值错误的正确情形的方式。</w:t>
      </w:r>
    </w:p>
    <w:p w14:paraId="2A92C4A2">
      <w:pPr>
        <w:spacing w:line="360" w:lineRule="auto"/>
        <w:ind w:firstLine="420" w:firstLineChars="200"/>
        <w:rPr>
          <w:rFonts w:hint="eastAsia"/>
          <w:bCs/>
          <w:szCs w:val="21"/>
        </w:rPr>
      </w:pPr>
      <w:r>
        <w:rPr>
          <w:rFonts w:hint="eastAsia"/>
          <w:bCs/>
          <w:szCs w:val="21"/>
        </w:rPr>
        <w:t>（5）按法律法规规定的其他原则处理估值错误。</w:t>
      </w:r>
    </w:p>
    <w:p w14:paraId="395066AA">
      <w:pPr>
        <w:spacing w:line="360" w:lineRule="auto"/>
        <w:ind w:firstLine="420" w:firstLineChars="200"/>
        <w:rPr>
          <w:rFonts w:hint="eastAsia"/>
          <w:bCs/>
          <w:szCs w:val="21"/>
        </w:rPr>
      </w:pPr>
      <w:r>
        <w:rPr>
          <w:rFonts w:hint="eastAsia"/>
          <w:bCs/>
          <w:szCs w:val="21"/>
        </w:rPr>
        <w:t>3、估值错误处理程序</w:t>
      </w:r>
    </w:p>
    <w:p w14:paraId="67696791">
      <w:pPr>
        <w:spacing w:line="360" w:lineRule="auto"/>
        <w:ind w:firstLine="420" w:firstLineChars="200"/>
        <w:rPr>
          <w:rFonts w:hint="eastAsia"/>
          <w:bCs/>
          <w:szCs w:val="21"/>
        </w:rPr>
      </w:pPr>
      <w:r>
        <w:rPr>
          <w:rFonts w:hint="eastAsia"/>
          <w:bCs/>
          <w:szCs w:val="21"/>
        </w:rPr>
        <w:t>估值错误被发现后，有关的当事人应当及时进行处理，处理的程序如下：</w:t>
      </w:r>
    </w:p>
    <w:p w14:paraId="38906F3A">
      <w:pPr>
        <w:spacing w:line="360" w:lineRule="auto"/>
        <w:ind w:firstLine="420" w:firstLineChars="200"/>
        <w:rPr>
          <w:rFonts w:hint="eastAsia"/>
          <w:bCs/>
          <w:szCs w:val="21"/>
        </w:rPr>
      </w:pPr>
      <w:r>
        <w:rPr>
          <w:rFonts w:hint="eastAsia"/>
          <w:bCs/>
          <w:szCs w:val="21"/>
        </w:rPr>
        <w:t>（1）查明估值错误发生的原因，列明所有的当事人，并根据估值错误发生的原因确定估值错误的责任方；</w:t>
      </w:r>
    </w:p>
    <w:p w14:paraId="736AB93F">
      <w:pPr>
        <w:spacing w:line="360" w:lineRule="auto"/>
        <w:ind w:firstLine="420" w:firstLineChars="200"/>
        <w:rPr>
          <w:rFonts w:hint="eastAsia"/>
          <w:bCs/>
          <w:szCs w:val="21"/>
        </w:rPr>
      </w:pPr>
      <w:r>
        <w:rPr>
          <w:rFonts w:hint="eastAsia"/>
          <w:bCs/>
          <w:szCs w:val="21"/>
        </w:rPr>
        <w:t>（2）根据估值错误处理原则或当事人协商的方法对因估值错误造成的损失进行评估；</w:t>
      </w:r>
    </w:p>
    <w:p w14:paraId="0E044EED">
      <w:pPr>
        <w:spacing w:line="360" w:lineRule="auto"/>
        <w:ind w:firstLine="420" w:firstLineChars="200"/>
        <w:rPr>
          <w:rFonts w:hint="eastAsia"/>
          <w:bCs/>
          <w:szCs w:val="21"/>
        </w:rPr>
      </w:pPr>
      <w:r>
        <w:rPr>
          <w:rFonts w:hint="eastAsia"/>
          <w:bCs/>
          <w:szCs w:val="21"/>
        </w:rPr>
        <w:t>（3）根据估值错误处理原则或当事人协商的方法由估值错误的责任方进行更正和赔偿损失；</w:t>
      </w:r>
    </w:p>
    <w:p w14:paraId="74B0F778">
      <w:pPr>
        <w:spacing w:line="360" w:lineRule="auto"/>
        <w:ind w:firstLine="420" w:firstLineChars="200"/>
        <w:rPr>
          <w:rFonts w:hint="eastAsia"/>
          <w:bCs/>
          <w:szCs w:val="21"/>
        </w:rPr>
      </w:pPr>
      <w:r>
        <w:rPr>
          <w:rFonts w:hint="eastAsia"/>
          <w:bCs/>
          <w:szCs w:val="21"/>
        </w:rPr>
        <w:t>（4）根据估值错误处理的方法，需要修改基金登记机构交易数据的，由基金登记机构进行更正，并就估值错误的更正向有关当事人进行确认。</w:t>
      </w:r>
    </w:p>
    <w:p w14:paraId="5B84E5A5">
      <w:pPr>
        <w:spacing w:line="360" w:lineRule="auto"/>
        <w:ind w:firstLine="420" w:firstLineChars="200"/>
        <w:rPr>
          <w:rFonts w:hint="eastAsia"/>
          <w:bCs/>
          <w:szCs w:val="21"/>
        </w:rPr>
      </w:pPr>
      <w:r>
        <w:rPr>
          <w:rFonts w:hint="eastAsia"/>
          <w:bCs/>
          <w:szCs w:val="21"/>
        </w:rPr>
        <w:t>4、基金份额净值估值错误处理的方法如下：</w:t>
      </w:r>
    </w:p>
    <w:p w14:paraId="3CC6CE95">
      <w:pPr>
        <w:spacing w:line="360" w:lineRule="auto"/>
        <w:ind w:firstLine="420" w:firstLineChars="200"/>
        <w:rPr>
          <w:rFonts w:hint="eastAsia"/>
          <w:bCs/>
          <w:szCs w:val="21"/>
        </w:rPr>
      </w:pPr>
      <w:r>
        <w:rPr>
          <w:rFonts w:hint="eastAsia"/>
          <w:bCs/>
          <w:szCs w:val="21"/>
        </w:rPr>
        <w:t>（1）基金份额净值计算出现错误时，基金管理人应当立即予以纠正，通报基金托管人，并采取合理的措施防止损失进一步扩大；</w:t>
      </w:r>
    </w:p>
    <w:p w14:paraId="23615898">
      <w:pPr>
        <w:spacing w:line="360" w:lineRule="auto"/>
        <w:ind w:firstLine="420" w:firstLineChars="200"/>
        <w:rPr>
          <w:rFonts w:hint="eastAsia"/>
          <w:bCs/>
          <w:szCs w:val="21"/>
        </w:rPr>
      </w:pPr>
      <w:r>
        <w:rPr>
          <w:rFonts w:hint="eastAsia"/>
          <w:bCs/>
          <w:szCs w:val="21"/>
        </w:rPr>
        <w:t>（2）错误偏差达到该类基金份额净值的0.25%时，基金管理人应当通报基金托管人并报中国证监会备案；错误偏差达到该类基金份额净值的0.50%时，基金管理人应当公告，并报中国证监会备案；</w:t>
      </w:r>
    </w:p>
    <w:p w14:paraId="3513332B">
      <w:pPr>
        <w:spacing w:line="360" w:lineRule="auto"/>
        <w:ind w:firstLine="420" w:firstLineChars="200"/>
        <w:rPr>
          <w:rFonts w:hint="eastAsia"/>
          <w:bCs/>
          <w:szCs w:val="21"/>
        </w:rPr>
      </w:pPr>
      <w:r>
        <w:rPr>
          <w:rFonts w:hint="eastAsia"/>
          <w:bCs/>
          <w:szCs w:val="21"/>
        </w:rPr>
        <w:t>（3）当基金份额净值计算差错给基金和基金份额持有人造成损失需要进行赔偿时，基金管理人和基金托管人应根据实际情况界定双方承担的责任，经确认后按以下条款进行赔偿：</w:t>
      </w:r>
    </w:p>
    <w:p w14:paraId="7E31C434">
      <w:pPr>
        <w:spacing w:line="360" w:lineRule="auto"/>
        <w:ind w:firstLine="420" w:firstLineChars="200"/>
        <w:rPr>
          <w:rFonts w:hint="eastAsia"/>
          <w:bCs/>
          <w:szCs w:val="21"/>
        </w:rPr>
      </w:pPr>
      <w:r>
        <w:rPr>
          <w:rFonts w:hint="eastAsia"/>
          <w:bCs/>
          <w:szCs w:val="21"/>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C6570EA">
      <w:pPr>
        <w:spacing w:line="360" w:lineRule="auto"/>
        <w:ind w:firstLine="420" w:firstLineChars="200"/>
        <w:rPr>
          <w:rFonts w:hint="eastAsia"/>
          <w:bCs/>
          <w:szCs w:val="21"/>
        </w:rPr>
      </w:pPr>
      <w:r>
        <w:rPr>
          <w:rFonts w:hint="eastAsia"/>
          <w:bCs/>
          <w:szCs w:val="21"/>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6D4E00C1">
      <w:pPr>
        <w:spacing w:line="360" w:lineRule="auto"/>
        <w:ind w:firstLine="420" w:firstLineChars="200"/>
        <w:rPr>
          <w:rFonts w:hint="eastAsia"/>
          <w:bCs/>
          <w:szCs w:val="21"/>
        </w:rPr>
      </w:pPr>
      <w:r>
        <w:rPr>
          <w:rFonts w:hint="eastAsia"/>
          <w:bCs/>
          <w:szCs w:val="21"/>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34054580">
      <w:pPr>
        <w:spacing w:line="360" w:lineRule="auto"/>
        <w:ind w:firstLine="420" w:firstLineChars="200"/>
        <w:rPr>
          <w:rFonts w:hint="eastAsia"/>
          <w:bCs/>
          <w:szCs w:val="21"/>
        </w:rPr>
      </w:pPr>
      <w:r>
        <w:rPr>
          <w:rFonts w:hint="eastAsia"/>
          <w:bCs/>
          <w:szCs w:val="21"/>
        </w:rPr>
        <w:t>④由于基金管理人提供的信息错误（包括但不限于基金申购或赎回金额等），进而导致基金份额净值计算错误而引起的基金份额持有人和基金财产的损失，由基金管理人负责赔付。</w:t>
      </w:r>
    </w:p>
    <w:p w14:paraId="50920922">
      <w:pPr>
        <w:spacing w:line="360" w:lineRule="auto"/>
        <w:ind w:firstLine="420" w:firstLineChars="200"/>
        <w:rPr>
          <w:rFonts w:hint="eastAsia"/>
          <w:b/>
          <w:bCs/>
          <w:szCs w:val="21"/>
        </w:rPr>
      </w:pPr>
      <w:r>
        <w:rPr>
          <w:rFonts w:hint="eastAsia"/>
          <w:bCs/>
          <w:szCs w:val="21"/>
        </w:rPr>
        <w:t>（4）前述内容如法律法规或监管机关另有规定的，从其规定处理。如果行业另有通行做法，基金管理人和基金托管人应本着平等和保护基金份额持有人利益的原则进行协商。</w:t>
      </w:r>
      <w:bookmarkEnd w:id="43"/>
    </w:p>
    <w:p w14:paraId="486862A2">
      <w:pPr>
        <w:spacing w:line="360" w:lineRule="auto"/>
        <w:ind w:firstLine="422" w:firstLineChars="200"/>
        <w:rPr>
          <w:b/>
          <w:bCs/>
          <w:szCs w:val="21"/>
        </w:rPr>
      </w:pPr>
      <w:r>
        <w:rPr>
          <w:rFonts w:hint="eastAsia"/>
          <w:b/>
          <w:bCs/>
          <w:szCs w:val="21"/>
        </w:rPr>
        <w:t>七</w:t>
      </w:r>
      <w:r>
        <w:rPr>
          <w:b/>
          <w:bCs/>
          <w:szCs w:val="21"/>
        </w:rPr>
        <w:t>、暂停估值的情形</w:t>
      </w:r>
    </w:p>
    <w:p w14:paraId="1AFCAB24">
      <w:pPr>
        <w:spacing w:line="360" w:lineRule="auto"/>
        <w:ind w:firstLine="420" w:firstLineChars="200"/>
        <w:rPr>
          <w:rFonts w:hint="eastAsia"/>
          <w:bCs/>
          <w:szCs w:val="21"/>
        </w:rPr>
      </w:pPr>
      <w:r>
        <w:rPr>
          <w:rFonts w:hint="eastAsia"/>
          <w:bCs/>
          <w:szCs w:val="21"/>
        </w:rPr>
        <w:t>1、基金投资所涉及的证券交易市场或外汇市场遇法定节假日或因其他原因暂停营业时；</w:t>
      </w:r>
    </w:p>
    <w:p w14:paraId="2415CD59">
      <w:pPr>
        <w:spacing w:line="360" w:lineRule="auto"/>
        <w:ind w:firstLine="420" w:firstLineChars="200"/>
        <w:rPr>
          <w:rFonts w:hint="eastAsia"/>
          <w:bCs/>
          <w:szCs w:val="21"/>
        </w:rPr>
      </w:pPr>
      <w:r>
        <w:rPr>
          <w:rFonts w:hint="eastAsia"/>
          <w:bCs/>
          <w:szCs w:val="21"/>
        </w:rPr>
        <w:t>2、因不可抗力致使基金管理人、基金托管人无法准确评估基金资产价值时；</w:t>
      </w:r>
    </w:p>
    <w:p w14:paraId="71EAF4C4">
      <w:pPr>
        <w:spacing w:line="360" w:lineRule="auto"/>
        <w:ind w:firstLine="420" w:firstLineChars="200"/>
        <w:rPr>
          <w:rFonts w:hint="eastAsia"/>
          <w:bCs/>
          <w:szCs w:val="21"/>
        </w:rPr>
      </w:pPr>
      <w:r>
        <w:rPr>
          <w:rFonts w:hint="eastAsia"/>
          <w:bCs/>
          <w:szCs w:val="21"/>
        </w:rPr>
        <w:t>3、占基金相当比例的被投资基金暂停估值时；</w:t>
      </w:r>
    </w:p>
    <w:p w14:paraId="3D3D8CF6">
      <w:pPr>
        <w:spacing w:line="360" w:lineRule="auto"/>
        <w:ind w:firstLine="420" w:firstLineChars="200"/>
        <w:rPr>
          <w:rFonts w:hint="eastAsia"/>
          <w:bCs/>
          <w:szCs w:val="21"/>
        </w:rPr>
      </w:pPr>
      <w:r>
        <w:rPr>
          <w:rFonts w:hint="eastAsia"/>
          <w:bCs/>
          <w:szCs w:val="21"/>
        </w:rPr>
        <w:t>4、当特定资产占前一估值日基金资产净值50%以上的，经与基金托管人协商确认后，基金管理人应当暂停估值；</w:t>
      </w:r>
    </w:p>
    <w:p w14:paraId="02C13E4A">
      <w:pPr>
        <w:spacing w:line="360" w:lineRule="auto"/>
        <w:ind w:firstLine="420" w:firstLineChars="200"/>
        <w:rPr>
          <w:rFonts w:hint="eastAsia"/>
          <w:b/>
          <w:bCs/>
          <w:szCs w:val="21"/>
        </w:rPr>
      </w:pPr>
      <w:r>
        <w:rPr>
          <w:rFonts w:hint="eastAsia"/>
          <w:bCs/>
          <w:szCs w:val="21"/>
        </w:rPr>
        <w:t>5、法律法规规定、中国证监会或基金合同认定的其它情形。</w:t>
      </w:r>
    </w:p>
    <w:p w14:paraId="476D1524">
      <w:pPr>
        <w:spacing w:line="360" w:lineRule="auto"/>
        <w:ind w:firstLine="422" w:firstLineChars="200"/>
        <w:rPr>
          <w:bCs/>
          <w:szCs w:val="21"/>
        </w:rPr>
      </w:pPr>
      <w:r>
        <w:rPr>
          <w:rFonts w:hint="eastAsia"/>
          <w:b/>
          <w:bCs/>
          <w:szCs w:val="21"/>
        </w:rPr>
        <w:t>八</w:t>
      </w:r>
      <w:r>
        <w:rPr>
          <w:b/>
          <w:bCs/>
          <w:szCs w:val="21"/>
        </w:rPr>
        <w:t>、基金净值的确认</w:t>
      </w:r>
    </w:p>
    <w:p w14:paraId="5022E626">
      <w:pPr>
        <w:spacing w:line="360" w:lineRule="auto"/>
        <w:ind w:firstLine="420" w:firstLineChars="200"/>
        <w:rPr>
          <w:rFonts w:hint="eastAsia"/>
          <w:bCs/>
          <w:szCs w:val="21"/>
        </w:rPr>
      </w:pPr>
      <w:r>
        <w:rPr>
          <w:rFonts w:hint="eastAsia"/>
          <w:bCs/>
          <w:szCs w:val="21"/>
        </w:rPr>
        <w:t>基金资产净值和各类基金份额净值由基金管理人负责计算，基金托管人负责进行复核。基金管理人应将计算的基金资产净值和各类基金份额净值发送给基金托管人。基金托管人对净值计算结果复核确认后发送给基金管理人，由基金管理人在T+3日内公告。</w:t>
      </w:r>
    </w:p>
    <w:p w14:paraId="0888A43B">
      <w:pPr>
        <w:spacing w:line="360" w:lineRule="auto"/>
        <w:ind w:firstLine="422" w:firstLineChars="200"/>
        <w:rPr>
          <w:b/>
          <w:bCs/>
          <w:szCs w:val="21"/>
        </w:rPr>
      </w:pPr>
      <w:r>
        <w:rPr>
          <w:rFonts w:hint="eastAsia"/>
          <w:b/>
          <w:bCs/>
          <w:szCs w:val="21"/>
        </w:rPr>
        <w:t>九、特殊情况的处理方法</w:t>
      </w:r>
    </w:p>
    <w:p w14:paraId="3BAAB5AB">
      <w:pPr>
        <w:spacing w:line="360" w:lineRule="auto"/>
        <w:ind w:firstLine="420" w:firstLineChars="200"/>
        <w:rPr>
          <w:rFonts w:hint="eastAsia"/>
          <w:bCs/>
          <w:szCs w:val="21"/>
        </w:rPr>
      </w:pPr>
      <w:r>
        <w:rPr>
          <w:rFonts w:hint="eastAsia"/>
          <w:bCs/>
          <w:szCs w:val="21"/>
        </w:rPr>
        <w:t>1、基金管理人或基金托管人按估值方法的第13项进行估值时，所造成的误差不作为基金资产估值错误处理。</w:t>
      </w:r>
    </w:p>
    <w:p w14:paraId="3668E9F5">
      <w:pPr>
        <w:spacing w:line="360" w:lineRule="auto"/>
        <w:ind w:firstLine="420" w:firstLineChars="200"/>
        <w:rPr>
          <w:rFonts w:hint="eastAsia"/>
          <w:b/>
          <w:bCs/>
          <w:szCs w:val="21"/>
        </w:rPr>
      </w:pPr>
      <w:r>
        <w:rPr>
          <w:rFonts w:hint="eastAsia"/>
          <w:bCs/>
          <w:szCs w:val="21"/>
        </w:rPr>
        <w:t>2、由于不可抗力原因，或由于证券交易所、证券经纪机构或登记结算公司发送的数据错误等原因，基金管理人和基金托管人虽然已经采取必要、适当、合理的措施进行检查，但是未能发现该错误而造成的基金份额净值计算错误，基金管理人、基金托管人免除赔偿责任。但基金管理人、基金托管人应当积极采取必要的措施减轻或消除由此造成的影响。</w:t>
      </w:r>
    </w:p>
    <w:p w14:paraId="6DFEDDA7">
      <w:pPr>
        <w:spacing w:line="360" w:lineRule="auto"/>
        <w:ind w:firstLine="422" w:firstLineChars="200"/>
        <w:rPr>
          <w:rFonts w:hint="eastAsia"/>
          <w:b/>
          <w:bCs/>
          <w:szCs w:val="21"/>
        </w:rPr>
      </w:pPr>
      <w:r>
        <w:rPr>
          <w:rFonts w:hint="eastAsia"/>
          <w:b/>
          <w:bCs/>
          <w:szCs w:val="21"/>
        </w:rPr>
        <w:t>十、实施侧袋机制期间的基金资产估值</w:t>
      </w:r>
    </w:p>
    <w:p w14:paraId="2166160C">
      <w:pPr>
        <w:spacing w:line="360" w:lineRule="auto"/>
        <w:ind w:firstLine="420" w:firstLineChars="200"/>
        <w:rPr>
          <w:rFonts w:hint="eastAsia"/>
          <w:bCs/>
          <w:szCs w:val="21"/>
        </w:rPr>
      </w:pPr>
      <w:r>
        <w:rPr>
          <w:rFonts w:hint="eastAsia"/>
          <w:bCs/>
          <w:szCs w:val="21"/>
        </w:rPr>
        <w:t>本基金实施侧袋机制的，应根据本部分的约定对主袋账户资产进行估值并披露主袋账户的基金净值信息，暂停披露侧袋账户基金净值信息。</w:t>
      </w:r>
    </w:p>
    <w:p w14:paraId="64A11BFD">
      <w:pPr>
        <w:spacing w:line="360" w:lineRule="auto"/>
        <w:ind w:firstLine="420" w:firstLineChars="200"/>
        <w:rPr>
          <w:bCs/>
          <w:szCs w:val="21"/>
        </w:rPr>
        <w:sectPr>
          <w:footerReference r:id="rId17" w:type="default"/>
          <w:pgSz w:w="11906" w:h="16838"/>
          <w:pgMar w:top="1440" w:right="1797" w:bottom="1440" w:left="1797" w:header="851" w:footer="992" w:gutter="0"/>
          <w:pgNumType w:start="1"/>
          <w:cols w:space="720" w:num="1"/>
          <w:docGrid w:linePitch="312" w:charSpace="0"/>
        </w:sectPr>
      </w:pPr>
    </w:p>
    <w:p w14:paraId="1FDE9CCE">
      <w:pPr>
        <w:pStyle w:val="2"/>
        <w:spacing w:before="72" w:beforeLines="30" w:after="72" w:afterLines="30" w:line="360" w:lineRule="auto"/>
        <w:jc w:val="center"/>
        <w:rPr>
          <w:rFonts w:hint="eastAsia"/>
          <w:szCs w:val="21"/>
        </w:rPr>
      </w:pPr>
      <w:bookmarkStart w:id="44" w:name="_Toc48231679"/>
      <w:r>
        <w:rPr>
          <w:rFonts w:hint="eastAsia" w:eastAsia="宋体"/>
          <w:b/>
          <w:sz w:val="28"/>
          <w:szCs w:val="24"/>
        </w:rPr>
        <w:t xml:space="preserve">第十二部分 </w:t>
      </w:r>
      <w:r>
        <w:rPr>
          <w:rFonts w:eastAsia="宋体"/>
          <w:b/>
          <w:sz w:val="28"/>
          <w:szCs w:val="24"/>
        </w:rPr>
        <w:t>基金的收益分配</w:t>
      </w:r>
      <w:bookmarkEnd w:id="44"/>
    </w:p>
    <w:p w14:paraId="2E02D5D9">
      <w:pPr>
        <w:spacing w:line="360" w:lineRule="auto"/>
        <w:ind w:firstLine="422" w:firstLineChars="200"/>
        <w:rPr>
          <w:rFonts w:hint="eastAsia"/>
          <w:b/>
          <w:bCs/>
          <w:szCs w:val="21"/>
        </w:rPr>
      </w:pPr>
      <w:bookmarkStart w:id="45" w:name="_Hlk117606970"/>
      <w:r>
        <w:rPr>
          <w:rFonts w:hint="eastAsia"/>
          <w:b/>
          <w:bCs/>
          <w:szCs w:val="21"/>
        </w:rPr>
        <w:t>一、基金利润的构成</w:t>
      </w:r>
    </w:p>
    <w:p w14:paraId="47E3ABD2">
      <w:pPr>
        <w:spacing w:line="360" w:lineRule="auto"/>
        <w:ind w:firstLine="420" w:firstLineChars="200"/>
        <w:rPr>
          <w:rFonts w:hint="eastAsia"/>
          <w:szCs w:val="21"/>
        </w:rPr>
      </w:pPr>
      <w:r>
        <w:rPr>
          <w:rFonts w:hint="eastAsia"/>
          <w:szCs w:val="21"/>
        </w:rPr>
        <w:t>基金利润指基金利息收入、投资收益、公允价值变动收益和其他收入扣除相关费用后的余额，基金已实现收益指基金利润减去公允价值变动收益后的余额。</w:t>
      </w:r>
    </w:p>
    <w:p w14:paraId="508A6CC6">
      <w:pPr>
        <w:spacing w:line="360" w:lineRule="auto"/>
        <w:ind w:firstLine="422" w:firstLineChars="200"/>
        <w:rPr>
          <w:rFonts w:hint="eastAsia"/>
          <w:b/>
          <w:bCs/>
          <w:szCs w:val="21"/>
        </w:rPr>
      </w:pPr>
      <w:r>
        <w:rPr>
          <w:rFonts w:hint="eastAsia"/>
          <w:b/>
          <w:bCs/>
          <w:szCs w:val="21"/>
        </w:rPr>
        <w:t>二、基金可供分配利润</w:t>
      </w:r>
    </w:p>
    <w:p w14:paraId="2C916170">
      <w:pPr>
        <w:spacing w:line="360" w:lineRule="auto"/>
        <w:ind w:firstLine="420" w:firstLineChars="200"/>
        <w:rPr>
          <w:rFonts w:hint="eastAsia"/>
          <w:szCs w:val="21"/>
        </w:rPr>
      </w:pPr>
      <w:r>
        <w:rPr>
          <w:rFonts w:hint="eastAsia"/>
          <w:szCs w:val="21"/>
        </w:rPr>
        <w:t>基金可供分配利润指截至收益分配基准日基金未分配利润与未分配利润中已实现收益的孰低数。</w:t>
      </w:r>
    </w:p>
    <w:p w14:paraId="25BDC345">
      <w:pPr>
        <w:spacing w:line="360" w:lineRule="auto"/>
        <w:ind w:firstLine="422" w:firstLineChars="200"/>
        <w:rPr>
          <w:rFonts w:hint="eastAsia"/>
          <w:b/>
          <w:bCs/>
          <w:szCs w:val="21"/>
        </w:rPr>
      </w:pPr>
      <w:r>
        <w:rPr>
          <w:rFonts w:hint="eastAsia"/>
          <w:b/>
          <w:bCs/>
          <w:szCs w:val="21"/>
        </w:rPr>
        <w:t>三、基金收益分配原则</w:t>
      </w:r>
    </w:p>
    <w:p w14:paraId="205F5167">
      <w:pPr>
        <w:spacing w:line="360" w:lineRule="auto"/>
        <w:ind w:firstLine="420" w:firstLineChars="200"/>
        <w:rPr>
          <w:rFonts w:hint="eastAsia"/>
          <w:szCs w:val="21"/>
        </w:rPr>
      </w:pPr>
      <w:r>
        <w:rPr>
          <w:rFonts w:hint="eastAsia"/>
          <w:szCs w:val="21"/>
        </w:rPr>
        <w:t>1、本基金收益分配方式分两种：现金分红与红利再投资，投资者可选择现金红利或将现金红利自动转为相应类别基金份额进行再投资，且基金份额持有人可对A类、C类基金份额分别选择不同的分红方式；若投资者不选择，本基金默认的收益分配方式是现金分红；通过红利再投资所得基金份额的最短持有期起始日与该认/申购份额最短持有期起始日相同；</w:t>
      </w:r>
    </w:p>
    <w:p w14:paraId="1F09673B">
      <w:pPr>
        <w:spacing w:line="360" w:lineRule="auto"/>
        <w:ind w:firstLine="420" w:firstLineChars="200"/>
        <w:rPr>
          <w:rFonts w:hint="eastAsia"/>
          <w:szCs w:val="21"/>
        </w:rPr>
      </w:pPr>
      <w:r>
        <w:rPr>
          <w:rFonts w:hint="eastAsia"/>
          <w:szCs w:val="21"/>
        </w:rPr>
        <w:t>2、基金收益分配后各类基金份额净值不能低于面值，即基金收益分配基准日的各类基金份额净值减去每单位该类基金份额收益分配金额后不能低于面值；</w:t>
      </w:r>
    </w:p>
    <w:p w14:paraId="6A4D48DB">
      <w:pPr>
        <w:spacing w:line="360" w:lineRule="auto"/>
        <w:ind w:firstLine="420" w:firstLineChars="200"/>
        <w:rPr>
          <w:rFonts w:hint="eastAsia"/>
          <w:szCs w:val="21"/>
        </w:rPr>
      </w:pPr>
      <w:r>
        <w:rPr>
          <w:rFonts w:hint="eastAsia"/>
          <w:szCs w:val="21"/>
        </w:rPr>
        <w:t>3、由于本基金A类基金份额不收取销售服务费，而C类基金份额收取销售服务费，各基金份额类别对应的可供分配利润将有所不同，本基金同一类别的每一基金份额享有同等分配权；</w:t>
      </w:r>
    </w:p>
    <w:p w14:paraId="5BF189D1">
      <w:pPr>
        <w:spacing w:line="360" w:lineRule="auto"/>
        <w:ind w:firstLine="420" w:firstLineChars="200"/>
        <w:rPr>
          <w:rFonts w:hint="eastAsia"/>
          <w:szCs w:val="21"/>
        </w:rPr>
      </w:pPr>
      <w:r>
        <w:rPr>
          <w:rFonts w:hint="eastAsia"/>
          <w:szCs w:val="21"/>
        </w:rPr>
        <w:t>4、法律法规或监管机关另有规定的，从其规定。</w:t>
      </w:r>
    </w:p>
    <w:p w14:paraId="6FA5C1B6">
      <w:pPr>
        <w:spacing w:line="360" w:lineRule="auto"/>
        <w:ind w:firstLine="420" w:firstLineChars="200"/>
        <w:rPr>
          <w:rFonts w:hint="eastAsia"/>
          <w:szCs w:val="21"/>
        </w:rPr>
      </w:pPr>
      <w:r>
        <w:rPr>
          <w:rFonts w:hint="eastAsia"/>
          <w:szCs w:val="21"/>
        </w:rPr>
        <w:t>在对基金份额持有人利益无实质不利影响的情况下，经基金托管人协商一致，基金管理人可在不违反法律法规、基金合同的前提下并按照监管部门要求履行适当程序后酌情调整以上基金收益分配原则，并于变更实施日前在规定媒介公告。</w:t>
      </w:r>
    </w:p>
    <w:p w14:paraId="2889100A">
      <w:pPr>
        <w:spacing w:line="360" w:lineRule="auto"/>
        <w:ind w:firstLine="422" w:firstLineChars="200"/>
        <w:rPr>
          <w:rFonts w:hint="eastAsia"/>
          <w:b/>
          <w:bCs/>
          <w:szCs w:val="21"/>
        </w:rPr>
      </w:pPr>
      <w:r>
        <w:rPr>
          <w:rFonts w:hint="eastAsia"/>
          <w:b/>
          <w:bCs/>
          <w:szCs w:val="21"/>
        </w:rPr>
        <w:t>四、收益分配方案</w:t>
      </w:r>
    </w:p>
    <w:p w14:paraId="343C1BEB">
      <w:pPr>
        <w:spacing w:line="360" w:lineRule="auto"/>
        <w:ind w:firstLine="420" w:firstLineChars="200"/>
        <w:rPr>
          <w:rFonts w:hint="eastAsia"/>
          <w:szCs w:val="21"/>
        </w:rPr>
      </w:pPr>
      <w:r>
        <w:rPr>
          <w:rFonts w:hint="eastAsia"/>
          <w:szCs w:val="21"/>
        </w:rPr>
        <w:t>基金收益分配方案中应载明截至收益分配基准日的可供分配利润、基金收益分配对象、分配时间、分配数额及比例、分配方式等内容。</w:t>
      </w:r>
    </w:p>
    <w:p w14:paraId="59B07BF4">
      <w:pPr>
        <w:spacing w:line="360" w:lineRule="auto"/>
        <w:ind w:firstLine="422" w:firstLineChars="200"/>
        <w:rPr>
          <w:rFonts w:hint="eastAsia"/>
          <w:b/>
          <w:bCs/>
          <w:szCs w:val="21"/>
        </w:rPr>
      </w:pPr>
      <w:r>
        <w:rPr>
          <w:rFonts w:hint="eastAsia"/>
          <w:b/>
          <w:bCs/>
          <w:szCs w:val="21"/>
        </w:rPr>
        <w:t>五、收益分配方案的确定、公告与实施</w:t>
      </w:r>
    </w:p>
    <w:p w14:paraId="18DC8DC2">
      <w:pPr>
        <w:spacing w:line="360" w:lineRule="auto"/>
        <w:ind w:firstLine="420" w:firstLineChars="200"/>
        <w:rPr>
          <w:rFonts w:hint="eastAsia"/>
          <w:szCs w:val="21"/>
        </w:rPr>
      </w:pPr>
      <w:r>
        <w:rPr>
          <w:rFonts w:hint="eastAsia"/>
          <w:szCs w:val="21"/>
        </w:rPr>
        <w:t>本基金收益分配方案由基金管理人拟定，并由基金托管人复核，基金管理人按法律法规的规定公告。</w:t>
      </w:r>
    </w:p>
    <w:p w14:paraId="328BEDF4">
      <w:pPr>
        <w:spacing w:line="360" w:lineRule="auto"/>
        <w:ind w:firstLine="422" w:firstLineChars="200"/>
        <w:rPr>
          <w:rFonts w:hint="eastAsia"/>
          <w:b/>
          <w:bCs/>
          <w:szCs w:val="21"/>
        </w:rPr>
      </w:pPr>
      <w:r>
        <w:rPr>
          <w:rFonts w:hint="eastAsia"/>
          <w:b/>
          <w:bCs/>
          <w:szCs w:val="21"/>
        </w:rPr>
        <w:t>六、基金收益分配中发生的费用</w:t>
      </w:r>
    </w:p>
    <w:p w14:paraId="2D8313B7">
      <w:pPr>
        <w:spacing w:line="360" w:lineRule="auto"/>
        <w:ind w:firstLine="420" w:firstLineChars="200"/>
        <w:rPr>
          <w:rFonts w:hint="eastAsia"/>
          <w:szCs w:val="21"/>
        </w:rPr>
      </w:pPr>
      <w:r>
        <w:rPr>
          <w:rFonts w:hint="eastAsia"/>
          <w:szCs w:val="21"/>
        </w:rPr>
        <w:t>基金收益分配时所发生的银行转账或其他手续费用由投资者自行承担。当投资者的现金红利小于一定金额，不足以支付银行转账或其他手续费用时，登记机构可将基金份额持有人的现金红利自动转为相应类别基金份额。红利再投资的计算方法，依照《业务规则》执行。</w:t>
      </w:r>
    </w:p>
    <w:p w14:paraId="332BC018">
      <w:pPr>
        <w:spacing w:line="360" w:lineRule="auto"/>
        <w:ind w:firstLine="422" w:firstLineChars="200"/>
        <w:rPr>
          <w:rFonts w:hint="eastAsia"/>
          <w:b/>
          <w:bCs/>
          <w:szCs w:val="21"/>
        </w:rPr>
      </w:pPr>
      <w:r>
        <w:rPr>
          <w:rFonts w:hint="eastAsia"/>
          <w:b/>
          <w:bCs/>
          <w:szCs w:val="21"/>
        </w:rPr>
        <w:t>七、实施侧袋机制期间的收益分配</w:t>
      </w:r>
    </w:p>
    <w:p w14:paraId="4EDD30A2">
      <w:pPr>
        <w:spacing w:line="360" w:lineRule="auto"/>
        <w:ind w:firstLine="420" w:firstLineChars="200"/>
        <w:rPr>
          <w:rFonts w:hint="eastAsia"/>
          <w:szCs w:val="21"/>
        </w:rPr>
        <w:sectPr>
          <w:footerReference r:id="rId18" w:type="default"/>
          <w:pgSz w:w="11906" w:h="16838"/>
          <w:pgMar w:top="1440" w:right="1797" w:bottom="1440" w:left="1797" w:header="851" w:footer="992" w:gutter="0"/>
          <w:pgNumType w:start="1"/>
          <w:cols w:space="720" w:num="1"/>
          <w:docGrid w:linePitch="312" w:charSpace="0"/>
        </w:sectPr>
      </w:pPr>
      <w:r>
        <w:rPr>
          <w:rFonts w:hint="eastAsia"/>
          <w:szCs w:val="21"/>
        </w:rPr>
        <w:t>本基金实施侧袋机制的，侧袋账户不进行收益分配，详见招募说明书的规定。</w:t>
      </w:r>
    </w:p>
    <w:bookmarkEnd w:id="45"/>
    <w:p w14:paraId="39B71E62">
      <w:pPr>
        <w:pStyle w:val="2"/>
        <w:spacing w:before="72" w:beforeLines="30" w:after="72" w:afterLines="30" w:line="360" w:lineRule="auto"/>
        <w:jc w:val="center"/>
        <w:rPr>
          <w:rFonts w:hint="eastAsia" w:ascii="Times New Roman" w:hAnsi="Times New Roman" w:eastAsia="宋体" w:cs="Times New Roman"/>
          <w:b/>
          <w:sz w:val="28"/>
          <w:szCs w:val="24"/>
        </w:rPr>
      </w:pPr>
      <w:bookmarkStart w:id="46" w:name="_Toc48231680"/>
      <w:r>
        <w:rPr>
          <w:rFonts w:hint="eastAsia" w:eastAsia="宋体"/>
          <w:b/>
          <w:sz w:val="28"/>
          <w:szCs w:val="24"/>
        </w:rPr>
        <w:br w:type="page"/>
      </w:r>
      <w:r>
        <w:rPr>
          <w:rFonts w:hint="eastAsia" w:ascii="Times New Roman" w:hAnsi="Times New Roman" w:eastAsia="宋体" w:cs="Times New Roman"/>
          <w:b/>
          <w:sz w:val="28"/>
          <w:szCs w:val="24"/>
        </w:rPr>
        <w:t>第十三部分 基金的费用与税收</w:t>
      </w:r>
      <w:bookmarkEnd w:id="46"/>
    </w:p>
    <w:p w14:paraId="42BC816F">
      <w:pPr>
        <w:spacing w:line="360" w:lineRule="auto"/>
        <w:ind w:firstLine="422" w:firstLineChars="200"/>
        <w:rPr>
          <w:rFonts w:hint="eastAsia" w:ascii="Times New Roman" w:hAnsi="Times New Roman" w:eastAsia="宋体" w:cs="Times New Roman"/>
          <w:b/>
          <w:kern w:val="0"/>
        </w:rPr>
      </w:pPr>
      <w:r>
        <w:rPr>
          <w:rFonts w:hint="eastAsia" w:ascii="Times New Roman" w:hAnsi="Times New Roman" w:eastAsia="宋体" w:cs="Times New Roman"/>
          <w:b/>
          <w:kern w:val="0"/>
        </w:rPr>
        <w:t>一、基金费用的种类</w:t>
      </w:r>
    </w:p>
    <w:p w14:paraId="12600F17">
      <w:pPr>
        <w:spacing w:line="360" w:lineRule="auto"/>
        <w:ind w:firstLine="420" w:firstLineChars="200"/>
        <w:rPr>
          <w:rFonts w:hint="eastAsia"/>
          <w:bCs/>
          <w:kern w:val="0"/>
        </w:rPr>
      </w:pPr>
      <w:r>
        <w:rPr>
          <w:rFonts w:hint="eastAsia"/>
          <w:bCs/>
          <w:kern w:val="0"/>
        </w:rPr>
        <w:t>1、基金管理人的管理费；</w:t>
      </w:r>
    </w:p>
    <w:p w14:paraId="1FF6A187">
      <w:pPr>
        <w:spacing w:line="360" w:lineRule="auto"/>
        <w:ind w:firstLine="420" w:firstLineChars="200"/>
        <w:rPr>
          <w:rFonts w:hint="eastAsia"/>
          <w:bCs/>
          <w:kern w:val="0"/>
        </w:rPr>
      </w:pPr>
      <w:r>
        <w:rPr>
          <w:rFonts w:hint="eastAsia"/>
          <w:bCs/>
          <w:kern w:val="0"/>
        </w:rPr>
        <w:t>2、基金托管人的托管费；</w:t>
      </w:r>
    </w:p>
    <w:p w14:paraId="70B7773B">
      <w:pPr>
        <w:spacing w:line="360" w:lineRule="auto"/>
        <w:ind w:firstLine="420" w:firstLineChars="200"/>
        <w:rPr>
          <w:rFonts w:hint="eastAsia"/>
          <w:bCs/>
          <w:kern w:val="0"/>
        </w:rPr>
      </w:pPr>
      <w:r>
        <w:rPr>
          <w:rFonts w:hint="eastAsia"/>
          <w:bCs/>
          <w:kern w:val="0"/>
        </w:rPr>
        <w:t>3、C类基金份额的销售服务费；</w:t>
      </w:r>
    </w:p>
    <w:p w14:paraId="20F77B2B">
      <w:pPr>
        <w:spacing w:line="360" w:lineRule="auto"/>
        <w:ind w:firstLine="420" w:firstLineChars="200"/>
        <w:rPr>
          <w:rFonts w:hint="eastAsia"/>
          <w:bCs/>
          <w:kern w:val="0"/>
        </w:rPr>
      </w:pPr>
      <w:r>
        <w:rPr>
          <w:rFonts w:hint="eastAsia"/>
          <w:bCs/>
          <w:kern w:val="0"/>
        </w:rPr>
        <w:t>4、基金合同生效后与基金相关的信息披露费用，法律法规、中国证监会另有规定的除外；</w:t>
      </w:r>
    </w:p>
    <w:p w14:paraId="0F947B8D">
      <w:pPr>
        <w:spacing w:line="360" w:lineRule="auto"/>
        <w:ind w:firstLine="420" w:firstLineChars="200"/>
        <w:rPr>
          <w:rFonts w:hint="eastAsia"/>
          <w:bCs/>
          <w:kern w:val="0"/>
        </w:rPr>
      </w:pPr>
      <w:r>
        <w:rPr>
          <w:rFonts w:hint="eastAsia"/>
          <w:bCs/>
          <w:kern w:val="0"/>
        </w:rPr>
        <w:t>5、基金合同生效后与基金相关的会计师费、律师费、仲裁费和诉讼费；</w:t>
      </w:r>
    </w:p>
    <w:p w14:paraId="7E639719">
      <w:pPr>
        <w:spacing w:line="360" w:lineRule="auto"/>
        <w:ind w:firstLine="420" w:firstLineChars="200"/>
        <w:rPr>
          <w:rFonts w:hint="eastAsia"/>
          <w:bCs/>
          <w:kern w:val="0"/>
        </w:rPr>
      </w:pPr>
      <w:r>
        <w:rPr>
          <w:rFonts w:hint="eastAsia"/>
          <w:bCs/>
          <w:kern w:val="0"/>
        </w:rPr>
        <w:t>6、基金份额持有人大会费用；</w:t>
      </w:r>
    </w:p>
    <w:p w14:paraId="347007B2">
      <w:pPr>
        <w:spacing w:line="360" w:lineRule="auto"/>
        <w:ind w:firstLine="420" w:firstLineChars="200"/>
        <w:rPr>
          <w:rFonts w:hint="eastAsia"/>
          <w:bCs/>
          <w:kern w:val="0"/>
        </w:rPr>
      </w:pPr>
      <w:r>
        <w:rPr>
          <w:rFonts w:hint="eastAsia"/>
          <w:bCs/>
          <w:kern w:val="0"/>
        </w:rPr>
        <w:t>7、基金投资其他基金而产生的费用（包括但不限于申购费、赎回费以及销售服务费用等），但法律法规禁止从基金财产中列支的除外；</w:t>
      </w:r>
    </w:p>
    <w:p w14:paraId="25DF4D23">
      <w:pPr>
        <w:spacing w:line="360" w:lineRule="auto"/>
        <w:ind w:firstLine="420" w:firstLineChars="200"/>
        <w:rPr>
          <w:rFonts w:hint="eastAsia"/>
          <w:bCs/>
          <w:kern w:val="0"/>
        </w:rPr>
      </w:pPr>
      <w:r>
        <w:rPr>
          <w:rFonts w:hint="eastAsia"/>
          <w:bCs/>
          <w:kern w:val="0"/>
        </w:rPr>
        <w:t>8、基金的证券交易费用；</w:t>
      </w:r>
    </w:p>
    <w:p w14:paraId="05F870D9">
      <w:pPr>
        <w:spacing w:line="360" w:lineRule="auto"/>
        <w:ind w:firstLine="420" w:firstLineChars="200"/>
        <w:rPr>
          <w:rFonts w:hint="eastAsia"/>
          <w:bCs/>
          <w:kern w:val="0"/>
        </w:rPr>
      </w:pPr>
      <w:r>
        <w:rPr>
          <w:rFonts w:hint="eastAsia"/>
          <w:bCs/>
          <w:kern w:val="0"/>
        </w:rPr>
        <w:t>9、基金的银行汇划费用；</w:t>
      </w:r>
    </w:p>
    <w:p w14:paraId="1DD40080">
      <w:pPr>
        <w:spacing w:line="360" w:lineRule="auto"/>
        <w:ind w:firstLine="420" w:firstLineChars="200"/>
        <w:rPr>
          <w:rFonts w:hint="eastAsia"/>
          <w:bCs/>
          <w:kern w:val="0"/>
        </w:rPr>
      </w:pPr>
      <w:r>
        <w:rPr>
          <w:rFonts w:hint="eastAsia"/>
          <w:bCs/>
          <w:kern w:val="0"/>
        </w:rPr>
        <w:t>10、基金的开户费用、账户维护费用；</w:t>
      </w:r>
    </w:p>
    <w:p w14:paraId="400EB5E8">
      <w:pPr>
        <w:spacing w:line="360" w:lineRule="auto"/>
        <w:ind w:firstLine="420" w:firstLineChars="200"/>
        <w:rPr>
          <w:rFonts w:hint="eastAsia"/>
          <w:bCs/>
          <w:kern w:val="0"/>
        </w:rPr>
      </w:pPr>
      <w:r>
        <w:rPr>
          <w:rFonts w:hint="eastAsia"/>
          <w:bCs/>
          <w:kern w:val="0"/>
        </w:rPr>
        <w:t>11、因投资港股通标的证券而产生的各项合理费用；</w:t>
      </w:r>
    </w:p>
    <w:p w14:paraId="3436F357">
      <w:pPr>
        <w:spacing w:line="360" w:lineRule="auto"/>
        <w:ind w:firstLine="420" w:firstLineChars="200"/>
        <w:rPr>
          <w:rFonts w:hint="eastAsia"/>
          <w:bCs/>
          <w:kern w:val="0"/>
        </w:rPr>
      </w:pPr>
      <w:r>
        <w:rPr>
          <w:rFonts w:hint="eastAsia"/>
          <w:bCs/>
          <w:kern w:val="0"/>
        </w:rPr>
        <w:t>12、按照国家有关规定和基金合同约定，可以在基金财产中列支的其他费用。</w:t>
      </w:r>
    </w:p>
    <w:p w14:paraId="3941782F">
      <w:pPr>
        <w:spacing w:line="360" w:lineRule="auto"/>
        <w:ind w:firstLine="422" w:firstLineChars="200"/>
        <w:rPr>
          <w:rFonts w:hint="eastAsia"/>
          <w:b/>
          <w:kern w:val="0"/>
        </w:rPr>
      </w:pPr>
      <w:r>
        <w:rPr>
          <w:rFonts w:hint="eastAsia"/>
          <w:b/>
          <w:kern w:val="0"/>
        </w:rPr>
        <w:t>二、基金费用计提方法、计提标准和支付方式</w:t>
      </w:r>
    </w:p>
    <w:p w14:paraId="52EB51CE">
      <w:pPr>
        <w:spacing w:line="360" w:lineRule="auto"/>
        <w:ind w:firstLine="420" w:firstLineChars="200"/>
        <w:rPr>
          <w:rFonts w:hint="eastAsia"/>
          <w:bCs/>
          <w:kern w:val="0"/>
        </w:rPr>
      </w:pPr>
      <w:r>
        <w:rPr>
          <w:rFonts w:hint="eastAsia"/>
          <w:bCs/>
          <w:kern w:val="0"/>
        </w:rPr>
        <w:t xml:space="preserve">1、基金管理人的管理费 </w:t>
      </w:r>
    </w:p>
    <w:p w14:paraId="3177A410">
      <w:pPr>
        <w:spacing w:line="360" w:lineRule="auto"/>
        <w:ind w:firstLine="420" w:firstLineChars="200"/>
        <w:rPr>
          <w:rFonts w:hint="eastAsia"/>
          <w:bCs/>
          <w:kern w:val="0"/>
        </w:rPr>
      </w:pPr>
      <w:r>
        <w:rPr>
          <w:rFonts w:hint="eastAsia"/>
          <w:bCs/>
          <w:kern w:val="0"/>
        </w:rPr>
        <w:t>本基金投资于本基金管理人所管理的基金的部分不收取管理费。本基金的管理费按前一日基金资产净值的0.50%年费率计提。管理费的计算方法如下：</w:t>
      </w:r>
    </w:p>
    <w:p w14:paraId="032745CC">
      <w:pPr>
        <w:spacing w:line="360" w:lineRule="auto"/>
        <w:ind w:firstLine="420" w:firstLineChars="200"/>
        <w:rPr>
          <w:rFonts w:hint="eastAsia"/>
          <w:bCs/>
          <w:kern w:val="0"/>
        </w:rPr>
      </w:pPr>
      <w:r>
        <w:rPr>
          <w:rFonts w:hint="eastAsia"/>
          <w:bCs/>
          <w:kern w:val="0"/>
        </w:rPr>
        <w:t>H＝E×0.50%÷当年实际天数</w:t>
      </w:r>
    </w:p>
    <w:p w14:paraId="0B926699">
      <w:pPr>
        <w:spacing w:line="360" w:lineRule="auto"/>
        <w:ind w:firstLine="420" w:firstLineChars="200"/>
        <w:rPr>
          <w:rFonts w:hint="eastAsia"/>
          <w:bCs/>
          <w:kern w:val="0"/>
        </w:rPr>
      </w:pPr>
      <w:r>
        <w:rPr>
          <w:rFonts w:hint="eastAsia"/>
          <w:bCs/>
          <w:kern w:val="0"/>
        </w:rPr>
        <w:t>H为每日应计提的基金管理费</w:t>
      </w:r>
    </w:p>
    <w:p w14:paraId="42FE4FD2">
      <w:pPr>
        <w:spacing w:line="360" w:lineRule="auto"/>
        <w:ind w:firstLine="420" w:firstLineChars="200"/>
        <w:rPr>
          <w:rFonts w:hint="eastAsia"/>
          <w:bCs/>
          <w:kern w:val="0"/>
        </w:rPr>
      </w:pPr>
      <w:r>
        <w:rPr>
          <w:rFonts w:hint="eastAsia"/>
          <w:bCs/>
          <w:kern w:val="0"/>
        </w:rPr>
        <w:t>E为前一日的基金资产净值（除去投资于本基金管理人所管理的基金的部分，若为负数，则E取0）</w:t>
      </w:r>
    </w:p>
    <w:p w14:paraId="724FE637">
      <w:pPr>
        <w:spacing w:line="360" w:lineRule="auto"/>
        <w:ind w:firstLine="420" w:firstLineChars="200"/>
        <w:rPr>
          <w:rFonts w:hint="eastAsia"/>
          <w:bCs/>
          <w:kern w:val="0"/>
        </w:rPr>
      </w:pPr>
      <w:r>
        <w:rPr>
          <w:rFonts w:hint="eastAsia"/>
          <w:bCs/>
          <w:kern w:val="0"/>
        </w:rPr>
        <w:t>基金管理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2F9B109E">
      <w:pPr>
        <w:spacing w:line="360" w:lineRule="auto"/>
        <w:ind w:firstLine="420" w:firstLineChars="200"/>
        <w:rPr>
          <w:rFonts w:hint="eastAsia"/>
          <w:bCs/>
          <w:kern w:val="0"/>
        </w:rPr>
      </w:pPr>
      <w:r>
        <w:rPr>
          <w:rFonts w:hint="eastAsia"/>
          <w:bCs/>
          <w:kern w:val="0"/>
        </w:rPr>
        <w:t>2、基金托管人的托管费</w:t>
      </w:r>
    </w:p>
    <w:p w14:paraId="4AECE0AA">
      <w:pPr>
        <w:spacing w:line="360" w:lineRule="auto"/>
        <w:ind w:firstLine="420" w:firstLineChars="200"/>
        <w:rPr>
          <w:rFonts w:hint="eastAsia"/>
          <w:bCs/>
          <w:kern w:val="0"/>
        </w:rPr>
      </w:pPr>
      <w:r>
        <w:rPr>
          <w:rFonts w:hint="eastAsia"/>
          <w:bCs/>
          <w:kern w:val="0"/>
        </w:rPr>
        <w:t>本基金投资于本基金托管人所托管的基金的部分不收取托管费。本基金的托管费按前一日基金资产净值的0.13%的年费率计提。托管费的计算方法如下：</w:t>
      </w:r>
    </w:p>
    <w:p w14:paraId="590C2BBE">
      <w:pPr>
        <w:spacing w:line="360" w:lineRule="auto"/>
        <w:ind w:firstLine="420" w:firstLineChars="200"/>
        <w:rPr>
          <w:rFonts w:hint="eastAsia"/>
          <w:bCs/>
          <w:kern w:val="0"/>
        </w:rPr>
      </w:pPr>
      <w:r>
        <w:rPr>
          <w:rFonts w:hint="eastAsia"/>
          <w:bCs/>
          <w:kern w:val="0"/>
        </w:rPr>
        <w:t>H＝E×0.13%÷当年实际天数</w:t>
      </w:r>
    </w:p>
    <w:p w14:paraId="31A53FFD">
      <w:pPr>
        <w:spacing w:line="360" w:lineRule="auto"/>
        <w:ind w:firstLine="420" w:firstLineChars="200"/>
        <w:rPr>
          <w:rFonts w:hint="eastAsia"/>
          <w:bCs/>
          <w:kern w:val="0"/>
        </w:rPr>
      </w:pPr>
      <w:r>
        <w:rPr>
          <w:rFonts w:hint="eastAsia"/>
          <w:bCs/>
          <w:kern w:val="0"/>
        </w:rPr>
        <w:t>H为每日应计提的基金托管费</w:t>
      </w:r>
    </w:p>
    <w:p w14:paraId="5CD30171">
      <w:pPr>
        <w:spacing w:line="360" w:lineRule="auto"/>
        <w:ind w:firstLine="420" w:firstLineChars="200"/>
        <w:rPr>
          <w:rFonts w:hint="eastAsia"/>
          <w:bCs/>
          <w:kern w:val="0"/>
        </w:rPr>
      </w:pPr>
      <w:r>
        <w:rPr>
          <w:rFonts w:hint="eastAsia"/>
          <w:bCs/>
          <w:kern w:val="0"/>
        </w:rPr>
        <w:t>E为前一日的基金资产净值（除投资于本基金托管人所托管的基金的部分，若为负数，则E取0）</w:t>
      </w:r>
    </w:p>
    <w:p w14:paraId="54E1FCD2">
      <w:pPr>
        <w:spacing w:line="360" w:lineRule="auto"/>
        <w:ind w:firstLine="420" w:firstLineChars="200"/>
        <w:rPr>
          <w:rFonts w:hint="eastAsia"/>
          <w:bCs/>
          <w:kern w:val="0"/>
        </w:rPr>
      </w:pPr>
      <w:r>
        <w:rPr>
          <w:rFonts w:hint="eastAsia"/>
          <w:bCs/>
          <w:kern w:val="0"/>
        </w:rPr>
        <w:t>基金托管费每日计算，逐日累计至每月月末，按月支付，由基金托管人根据与基金管理人核对一致的财务数据，自动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58D7D78B">
      <w:pPr>
        <w:spacing w:line="360" w:lineRule="auto"/>
        <w:ind w:firstLine="420" w:firstLineChars="200"/>
        <w:rPr>
          <w:rFonts w:hint="eastAsia"/>
          <w:bCs/>
          <w:kern w:val="0"/>
        </w:rPr>
      </w:pPr>
      <w:r>
        <w:rPr>
          <w:rFonts w:hint="eastAsia"/>
          <w:bCs/>
          <w:kern w:val="0"/>
        </w:rPr>
        <w:t>3、C类基金份额的销售服务费</w:t>
      </w:r>
    </w:p>
    <w:p w14:paraId="532DE45C">
      <w:pPr>
        <w:spacing w:line="360" w:lineRule="auto"/>
        <w:ind w:firstLine="420" w:firstLineChars="200"/>
        <w:rPr>
          <w:rFonts w:hint="eastAsia"/>
          <w:bCs/>
          <w:kern w:val="0"/>
        </w:rPr>
      </w:pPr>
      <w:r>
        <w:rPr>
          <w:rFonts w:hint="eastAsia"/>
          <w:bCs/>
          <w:kern w:val="0"/>
        </w:rPr>
        <w:t>通过直销机构保有本基金C类基金份额不收取销售服务费，在直销机构以外的其他销售机构保有的且持续持有期限一年以内的C类基金份额的销售服务费按前一日C类基金份额的基金资产净值的0.40%年费率计提。对于在直销机构以外的其他销售机构保有的且持续持有期限超过一年的C类基金份额，不继续收取销售服务费。计算方法如下：</w:t>
      </w:r>
    </w:p>
    <w:p w14:paraId="7DBAD05B">
      <w:pPr>
        <w:spacing w:line="360" w:lineRule="auto"/>
        <w:ind w:firstLine="420" w:firstLineChars="200"/>
        <w:rPr>
          <w:rFonts w:hint="eastAsia"/>
          <w:bCs/>
          <w:kern w:val="0"/>
        </w:rPr>
      </w:pPr>
      <w:r>
        <w:rPr>
          <w:rFonts w:hint="eastAsia"/>
          <w:bCs/>
          <w:kern w:val="0"/>
        </w:rPr>
        <w:t>H＝E×0.40%÷当年实际天数</w:t>
      </w:r>
    </w:p>
    <w:p w14:paraId="6D9F0565">
      <w:pPr>
        <w:spacing w:line="360" w:lineRule="auto"/>
        <w:ind w:firstLine="420" w:firstLineChars="200"/>
        <w:rPr>
          <w:rFonts w:hint="eastAsia"/>
          <w:bCs/>
          <w:kern w:val="0"/>
        </w:rPr>
      </w:pPr>
      <w:r>
        <w:rPr>
          <w:rFonts w:hint="eastAsia"/>
          <w:bCs/>
          <w:kern w:val="0"/>
        </w:rPr>
        <w:t>H 为C类基金份额每日应计提的销售服务费</w:t>
      </w:r>
    </w:p>
    <w:p w14:paraId="5FB7E5AA">
      <w:pPr>
        <w:spacing w:line="360" w:lineRule="auto"/>
        <w:ind w:firstLine="420" w:firstLineChars="200"/>
        <w:rPr>
          <w:rFonts w:hint="eastAsia"/>
          <w:bCs/>
          <w:kern w:val="0"/>
        </w:rPr>
      </w:pPr>
      <w:r>
        <w:rPr>
          <w:rFonts w:hint="eastAsia"/>
          <w:bCs/>
          <w:kern w:val="0"/>
        </w:rPr>
        <w:t>E 为C类基金份额前一日基金资产净值</w:t>
      </w:r>
    </w:p>
    <w:p w14:paraId="2B0DE177">
      <w:pPr>
        <w:spacing w:line="360" w:lineRule="auto"/>
        <w:ind w:firstLine="420" w:firstLineChars="200"/>
        <w:rPr>
          <w:rFonts w:hint="eastAsia"/>
          <w:bCs/>
          <w:kern w:val="0"/>
        </w:rPr>
      </w:pPr>
      <w:r>
        <w:rPr>
          <w:rFonts w:hint="eastAsia"/>
          <w:bCs/>
          <w:kern w:val="0"/>
        </w:rPr>
        <w:t>基金销售服务费每日计算。</w:t>
      </w:r>
    </w:p>
    <w:p w14:paraId="3D60F9CA">
      <w:pPr>
        <w:spacing w:line="360" w:lineRule="auto"/>
        <w:ind w:firstLine="420" w:firstLineChars="200"/>
        <w:rPr>
          <w:rFonts w:hint="eastAsia"/>
          <w:bCs/>
          <w:kern w:val="0"/>
        </w:rPr>
      </w:pPr>
      <w:r>
        <w:rPr>
          <w:rFonts w:hint="eastAsia"/>
          <w:bCs/>
          <w:kern w:val="0"/>
        </w:rPr>
        <w:t>（1）基金管理人直销渠道：</w:t>
      </w:r>
    </w:p>
    <w:p w14:paraId="0B5CBF6C">
      <w:pPr>
        <w:spacing w:line="360" w:lineRule="auto"/>
        <w:ind w:firstLine="420" w:firstLineChars="200"/>
        <w:rPr>
          <w:rFonts w:hint="eastAsia"/>
          <w:bCs/>
          <w:kern w:val="0"/>
        </w:rPr>
      </w:pPr>
      <w:r>
        <w:rPr>
          <w:rFonts w:hint="eastAsia"/>
          <w:bCs/>
          <w:kern w:val="0"/>
        </w:rPr>
        <w:t>对于基金份额计提的销售服务费，在投资者赎回基金份额或基金合同终止时，随赎回款或清算款一并返还给投资者；基金管理人的销售子公司销售本基金的，参照直销机构相关规则执行。</w:t>
      </w:r>
    </w:p>
    <w:p w14:paraId="331A5A3F">
      <w:pPr>
        <w:spacing w:line="360" w:lineRule="auto"/>
        <w:ind w:firstLine="420" w:firstLineChars="200"/>
        <w:rPr>
          <w:rFonts w:hint="eastAsia"/>
          <w:bCs/>
          <w:kern w:val="0"/>
        </w:rPr>
      </w:pPr>
      <w:r>
        <w:rPr>
          <w:rFonts w:hint="eastAsia"/>
          <w:bCs/>
          <w:kern w:val="0"/>
        </w:rPr>
        <w:t>（2）其他销售机构的销售渠道：</w:t>
      </w:r>
    </w:p>
    <w:p w14:paraId="5B0A3E46">
      <w:pPr>
        <w:spacing w:line="360" w:lineRule="auto"/>
        <w:ind w:firstLine="420" w:firstLineChars="200"/>
        <w:rPr>
          <w:rFonts w:hint="eastAsia"/>
          <w:bCs/>
          <w:kern w:val="0"/>
        </w:rPr>
      </w:pPr>
      <w:r>
        <w:rPr>
          <w:rFonts w:hint="eastAsia"/>
          <w:bCs/>
          <w:kern w:val="0"/>
        </w:rPr>
        <w:t>对于投资者在其他销售机构保有的且持续持有期限未超过一年的C类基金份额收取的销售服务费，逐日累计至每月月末，按月支付，对于确认为基金财产支付的销售服务费，在月初5个工作日内、按照指定的账户路径进行资金支付，基金管理人无需再出具资金划拨指令，若遇法定节假日、公休日等，支付日期顺延。费用自动扣划后，基金管理人应进行核对，如发现数据不符，及时联系基金托管人协商解决。</w:t>
      </w:r>
    </w:p>
    <w:p w14:paraId="31135AE5">
      <w:pPr>
        <w:spacing w:line="360" w:lineRule="auto"/>
        <w:ind w:firstLine="420" w:firstLineChars="200"/>
        <w:rPr>
          <w:rFonts w:hint="eastAsia"/>
          <w:bCs/>
          <w:kern w:val="0"/>
        </w:rPr>
      </w:pPr>
      <w:r>
        <w:rPr>
          <w:rFonts w:hint="eastAsia"/>
          <w:bCs/>
          <w:kern w:val="0"/>
        </w:rPr>
        <w:t>对于投资者在其他销售机构保有的且持续持有期限超过一年的C类基金份额继续计提的销售服务费，在投资者赎回该笔基金份额（或基金合同终止）时，随赎回款（或清算款）一并返还给投资者。其中，持续持有期限为基金合同生效日（针对募集期内认购的基金份额）（含）或该笔基金份额申购确认日（含）至赎回确认日（不含）或基金最后运作日（含）间的天数。</w:t>
      </w:r>
    </w:p>
    <w:p w14:paraId="55606043">
      <w:pPr>
        <w:spacing w:line="360" w:lineRule="auto"/>
        <w:ind w:firstLine="420" w:firstLineChars="200"/>
        <w:rPr>
          <w:rFonts w:hint="eastAsia"/>
          <w:bCs/>
          <w:kern w:val="0"/>
        </w:rPr>
      </w:pPr>
      <w:r>
        <w:rPr>
          <w:rFonts w:hint="eastAsia"/>
          <w:bCs/>
          <w:kern w:val="0"/>
        </w:rPr>
        <w:t>上述“一、基金费用的种类”中第4－12项费用，根据有关法规及相应协议规定，按费用实际支出金额列入当期费用，由基金托管人从基金财产中支付。</w:t>
      </w:r>
    </w:p>
    <w:p w14:paraId="5FCE4CAA">
      <w:pPr>
        <w:spacing w:line="360" w:lineRule="auto"/>
        <w:ind w:firstLine="422" w:firstLineChars="200"/>
        <w:rPr>
          <w:rFonts w:hint="eastAsia"/>
          <w:b/>
          <w:kern w:val="0"/>
        </w:rPr>
      </w:pPr>
      <w:r>
        <w:rPr>
          <w:rFonts w:hint="eastAsia"/>
          <w:b/>
          <w:kern w:val="0"/>
        </w:rPr>
        <w:t>三、不列入基金费用的项目</w:t>
      </w:r>
    </w:p>
    <w:p w14:paraId="6653089B">
      <w:pPr>
        <w:spacing w:line="360" w:lineRule="auto"/>
        <w:ind w:firstLine="420" w:firstLineChars="200"/>
        <w:rPr>
          <w:rFonts w:hint="eastAsia"/>
          <w:bCs/>
          <w:kern w:val="0"/>
        </w:rPr>
      </w:pPr>
      <w:r>
        <w:rPr>
          <w:rFonts w:hint="eastAsia"/>
          <w:bCs/>
          <w:kern w:val="0"/>
        </w:rPr>
        <w:t>下列费用不列入基金费用：</w:t>
      </w:r>
    </w:p>
    <w:p w14:paraId="30E00840">
      <w:pPr>
        <w:spacing w:line="360" w:lineRule="auto"/>
        <w:ind w:firstLine="420" w:firstLineChars="200"/>
        <w:rPr>
          <w:rFonts w:hint="eastAsia"/>
          <w:bCs/>
          <w:kern w:val="0"/>
        </w:rPr>
      </w:pPr>
      <w:r>
        <w:rPr>
          <w:rFonts w:hint="eastAsia"/>
          <w:bCs/>
          <w:kern w:val="0"/>
        </w:rPr>
        <w:t>1、基金管理人和基金托管人因未履行或未完全履行义务导致的费用支出或基金财产的损失；</w:t>
      </w:r>
    </w:p>
    <w:p w14:paraId="5D52C30E">
      <w:pPr>
        <w:spacing w:line="360" w:lineRule="auto"/>
        <w:ind w:firstLine="420" w:firstLineChars="200"/>
        <w:rPr>
          <w:rFonts w:hint="eastAsia"/>
          <w:bCs/>
          <w:kern w:val="0"/>
        </w:rPr>
      </w:pPr>
      <w:r>
        <w:rPr>
          <w:rFonts w:hint="eastAsia"/>
          <w:bCs/>
          <w:kern w:val="0"/>
        </w:rPr>
        <w:t>2、基金管理人和基金托管人处理与基金运作无关的事项发生的费用；</w:t>
      </w:r>
    </w:p>
    <w:p w14:paraId="21F40E35">
      <w:pPr>
        <w:spacing w:line="360" w:lineRule="auto"/>
        <w:ind w:firstLine="420" w:firstLineChars="200"/>
        <w:rPr>
          <w:rFonts w:hint="eastAsia"/>
          <w:bCs/>
          <w:kern w:val="0"/>
        </w:rPr>
      </w:pPr>
      <w:r>
        <w:rPr>
          <w:rFonts w:hint="eastAsia"/>
          <w:bCs/>
          <w:kern w:val="0"/>
        </w:rPr>
        <w:t>3、基金合同生效前的相关费用；</w:t>
      </w:r>
    </w:p>
    <w:p w14:paraId="1237B184">
      <w:pPr>
        <w:spacing w:line="360" w:lineRule="auto"/>
        <w:ind w:firstLine="420" w:firstLineChars="200"/>
        <w:rPr>
          <w:rFonts w:hint="eastAsia"/>
          <w:bCs/>
          <w:kern w:val="0"/>
        </w:rPr>
      </w:pPr>
      <w:r>
        <w:rPr>
          <w:rFonts w:hint="eastAsia"/>
          <w:bCs/>
          <w:kern w:val="0"/>
        </w:rPr>
        <w:t>4、其他根据相关法律法规及中国证监会的有关规定不得列入基金费用的项目。</w:t>
      </w:r>
    </w:p>
    <w:p w14:paraId="0D1AA513">
      <w:pPr>
        <w:spacing w:line="360" w:lineRule="auto"/>
        <w:ind w:firstLine="420" w:firstLineChars="200"/>
        <w:rPr>
          <w:rFonts w:hint="eastAsia"/>
          <w:bCs/>
          <w:kern w:val="0"/>
        </w:rPr>
      </w:pPr>
      <w:r>
        <w:rPr>
          <w:rFonts w:hint="eastAsia"/>
          <w:bCs/>
          <w:kern w:val="0"/>
        </w:rPr>
        <w:t>基金管理人运用本基金财产申购自身管理的基金的（ETF除外），应当通过直销渠道申购且不得收取申购费、赎回费（按照相关法律法规、被投资基金招募说明书约定应当收取，并记入基金资产的赎回费用除外）、销售服务费（如有）等销售费用。</w:t>
      </w:r>
    </w:p>
    <w:p w14:paraId="2B1F60DC">
      <w:pPr>
        <w:spacing w:line="360" w:lineRule="auto"/>
        <w:ind w:firstLine="422" w:firstLineChars="200"/>
        <w:rPr>
          <w:rFonts w:hint="eastAsia"/>
          <w:b/>
          <w:kern w:val="0"/>
        </w:rPr>
      </w:pPr>
      <w:r>
        <w:rPr>
          <w:rFonts w:hint="eastAsia"/>
          <w:b/>
          <w:kern w:val="0"/>
        </w:rPr>
        <w:t>四、实施侧袋机制期间的基金费用</w:t>
      </w:r>
    </w:p>
    <w:p w14:paraId="35EABCFC">
      <w:pPr>
        <w:spacing w:line="360" w:lineRule="auto"/>
        <w:ind w:firstLine="420" w:firstLineChars="200"/>
        <w:rPr>
          <w:rFonts w:hint="eastAsia"/>
          <w:bCs/>
          <w:kern w:val="0"/>
        </w:rPr>
      </w:pPr>
      <w:r>
        <w:rPr>
          <w:rFonts w:hint="eastAsia"/>
          <w:bCs/>
          <w:kern w:val="0"/>
        </w:rPr>
        <w:t>本基金实施侧袋机制的，与侧袋账户有关的费用可以从侧袋账户中列支，但应待侧袋账户资产变现后方可列支，有关费用可酌情收取或减免，但不得收取管理费，详见招募说明书的规定或相关公告。</w:t>
      </w:r>
    </w:p>
    <w:p w14:paraId="61BA1572">
      <w:pPr>
        <w:spacing w:line="360" w:lineRule="auto"/>
        <w:ind w:firstLine="422" w:firstLineChars="200"/>
        <w:rPr>
          <w:rFonts w:hint="eastAsia"/>
          <w:b/>
          <w:kern w:val="0"/>
        </w:rPr>
      </w:pPr>
      <w:r>
        <w:rPr>
          <w:rFonts w:hint="eastAsia"/>
          <w:b/>
          <w:kern w:val="0"/>
        </w:rPr>
        <w:t>五、基金税收</w:t>
      </w:r>
    </w:p>
    <w:p w14:paraId="35D5299E">
      <w:pPr>
        <w:spacing w:line="360" w:lineRule="auto"/>
        <w:ind w:firstLine="420" w:firstLineChars="200"/>
        <w:rPr>
          <w:rFonts w:hint="eastAsia"/>
          <w:bCs/>
          <w:kern w:val="0"/>
        </w:rPr>
        <w:sectPr>
          <w:footerReference r:id="rId19" w:type="default"/>
          <w:type w:val="continuous"/>
          <w:pgSz w:w="11906" w:h="16838"/>
          <w:pgMar w:top="1440" w:right="1797" w:bottom="1440" w:left="1797" w:header="851" w:footer="992" w:gutter="0"/>
          <w:pgNumType w:start="1"/>
          <w:cols w:space="720" w:num="1"/>
          <w:docGrid w:linePitch="312" w:charSpace="0"/>
        </w:sectPr>
      </w:pPr>
      <w:r>
        <w:rPr>
          <w:rFonts w:hint="eastAsia"/>
          <w:bCs/>
          <w:kern w:val="0"/>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7AFFC0C6">
      <w:pPr>
        <w:pStyle w:val="2"/>
        <w:spacing w:before="72" w:beforeLines="30" w:after="72" w:afterLines="30" w:line="360" w:lineRule="auto"/>
        <w:jc w:val="center"/>
        <w:rPr>
          <w:rFonts w:hint="eastAsia"/>
          <w:b/>
          <w:bCs/>
          <w:szCs w:val="21"/>
        </w:rPr>
      </w:pPr>
      <w:bookmarkStart w:id="47" w:name="_Toc48231681"/>
      <w:r>
        <w:rPr>
          <w:rFonts w:hint="eastAsia" w:eastAsia="宋体"/>
          <w:b/>
          <w:sz w:val="28"/>
          <w:szCs w:val="24"/>
        </w:rPr>
        <w:t xml:space="preserve">第十四部分 </w:t>
      </w:r>
      <w:r>
        <w:rPr>
          <w:rFonts w:eastAsia="宋体"/>
          <w:b/>
          <w:sz w:val="28"/>
          <w:szCs w:val="24"/>
        </w:rPr>
        <w:t>基金的会计与审计</w:t>
      </w:r>
      <w:bookmarkEnd w:id="47"/>
    </w:p>
    <w:p w14:paraId="2D4A9C9D">
      <w:pPr>
        <w:spacing w:line="360" w:lineRule="auto"/>
        <w:ind w:firstLine="422" w:firstLineChars="200"/>
        <w:rPr>
          <w:rFonts w:hint="eastAsia"/>
          <w:b/>
          <w:szCs w:val="21"/>
        </w:rPr>
      </w:pPr>
      <w:r>
        <w:rPr>
          <w:rFonts w:hint="eastAsia"/>
          <w:b/>
          <w:szCs w:val="21"/>
        </w:rPr>
        <w:t>一、基金会计政策</w:t>
      </w:r>
    </w:p>
    <w:p w14:paraId="2168278E">
      <w:pPr>
        <w:spacing w:line="360" w:lineRule="auto"/>
        <w:ind w:firstLine="420" w:firstLineChars="200"/>
        <w:rPr>
          <w:rFonts w:hint="eastAsia"/>
          <w:bCs/>
          <w:szCs w:val="21"/>
        </w:rPr>
      </w:pPr>
      <w:r>
        <w:rPr>
          <w:rFonts w:hint="eastAsia"/>
          <w:bCs/>
          <w:szCs w:val="21"/>
        </w:rPr>
        <w:t>1、基金管理人为本基金的基金会计责任方；</w:t>
      </w:r>
    </w:p>
    <w:p w14:paraId="65C7B802">
      <w:pPr>
        <w:spacing w:line="360" w:lineRule="auto"/>
        <w:ind w:firstLine="420" w:firstLineChars="200"/>
        <w:rPr>
          <w:rFonts w:hint="eastAsia"/>
          <w:bCs/>
          <w:szCs w:val="21"/>
        </w:rPr>
      </w:pPr>
      <w:r>
        <w:rPr>
          <w:rFonts w:hint="eastAsia"/>
          <w:bCs/>
          <w:szCs w:val="21"/>
        </w:rPr>
        <w:t>2、基金的会计年度为公历年度的1月1日至12月31日；基金首次募集的会计年度按如下原则：如果基金合同生效少于2个月，可以并入下一个会计年度披露；</w:t>
      </w:r>
    </w:p>
    <w:p w14:paraId="47E42B21">
      <w:pPr>
        <w:spacing w:line="360" w:lineRule="auto"/>
        <w:ind w:firstLine="420" w:firstLineChars="200"/>
        <w:rPr>
          <w:rFonts w:hint="eastAsia"/>
          <w:bCs/>
          <w:szCs w:val="21"/>
        </w:rPr>
      </w:pPr>
      <w:r>
        <w:rPr>
          <w:rFonts w:hint="eastAsia"/>
          <w:bCs/>
          <w:szCs w:val="21"/>
        </w:rPr>
        <w:t>3、基金核算以人民币为记账本位币，以人民币元为记账单位；</w:t>
      </w:r>
    </w:p>
    <w:p w14:paraId="2247DD56">
      <w:pPr>
        <w:spacing w:line="360" w:lineRule="auto"/>
        <w:ind w:firstLine="420" w:firstLineChars="200"/>
        <w:rPr>
          <w:rFonts w:hint="eastAsia"/>
          <w:bCs/>
          <w:szCs w:val="21"/>
        </w:rPr>
      </w:pPr>
      <w:r>
        <w:rPr>
          <w:rFonts w:hint="eastAsia"/>
          <w:bCs/>
          <w:szCs w:val="21"/>
        </w:rPr>
        <w:t>4、会计制度执行国家有关会计制度；</w:t>
      </w:r>
    </w:p>
    <w:p w14:paraId="2750CE95">
      <w:pPr>
        <w:spacing w:line="360" w:lineRule="auto"/>
        <w:ind w:firstLine="420" w:firstLineChars="200"/>
        <w:rPr>
          <w:rFonts w:hint="eastAsia"/>
          <w:bCs/>
          <w:szCs w:val="21"/>
        </w:rPr>
      </w:pPr>
      <w:r>
        <w:rPr>
          <w:rFonts w:hint="eastAsia"/>
          <w:bCs/>
          <w:szCs w:val="21"/>
        </w:rPr>
        <w:t>5、本基金独立建账、独立核算；</w:t>
      </w:r>
    </w:p>
    <w:p w14:paraId="7EA79336">
      <w:pPr>
        <w:spacing w:line="360" w:lineRule="auto"/>
        <w:ind w:firstLine="420" w:firstLineChars="200"/>
        <w:rPr>
          <w:rFonts w:hint="eastAsia"/>
          <w:bCs/>
          <w:szCs w:val="21"/>
        </w:rPr>
      </w:pPr>
      <w:r>
        <w:rPr>
          <w:rFonts w:hint="eastAsia"/>
          <w:bCs/>
          <w:szCs w:val="21"/>
        </w:rPr>
        <w:t>6、基金管理人及基金托管人各自保留完整的会计账目、凭证并进行日常的会计核算，按照有关规定编制基金会计报表；</w:t>
      </w:r>
    </w:p>
    <w:p w14:paraId="03DF4E86">
      <w:pPr>
        <w:spacing w:line="360" w:lineRule="auto"/>
        <w:ind w:firstLine="420" w:firstLineChars="200"/>
        <w:rPr>
          <w:rFonts w:hint="eastAsia"/>
          <w:bCs/>
          <w:szCs w:val="21"/>
        </w:rPr>
      </w:pPr>
      <w:r>
        <w:rPr>
          <w:rFonts w:hint="eastAsia"/>
          <w:bCs/>
          <w:szCs w:val="21"/>
        </w:rPr>
        <w:t>7、基金托管人每月与基金管理人就基金的会计核算、报表编制等进行核对并以托管协议约定的方式确认。</w:t>
      </w:r>
    </w:p>
    <w:p w14:paraId="39A0CCC0">
      <w:pPr>
        <w:spacing w:line="360" w:lineRule="auto"/>
        <w:ind w:firstLine="422" w:firstLineChars="200"/>
        <w:rPr>
          <w:rFonts w:hint="eastAsia"/>
          <w:b/>
          <w:szCs w:val="21"/>
        </w:rPr>
      </w:pPr>
      <w:r>
        <w:rPr>
          <w:rFonts w:hint="eastAsia"/>
          <w:b/>
          <w:szCs w:val="21"/>
        </w:rPr>
        <w:t>二、基金的年度审计</w:t>
      </w:r>
    </w:p>
    <w:p w14:paraId="6F8732C9">
      <w:pPr>
        <w:spacing w:line="360" w:lineRule="auto"/>
        <w:ind w:firstLine="420" w:firstLineChars="200"/>
        <w:rPr>
          <w:rFonts w:hint="eastAsia"/>
          <w:bCs/>
          <w:szCs w:val="21"/>
        </w:rPr>
      </w:pPr>
      <w:r>
        <w:rPr>
          <w:rFonts w:hint="eastAsia"/>
          <w:bCs/>
          <w:szCs w:val="21"/>
        </w:rPr>
        <w:t>1、基金管理人聘请与基金管理人、基金托管人相互独立的符合《中华人民共和国证券法》规定的会计师事务所及其注册会计师对本基金的年度财务报表进行审计。</w:t>
      </w:r>
    </w:p>
    <w:p w14:paraId="7AA5F72D">
      <w:pPr>
        <w:spacing w:line="360" w:lineRule="auto"/>
        <w:ind w:firstLine="420" w:firstLineChars="200"/>
        <w:rPr>
          <w:rFonts w:hint="eastAsia"/>
          <w:bCs/>
          <w:szCs w:val="21"/>
        </w:rPr>
      </w:pPr>
      <w:r>
        <w:rPr>
          <w:rFonts w:hint="eastAsia"/>
          <w:bCs/>
          <w:szCs w:val="21"/>
        </w:rPr>
        <w:t>2、会计师事务所更换经办注册会计师，应事先征得基金管理人同意。</w:t>
      </w:r>
    </w:p>
    <w:p w14:paraId="236E0893">
      <w:pPr>
        <w:spacing w:line="360" w:lineRule="auto"/>
        <w:ind w:firstLine="420" w:firstLineChars="200"/>
        <w:rPr>
          <w:rFonts w:hint="eastAsia"/>
          <w:bCs/>
          <w:szCs w:val="21"/>
        </w:rPr>
      </w:pPr>
      <w:r>
        <w:rPr>
          <w:rFonts w:hint="eastAsia"/>
          <w:bCs/>
          <w:szCs w:val="21"/>
        </w:rPr>
        <w:t>3、基金管理人认为有充足理由更换会计师事务所，须通报基金托管人。更换会计师事务所需在2日内在规定媒介公告。</w:t>
      </w:r>
    </w:p>
    <w:p w14:paraId="6DB1C9F4">
      <w:pPr>
        <w:spacing w:line="360" w:lineRule="auto"/>
        <w:ind w:firstLine="420" w:firstLineChars="200"/>
        <w:rPr>
          <w:bCs/>
          <w:szCs w:val="21"/>
        </w:rPr>
        <w:sectPr>
          <w:footerReference r:id="rId20" w:type="default"/>
          <w:pgSz w:w="11906" w:h="16838"/>
          <w:pgMar w:top="1440" w:right="1797" w:bottom="1440" w:left="1797" w:header="851" w:footer="992" w:gutter="0"/>
          <w:pgNumType w:start="1"/>
          <w:cols w:space="720" w:num="1"/>
          <w:docGrid w:linePitch="312" w:charSpace="0"/>
        </w:sectPr>
      </w:pPr>
    </w:p>
    <w:p w14:paraId="4280BF6F">
      <w:pPr>
        <w:pStyle w:val="2"/>
        <w:spacing w:before="72" w:beforeLines="30" w:after="72" w:afterLines="30" w:line="360" w:lineRule="auto"/>
        <w:jc w:val="center"/>
        <w:rPr>
          <w:rFonts w:hint="eastAsia"/>
          <w:b/>
          <w:bCs/>
          <w:szCs w:val="21"/>
        </w:rPr>
      </w:pPr>
      <w:bookmarkStart w:id="48" w:name="_Toc48231682"/>
      <w:r>
        <w:rPr>
          <w:rFonts w:hint="eastAsia" w:eastAsia="宋体"/>
          <w:b/>
          <w:sz w:val="28"/>
          <w:szCs w:val="24"/>
        </w:rPr>
        <w:t xml:space="preserve">第十五部分 </w:t>
      </w:r>
      <w:r>
        <w:rPr>
          <w:rFonts w:eastAsia="宋体"/>
          <w:b/>
          <w:sz w:val="28"/>
          <w:szCs w:val="24"/>
        </w:rPr>
        <w:t>基金的信息披露</w:t>
      </w:r>
      <w:bookmarkEnd w:id="48"/>
    </w:p>
    <w:p w14:paraId="4C9B0D38">
      <w:pPr>
        <w:spacing w:line="360" w:lineRule="auto"/>
        <w:ind w:firstLine="422" w:firstLineChars="200"/>
        <w:rPr>
          <w:rFonts w:hint="eastAsia"/>
          <w:b/>
          <w:szCs w:val="21"/>
        </w:rPr>
      </w:pPr>
      <w:r>
        <w:rPr>
          <w:rFonts w:hint="eastAsia"/>
          <w:b/>
          <w:szCs w:val="21"/>
        </w:rPr>
        <w:t>一、本基金的信息披露应符合《基金法》、《运作办法》、《信息披露办法》、《流动性风险管理规定》、基金合同及其他有关规定。相关法律法规关于信息披露的规定发生变化时，本基金从其最新规定。</w:t>
      </w:r>
    </w:p>
    <w:p w14:paraId="6DC1CE6A">
      <w:pPr>
        <w:spacing w:line="360" w:lineRule="auto"/>
        <w:ind w:firstLine="422" w:firstLineChars="200"/>
        <w:rPr>
          <w:rFonts w:hint="eastAsia"/>
          <w:b/>
          <w:szCs w:val="21"/>
        </w:rPr>
      </w:pPr>
      <w:r>
        <w:rPr>
          <w:rFonts w:hint="eastAsia"/>
          <w:b/>
          <w:szCs w:val="21"/>
        </w:rPr>
        <w:t>二、信息披露义务人</w:t>
      </w:r>
    </w:p>
    <w:p w14:paraId="6255004E">
      <w:pPr>
        <w:spacing w:line="360" w:lineRule="auto"/>
        <w:ind w:firstLine="420" w:firstLineChars="200"/>
        <w:rPr>
          <w:rFonts w:hint="eastAsia"/>
          <w:bCs/>
          <w:szCs w:val="21"/>
        </w:rPr>
      </w:pPr>
      <w:r>
        <w:rPr>
          <w:rFonts w:hint="eastAsia"/>
          <w:bCs/>
          <w:szCs w:val="21"/>
        </w:rPr>
        <w:t>本基金信息披露义务人包括基金管理人、基金托管人、召集基金份额持有人大会的基金份额持有人等法律、行政法规和中国证监会规定的自然人、法人和非法人组织。</w:t>
      </w:r>
    </w:p>
    <w:p w14:paraId="0C674BEB">
      <w:pPr>
        <w:spacing w:line="360" w:lineRule="auto"/>
        <w:ind w:firstLine="420" w:firstLineChars="200"/>
        <w:rPr>
          <w:rFonts w:hint="eastAsia"/>
          <w:bCs/>
          <w:szCs w:val="21"/>
        </w:rPr>
      </w:pPr>
      <w:r>
        <w:rPr>
          <w:rFonts w:hint="eastAsia"/>
          <w:bCs/>
          <w:szCs w:val="21"/>
        </w:rPr>
        <w:t>本基金信息披露义务人以保护基金份额持有人利益为根本出发点，按照法律法规和中国证监会的规定披露基金信息，并保证所披露信息的真实性、准确性、完整性、及时性、简明性和易得性。</w:t>
      </w:r>
    </w:p>
    <w:p w14:paraId="2AE2DE60">
      <w:pPr>
        <w:spacing w:line="360" w:lineRule="auto"/>
        <w:ind w:firstLine="420" w:firstLineChars="200"/>
        <w:rPr>
          <w:rFonts w:hint="eastAsia"/>
          <w:bCs/>
          <w:szCs w:val="21"/>
        </w:rPr>
      </w:pPr>
      <w:r>
        <w:rPr>
          <w:rFonts w:hint="eastAsia"/>
          <w:bCs/>
          <w:szCs w:val="21"/>
        </w:rPr>
        <w:t>本基金信息披露义务人应当在中国证监会规定时间内，将应予披露的基金信息通过符合中国证监会规定条件的全国性报刊（以下简称“规定报刊”）及《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6B5FD6F2">
      <w:pPr>
        <w:spacing w:line="360" w:lineRule="auto"/>
        <w:ind w:firstLine="422" w:firstLineChars="200"/>
        <w:rPr>
          <w:rFonts w:hint="eastAsia"/>
          <w:b/>
          <w:szCs w:val="21"/>
        </w:rPr>
      </w:pPr>
      <w:r>
        <w:rPr>
          <w:rFonts w:hint="eastAsia"/>
          <w:b/>
          <w:szCs w:val="21"/>
        </w:rPr>
        <w:t>三、本基金信息披露义务人承诺公开披露的基金信息，不得有下列行为：</w:t>
      </w:r>
    </w:p>
    <w:p w14:paraId="7662FE29">
      <w:pPr>
        <w:spacing w:line="360" w:lineRule="auto"/>
        <w:ind w:firstLine="420" w:firstLineChars="200"/>
        <w:rPr>
          <w:rFonts w:hint="eastAsia"/>
          <w:bCs/>
          <w:szCs w:val="21"/>
        </w:rPr>
      </w:pPr>
      <w:r>
        <w:rPr>
          <w:rFonts w:hint="eastAsia"/>
          <w:bCs/>
          <w:szCs w:val="21"/>
        </w:rPr>
        <w:t>1、虚假记载、误导性陈述或者重大遗漏；</w:t>
      </w:r>
    </w:p>
    <w:p w14:paraId="7841B0BA">
      <w:pPr>
        <w:spacing w:line="360" w:lineRule="auto"/>
        <w:ind w:firstLine="420" w:firstLineChars="200"/>
        <w:rPr>
          <w:rFonts w:hint="eastAsia"/>
          <w:bCs/>
          <w:szCs w:val="21"/>
        </w:rPr>
      </w:pPr>
      <w:r>
        <w:rPr>
          <w:rFonts w:hint="eastAsia"/>
          <w:bCs/>
          <w:szCs w:val="21"/>
        </w:rPr>
        <w:t>2、对证券投资业绩进行预测；</w:t>
      </w:r>
    </w:p>
    <w:p w14:paraId="1732BC4B">
      <w:pPr>
        <w:spacing w:line="360" w:lineRule="auto"/>
        <w:ind w:firstLine="420" w:firstLineChars="200"/>
        <w:rPr>
          <w:rFonts w:hint="eastAsia"/>
          <w:bCs/>
          <w:szCs w:val="21"/>
        </w:rPr>
      </w:pPr>
      <w:r>
        <w:rPr>
          <w:rFonts w:hint="eastAsia"/>
          <w:bCs/>
          <w:szCs w:val="21"/>
        </w:rPr>
        <w:t>3、违规承诺收益或者承担损失；</w:t>
      </w:r>
    </w:p>
    <w:p w14:paraId="3117CDB4">
      <w:pPr>
        <w:spacing w:line="360" w:lineRule="auto"/>
        <w:ind w:firstLine="420" w:firstLineChars="200"/>
        <w:rPr>
          <w:rFonts w:hint="eastAsia"/>
          <w:bCs/>
          <w:szCs w:val="21"/>
        </w:rPr>
      </w:pPr>
      <w:r>
        <w:rPr>
          <w:rFonts w:hint="eastAsia"/>
          <w:bCs/>
          <w:szCs w:val="21"/>
        </w:rPr>
        <w:t>4、诋毁其他基金管理人、基金托管人或者基金销售机构；</w:t>
      </w:r>
    </w:p>
    <w:p w14:paraId="33B7E5CF">
      <w:pPr>
        <w:spacing w:line="360" w:lineRule="auto"/>
        <w:ind w:firstLine="420" w:firstLineChars="200"/>
        <w:rPr>
          <w:rFonts w:hint="eastAsia"/>
          <w:bCs/>
          <w:szCs w:val="21"/>
        </w:rPr>
      </w:pPr>
      <w:r>
        <w:rPr>
          <w:rFonts w:hint="eastAsia"/>
          <w:bCs/>
          <w:szCs w:val="21"/>
        </w:rPr>
        <w:t>5、登载任何自然人、法人和非法人组织的祝贺性、恭维性或推荐性的文字；</w:t>
      </w:r>
    </w:p>
    <w:p w14:paraId="649DF36E">
      <w:pPr>
        <w:spacing w:line="360" w:lineRule="auto"/>
        <w:ind w:firstLine="420" w:firstLineChars="200"/>
        <w:rPr>
          <w:rFonts w:hint="eastAsia"/>
          <w:bCs/>
          <w:szCs w:val="21"/>
        </w:rPr>
      </w:pPr>
      <w:r>
        <w:rPr>
          <w:rFonts w:hint="eastAsia"/>
          <w:bCs/>
          <w:szCs w:val="21"/>
        </w:rPr>
        <w:t>6、中国证监会禁止的其他行为。</w:t>
      </w:r>
    </w:p>
    <w:p w14:paraId="3CB63B1D">
      <w:pPr>
        <w:spacing w:line="360" w:lineRule="auto"/>
        <w:ind w:firstLine="422" w:firstLineChars="200"/>
        <w:rPr>
          <w:rFonts w:hint="eastAsia"/>
          <w:b/>
          <w:szCs w:val="21"/>
        </w:rPr>
      </w:pPr>
      <w:r>
        <w:rPr>
          <w:rFonts w:hint="eastAsia"/>
          <w:b/>
          <w:szCs w:val="21"/>
        </w:rPr>
        <w:t>四、本基金公开披露的信息应采用中文文本。同时采用外文文本的，基金信息披露义务人应保证不同文本的内容一致。不同文本之间发生歧义的，以中文文本为准。</w:t>
      </w:r>
    </w:p>
    <w:p w14:paraId="580A25BC">
      <w:pPr>
        <w:spacing w:line="360" w:lineRule="auto"/>
        <w:ind w:firstLine="420" w:firstLineChars="200"/>
        <w:rPr>
          <w:rFonts w:hint="eastAsia"/>
          <w:bCs/>
          <w:szCs w:val="21"/>
        </w:rPr>
      </w:pPr>
      <w:r>
        <w:rPr>
          <w:rFonts w:hint="eastAsia"/>
          <w:bCs/>
          <w:szCs w:val="21"/>
        </w:rPr>
        <w:t>本基金公开披露的信息采用阿拉伯数字；除特别说明外，货币单位为人民币元。</w:t>
      </w:r>
    </w:p>
    <w:p w14:paraId="70E42CFD">
      <w:pPr>
        <w:spacing w:line="360" w:lineRule="auto"/>
        <w:ind w:firstLine="422" w:firstLineChars="200"/>
        <w:rPr>
          <w:rFonts w:hint="eastAsia"/>
          <w:b/>
          <w:szCs w:val="21"/>
        </w:rPr>
      </w:pPr>
      <w:r>
        <w:rPr>
          <w:rFonts w:hint="eastAsia"/>
          <w:b/>
          <w:szCs w:val="21"/>
        </w:rPr>
        <w:t>五、公开披露的基金信息</w:t>
      </w:r>
    </w:p>
    <w:p w14:paraId="7FEDBD84">
      <w:pPr>
        <w:spacing w:line="360" w:lineRule="auto"/>
        <w:ind w:firstLine="420" w:firstLineChars="200"/>
        <w:rPr>
          <w:rFonts w:hint="eastAsia"/>
          <w:bCs/>
          <w:szCs w:val="21"/>
        </w:rPr>
      </w:pPr>
      <w:r>
        <w:rPr>
          <w:rFonts w:hint="eastAsia"/>
          <w:bCs/>
          <w:szCs w:val="21"/>
        </w:rPr>
        <w:t>公开披露的基金信息包括：</w:t>
      </w:r>
    </w:p>
    <w:p w14:paraId="1A9C571F">
      <w:pPr>
        <w:spacing w:line="360" w:lineRule="auto"/>
        <w:ind w:firstLine="420" w:firstLineChars="200"/>
        <w:rPr>
          <w:rFonts w:hint="eastAsia"/>
          <w:bCs/>
          <w:szCs w:val="21"/>
        </w:rPr>
      </w:pPr>
      <w:r>
        <w:rPr>
          <w:rFonts w:hint="eastAsia"/>
          <w:bCs/>
          <w:szCs w:val="21"/>
        </w:rPr>
        <w:t>（一）基金招募说明书、基金合同、基金托管协议、基金产品资料概要</w:t>
      </w:r>
    </w:p>
    <w:p w14:paraId="3F814EC1">
      <w:pPr>
        <w:spacing w:line="360" w:lineRule="auto"/>
        <w:ind w:firstLine="420" w:firstLineChars="200"/>
        <w:rPr>
          <w:rFonts w:hint="eastAsia"/>
          <w:bCs/>
          <w:szCs w:val="21"/>
        </w:rPr>
      </w:pPr>
      <w:r>
        <w:rPr>
          <w:rFonts w:hint="eastAsia"/>
          <w:bCs/>
          <w:szCs w:val="21"/>
        </w:rPr>
        <w:t>1、基金合同是界定基金合同当事人的各项权利、义务关系，明确基金份额持有人大会召开的规则及具体程序，说明基金产品的特性等涉及基金投资者重大利益的事项的法律文件。</w:t>
      </w:r>
    </w:p>
    <w:p w14:paraId="3CC0DC91">
      <w:pPr>
        <w:spacing w:line="360" w:lineRule="auto"/>
        <w:ind w:firstLine="420" w:firstLineChars="200"/>
        <w:rPr>
          <w:rFonts w:hint="eastAsia"/>
          <w:bCs/>
          <w:szCs w:val="21"/>
        </w:rPr>
      </w:pPr>
      <w:r>
        <w:rPr>
          <w:rFonts w:hint="eastAsia"/>
          <w:bCs/>
          <w:szCs w:val="21"/>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0A40AF23">
      <w:pPr>
        <w:spacing w:line="360" w:lineRule="auto"/>
        <w:ind w:firstLine="420" w:firstLineChars="200"/>
        <w:rPr>
          <w:rFonts w:hint="eastAsia"/>
          <w:bCs/>
          <w:szCs w:val="21"/>
        </w:rPr>
      </w:pPr>
      <w:r>
        <w:rPr>
          <w:rFonts w:hint="eastAsia"/>
          <w:bCs/>
          <w:szCs w:val="21"/>
        </w:rPr>
        <w:t>3、基金托管协议是界定基金托管人和基金管理人在基金财产保管及基金运作监督等活动中的权利、义务关系的法律文件。</w:t>
      </w:r>
    </w:p>
    <w:p w14:paraId="6EB5589E">
      <w:pPr>
        <w:spacing w:line="360" w:lineRule="auto"/>
        <w:ind w:firstLine="420" w:firstLineChars="200"/>
        <w:rPr>
          <w:rFonts w:hint="eastAsia"/>
          <w:bCs/>
          <w:szCs w:val="21"/>
        </w:rPr>
      </w:pPr>
      <w:r>
        <w:rPr>
          <w:rFonts w:hint="eastAsia"/>
          <w:bCs/>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420BB9E4">
      <w:pPr>
        <w:spacing w:line="360" w:lineRule="auto"/>
        <w:ind w:firstLine="420" w:firstLineChars="200"/>
        <w:rPr>
          <w:rFonts w:hint="eastAsia"/>
          <w:bCs/>
          <w:szCs w:val="21"/>
        </w:rPr>
      </w:pPr>
      <w:r>
        <w:rPr>
          <w:rFonts w:hint="eastAsia"/>
          <w:bCs/>
          <w:szCs w:val="21"/>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74EE06DD">
      <w:pPr>
        <w:spacing w:line="360" w:lineRule="auto"/>
        <w:ind w:firstLine="420" w:firstLineChars="200"/>
        <w:rPr>
          <w:rFonts w:hint="eastAsia"/>
          <w:bCs/>
          <w:szCs w:val="21"/>
        </w:rPr>
      </w:pPr>
      <w:r>
        <w:rPr>
          <w:rFonts w:hint="eastAsia"/>
          <w:bCs/>
          <w:szCs w:val="21"/>
        </w:rPr>
        <w:t>（二）基金份额发售公告</w:t>
      </w:r>
    </w:p>
    <w:p w14:paraId="1BC6913C">
      <w:pPr>
        <w:spacing w:line="360" w:lineRule="auto"/>
        <w:ind w:firstLine="420" w:firstLineChars="200"/>
        <w:rPr>
          <w:rFonts w:hint="eastAsia"/>
          <w:bCs/>
          <w:szCs w:val="21"/>
        </w:rPr>
      </w:pPr>
      <w:r>
        <w:rPr>
          <w:rFonts w:hint="eastAsia"/>
          <w:bCs/>
          <w:szCs w:val="21"/>
        </w:rPr>
        <w:t>基金管理人应当就基金份额发售的具体事宜编制基金份额发售公告，并在披露招募说明书的当日登载于规定媒介上。</w:t>
      </w:r>
    </w:p>
    <w:p w14:paraId="3D5FB05F">
      <w:pPr>
        <w:spacing w:line="360" w:lineRule="auto"/>
        <w:ind w:firstLine="420" w:firstLineChars="200"/>
        <w:rPr>
          <w:rFonts w:hint="eastAsia"/>
          <w:bCs/>
          <w:szCs w:val="21"/>
        </w:rPr>
      </w:pPr>
      <w:r>
        <w:rPr>
          <w:rFonts w:hint="eastAsia"/>
          <w:bCs/>
          <w:szCs w:val="21"/>
        </w:rPr>
        <w:t>（三）基金合同生效公告</w:t>
      </w:r>
    </w:p>
    <w:p w14:paraId="660A14BD">
      <w:pPr>
        <w:spacing w:line="360" w:lineRule="auto"/>
        <w:ind w:firstLine="420" w:firstLineChars="200"/>
        <w:rPr>
          <w:rFonts w:hint="eastAsia"/>
          <w:bCs/>
          <w:szCs w:val="21"/>
        </w:rPr>
      </w:pPr>
      <w:r>
        <w:rPr>
          <w:rFonts w:hint="eastAsia"/>
          <w:bCs/>
          <w:szCs w:val="21"/>
        </w:rPr>
        <w:t>基金管理人应当在收到中国证监会确认文件的次日在规定媒介上登载基金合同生效公告。</w:t>
      </w:r>
    </w:p>
    <w:p w14:paraId="18C96A49">
      <w:pPr>
        <w:spacing w:line="360" w:lineRule="auto"/>
        <w:ind w:firstLine="420" w:firstLineChars="200"/>
        <w:rPr>
          <w:rFonts w:hint="eastAsia"/>
          <w:bCs/>
          <w:szCs w:val="21"/>
        </w:rPr>
      </w:pPr>
      <w:r>
        <w:rPr>
          <w:rFonts w:hint="eastAsia"/>
          <w:bCs/>
          <w:szCs w:val="21"/>
        </w:rPr>
        <w:t>（四）基金净值信息</w:t>
      </w:r>
    </w:p>
    <w:p w14:paraId="132F70C8">
      <w:pPr>
        <w:spacing w:line="360" w:lineRule="auto"/>
        <w:ind w:firstLine="420" w:firstLineChars="200"/>
        <w:rPr>
          <w:rFonts w:hint="eastAsia"/>
          <w:bCs/>
          <w:szCs w:val="21"/>
        </w:rPr>
      </w:pPr>
      <w:r>
        <w:rPr>
          <w:rFonts w:hint="eastAsia"/>
          <w:bCs/>
          <w:szCs w:val="21"/>
        </w:rPr>
        <w:t>《基金合同》生效后，在开始办理基金份额申购或者赎回前，基金管理人应当至少每周在规定网站披露一次各类基金份额净值和各类基金份额累计净值。</w:t>
      </w:r>
    </w:p>
    <w:p w14:paraId="1AF4722D">
      <w:pPr>
        <w:spacing w:line="360" w:lineRule="auto"/>
        <w:ind w:firstLine="420" w:firstLineChars="200"/>
        <w:rPr>
          <w:rFonts w:hint="eastAsia"/>
          <w:bCs/>
          <w:szCs w:val="21"/>
        </w:rPr>
      </w:pPr>
      <w:r>
        <w:rPr>
          <w:rFonts w:hint="eastAsia"/>
          <w:bCs/>
          <w:szCs w:val="21"/>
        </w:rPr>
        <w:t>在开始办理基金份额申购或者赎回后，基金管理人应当在不晚于每个开放日后三个工作日内，通过规定网站、销售机构网站或者营业网点披露开放日的各类基金份额净值和各类基金份额累计净值。</w:t>
      </w:r>
    </w:p>
    <w:p w14:paraId="61177AD2">
      <w:pPr>
        <w:spacing w:line="360" w:lineRule="auto"/>
        <w:ind w:firstLine="420" w:firstLineChars="200"/>
        <w:rPr>
          <w:rFonts w:hint="eastAsia"/>
          <w:bCs/>
          <w:szCs w:val="21"/>
        </w:rPr>
      </w:pPr>
      <w:r>
        <w:rPr>
          <w:rFonts w:hint="eastAsia"/>
          <w:bCs/>
          <w:szCs w:val="21"/>
        </w:rPr>
        <w:t>基金管理人应当在不晚于半年度和年度最后一日后三个工作日内，在规定网站披露半年度和年度最后一日的各类基金份额净值和各类基金份额累计净值。</w:t>
      </w:r>
    </w:p>
    <w:p w14:paraId="3AF73E01">
      <w:pPr>
        <w:spacing w:line="360" w:lineRule="auto"/>
        <w:ind w:firstLine="420" w:firstLineChars="200"/>
        <w:rPr>
          <w:rFonts w:hint="eastAsia"/>
          <w:bCs/>
          <w:szCs w:val="21"/>
        </w:rPr>
      </w:pPr>
      <w:r>
        <w:rPr>
          <w:rFonts w:hint="eastAsia"/>
          <w:bCs/>
          <w:szCs w:val="21"/>
        </w:rPr>
        <w:t>（五）基金份额申购、赎回价格</w:t>
      </w:r>
    </w:p>
    <w:p w14:paraId="4B02A4E0">
      <w:pPr>
        <w:spacing w:line="360" w:lineRule="auto"/>
        <w:ind w:firstLine="420" w:firstLineChars="200"/>
        <w:rPr>
          <w:rFonts w:hint="eastAsia"/>
          <w:bCs/>
          <w:szCs w:val="21"/>
        </w:rPr>
      </w:pPr>
      <w:r>
        <w:rPr>
          <w:rFonts w:hint="eastAsia"/>
          <w:bCs/>
          <w:szCs w:val="21"/>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5DFA1503">
      <w:pPr>
        <w:spacing w:line="360" w:lineRule="auto"/>
        <w:ind w:firstLine="420" w:firstLineChars="200"/>
        <w:rPr>
          <w:rFonts w:hint="eastAsia"/>
          <w:bCs/>
          <w:szCs w:val="21"/>
        </w:rPr>
      </w:pPr>
      <w:r>
        <w:rPr>
          <w:rFonts w:hint="eastAsia"/>
          <w:bCs/>
          <w:szCs w:val="21"/>
        </w:rPr>
        <w:t>（六）基金定期报告，包括基金年度报告、基金中期报告和基金季度报告</w:t>
      </w:r>
    </w:p>
    <w:p w14:paraId="4DECAA87">
      <w:pPr>
        <w:spacing w:line="360" w:lineRule="auto"/>
        <w:ind w:firstLine="420" w:firstLineChars="200"/>
        <w:rPr>
          <w:rFonts w:hint="eastAsia"/>
          <w:bCs/>
          <w:szCs w:val="21"/>
        </w:rPr>
      </w:pPr>
      <w:r>
        <w:rPr>
          <w:rFonts w:hint="eastAsia"/>
          <w:bCs/>
          <w:szCs w:val="21"/>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22DF6C60">
      <w:pPr>
        <w:spacing w:line="360" w:lineRule="auto"/>
        <w:ind w:firstLine="420" w:firstLineChars="200"/>
        <w:rPr>
          <w:rFonts w:hint="eastAsia"/>
          <w:bCs/>
          <w:szCs w:val="21"/>
        </w:rPr>
      </w:pPr>
      <w:r>
        <w:rPr>
          <w:rFonts w:hint="eastAsia"/>
          <w:bCs/>
          <w:szCs w:val="21"/>
        </w:rPr>
        <w:t>基金管理人应当在上半年结束之日起两个月内，编制完成基金中期报告，将中期报告登载在规定网站上，并将中期报告提示性公告登载在规定报刊上。</w:t>
      </w:r>
    </w:p>
    <w:p w14:paraId="237A1574">
      <w:pPr>
        <w:spacing w:line="360" w:lineRule="auto"/>
        <w:ind w:firstLine="420" w:firstLineChars="200"/>
        <w:rPr>
          <w:rFonts w:hint="eastAsia"/>
          <w:bCs/>
          <w:szCs w:val="21"/>
        </w:rPr>
      </w:pPr>
      <w:r>
        <w:rPr>
          <w:rFonts w:hint="eastAsia"/>
          <w:bCs/>
          <w:szCs w:val="21"/>
        </w:rPr>
        <w:t>基金管理人应当在季度结束之日起15个工作日内，编制完成基金季度报告，将季度报告登载在规定网站上，并将季度报告提示性公告登载在规定报刊上。</w:t>
      </w:r>
    </w:p>
    <w:p w14:paraId="31E0F42F">
      <w:pPr>
        <w:spacing w:line="360" w:lineRule="auto"/>
        <w:ind w:firstLine="420" w:firstLineChars="200"/>
        <w:rPr>
          <w:rFonts w:hint="eastAsia"/>
          <w:bCs/>
          <w:szCs w:val="21"/>
        </w:rPr>
      </w:pPr>
      <w:r>
        <w:rPr>
          <w:rFonts w:hint="eastAsia"/>
          <w:bCs/>
          <w:szCs w:val="21"/>
        </w:rPr>
        <w:t>基金合同生效不足2个月的，基金管理人可以不编制当期季度报告、中期报告或者年度报告。</w:t>
      </w:r>
    </w:p>
    <w:p w14:paraId="1457F540">
      <w:pPr>
        <w:spacing w:line="360" w:lineRule="auto"/>
        <w:ind w:firstLine="420" w:firstLineChars="200"/>
        <w:rPr>
          <w:rFonts w:hint="eastAsia"/>
          <w:bCs/>
          <w:szCs w:val="21"/>
        </w:rPr>
      </w:pPr>
      <w:r>
        <w:rPr>
          <w:rFonts w:hint="eastAsia"/>
          <w:bCs/>
          <w:szCs w:val="21"/>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040F593F">
      <w:pPr>
        <w:spacing w:line="360" w:lineRule="auto"/>
        <w:ind w:firstLine="420" w:firstLineChars="200"/>
        <w:rPr>
          <w:rFonts w:hint="eastAsia"/>
          <w:bCs/>
          <w:szCs w:val="21"/>
        </w:rPr>
      </w:pPr>
      <w:r>
        <w:rPr>
          <w:rFonts w:hint="eastAsia"/>
          <w:bCs/>
          <w:szCs w:val="21"/>
        </w:rPr>
        <w:t>基金管理人应当在基金年度报告和中期报告中披露基金组合资产情况及其流动性风险分析等。</w:t>
      </w:r>
    </w:p>
    <w:p w14:paraId="20EDC249">
      <w:pPr>
        <w:spacing w:line="360" w:lineRule="auto"/>
        <w:ind w:firstLine="420" w:firstLineChars="200"/>
        <w:rPr>
          <w:rFonts w:hint="eastAsia"/>
          <w:bCs/>
          <w:szCs w:val="21"/>
        </w:rPr>
      </w:pPr>
      <w:r>
        <w:rPr>
          <w:rFonts w:hint="eastAsia"/>
          <w:bCs/>
          <w:szCs w:val="21"/>
        </w:rPr>
        <w:t>（七）临时报告</w:t>
      </w:r>
    </w:p>
    <w:p w14:paraId="26C9A45D">
      <w:pPr>
        <w:spacing w:line="360" w:lineRule="auto"/>
        <w:ind w:firstLine="420" w:firstLineChars="200"/>
        <w:rPr>
          <w:rFonts w:hint="eastAsia"/>
          <w:bCs/>
          <w:szCs w:val="21"/>
        </w:rPr>
      </w:pPr>
      <w:r>
        <w:rPr>
          <w:rFonts w:hint="eastAsia"/>
          <w:bCs/>
          <w:szCs w:val="21"/>
        </w:rPr>
        <w:t>本基金发生重大事件，有关信息披露义务人应当在2日内编制临时报告书，并登载在规定报刊和规定网站上。</w:t>
      </w:r>
    </w:p>
    <w:p w14:paraId="55AC0FE6">
      <w:pPr>
        <w:spacing w:line="360" w:lineRule="auto"/>
        <w:ind w:firstLine="420" w:firstLineChars="200"/>
        <w:rPr>
          <w:rFonts w:hint="eastAsia"/>
          <w:bCs/>
          <w:szCs w:val="21"/>
        </w:rPr>
      </w:pPr>
      <w:r>
        <w:rPr>
          <w:rFonts w:hint="eastAsia"/>
          <w:bCs/>
          <w:szCs w:val="21"/>
        </w:rPr>
        <w:t>前款所称重大事件，是指可能对基金份额持有人权益或者基金份额的价格产生重大影响的下列事件：</w:t>
      </w:r>
    </w:p>
    <w:p w14:paraId="7B2E6905">
      <w:pPr>
        <w:spacing w:line="360" w:lineRule="auto"/>
        <w:ind w:firstLine="420" w:firstLineChars="200"/>
        <w:rPr>
          <w:rFonts w:hint="eastAsia"/>
          <w:bCs/>
          <w:szCs w:val="21"/>
        </w:rPr>
      </w:pPr>
      <w:r>
        <w:rPr>
          <w:rFonts w:hint="eastAsia"/>
          <w:bCs/>
          <w:szCs w:val="21"/>
        </w:rPr>
        <w:t>1、基金份额持有人大会的召开及决定的事项；</w:t>
      </w:r>
    </w:p>
    <w:p w14:paraId="0445E1FC">
      <w:pPr>
        <w:spacing w:line="360" w:lineRule="auto"/>
        <w:ind w:firstLine="420" w:firstLineChars="200"/>
        <w:rPr>
          <w:rFonts w:hint="eastAsia"/>
          <w:bCs/>
          <w:szCs w:val="21"/>
        </w:rPr>
      </w:pPr>
      <w:r>
        <w:rPr>
          <w:rFonts w:hint="eastAsia"/>
          <w:bCs/>
          <w:szCs w:val="21"/>
        </w:rPr>
        <w:t>2、《基金合同》终止、基金清算；</w:t>
      </w:r>
    </w:p>
    <w:p w14:paraId="7817307B">
      <w:pPr>
        <w:spacing w:line="360" w:lineRule="auto"/>
        <w:ind w:firstLine="420" w:firstLineChars="200"/>
        <w:rPr>
          <w:rFonts w:hint="eastAsia"/>
          <w:bCs/>
          <w:szCs w:val="21"/>
        </w:rPr>
      </w:pPr>
      <w:r>
        <w:rPr>
          <w:rFonts w:hint="eastAsia"/>
          <w:bCs/>
          <w:szCs w:val="21"/>
        </w:rPr>
        <w:t>3、转换基金运作方式、基金合并；</w:t>
      </w:r>
    </w:p>
    <w:p w14:paraId="3A1C907D">
      <w:pPr>
        <w:spacing w:line="360" w:lineRule="auto"/>
        <w:ind w:firstLine="420" w:firstLineChars="200"/>
        <w:rPr>
          <w:rFonts w:hint="eastAsia"/>
          <w:bCs/>
          <w:szCs w:val="21"/>
        </w:rPr>
      </w:pPr>
      <w:r>
        <w:rPr>
          <w:rFonts w:hint="eastAsia"/>
          <w:bCs/>
          <w:szCs w:val="21"/>
        </w:rPr>
        <w:t>4、更换基金管理人、基金托管人、基金份额登记机构，基金改聘会计师事务所；</w:t>
      </w:r>
    </w:p>
    <w:p w14:paraId="02316ACC">
      <w:pPr>
        <w:spacing w:line="360" w:lineRule="auto"/>
        <w:ind w:firstLine="420" w:firstLineChars="200"/>
        <w:rPr>
          <w:rFonts w:hint="eastAsia"/>
          <w:bCs/>
          <w:szCs w:val="21"/>
        </w:rPr>
      </w:pPr>
      <w:r>
        <w:rPr>
          <w:rFonts w:hint="eastAsia"/>
          <w:bCs/>
          <w:szCs w:val="21"/>
        </w:rPr>
        <w:t>5、基金管理人委托基金服务机构代为办理基金的份额登记、核算、估值等事项，基金托管人委托基金服务机构代为办理基金的核算、估值、复核等事项；</w:t>
      </w:r>
    </w:p>
    <w:p w14:paraId="68604279">
      <w:pPr>
        <w:spacing w:line="360" w:lineRule="auto"/>
        <w:ind w:firstLine="420" w:firstLineChars="200"/>
        <w:rPr>
          <w:rFonts w:hint="eastAsia"/>
          <w:bCs/>
          <w:szCs w:val="21"/>
        </w:rPr>
      </w:pPr>
      <w:r>
        <w:rPr>
          <w:rFonts w:hint="eastAsia"/>
          <w:bCs/>
          <w:szCs w:val="21"/>
        </w:rPr>
        <w:t>6、基金管理人、基金托管人的法定名称、住所发生变更；</w:t>
      </w:r>
    </w:p>
    <w:p w14:paraId="32A1DEE4">
      <w:pPr>
        <w:spacing w:line="360" w:lineRule="auto"/>
        <w:ind w:firstLine="420" w:firstLineChars="200"/>
        <w:rPr>
          <w:rFonts w:hint="eastAsia"/>
          <w:bCs/>
          <w:szCs w:val="21"/>
        </w:rPr>
      </w:pPr>
      <w:r>
        <w:rPr>
          <w:rFonts w:hint="eastAsia"/>
          <w:bCs/>
          <w:szCs w:val="21"/>
        </w:rPr>
        <w:t>7、基金管理人变更持有百分之五以上股权的股东、变更基金管理人的实际控制人；</w:t>
      </w:r>
    </w:p>
    <w:p w14:paraId="0234EC8B">
      <w:pPr>
        <w:spacing w:line="360" w:lineRule="auto"/>
        <w:ind w:firstLine="420" w:firstLineChars="200"/>
        <w:rPr>
          <w:rFonts w:hint="eastAsia"/>
          <w:bCs/>
          <w:szCs w:val="21"/>
        </w:rPr>
      </w:pPr>
      <w:r>
        <w:rPr>
          <w:rFonts w:hint="eastAsia"/>
          <w:bCs/>
          <w:szCs w:val="21"/>
        </w:rPr>
        <w:t>8、基金募集期延长或提前结束募集；</w:t>
      </w:r>
    </w:p>
    <w:p w14:paraId="56894B0A">
      <w:pPr>
        <w:spacing w:line="360" w:lineRule="auto"/>
        <w:ind w:firstLine="420" w:firstLineChars="200"/>
        <w:rPr>
          <w:rFonts w:hint="eastAsia"/>
          <w:bCs/>
          <w:szCs w:val="21"/>
        </w:rPr>
      </w:pPr>
      <w:r>
        <w:rPr>
          <w:rFonts w:hint="eastAsia"/>
          <w:bCs/>
          <w:szCs w:val="21"/>
        </w:rPr>
        <w:t>9、基金管理人的高级管理人员、基金经理和基金托管人专门基金托管部门负责人发生变动；</w:t>
      </w:r>
    </w:p>
    <w:p w14:paraId="26880D2A">
      <w:pPr>
        <w:spacing w:line="360" w:lineRule="auto"/>
        <w:ind w:firstLine="420" w:firstLineChars="200"/>
        <w:rPr>
          <w:rFonts w:hint="eastAsia"/>
          <w:bCs/>
          <w:szCs w:val="21"/>
        </w:rPr>
      </w:pPr>
      <w:r>
        <w:rPr>
          <w:rFonts w:hint="eastAsia"/>
          <w:bCs/>
          <w:szCs w:val="21"/>
        </w:rPr>
        <w:t>10、基金管理人的董事在最近12个月内变更超过百分之五十，基金管理人、基金托管人专门基金托管部门的主要业务人员在最近12个月内变动超过百分之三十；</w:t>
      </w:r>
    </w:p>
    <w:p w14:paraId="5BA5F75E">
      <w:pPr>
        <w:spacing w:line="360" w:lineRule="auto"/>
        <w:ind w:firstLine="420" w:firstLineChars="200"/>
        <w:rPr>
          <w:rFonts w:hint="eastAsia"/>
          <w:bCs/>
          <w:szCs w:val="21"/>
        </w:rPr>
      </w:pPr>
      <w:r>
        <w:rPr>
          <w:rFonts w:hint="eastAsia"/>
          <w:bCs/>
          <w:szCs w:val="21"/>
        </w:rPr>
        <w:t>11、涉及基金财产、基金管理业务、基金托管业务的诉讼或仲裁；</w:t>
      </w:r>
    </w:p>
    <w:p w14:paraId="54932EE1">
      <w:pPr>
        <w:spacing w:line="360" w:lineRule="auto"/>
        <w:ind w:firstLine="420" w:firstLineChars="200"/>
        <w:rPr>
          <w:rFonts w:hint="eastAsia"/>
          <w:bCs/>
          <w:szCs w:val="21"/>
        </w:rPr>
      </w:pPr>
      <w:r>
        <w:rPr>
          <w:rFonts w:hint="eastAsia"/>
          <w:bCs/>
          <w:szCs w:val="21"/>
        </w:rPr>
        <w:t>12、基金管理人或其高级管理人员、基金经理因基金管理业务相关行为受到重大行政处罚、刑事处罚，基金托管人或其专门基金托管部门负责人因基金托管业务相关行为受到重大行政处罚、刑事处罚；</w:t>
      </w:r>
    </w:p>
    <w:p w14:paraId="2EE90BCE">
      <w:pPr>
        <w:spacing w:line="360" w:lineRule="auto"/>
        <w:ind w:firstLine="420" w:firstLineChars="200"/>
        <w:rPr>
          <w:rFonts w:hint="eastAsia"/>
          <w:bCs/>
          <w:szCs w:val="21"/>
        </w:rPr>
      </w:pPr>
      <w:r>
        <w:rPr>
          <w:rFonts w:hint="eastAsia"/>
          <w:bCs/>
          <w:szCs w:val="21"/>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54FB0746">
      <w:pPr>
        <w:spacing w:line="360" w:lineRule="auto"/>
        <w:ind w:firstLine="420" w:firstLineChars="200"/>
        <w:rPr>
          <w:rFonts w:hint="eastAsia"/>
          <w:bCs/>
          <w:szCs w:val="21"/>
        </w:rPr>
      </w:pPr>
      <w:r>
        <w:rPr>
          <w:rFonts w:hint="eastAsia"/>
          <w:bCs/>
          <w:szCs w:val="21"/>
        </w:rPr>
        <w:t>14、基金收益分配事项；</w:t>
      </w:r>
    </w:p>
    <w:p w14:paraId="03567967">
      <w:pPr>
        <w:spacing w:line="360" w:lineRule="auto"/>
        <w:ind w:firstLine="420" w:firstLineChars="200"/>
        <w:rPr>
          <w:rFonts w:hint="eastAsia"/>
          <w:bCs/>
          <w:szCs w:val="21"/>
        </w:rPr>
      </w:pPr>
      <w:r>
        <w:rPr>
          <w:rFonts w:hint="eastAsia"/>
          <w:bCs/>
          <w:szCs w:val="21"/>
        </w:rPr>
        <w:t>15、管理费、托管费、销售服务费、申购费、赎回费等费用计提标准、计提方式和费率发生变更；</w:t>
      </w:r>
    </w:p>
    <w:p w14:paraId="7A8C55D8">
      <w:pPr>
        <w:spacing w:line="360" w:lineRule="auto"/>
        <w:ind w:firstLine="420" w:firstLineChars="200"/>
        <w:rPr>
          <w:rFonts w:hint="eastAsia"/>
          <w:bCs/>
          <w:szCs w:val="21"/>
        </w:rPr>
      </w:pPr>
      <w:r>
        <w:rPr>
          <w:rFonts w:hint="eastAsia"/>
          <w:bCs/>
          <w:szCs w:val="21"/>
        </w:rPr>
        <w:t>16、任一类基金份额净值估值错误达该类基金份额净值0.50%；</w:t>
      </w:r>
    </w:p>
    <w:p w14:paraId="558FBEF9">
      <w:pPr>
        <w:spacing w:line="360" w:lineRule="auto"/>
        <w:ind w:firstLine="420" w:firstLineChars="200"/>
        <w:rPr>
          <w:rFonts w:hint="eastAsia"/>
          <w:bCs/>
          <w:szCs w:val="21"/>
        </w:rPr>
      </w:pPr>
      <w:r>
        <w:rPr>
          <w:rFonts w:hint="eastAsia"/>
          <w:bCs/>
          <w:szCs w:val="21"/>
        </w:rPr>
        <w:t>17、本基金开始办理申购、赎回；</w:t>
      </w:r>
    </w:p>
    <w:p w14:paraId="70EABFAF">
      <w:pPr>
        <w:spacing w:line="360" w:lineRule="auto"/>
        <w:ind w:firstLine="420" w:firstLineChars="200"/>
        <w:rPr>
          <w:rFonts w:hint="eastAsia"/>
          <w:bCs/>
          <w:szCs w:val="21"/>
        </w:rPr>
      </w:pPr>
      <w:r>
        <w:rPr>
          <w:rFonts w:hint="eastAsia"/>
          <w:bCs/>
          <w:szCs w:val="21"/>
        </w:rPr>
        <w:t>18、本基金发生巨额赎回并延期办理；</w:t>
      </w:r>
    </w:p>
    <w:p w14:paraId="2400D4BB">
      <w:pPr>
        <w:spacing w:line="360" w:lineRule="auto"/>
        <w:ind w:firstLine="420" w:firstLineChars="200"/>
        <w:rPr>
          <w:rFonts w:hint="eastAsia"/>
          <w:bCs/>
          <w:szCs w:val="21"/>
        </w:rPr>
      </w:pPr>
      <w:r>
        <w:rPr>
          <w:rFonts w:hint="eastAsia"/>
          <w:bCs/>
          <w:szCs w:val="21"/>
        </w:rPr>
        <w:t>19、本基金连续发生巨额赎回并暂停接受赎回申请或延缓支付赎回款项；</w:t>
      </w:r>
    </w:p>
    <w:p w14:paraId="2BB8E06D">
      <w:pPr>
        <w:spacing w:line="360" w:lineRule="auto"/>
        <w:ind w:firstLine="420" w:firstLineChars="200"/>
        <w:rPr>
          <w:rFonts w:hint="eastAsia"/>
          <w:bCs/>
          <w:szCs w:val="21"/>
        </w:rPr>
      </w:pPr>
      <w:r>
        <w:rPr>
          <w:rFonts w:hint="eastAsia"/>
          <w:bCs/>
          <w:szCs w:val="21"/>
        </w:rPr>
        <w:t>20、本基金暂停接受申购、赎回申请或重新接受申购、赎回申请；</w:t>
      </w:r>
    </w:p>
    <w:p w14:paraId="16E3C428">
      <w:pPr>
        <w:spacing w:line="360" w:lineRule="auto"/>
        <w:ind w:firstLine="420" w:firstLineChars="200"/>
        <w:rPr>
          <w:rFonts w:hint="eastAsia"/>
          <w:bCs/>
          <w:szCs w:val="21"/>
        </w:rPr>
      </w:pPr>
      <w:r>
        <w:rPr>
          <w:rFonts w:hint="eastAsia"/>
          <w:bCs/>
          <w:szCs w:val="21"/>
        </w:rPr>
        <w:t>21、新增或调整本基金份额类别设置；</w:t>
      </w:r>
    </w:p>
    <w:p w14:paraId="27B011BF">
      <w:pPr>
        <w:spacing w:line="360" w:lineRule="auto"/>
        <w:ind w:firstLine="420" w:firstLineChars="200"/>
        <w:rPr>
          <w:rFonts w:hint="eastAsia"/>
          <w:bCs/>
          <w:szCs w:val="21"/>
        </w:rPr>
      </w:pPr>
      <w:r>
        <w:rPr>
          <w:rFonts w:hint="eastAsia"/>
          <w:bCs/>
          <w:szCs w:val="21"/>
        </w:rPr>
        <w:t>22、发生涉及基金申购、赎回事项调整或潜在影响投资者赎回等重大事项时；</w:t>
      </w:r>
    </w:p>
    <w:p w14:paraId="05F3AEFD">
      <w:pPr>
        <w:spacing w:line="360" w:lineRule="auto"/>
        <w:ind w:firstLine="420" w:firstLineChars="200"/>
        <w:rPr>
          <w:rFonts w:hint="eastAsia"/>
          <w:bCs/>
          <w:szCs w:val="21"/>
        </w:rPr>
      </w:pPr>
      <w:r>
        <w:rPr>
          <w:rFonts w:hint="eastAsia"/>
          <w:bCs/>
          <w:szCs w:val="21"/>
        </w:rPr>
        <w:t>23、基金管理人采用摆动定价机制进行估值时；</w:t>
      </w:r>
    </w:p>
    <w:p w14:paraId="5D832A11">
      <w:pPr>
        <w:spacing w:line="360" w:lineRule="auto"/>
        <w:ind w:firstLine="420" w:firstLineChars="200"/>
        <w:rPr>
          <w:rFonts w:hint="eastAsia"/>
          <w:bCs/>
          <w:szCs w:val="21"/>
        </w:rPr>
      </w:pPr>
      <w:r>
        <w:rPr>
          <w:rFonts w:hint="eastAsia"/>
          <w:bCs/>
          <w:szCs w:val="21"/>
        </w:rPr>
        <w:t>24、基金信息披露义务人认为可能对基金份额持有人权益或者基金份额的价格产生重大影响的其他事项或中国证监会规定的其他事项。</w:t>
      </w:r>
    </w:p>
    <w:p w14:paraId="50DB5917">
      <w:pPr>
        <w:spacing w:line="360" w:lineRule="auto"/>
        <w:ind w:firstLine="420" w:firstLineChars="200"/>
        <w:rPr>
          <w:rFonts w:hint="eastAsia"/>
          <w:bCs/>
          <w:szCs w:val="21"/>
        </w:rPr>
      </w:pPr>
      <w:r>
        <w:rPr>
          <w:rFonts w:hint="eastAsia"/>
          <w:bCs/>
          <w:szCs w:val="21"/>
        </w:rPr>
        <w:t>（八）澄清公告</w:t>
      </w:r>
    </w:p>
    <w:p w14:paraId="58DEF985">
      <w:pPr>
        <w:spacing w:line="360" w:lineRule="auto"/>
        <w:ind w:firstLine="420" w:firstLineChars="200"/>
        <w:rPr>
          <w:rFonts w:hint="eastAsia"/>
          <w:bCs/>
          <w:szCs w:val="21"/>
        </w:rPr>
      </w:pPr>
      <w:r>
        <w:rPr>
          <w:rFonts w:hint="eastAsia"/>
          <w:bCs/>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7D5802BE">
      <w:pPr>
        <w:spacing w:line="360" w:lineRule="auto"/>
        <w:ind w:firstLine="420" w:firstLineChars="200"/>
        <w:rPr>
          <w:rFonts w:hint="eastAsia"/>
          <w:bCs/>
          <w:szCs w:val="21"/>
        </w:rPr>
      </w:pPr>
      <w:r>
        <w:rPr>
          <w:rFonts w:hint="eastAsia"/>
          <w:bCs/>
          <w:szCs w:val="21"/>
        </w:rPr>
        <w:t>（九）基金份额持有人大会决议</w:t>
      </w:r>
    </w:p>
    <w:p w14:paraId="78EC6031">
      <w:pPr>
        <w:spacing w:line="360" w:lineRule="auto"/>
        <w:ind w:firstLine="420" w:firstLineChars="200"/>
        <w:rPr>
          <w:rFonts w:hint="eastAsia"/>
          <w:bCs/>
          <w:szCs w:val="21"/>
        </w:rPr>
      </w:pPr>
      <w:r>
        <w:rPr>
          <w:rFonts w:hint="eastAsia"/>
          <w:bCs/>
          <w:szCs w:val="21"/>
        </w:rPr>
        <w:t>基金份额持有人大会决议，应当依法报中国证监会备案，并予以公告。</w:t>
      </w:r>
    </w:p>
    <w:p w14:paraId="19CB86AD">
      <w:pPr>
        <w:spacing w:line="360" w:lineRule="auto"/>
        <w:ind w:firstLine="420" w:firstLineChars="200"/>
        <w:rPr>
          <w:rFonts w:hint="eastAsia"/>
          <w:bCs/>
          <w:szCs w:val="21"/>
        </w:rPr>
      </w:pPr>
      <w:r>
        <w:rPr>
          <w:rFonts w:hint="eastAsia"/>
          <w:bCs/>
          <w:szCs w:val="21"/>
        </w:rPr>
        <w:t>（十）清算报告</w:t>
      </w:r>
    </w:p>
    <w:p w14:paraId="0E3B75B8">
      <w:pPr>
        <w:spacing w:line="360" w:lineRule="auto"/>
        <w:ind w:firstLine="420" w:firstLineChars="200"/>
        <w:rPr>
          <w:rFonts w:hint="eastAsia"/>
          <w:bCs/>
          <w:szCs w:val="21"/>
        </w:rPr>
      </w:pPr>
      <w:r>
        <w:rPr>
          <w:rFonts w:hint="eastAsia"/>
          <w:bCs/>
          <w:szCs w:val="21"/>
        </w:rPr>
        <w:t>基金合同终止的，基金管理人应当依法组织清算组对基金财产进行清算并作出清算报告。清算报告应当经过符合《中华人民共和国证券法》规定的会计师事务所审计，并由律师事务所出具法律意见书。清算组应当将清算报告登载在规定网站上，并将清算报告提示性公告登载在规定报刊上。</w:t>
      </w:r>
    </w:p>
    <w:p w14:paraId="78EA8DA0">
      <w:pPr>
        <w:spacing w:line="360" w:lineRule="auto"/>
        <w:ind w:firstLine="420" w:firstLineChars="200"/>
        <w:rPr>
          <w:rFonts w:hint="eastAsia"/>
          <w:bCs/>
          <w:szCs w:val="21"/>
        </w:rPr>
      </w:pPr>
      <w:r>
        <w:rPr>
          <w:rFonts w:hint="eastAsia"/>
          <w:bCs/>
          <w:szCs w:val="21"/>
        </w:rPr>
        <w:t>（十一）投资基金的信息披露</w:t>
      </w:r>
    </w:p>
    <w:p w14:paraId="3B26BFFB">
      <w:pPr>
        <w:spacing w:line="360" w:lineRule="auto"/>
        <w:ind w:firstLine="420" w:firstLineChars="200"/>
        <w:rPr>
          <w:rFonts w:hint="eastAsia"/>
          <w:bCs/>
          <w:szCs w:val="21"/>
        </w:rPr>
      </w:pPr>
      <w:r>
        <w:rPr>
          <w:rFonts w:hint="eastAsia"/>
          <w:bCs/>
          <w:szCs w:val="21"/>
        </w:rPr>
        <w:t>基金管理人应在定期报告中披露本基金参与所持有基金的基金份额持有人大会的表决意见。</w:t>
      </w:r>
    </w:p>
    <w:p w14:paraId="73DAFE3C">
      <w:pPr>
        <w:spacing w:line="360" w:lineRule="auto"/>
        <w:ind w:firstLine="420" w:firstLineChars="200"/>
        <w:rPr>
          <w:rFonts w:hint="eastAsia"/>
          <w:bCs/>
          <w:szCs w:val="21"/>
        </w:rPr>
      </w:pPr>
      <w:r>
        <w:rPr>
          <w:rFonts w:hint="eastAsia"/>
          <w:bCs/>
          <w:szCs w:val="21"/>
        </w:rPr>
        <w:t>基金管理人在定期报告和招募说明书（更新）等文件中披露所持有基金以下相关情况，并揭示相关风险：</w:t>
      </w:r>
    </w:p>
    <w:p w14:paraId="432B6A3B">
      <w:pPr>
        <w:spacing w:line="360" w:lineRule="auto"/>
        <w:ind w:firstLine="420" w:firstLineChars="200"/>
        <w:rPr>
          <w:rFonts w:hint="eastAsia"/>
          <w:bCs/>
          <w:szCs w:val="21"/>
        </w:rPr>
      </w:pPr>
      <w:r>
        <w:rPr>
          <w:rFonts w:hint="eastAsia"/>
          <w:bCs/>
          <w:szCs w:val="21"/>
        </w:rPr>
        <w:t>1、投资策略、持仓情况、损益情况、净值披露时间等；</w:t>
      </w:r>
    </w:p>
    <w:p w14:paraId="2FF629E0">
      <w:pPr>
        <w:spacing w:line="360" w:lineRule="auto"/>
        <w:ind w:firstLine="420" w:firstLineChars="200"/>
        <w:rPr>
          <w:rFonts w:hint="eastAsia"/>
          <w:bCs/>
          <w:szCs w:val="21"/>
        </w:rPr>
      </w:pPr>
      <w:r>
        <w:rPr>
          <w:rFonts w:hint="eastAsia"/>
          <w:bCs/>
          <w:szCs w:val="21"/>
        </w:rPr>
        <w:t>2、交易及持有基金产生的费用，包括申购费、赎回费、销售服务费、管理费、托管费等，招募说明书中应当列明计算方法并举例说明；</w:t>
      </w:r>
    </w:p>
    <w:p w14:paraId="04BE7DCE">
      <w:pPr>
        <w:spacing w:line="360" w:lineRule="auto"/>
        <w:ind w:firstLine="420" w:firstLineChars="200"/>
        <w:rPr>
          <w:rFonts w:hint="eastAsia"/>
          <w:bCs/>
          <w:szCs w:val="21"/>
        </w:rPr>
      </w:pPr>
      <w:r>
        <w:rPr>
          <w:rFonts w:hint="eastAsia"/>
          <w:bCs/>
          <w:szCs w:val="21"/>
        </w:rPr>
        <w:t>3、本基金持有的基金发生的重大影响事件，如转换运作方式、与其他基金合并、终止基金合同以及召开基金份额持有人大会等；</w:t>
      </w:r>
    </w:p>
    <w:p w14:paraId="77EBE192">
      <w:pPr>
        <w:spacing w:line="360" w:lineRule="auto"/>
        <w:ind w:firstLine="420" w:firstLineChars="200"/>
        <w:rPr>
          <w:rFonts w:hint="eastAsia"/>
          <w:bCs/>
          <w:szCs w:val="21"/>
        </w:rPr>
      </w:pPr>
      <w:r>
        <w:rPr>
          <w:rFonts w:hint="eastAsia"/>
          <w:bCs/>
          <w:szCs w:val="21"/>
        </w:rPr>
        <w:t>4、本基金投资于基金管理人以及基金管理人关联方所管理基金的情况。</w:t>
      </w:r>
    </w:p>
    <w:p w14:paraId="6E869BC6">
      <w:pPr>
        <w:spacing w:line="360" w:lineRule="auto"/>
        <w:ind w:firstLine="420" w:firstLineChars="200"/>
        <w:rPr>
          <w:rFonts w:hint="eastAsia"/>
          <w:bCs/>
          <w:szCs w:val="21"/>
        </w:rPr>
      </w:pPr>
      <w:r>
        <w:rPr>
          <w:rFonts w:hint="eastAsia"/>
          <w:bCs/>
          <w:szCs w:val="21"/>
        </w:rPr>
        <w:t>（十二）投资资产支持证券的信息披露</w:t>
      </w:r>
    </w:p>
    <w:p w14:paraId="164F806F">
      <w:pPr>
        <w:spacing w:line="360" w:lineRule="auto"/>
        <w:ind w:firstLine="420" w:firstLineChars="200"/>
        <w:rPr>
          <w:rFonts w:hint="eastAsia"/>
          <w:bCs/>
          <w:szCs w:val="21"/>
        </w:rPr>
      </w:pPr>
      <w:r>
        <w:rPr>
          <w:rFonts w:hint="eastAsia"/>
          <w:bCs/>
          <w:szCs w:val="21"/>
        </w:rPr>
        <w:t>基金管理人应在年度报告及中期报告中披露其持有的资产支持证券总额、资产支持证券市值占基金净资产的比例和报告期内所有的资产支持证券明细。</w:t>
      </w:r>
    </w:p>
    <w:p w14:paraId="50DA3FA8">
      <w:pPr>
        <w:spacing w:line="360" w:lineRule="auto"/>
        <w:ind w:firstLine="420" w:firstLineChars="200"/>
        <w:rPr>
          <w:rFonts w:hint="eastAsia"/>
          <w:bCs/>
          <w:szCs w:val="21"/>
        </w:rPr>
      </w:pPr>
      <w:r>
        <w:rPr>
          <w:rFonts w:hint="eastAsia"/>
          <w:bCs/>
          <w:szCs w:val="21"/>
        </w:rPr>
        <w:t>基金管理人应在基金季度报告中披露其持有的资产支持证券总额、资产支持证券市值占基金净资产的比例和报告期末按市值占基金净资产比例大小排序的前10名资产支持证券明细。</w:t>
      </w:r>
    </w:p>
    <w:p w14:paraId="0EC29AF6">
      <w:pPr>
        <w:spacing w:line="360" w:lineRule="auto"/>
        <w:ind w:firstLine="420" w:firstLineChars="200"/>
        <w:rPr>
          <w:rFonts w:hint="eastAsia"/>
          <w:bCs/>
          <w:szCs w:val="21"/>
        </w:rPr>
      </w:pPr>
      <w:r>
        <w:rPr>
          <w:rFonts w:hint="eastAsia"/>
          <w:bCs/>
          <w:szCs w:val="21"/>
        </w:rPr>
        <w:t>（十三）投资港股通标的信息披露</w:t>
      </w:r>
    </w:p>
    <w:p w14:paraId="06646A2D">
      <w:pPr>
        <w:spacing w:line="360" w:lineRule="auto"/>
        <w:ind w:firstLine="420" w:firstLineChars="200"/>
        <w:rPr>
          <w:rFonts w:hint="eastAsia"/>
          <w:bCs/>
          <w:szCs w:val="21"/>
        </w:rPr>
      </w:pPr>
      <w:r>
        <w:rPr>
          <w:rFonts w:hint="eastAsia"/>
          <w:bCs/>
          <w:szCs w:val="21"/>
        </w:rPr>
        <w:t>基金管理人应当在季度报告、中期报告、年度报告等定期报告和招募说明书（更新）等文件中披露本基金参与港股通标的交易的相关情况。</w:t>
      </w:r>
    </w:p>
    <w:p w14:paraId="4D17002D">
      <w:pPr>
        <w:spacing w:line="360" w:lineRule="auto"/>
        <w:ind w:firstLine="420" w:firstLineChars="200"/>
        <w:rPr>
          <w:rFonts w:hint="eastAsia"/>
          <w:bCs/>
          <w:szCs w:val="21"/>
        </w:rPr>
      </w:pPr>
      <w:r>
        <w:rPr>
          <w:rFonts w:hint="eastAsia"/>
          <w:bCs/>
          <w:szCs w:val="21"/>
        </w:rPr>
        <w:t>（十四）实施侧袋机制期间信息披露</w:t>
      </w:r>
    </w:p>
    <w:p w14:paraId="385BF052">
      <w:pPr>
        <w:spacing w:line="360" w:lineRule="auto"/>
        <w:ind w:firstLine="420" w:firstLineChars="200"/>
        <w:rPr>
          <w:rFonts w:hint="eastAsia"/>
          <w:bCs/>
          <w:szCs w:val="21"/>
        </w:rPr>
      </w:pPr>
      <w:r>
        <w:rPr>
          <w:rFonts w:hint="eastAsia"/>
          <w:bCs/>
          <w:szCs w:val="21"/>
        </w:rPr>
        <w:t>本基金实施侧袋机制的，相关信息披露义务人应当根据法律法规、基金合同和招募说明书的规定进行信息披露，详见招募说明书的规定。</w:t>
      </w:r>
    </w:p>
    <w:p w14:paraId="20E3DD50">
      <w:pPr>
        <w:spacing w:line="360" w:lineRule="auto"/>
        <w:ind w:firstLine="420" w:firstLineChars="200"/>
        <w:rPr>
          <w:rFonts w:hint="eastAsia"/>
          <w:bCs/>
          <w:szCs w:val="21"/>
        </w:rPr>
      </w:pPr>
      <w:r>
        <w:rPr>
          <w:rFonts w:hint="eastAsia"/>
          <w:bCs/>
          <w:szCs w:val="21"/>
        </w:rPr>
        <w:t>（十五）中国证监会规定的其他信息</w:t>
      </w:r>
    </w:p>
    <w:p w14:paraId="0F9C9F13">
      <w:pPr>
        <w:spacing w:line="360" w:lineRule="auto"/>
        <w:ind w:firstLine="422" w:firstLineChars="200"/>
        <w:rPr>
          <w:rFonts w:hint="eastAsia"/>
          <w:b/>
          <w:szCs w:val="21"/>
        </w:rPr>
      </w:pPr>
      <w:r>
        <w:rPr>
          <w:rFonts w:hint="eastAsia"/>
          <w:b/>
          <w:szCs w:val="21"/>
        </w:rPr>
        <w:t>六、信息披露事务管理</w:t>
      </w:r>
    </w:p>
    <w:p w14:paraId="141A1E0C">
      <w:pPr>
        <w:spacing w:line="360" w:lineRule="auto"/>
        <w:ind w:firstLine="420" w:firstLineChars="200"/>
        <w:rPr>
          <w:rFonts w:hint="eastAsia"/>
          <w:bCs/>
          <w:szCs w:val="21"/>
        </w:rPr>
      </w:pPr>
      <w:r>
        <w:rPr>
          <w:rFonts w:hint="eastAsia"/>
          <w:bCs/>
          <w:szCs w:val="21"/>
        </w:rPr>
        <w:t>基金管理人、基金托管人应当建立健全信息披露管理制度，指定专门部门及高级管理人员负责管理信息披露事务。</w:t>
      </w:r>
    </w:p>
    <w:p w14:paraId="0DFDB59D">
      <w:pPr>
        <w:spacing w:line="360" w:lineRule="auto"/>
        <w:ind w:firstLine="420" w:firstLineChars="200"/>
        <w:rPr>
          <w:rFonts w:hint="eastAsia"/>
          <w:bCs/>
          <w:szCs w:val="21"/>
        </w:rPr>
      </w:pPr>
      <w:r>
        <w:rPr>
          <w:rFonts w:hint="eastAsia"/>
          <w:bCs/>
          <w:szCs w:val="21"/>
        </w:rPr>
        <w:t>基金信息披露义务人公开披露基金信息，应当符合中国证监会相关基金信息披露内容与格式准则等法规规定。</w:t>
      </w:r>
    </w:p>
    <w:p w14:paraId="5FD5E07B">
      <w:pPr>
        <w:spacing w:line="360" w:lineRule="auto"/>
        <w:ind w:firstLine="420" w:firstLineChars="200"/>
        <w:rPr>
          <w:rFonts w:hint="eastAsia"/>
          <w:bCs/>
          <w:szCs w:val="21"/>
        </w:rPr>
      </w:pPr>
      <w:r>
        <w:rPr>
          <w:rFonts w:hint="eastAsia"/>
          <w:bCs/>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22483578">
      <w:pPr>
        <w:spacing w:line="360" w:lineRule="auto"/>
        <w:ind w:firstLine="420" w:firstLineChars="200"/>
        <w:rPr>
          <w:rFonts w:hint="eastAsia"/>
          <w:bCs/>
          <w:szCs w:val="21"/>
        </w:rPr>
      </w:pPr>
      <w:r>
        <w:rPr>
          <w:rFonts w:hint="eastAsia"/>
          <w:bCs/>
          <w:szCs w:val="21"/>
        </w:rPr>
        <w:t>基金管理人、基金托管人应当在规定媒介中选择一家媒介披露本基金信息。基金管理人、基金托管人应当向中国证监会基金电子披露网站报送拟披露的基金信息，并保证相关报送信息的真实、准确、完整、及时。</w:t>
      </w:r>
    </w:p>
    <w:p w14:paraId="70D817EE">
      <w:pPr>
        <w:spacing w:line="360" w:lineRule="auto"/>
        <w:ind w:firstLine="420" w:firstLineChars="200"/>
        <w:rPr>
          <w:bCs/>
          <w:szCs w:val="21"/>
        </w:rPr>
      </w:pPr>
      <w:r>
        <w:rPr>
          <w:bCs/>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14:paraId="5772F063">
      <w:pPr>
        <w:spacing w:line="360" w:lineRule="auto"/>
        <w:ind w:firstLine="420" w:firstLineChars="200"/>
        <w:rPr>
          <w:rFonts w:hint="eastAsia"/>
          <w:bCs/>
          <w:szCs w:val="21"/>
        </w:rPr>
      </w:pPr>
      <w:r>
        <w:rPr>
          <w:rFonts w:hint="eastAsia"/>
          <w:bCs/>
          <w:szCs w:val="21"/>
        </w:rPr>
        <w:t>为基金信息披露义务人公开披露的基金信息出具审计报告、法律意见书的专业机构，应当制作工作底稿，并将相关档案至少保存到基金合同终止后10年。</w:t>
      </w:r>
    </w:p>
    <w:p w14:paraId="1FFD1350">
      <w:pPr>
        <w:spacing w:line="360" w:lineRule="auto"/>
        <w:ind w:firstLine="422" w:firstLineChars="200"/>
        <w:rPr>
          <w:rFonts w:hint="eastAsia"/>
          <w:b/>
          <w:szCs w:val="21"/>
        </w:rPr>
      </w:pPr>
      <w:r>
        <w:rPr>
          <w:rFonts w:hint="eastAsia"/>
          <w:b/>
          <w:szCs w:val="21"/>
        </w:rPr>
        <w:t>七、信息披露文件的存放与查阅</w:t>
      </w:r>
    </w:p>
    <w:p w14:paraId="583436E5">
      <w:pPr>
        <w:spacing w:line="360" w:lineRule="auto"/>
        <w:ind w:firstLine="420" w:firstLineChars="200"/>
        <w:rPr>
          <w:rFonts w:hint="eastAsia"/>
          <w:bCs/>
          <w:szCs w:val="21"/>
        </w:rPr>
      </w:pPr>
      <w:r>
        <w:rPr>
          <w:rFonts w:hint="eastAsia"/>
          <w:bCs/>
          <w:szCs w:val="21"/>
        </w:rPr>
        <w:t>依法必须披露的信息发布后，基金管理人、基金托管人应当按照相关法律法规规定将信息置备于各自住所，供社会公众查阅、复制。</w:t>
      </w:r>
    </w:p>
    <w:p w14:paraId="3C2208EA">
      <w:pPr>
        <w:spacing w:line="360" w:lineRule="auto"/>
        <w:ind w:firstLine="422" w:firstLineChars="200"/>
        <w:rPr>
          <w:rFonts w:hint="eastAsia"/>
          <w:b/>
          <w:szCs w:val="21"/>
        </w:rPr>
      </w:pPr>
      <w:r>
        <w:rPr>
          <w:rFonts w:hint="eastAsia"/>
          <w:b/>
          <w:szCs w:val="21"/>
        </w:rPr>
        <w:t>八、暂停或延迟信息披露的情形</w:t>
      </w:r>
    </w:p>
    <w:p w14:paraId="55ADB946">
      <w:pPr>
        <w:spacing w:line="360" w:lineRule="auto"/>
        <w:ind w:firstLine="420" w:firstLineChars="200"/>
        <w:rPr>
          <w:rFonts w:hint="eastAsia"/>
          <w:bCs/>
          <w:szCs w:val="21"/>
        </w:rPr>
      </w:pPr>
      <w:r>
        <w:rPr>
          <w:rFonts w:hint="eastAsia"/>
          <w:bCs/>
          <w:szCs w:val="21"/>
        </w:rPr>
        <w:t xml:space="preserve">1、不可抗力； </w:t>
      </w:r>
    </w:p>
    <w:p w14:paraId="3218B4F3">
      <w:pPr>
        <w:spacing w:line="360" w:lineRule="auto"/>
        <w:ind w:firstLine="420" w:firstLineChars="200"/>
        <w:rPr>
          <w:rFonts w:hint="eastAsia"/>
          <w:bCs/>
          <w:szCs w:val="21"/>
        </w:rPr>
      </w:pPr>
      <w:r>
        <w:rPr>
          <w:rFonts w:hint="eastAsia"/>
          <w:bCs/>
          <w:szCs w:val="21"/>
        </w:rPr>
        <w:t>2、发生暂停基金估值的情形时；</w:t>
      </w:r>
    </w:p>
    <w:p w14:paraId="76EE0FBF">
      <w:pPr>
        <w:spacing w:line="360" w:lineRule="auto"/>
        <w:ind w:firstLine="420" w:firstLineChars="200"/>
        <w:rPr>
          <w:rFonts w:hint="eastAsia"/>
          <w:bCs/>
          <w:szCs w:val="21"/>
        </w:rPr>
      </w:pPr>
      <w:r>
        <w:rPr>
          <w:rFonts w:hint="eastAsia"/>
          <w:bCs/>
          <w:szCs w:val="21"/>
        </w:rPr>
        <w:t>3、法律法规规定、中国证监会或《基金合同》认定的其他情形。</w:t>
      </w:r>
    </w:p>
    <w:p w14:paraId="57AB5318">
      <w:pPr>
        <w:spacing w:line="360" w:lineRule="auto"/>
        <w:ind w:firstLine="420" w:firstLineChars="200"/>
        <w:rPr>
          <w:rFonts w:hint="eastAsia"/>
          <w:b/>
          <w:bCs/>
          <w:szCs w:val="21"/>
        </w:rPr>
      </w:pPr>
      <w:r>
        <w:rPr>
          <w:rFonts w:hint="eastAsia"/>
          <w:bCs/>
          <w:szCs w:val="21"/>
        </w:rPr>
        <w:t>九、本基金信息披露事项以法律法规规定及本章节约定的内容为准。</w:t>
      </w:r>
    </w:p>
    <w:p w14:paraId="0C9D0D13">
      <w:pPr>
        <w:spacing w:line="360" w:lineRule="auto"/>
        <w:ind w:firstLine="422" w:firstLineChars="200"/>
        <w:rPr>
          <w:rFonts w:hint="eastAsia"/>
          <w:b/>
          <w:bCs/>
          <w:szCs w:val="21"/>
        </w:rPr>
      </w:pPr>
    </w:p>
    <w:p w14:paraId="3F5B657D">
      <w:pPr>
        <w:spacing w:line="360" w:lineRule="auto"/>
        <w:ind w:firstLine="422" w:firstLineChars="200"/>
        <w:rPr>
          <w:rFonts w:hint="eastAsia"/>
          <w:b/>
          <w:bCs/>
          <w:szCs w:val="21"/>
        </w:rPr>
      </w:pPr>
    </w:p>
    <w:p w14:paraId="17D4F10F">
      <w:pPr>
        <w:spacing w:line="360" w:lineRule="auto"/>
        <w:ind w:firstLine="422" w:firstLineChars="200"/>
        <w:rPr>
          <w:rFonts w:hint="eastAsia"/>
          <w:b/>
          <w:bCs/>
          <w:szCs w:val="21"/>
        </w:rPr>
        <w:sectPr>
          <w:footerReference r:id="rId21" w:type="default"/>
          <w:pgSz w:w="11906" w:h="16838"/>
          <w:pgMar w:top="1440" w:right="1797" w:bottom="1440" w:left="1797" w:header="851" w:footer="992" w:gutter="0"/>
          <w:pgNumType w:start="1"/>
          <w:cols w:space="720" w:num="1"/>
          <w:docGrid w:linePitch="312" w:charSpace="0"/>
        </w:sectPr>
      </w:pPr>
    </w:p>
    <w:p w14:paraId="13878D53">
      <w:pPr>
        <w:pStyle w:val="2"/>
        <w:spacing w:before="72" w:beforeLines="30" w:after="72" w:afterLines="30" w:line="360" w:lineRule="auto"/>
        <w:jc w:val="center"/>
        <w:rPr>
          <w:rFonts w:cs="宋体"/>
          <w:color w:val="000000"/>
          <w:kern w:val="0"/>
          <w:szCs w:val="21"/>
        </w:rPr>
      </w:pPr>
      <w:bookmarkStart w:id="49" w:name="_Toc48231683"/>
      <w:r>
        <w:rPr>
          <w:rFonts w:hint="eastAsia" w:eastAsia="宋体"/>
          <w:b/>
          <w:sz w:val="28"/>
          <w:szCs w:val="24"/>
        </w:rPr>
        <w:t>第十六部分 侧袋机制</w:t>
      </w:r>
      <w:bookmarkEnd w:id="49"/>
    </w:p>
    <w:p w14:paraId="6939B4D9">
      <w:pPr>
        <w:adjustRightInd/>
        <w:snapToGrid w:val="0"/>
        <w:spacing w:line="360" w:lineRule="auto"/>
        <w:ind w:firstLine="420"/>
        <w:textAlignment w:val="auto"/>
        <w:rPr>
          <w:rFonts w:hint="eastAsia" w:cs="宋体"/>
          <w:b/>
          <w:color w:val="000000"/>
          <w:kern w:val="0"/>
          <w:szCs w:val="21"/>
        </w:rPr>
      </w:pPr>
      <w:r>
        <w:rPr>
          <w:rFonts w:hint="eastAsia" w:cs="宋体"/>
          <w:b/>
          <w:color w:val="000000"/>
          <w:kern w:val="0"/>
          <w:szCs w:val="21"/>
        </w:rPr>
        <w:t xml:space="preserve">一、侧袋机制的实施条件、实施程序和特定资产范围 </w:t>
      </w:r>
    </w:p>
    <w:p w14:paraId="2ACA5C0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w:t>
      </w:r>
    </w:p>
    <w:p w14:paraId="6872E83E">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5C77BA56">
      <w:pPr>
        <w:adjustRightInd/>
        <w:snapToGrid w:val="0"/>
        <w:spacing w:line="360" w:lineRule="auto"/>
        <w:ind w:firstLine="420"/>
        <w:textAlignment w:val="auto"/>
        <w:rPr>
          <w:rFonts w:hint="eastAsia" w:cs="宋体"/>
          <w:b/>
          <w:color w:val="000000"/>
          <w:kern w:val="0"/>
          <w:szCs w:val="21"/>
        </w:rPr>
      </w:pPr>
      <w:r>
        <w:rPr>
          <w:rFonts w:hint="eastAsia" w:cs="宋体"/>
          <w:b/>
          <w:color w:val="000000"/>
          <w:kern w:val="0"/>
          <w:szCs w:val="21"/>
        </w:rPr>
        <w:t>二、侧袋机制实施期间的基金运作安排</w:t>
      </w:r>
    </w:p>
    <w:p w14:paraId="4013F3B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（一）基金份额的申购与赎回</w:t>
      </w:r>
    </w:p>
    <w:p w14:paraId="73DED5C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1、侧袋机制实施期间，基金管理人不办理侧袋账户份额的申购、赎回和转换。基金份额持有人申请申购、赎回或转换侧袋账户份额的，该申购、赎回或转换申请将被拒绝。</w:t>
      </w:r>
    </w:p>
    <w:p w14:paraId="57108675">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2、当特定资产占前一估值日基金资产净值50%以上的，经与基金托管人协商确认后，基金管理人应当暂停基金估值，并暂停接受基金申购赎回申请或延缓支付赎回款项。</w:t>
      </w:r>
    </w:p>
    <w:p w14:paraId="4A41F1D3">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3、基金管理人依法保障主袋账户份额持有人享有基金合同约定的赎回权利，并根据主袋账户运作情况合理确定申购事项，具体事项届时由基金管理人在相关公告中规定。</w:t>
      </w:r>
    </w:p>
    <w:p w14:paraId="7E6256C0">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14:paraId="1211E5C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（二）基金份额的登记</w:t>
      </w:r>
    </w:p>
    <w:p w14:paraId="1AEC63D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14:paraId="6234234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启用侧袋机制当日，基金管理人和基金服务机构将以基金份额持有人的原有账户份额为基础，确认相应侧袋账户持有人名册和份额。</w:t>
      </w:r>
    </w:p>
    <w:p w14:paraId="62107793">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侧袋账户资产完全清算后，基金管理人将注销侧袋账户。</w:t>
      </w:r>
    </w:p>
    <w:p w14:paraId="6348ABCB">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（三）基金的投资及业绩</w:t>
      </w:r>
    </w:p>
    <w:p w14:paraId="5219E43A">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侧袋机制实施期间，本基金的各项投资运作指标和基金业绩指标应当以主袋账户资产为基准。基金管理人不得在侧袋账户中进行除特定资产处置变现以外的其他投资操作。</w:t>
      </w:r>
    </w:p>
    <w:p w14:paraId="0C214D2B">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基金管理人、基金服务机构在展示基金业绩时，将就前述情况进行充分的解释说明，避免引起投资者误解。</w:t>
      </w:r>
    </w:p>
    <w:p w14:paraId="4BDE01C5">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基金管理人原则上应当在侧袋机制启用后20个交易日内完成对主袋账户投资组合的调整，但因资产流动性受限等中国证监会规定的情形除外。</w:t>
      </w:r>
    </w:p>
    <w:p w14:paraId="42B6EAE2">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（四）基金的估值</w:t>
      </w:r>
    </w:p>
    <w:p w14:paraId="2F5DF3B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14:paraId="59907D66">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14:paraId="3576F3AB">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（五）基金的费用</w:t>
      </w:r>
    </w:p>
    <w:p w14:paraId="7A0D8BFC">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侧袋账户资产不收取管理费。如法律法规或监管机构对于侧袋账户资产托管费的收取另有规定的，以法律法规或监管机构最新要求为准。因启用侧袋机制产生的咨询、审计费用等由基金管理人承担。</w:t>
      </w:r>
    </w:p>
    <w:p w14:paraId="52C1E7FA">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 xml:space="preserve">基金管理人可以将与侧袋账户有关的费用从侧袋账户资产中列支，但应待特定资产变现后方可列支。 </w:t>
      </w:r>
    </w:p>
    <w:p w14:paraId="601DF6D6">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（六）基金的收益分配</w:t>
      </w:r>
    </w:p>
    <w:p w14:paraId="3E7AE766">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侧袋机制实施期间，在主袋账户份额满足基金合同收益分配条件的情形下，基金管理人可对主袋账户份额进行收益分配。侧袋账户份额不再适用基金合同的收益与分配条款。</w:t>
      </w:r>
    </w:p>
    <w:p w14:paraId="7C659AC7">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（七）基金的信息披露</w:t>
      </w:r>
    </w:p>
    <w:p w14:paraId="495F709D">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1、基金净值信息</w:t>
      </w:r>
    </w:p>
    <w:p w14:paraId="46C24E0A">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侧袋机制实施期间，基金管理人应当暂停披露侧袋账户的基金净值信息。</w:t>
      </w:r>
    </w:p>
    <w:p w14:paraId="4B984E8B">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2、定期报告</w:t>
      </w:r>
    </w:p>
    <w:p w14:paraId="07ED7747">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侧袋机制实施期间，基金定期报告中的基金会计报表仅需针对主袋账户进行编制。侧袋账户相关信息在定期报告中单独进行披露，包括但不限于：</w:t>
      </w:r>
    </w:p>
    <w:p w14:paraId="0C5FC644">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（1）侧袋账户的基金代码、基金名称、侧袋账户成立日期等基本信息；</w:t>
      </w:r>
    </w:p>
    <w:p w14:paraId="7407BF9A">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（2）侧袋账户的初始资产、初始负债；</w:t>
      </w:r>
    </w:p>
    <w:p w14:paraId="0A1C7AA6">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（3）特定资产的名称、代码、发行人等基本信息；</w:t>
      </w:r>
    </w:p>
    <w:p w14:paraId="7050ECBE">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（4）报告期内的特定资产处置进展情况、与处置特定资产相关的费用情况及其他与特定资产状况相关的信息；</w:t>
      </w:r>
    </w:p>
    <w:p w14:paraId="6B8BBEB9">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（5）可根据特定资产处置进展情况披露特定资产的可变现净值或净值参考区间，该净值或净值区间并不代表特定资产最终的变现价格，不作为基金管理人对特定资产最终变现价格的承诺；</w:t>
      </w:r>
    </w:p>
    <w:p w14:paraId="53984699">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（6）可能对投资者利益存在重大影响的其他情况及相关风险提示。</w:t>
      </w:r>
    </w:p>
    <w:p w14:paraId="3F599BDF">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3、临时报告</w:t>
      </w:r>
    </w:p>
    <w:p w14:paraId="4B6E7871">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基金管理人在启用侧袋机制、处置特定资产、终止侧袋机制以及发生其他可能对投资者利益产生重大影响的事项后应及时发布临时公告。</w:t>
      </w:r>
    </w:p>
    <w:p w14:paraId="4A55A7E7">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启用侧袋机制的临时公告内容应当包括启用原因及程序、特定资产流动性和估值情况、对投资者申购赎回的影响、风险提示等重要信息。</w:t>
      </w:r>
    </w:p>
    <w:p w14:paraId="309DAAF1">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14:paraId="7CB4D477">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（八）特定资产处置清算</w:t>
      </w:r>
    </w:p>
    <w:p w14:paraId="73642F3A">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14:paraId="2CFEC5E4">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（九）侧袋的审计</w:t>
      </w:r>
    </w:p>
    <w:p w14:paraId="63A51DBE">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基金管理人应当在启用侧袋机制和终止侧袋机制后，及时聘请符合《</w:t>
      </w:r>
      <w:r>
        <w:rPr>
          <w:rFonts w:hint="eastAsia"/>
          <w:bCs/>
          <w:szCs w:val="21"/>
        </w:rPr>
        <w:t>中华人民共和国</w:t>
      </w:r>
      <w:r>
        <w:rPr>
          <w:rFonts w:hint="eastAsia" w:cs="宋体"/>
          <w:color w:val="000000"/>
          <w:kern w:val="0"/>
          <w:szCs w:val="21"/>
        </w:rPr>
        <w:t>证券法》规定的会计师事务所进行审计并披露专项审计意见，具体如下：</w:t>
      </w:r>
    </w:p>
    <w:p w14:paraId="33D04EA9">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基金管理人应当在启用侧袋机制时，就特定资产认定的相关事宜取得符合《</w:t>
      </w:r>
      <w:r>
        <w:rPr>
          <w:rFonts w:hint="eastAsia"/>
          <w:bCs/>
          <w:szCs w:val="21"/>
        </w:rPr>
        <w:t>中华人民共和国</w:t>
      </w:r>
      <w:r>
        <w:rPr>
          <w:rFonts w:hint="eastAsia" w:cs="宋体"/>
          <w:color w:val="000000"/>
          <w:kern w:val="0"/>
          <w:szCs w:val="21"/>
        </w:rPr>
        <w:t>证券法》规定的会计师事务所的专业意见。</w:t>
      </w:r>
    </w:p>
    <w:p w14:paraId="70E216F9">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14:paraId="793BAFEB">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会计师事务所对基金年度报告进行审计时，应对报告期间基金侧袋机制运行相关的会计核算和年报披露，执行适当程序并发表审计意见。</w:t>
      </w:r>
    </w:p>
    <w:p w14:paraId="24460587">
      <w:pPr>
        <w:adjustRightInd/>
        <w:snapToGrid w:val="0"/>
        <w:spacing w:line="360" w:lineRule="auto"/>
        <w:ind w:firstLine="420"/>
        <w:textAlignment w:val="auto"/>
        <w:rPr>
          <w:rFonts w:hint="eastAsia" w:cs="宋体"/>
          <w:color w:val="000000"/>
          <w:kern w:val="0"/>
          <w:szCs w:val="21"/>
        </w:rPr>
      </w:pPr>
      <w:r>
        <w:rPr>
          <w:rFonts w:hint="eastAsia" w:cs="宋体"/>
          <w:color w:val="000000"/>
          <w:kern w:val="0"/>
          <w:szCs w:val="21"/>
        </w:rPr>
        <w:t>当侧袋账户资产全部完成变现后，基金管理人应参照基金清算报告的相关要求，聘请符合《</w:t>
      </w:r>
      <w:r>
        <w:rPr>
          <w:rFonts w:hint="eastAsia"/>
          <w:bCs/>
          <w:szCs w:val="21"/>
        </w:rPr>
        <w:t>中华人民共和国</w:t>
      </w:r>
      <w:r>
        <w:rPr>
          <w:rFonts w:hint="eastAsia" w:cs="宋体"/>
          <w:color w:val="000000"/>
          <w:kern w:val="0"/>
          <w:szCs w:val="21"/>
        </w:rPr>
        <w:t>证券法》规定的会计师事务所对侧袋账户进行审计并披露专项审计意见。</w:t>
      </w:r>
    </w:p>
    <w:p w14:paraId="1EABE9C7">
      <w:pPr>
        <w:adjustRightInd/>
        <w:snapToGrid w:val="0"/>
        <w:spacing w:line="360" w:lineRule="auto"/>
        <w:ind w:firstLine="420"/>
        <w:textAlignment w:val="auto"/>
        <w:rPr>
          <w:rFonts w:hint="eastAsia" w:cs="宋体"/>
          <w:b/>
          <w:color w:val="000000"/>
          <w:kern w:val="0"/>
          <w:szCs w:val="21"/>
        </w:rPr>
      </w:pPr>
      <w:r>
        <w:rPr>
          <w:rFonts w:hint="eastAsia" w:cs="宋体"/>
          <w:b/>
          <w:color w:val="000000"/>
          <w:kern w:val="0"/>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额持有人大会审议。</w:t>
      </w:r>
    </w:p>
    <w:p w14:paraId="28BCB6C0">
      <w:pPr>
        <w:adjustRightInd/>
        <w:snapToGrid w:val="0"/>
        <w:spacing w:line="360" w:lineRule="auto"/>
        <w:ind w:firstLine="420"/>
        <w:textAlignment w:val="auto"/>
        <w:rPr>
          <w:rFonts w:cs="宋体"/>
          <w:b/>
          <w:color w:val="000000"/>
          <w:kern w:val="0"/>
          <w:szCs w:val="21"/>
        </w:rPr>
        <w:sectPr>
          <w:footerReference r:id="rId22" w:type="default"/>
          <w:pgSz w:w="11906" w:h="16838"/>
          <w:pgMar w:top="1440" w:right="1797" w:bottom="1440" w:left="1797" w:header="851" w:footer="992" w:gutter="0"/>
          <w:pgNumType w:start="1"/>
          <w:cols w:space="720" w:num="1"/>
          <w:docGrid w:linePitch="312" w:charSpace="0"/>
        </w:sectPr>
      </w:pPr>
    </w:p>
    <w:p w14:paraId="59EFA538">
      <w:pPr>
        <w:pStyle w:val="2"/>
        <w:spacing w:before="72" w:beforeLines="30" w:after="72" w:afterLines="30" w:line="360" w:lineRule="auto"/>
        <w:rPr>
          <w:rFonts w:hint="eastAsia" w:cs="宋体"/>
          <w:color w:val="000000"/>
          <w:kern w:val="0"/>
          <w:szCs w:val="21"/>
        </w:rPr>
      </w:pPr>
      <w:bookmarkStart w:id="50" w:name="_Toc48231684"/>
      <w:r>
        <w:rPr>
          <w:rFonts w:hint="eastAsia" w:eastAsia="宋体"/>
          <w:b/>
          <w:sz w:val="28"/>
          <w:szCs w:val="24"/>
        </w:rPr>
        <w:t>第十七部分 风险揭示</w:t>
      </w:r>
      <w:bookmarkEnd w:id="50"/>
    </w:p>
    <w:p w14:paraId="247A88A9">
      <w:pPr>
        <w:adjustRightInd/>
        <w:snapToGrid w:val="0"/>
        <w:spacing w:line="360" w:lineRule="auto"/>
        <w:ind w:firstLine="420"/>
        <w:textAlignment w:val="auto"/>
        <w:rPr>
          <w:rFonts w:cs="宋体"/>
          <w:color w:val="000000"/>
          <w:kern w:val="0"/>
          <w:szCs w:val="21"/>
        </w:rPr>
      </w:pPr>
      <w:r>
        <w:rPr>
          <w:rFonts w:hint="eastAsia" w:cs="宋体"/>
          <w:color w:val="000000"/>
          <w:kern w:val="0"/>
          <w:szCs w:val="21"/>
        </w:rPr>
        <w:t>本基金为基金中基金，主要投资于</w:t>
      </w:r>
      <w:r>
        <w:rPr>
          <w:rFonts w:hint="eastAsia"/>
          <w:bCs/>
          <w:szCs w:val="21"/>
        </w:rPr>
        <w:t>经中国证监会依法核准或注册的公开募集证券投资基金的基金份额</w:t>
      </w:r>
      <w:r>
        <w:rPr>
          <w:rFonts w:hint="eastAsia" w:cs="宋体"/>
          <w:color w:val="000000"/>
          <w:kern w:val="0"/>
          <w:szCs w:val="21"/>
        </w:rPr>
        <w:t>，基金净值会因为持有</w:t>
      </w:r>
      <w:r>
        <w:rPr>
          <w:rFonts w:cs="宋体"/>
          <w:color w:val="000000"/>
          <w:kern w:val="0"/>
          <w:szCs w:val="21"/>
        </w:rPr>
        <w:t>基金</w:t>
      </w:r>
      <w:r>
        <w:rPr>
          <w:rFonts w:hint="eastAsia" w:cs="宋体"/>
          <w:color w:val="000000"/>
          <w:kern w:val="0"/>
          <w:szCs w:val="21"/>
        </w:rPr>
        <w:t>的</w:t>
      </w:r>
      <w:r>
        <w:rPr>
          <w:rFonts w:cs="宋体"/>
          <w:color w:val="000000"/>
          <w:kern w:val="0"/>
          <w:szCs w:val="21"/>
        </w:rPr>
        <w:t>份额净值的变动而</w:t>
      </w:r>
      <w:r>
        <w:rPr>
          <w:rFonts w:hint="eastAsia" w:cs="宋体"/>
          <w:color w:val="000000"/>
          <w:kern w:val="0"/>
          <w:szCs w:val="21"/>
        </w:rPr>
        <w:t>产生波动，</w:t>
      </w:r>
      <w:r>
        <w:rPr>
          <w:rFonts w:cs="宋体"/>
          <w:color w:val="000000"/>
          <w:kern w:val="0"/>
          <w:szCs w:val="21"/>
        </w:rPr>
        <w:t>持有</w:t>
      </w:r>
      <w:r>
        <w:rPr>
          <w:rFonts w:hint="eastAsia" w:cs="宋体"/>
          <w:color w:val="000000"/>
          <w:kern w:val="0"/>
          <w:szCs w:val="21"/>
        </w:rPr>
        <w:t>基金</w:t>
      </w:r>
      <w:r>
        <w:rPr>
          <w:rFonts w:cs="宋体"/>
          <w:color w:val="000000"/>
          <w:kern w:val="0"/>
          <w:szCs w:val="21"/>
        </w:rPr>
        <w:t>的相关风险会</w:t>
      </w:r>
      <w:r>
        <w:rPr>
          <w:rFonts w:hint="eastAsia" w:cs="宋体"/>
          <w:color w:val="000000"/>
          <w:kern w:val="0"/>
          <w:szCs w:val="21"/>
        </w:rPr>
        <w:t>直接或间接</w:t>
      </w:r>
      <w:r>
        <w:rPr>
          <w:rFonts w:cs="宋体"/>
          <w:color w:val="000000"/>
          <w:kern w:val="0"/>
          <w:szCs w:val="21"/>
        </w:rPr>
        <w:t>成为本基金的风险</w:t>
      </w:r>
      <w:r>
        <w:rPr>
          <w:rFonts w:hint="eastAsia" w:cs="宋体"/>
          <w:color w:val="000000"/>
          <w:kern w:val="0"/>
          <w:szCs w:val="21"/>
        </w:rPr>
        <w:t>。</w:t>
      </w:r>
    </w:p>
    <w:p w14:paraId="62450CAC">
      <w:pPr>
        <w:adjustRightInd/>
        <w:snapToGrid w:val="0"/>
        <w:spacing w:line="360" w:lineRule="auto"/>
        <w:ind w:firstLine="420"/>
        <w:textAlignment w:val="auto"/>
        <w:rPr>
          <w:rFonts w:cs="宋体"/>
          <w:color w:val="000000"/>
          <w:kern w:val="0"/>
          <w:szCs w:val="21"/>
        </w:rPr>
      </w:pPr>
      <w:r>
        <w:t>本基金将主要面临以下风险，其中部分或全部风险因素可能对基金份额净值、收益率、和／或实现投资目标的能力造成影响。</w:t>
      </w:r>
    </w:p>
    <w:p w14:paraId="12EB5F47">
      <w:pPr>
        <w:autoSpaceDE w:val="0"/>
        <w:autoSpaceDN w:val="0"/>
        <w:spacing w:line="360" w:lineRule="auto"/>
        <w:ind w:firstLine="420"/>
        <w:textAlignment w:val="bottom"/>
        <w:rPr>
          <w:b/>
          <w:bCs/>
        </w:rPr>
      </w:pPr>
      <w:r>
        <w:rPr>
          <w:rFonts w:hint="eastAsia"/>
          <w:b/>
          <w:bCs/>
        </w:rPr>
        <w:t>一、市场风险</w:t>
      </w:r>
    </w:p>
    <w:p w14:paraId="54856396">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1、政策风险</w:t>
      </w:r>
    </w:p>
    <w:p w14:paraId="6660E001">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因财政政策、货币政策、产业政策、地区发展政策等国家宏观政策发生变化，导致市场价格波动，影响基金收益而产生风险。</w:t>
      </w:r>
    </w:p>
    <w:p w14:paraId="4A85161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2、经济周期风险</w:t>
      </w:r>
    </w:p>
    <w:p w14:paraId="473C057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随着经济运行的周期性变化，证券市场的收益水平也呈周期性变化，基金投资的收益水平也会随之变化，从而产生风险。</w:t>
      </w:r>
    </w:p>
    <w:p w14:paraId="34450646">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3、利率风险</w:t>
      </w:r>
    </w:p>
    <w:p w14:paraId="067EDFE7">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金融市场利率的波动会导致证券市场价格和收益率的变动。利率直接影响着债券的价格和收益率，影响着企业的融资成本和利润。基金投资于债券和股票，其收益水平可能会受到利率变化的影响。</w:t>
      </w:r>
    </w:p>
    <w:p w14:paraId="1D113DD9">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4、上市公司经营风险</w:t>
      </w:r>
    </w:p>
    <w:p w14:paraId="0956734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上市公司的经营状况受多种因素的影响，如管理能力、行业竞争、市场前景、技术更新、财务状况、新产品研究开发等都会导致公司盈利发生变化。如果基金所投资的上市公司经营不善，其股票价格可能下跌，或者能够用于分配的利润减少，使基金投资收益下降。上市公司还可能出现难以预见的变化。虽然基金可以通过投资多样化来分散这种非系统风险，但不能完全避免。</w:t>
      </w:r>
    </w:p>
    <w:p w14:paraId="6B036C62">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5、通货膨胀风险</w:t>
      </w:r>
    </w:p>
    <w:p w14:paraId="40A629CB">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基金投资的目的是基金资产的保值增值，如果发生通货膨胀，基金投资于证券所获得的收益可能会被通货膨胀抵消，从而影响基金资产的保值增值。</w:t>
      </w:r>
    </w:p>
    <w:p w14:paraId="58C8F225">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6、债券收益率曲线变动的风险</w:t>
      </w:r>
    </w:p>
    <w:p w14:paraId="130A2E82">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债券收益率曲线变动风险是指与收益率曲线非平行移动有关的风险，单一的久期指标并不能充分反映这一风险的存在。</w:t>
      </w:r>
    </w:p>
    <w:p w14:paraId="454CEA45">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7、再投资风险</w:t>
      </w:r>
    </w:p>
    <w:p w14:paraId="746A5196">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市场利率下降将影响固定收益类证券利息收入的再投资收益率，这与利率上升所带来的价格风险互为消长。</w:t>
      </w:r>
    </w:p>
    <w:p w14:paraId="58BA6F6F">
      <w:pPr>
        <w:autoSpaceDE w:val="0"/>
        <w:autoSpaceDN w:val="0"/>
        <w:spacing w:line="360" w:lineRule="auto"/>
        <w:ind w:firstLine="420"/>
        <w:textAlignment w:val="bottom"/>
        <w:rPr>
          <w:b/>
          <w:bCs/>
        </w:rPr>
      </w:pPr>
      <w:r>
        <w:rPr>
          <w:rFonts w:hint="eastAsia"/>
          <w:b/>
          <w:bCs/>
        </w:rPr>
        <w:t>二、信用风险</w:t>
      </w:r>
    </w:p>
    <w:p w14:paraId="32C9ECD2">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基金在交易过程中可能发生交收违约或者所投资债券的发行人违约、拒绝支付到期本息等情况，从而导致基金资产损失。</w:t>
      </w:r>
    </w:p>
    <w:p w14:paraId="7C0FBE45">
      <w:pPr>
        <w:autoSpaceDE w:val="0"/>
        <w:autoSpaceDN w:val="0"/>
        <w:spacing w:line="360" w:lineRule="auto"/>
        <w:ind w:firstLine="420"/>
        <w:textAlignment w:val="bottom"/>
        <w:rPr>
          <w:b/>
          <w:bCs/>
        </w:rPr>
      </w:pPr>
      <w:r>
        <w:rPr>
          <w:rFonts w:hint="eastAsia"/>
          <w:b/>
          <w:bCs/>
        </w:rPr>
        <w:t>三、管理风险</w:t>
      </w:r>
    </w:p>
    <w:p w14:paraId="7D6CB9F4">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管理人的专业技能、研究能力及投资管理水平直接影响到其对信息的占有、分析和对经济形势、证券价格走势的判断，进而影响基金的投资收益水平。同时，基金管理人的投资管理制度、风险管理和内部控制制度是否健全，能否有效防范道德风险和其他合规性风险，以及基金管理人的职业道德水平等，也会对基金的风险收益水平造成影响。</w:t>
      </w:r>
    </w:p>
    <w:p w14:paraId="632C84F0">
      <w:pPr>
        <w:autoSpaceDE w:val="0"/>
        <w:autoSpaceDN w:val="0"/>
        <w:spacing w:line="360" w:lineRule="auto"/>
        <w:ind w:firstLine="420"/>
        <w:textAlignment w:val="bottom"/>
        <w:rPr>
          <w:b/>
          <w:bCs/>
        </w:rPr>
      </w:pPr>
      <w:r>
        <w:rPr>
          <w:rFonts w:hint="eastAsia"/>
          <w:b/>
          <w:bCs/>
        </w:rPr>
        <w:t>四、流动性风险</w:t>
      </w:r>
    </w:p>
    <w:p w14:paraId="10AF0E13">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我国证券市场作为新兴转轨市场，市场整体流动性风险较高。基金投资组合中的股票和债券会因各种原因面临较高的流动性风险，使证券交易的执行难度提高，买入成本或变现成本增加。此外，基金投资者的赎回需求可能造成基金仓位调整和资产变现困难，加剧流动性风险。</w:t>
      </w:r>
    </w:p>
    <w:p w14:paraId="73FA6C82">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（1）拟投资市场、行业及资产的流动性风险评估</w:t>
      </w:r>
    </w:p>
    <w:p w14:paraId="0518D00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本基金的投资市场主要为证券交易所、全国银行间债券市场等流动性较好的规范型交易场所，主要投资对象为具有良好流动性的金融工具（</w:t>
      </w:r>
      <w:bookmarkStart w:id="51" w:name="_Hlk117607476"/>
      <w:r>
        <w:rPr>
          <w:rFonts w:hint="eastAsia" w:cs="宋体"/>
          <w:color w:val="000000"/>
          <w:kern w:val="0"/>
          <w:szCs w:val="21"/>
        </w:rPr>
        <w:t>包括经</w:t>
      </w:r>
      <w:r>
        <w:rPr>
          <w:rFonts w:hint="eastAsia" w:cs="宋体"/>
          <w:bCs/>
          <w:color w:val="000000"/>
          <w:kern w:val="0"/>
          <w:szCs w:val="21"/>
        </w:rPr>
        <w:t>中国证监会依法核准或注册的公开募集证券投资基金（包含香港互认基金、QDII基金、公开募集不动产投资信托基金、商品基金，但具有</w:t>
      </w:r>
      <w:r>
        <w:rPr>
          <w:rFonts w:cs="宋体"/>
          <w:bCs/>
          <w:color w:val="000000"/>
          <w:kern w:val="0"/>
          <w:szCs w:val="21"/>
        </w:rPr>
        <w:t>复杂、衍生品</w:t>
      </w:r>
      <w:r>
        <w:rPr>
          <w:rFonts w:hint="eastAsia" w:cs="宋体"/>
          <w:bCs/>
          <w:color w:val="000000"/>
          <w:kern w:val="0"/>
          <w:szCs w:val="21"/>
        </w:rPr>
        <w:t>性质的</w:t>
      </w:r>
      <w:r>
        <w:rPr>
          <w:rFonts w:cs="宋体"/>
          <w:bCs/>
          <w:color w:val="000000"/>
          <w:kern w:val="0"/>
          <w:szCs w:val="21"/>
        </w:rPr>
        <w:t>基金份额除外</w:t>
      </w:r>
      <w:r>
        <w:rPr>
          <w:rFonts w:hint="eastAsia" w:cs="宋体"/>
          <w:bCs/>
          <w:color w:val="000000"/>
          <w:kern w:val="0"/>
          <w:szCs w:val="21"/>
        </w:rPr>
        <w:t>）、</w:t>
      </w:r>
      <w:r>
        <w:rPr>
          <w:rFonts w:hint="eastAsia" w:cs="宋体"/>
          <w:color w:val="000000"/>
          <w:kern w:val="0"/>
          <w:szCs w:val="21"/>
        </w:rPr>
        <w:t>国内依法发行或上市的股票</w:t>
      </w:r>
      <w:bookmarkEnd w:id="51"/>
      <w:r>
        <w:rPr>
          <w:rFonts w:hint="eastAsia" w:cs="宋体"/>
          <w:color w:val="000000"/>
          <w:kern w:val="0"/>
          <w:szCs w:val="21"/>
        </w:rPr>
        <w:t>、港股通标的证券（包含股票和ETF）、债券和货币市场工具等），同时本基金基于分散投资的原则在行业和个券方面未有高集中度的特征，综合评估在正常市场环境下本基金的流动性风险适中。</w:t>
      </w:r>
    </w:p>
    <w:p w14:paraId="083ADBA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（2）实施备用的流动性风险管理工具的情形、程序及对投资者的潜在影响</w:t>
      </w:r>
    </w:p>
    <w:p w14:paraId="10A4E873">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14:paraId="4EBFF8D1">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 xml:space="preserve">（3）巨额赎回情形下的流动性风险管理措施 </w:t>
      </w:r>
    </w:p>
    <w:p w14:paraId="081A472C">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或延缓支付赎回款项的措施。</w:t>
      </w:r>
    </w:p>
    <w:p w14:paraId="6CC9E7A1">
      <w:pPr>
        <w:autoSpaceDE w:val="0"/>
        <w:autoSpaceDN w:val="0"/>
        <w:spacing w:line="360" w:lineRule="auto"/>
        <w:ind w:firstLine="420"/>
        <w:textAlignment w:val="bottom"/>
        <w:rPr>
          <w:b/>
          <w:bCs/>
        </w:rPr>
      </w:pPr>
      <w:r>
        <w:rPr>
          <w:rFonts w:hint="eastAsia"/>
          <w:b/>
          <w:bCs/>
        </w:rPr>
        <w:t>五、操作和技术风险</w:t>
      </w:r>
    </w:p>
    <w:p w14:paraId="07FF54A5">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基金的相关当事人在各业务环节的操作过程中，可能因内部控制不到位或者人为因素造成操作失误或违反操作规程而引致风险，如越权交易、内幕交易、交易错误和欺诈等。</w:t>
      </w:r>
    </w:p>
    <w:p w14:paraId="2C7C283B">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此外，在开放式基金的后台运作中，可能因为技术系统的故障或者差错而影响交易的正常进行甚至导致基金份额持有人利益受到影响。这种技术风险可能来自基金管理人、基金托管人、登记机构、销售机构、证券交易所和证券登记结算机构等。</w:t>
      </w:r>
    </w:p>
    <w:p w14:paraId="681B3299">
      <w:pPr>
        <w:autoSpaceDE w:val="0"/>
        <w:autoSpaceDN w:val="0"/>
        <w:spacing w:line="360" w:lineRule="auto"/>
        <w:ind w:firstLine="420"/>
        <w:textAlignment w:val="bottom"/>
        <w:rPr>
          <w:b/>
          <w:bCs/>
        </w:rPr>
      </w:pPr>
      <w:r>
        <w:rPr>
          <w:rFonts w:hint="eastAsia"/>
          <w:b/>
          <w:bCs/>
        </w:rPr>
        <w:t>六、合规性风险</w:t>
      </w:r>
    </w:p>
    <w:p w14:paraId="423C9FD9">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指基金管理或运作过程中，违反国家法律、法规或基金合同有关规定的风险。</w:t>
      </w:r>
    </w:p>
    <w:p w14:paraId="5E5C6DA5">
      <w:pPr>
        <w:autoSpaceDE w:val="0"/>
        <w:autoSpaceDN w:val="0"/>
        <w:spacing w:line="360" w:lineRule="auto"/>
        <w:ind w:firstLine="420"/>
        <w:textAlignment w:val="bottom"/>
        <w:rPr>
          <w:b/>
          <w:bCs/>
        </w:rPr>
      </w:pPr>
      <w:r>
        <w:rPr>
          <w:rFonts w:hint="eastAsia"/>
          <w:b/>
          <w:bCs/>
        </w:rPr>
        <w:t>七、本基金特有的风险</w:t>
      </w:r>
    </w:p>
    <w:p w14:paraId="07F59CC4">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本基金为基金中基金，主要投资于经中国证监会依法核准或注册的公开募集证券投资基金的基金份额，基金净值会因为持有基金份额净值的变动而产生波动，持有基金的相关风险会直接</w:t>
      </w:r>
      <w:r>
        <w:rPr>
          <w:rFonts w:cs="宋体"/>
          <w:color w:val="000000"/>
          <w:kern w:val="0"/>
          <w:szCs w:val="21"/>
        </w:rPr>
        <w:t>或</w:t>
      </w:r>
      <w:r>
        <w:rPr>
          <w:rFonts w:hint="eastAsia" w:cs="宋体"/>
          <w:color w:val="000000"/>
          <w:kern w:val="0"/>
          <w:szCs w:val="21"/>
        </w:rPr>
        <w:t>间接成为本基金的风险，本基金具有如下特有风险：</w:t>
      </w:r>
    </w:p>
    <w:p w14:paraId="670A3CC3">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本基金是基金中基金，优选多种具有不同风险收益特征的基金，寻求基金资产的长期稳健增值。因此各类资产股票市场、债券市场、海外市场等的变化将影响到本基金基金业绩表现。本基金管理人将发挥专业研究优势，力争通过各类资产的合理配置，持续优化组合配置，以控制特定风险。</w:t>
      </w:r>
    </w:p>
    <w:p w14:paraId="5778807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2、持有基金</w:t>
      </w:r>
      <w:r>
        <w:rPr>
          <w:rFonts w:cs="宋体"/>
          <w:color w:val="000000"/>
          <w:kern w:val="0"/>
          <w:szCs w:val="21"/>
        </w:rPr>
        <w:t>的风险</w:t>
      </w:r>
    </w:p>
    <w:p w14:paraId="3492A3B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本基金所持有</w:t>
      </w:r>
      <w:r>
        <w:rPr>
          <w:rFonts w:cs="宋体"/>
          <w:color w:val="000000"/>
          <w:kern w:val="0"/>
          <w:szCs w:val="21"/>
        </w:rPr>
        <w:t>的基金可能面临的</w:t>
      </w:r>
      <w:r>
        <w:rPr>
          <w:rFonts w:hint="eastAsia" w:cs="宋体"/>
          <w:color w:val="000000"/>
          <w:kern w:val="0"/>
          <w:szCs w:val="21"/>
        </w:rPr>
        <w:t>市场风险、信用风险、管理风险、流动性风险、操作和技术风险、合规性风险以及</w:t>
      </w:r>
      <w:r>
        <w:rPr>
          <w:rFonts w:cs="宋体"/>
          <w:color w:val="000000"/>
          <w:kern w:val="0"/>
          <w:szCs w:val="21"/>
        </w:rPr>
        <w:t>其他风险等将直接或间接成为本基金的风险</w:t>
      </w:r>
      <w:r>
        <w:rPr>
          <w:rFonts w:hint="eastAsia" w:cs="宋体"/>
          <w:color w:val="000000"/>
          <w:kern w:val="0"/>
          <w:szCs w:val="21"/>
        </w:rPr>
        <w:t>。</w:t>
      </w:r>
    </w:p>
    <w:p w14:paraId="16447CD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3、本基金对每份基金份额设置3个月的最短持有期。在基金份额的最短持有期到期日之前（不含最短持有期到期日当日），投资者不能提出赎回申请，最短持有期期满后（含最短持有期到期日当日）投资者可以申请赎回。因此，基金份额持有人将面临在3个月持有期到期前不能赎回基金份额的风险。</w:t>
      </w:r>
    </w:p>
    <w:p w14:paraId="4E0C8EF0">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4、持有基金收取</w:t>
      </w:r>
      <w:r>
        <w:rPr>
          <w:rFonts w:cs="宋体"/>
          <w:color w:val="000000"/>
          <w:kern w:val="0"/>
          <w:szCs w:val="21"/>
        </w:rPr>
        <w:t>相关</w:t>
      </w:r>
      <w:r>
        <w:rPr>
          <w:rFonts w:hint="eastAsia" w:cs="宋体"/>
          <w:color w:val="000000"/>
          <w:kern w:val="0"/>
          <w:szCs w:val="21"/>
        </w:rPr>
        <w:t>费用</w:t>
      </w:r>
      <w:r>
        <w:rPr>
          <w:rFonts w:cs="宋体"/>
          <w:color w:val="000000"/>
          <w:kern w:val="0"/>
          <w:szCs w:val="21"/>
        </w:rPr>
        <w:t>降低本基金收益的风险</w:t>
      </w:r>
    </w:p>
    <w:p w14:paraId="775F1F7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本基金持有的</w:t>
      </w:r>
      <w:r>
        <w:rPr>
          <w:rFonts w:cs="宋体"/>
          <w:color w:val="000000"/>
          <w:kern w:val="0"/>
          <w:szCs w:val="21"/>
        </w:rPr>
        <w:t>基金</w:t>
      </w:r>
      <w:r>
        <w:rPr>
          <w:rFonts w:hint="eastAsia" w:cs="宋体"/>
          <w:color w:val="000000"/>
          <w:kern w:val="0"/>
          <w:szCs w:val="21"/>
        </w:rPr>
        <w:t>收取</w:t>
      </w:r>
      <w:r>
        <w:rPr>
          <w:rFonts w:cs="宋体"/>
          <w:color w:val="000000"/>
          <w:kern w:val="0"/>
          <w:szCs w:val="21"/>
        </w:rPr>
        <w:t>销售服务费、托管费和管理费等，</w:t>
      </w:r>
      <w:r>
        <w:rPr>
          <w:rFonts w:hint="eastAsia" w:cs="宋体"/>
          <w:color w:val="000000"/>
          <w:kern w:val="0"/>
          <w:szCs w:val="21"/>
        </w:rPr>
        <w:t>本</w:t>
      </w:r>
      <w:r>
        <w:rPr>
          <w:rFonts w:cs="宋体"/>
          <w:color w:val="000000"/>
          <w:kern w:val="0"/>
          <w:szCs w:val="21"/>
        </w:rPr>
        <w:t>基金</w:t>
      </w:r>
      <w:r>
        <w:rPr>
          <w:rFonts w:hint="eastAsia" w:cs="宋体"/>
          <w:color w:val="000000"/>
          <w:kern w:val="0"/>
          <w:szCs w:val="21"/>
        </w:rPr>
        <w:t>对</w:t>
      </w:r>
      <w:r>
        <w:rPr>
          <w:rFonts w:cs="宋体"/>
          <w:color w:val="000000"/>
          <w:kern w:val="0"/>
          <w:szCs w:val="21"/>
        </w:rPr>
        <w:t>相关费用</w:t>
      </w:r>
      <w:r>
        <w:rPr>
          <w:rFonts w:hint="eastAsia" w:cs="宋体"/>
          <w:color w:val="000000"/>
          <w:kern w:val="0"/>
          <w:szCs w:val="21"/>
        </w:rPr>
        <w:t>的</w:t>
      </w:r>
      <w:r>
        <w:rPr>
          <w:rFonts w:cs="宋体"/>
          <w:color w:val="000000"/>
          <w:kern w:val="0"/>
          <w:szCs w:val="21"/>
        </w:rPr>
        <w:t>支付将</w:t>
      </w:r>
      <w:r>
        <w:rPr>
          <w:rFonts w:hint="eastAsia" w:cs="宋体"/>
          <w:color w:val="000000"/>
          <w:kern w:val="0"/>
          <w:szCs w:val="21"/>
        </w:rPr>
        <w:t>对</w:t>
      </w:r>
      <w:r>
        <w:rPr>
          <w:rFonts w:cs="宋体"/>
          <w:color w:val="000000"/>
          <w:kern w:val="0"/>
          <w:szCs w:val="21"/>
        </w:rPr>
        <w:t>收益水平</w:t>
      </w:r>
      <w:r>
        <w:rPr>
          <w:rFonts w:hint="eastAsia" w:cs="宋体"/>
          <w:color w:val="000000"/>
          <w:kern w:val="0"/>
          <w:szCs w:val="21"/>
        </w:rPr>
        <w:t>造成</w:t>
      </w:r>
      <w:r>
        <w:rPr>
          <w:rFonts w:cs="宋体"/>
          <w:color w:val="000000"/>
          <w:kern w:val="0"/>
          <w:szCs w:val="21"/>
        </w:rPr>
        <w:t>影响。</w:t>
      </w:r>
    </w:p>
    <w:p w14:paraId="2BD63166">
      <w:pPr>
        <w:autoSpaceDE w:val="0"/>
        <w:autoSpaceDN w:val="0"/>
        <w:snapToGrid w:val="0"/>
        <w:spacing w:line="360" w:lineRule="auto"/>
        <w:ind w:firstLine="420" w:firstLineChars="200"/>
        <w:jc w:val="left"/>
        <w:textAlignment w:val="auto"/>
        <w:rPr>
          <w:bCs/>
          <w:kern w:val="0"/>
        </w:rPr>
      </w:pPr>
      <w:r>
        <w:rPr>
          <w:rFonts w:hint="eastAsia" w:cs="宋体"/>
          <w:color w:val="000000"/>
          <w:kern w:val="0"/>
          <w:szCs w:val="21"/>
        </w:rPr>
        <w:t>5、</w:t>
      </w:r>
      <w:r>
        <w:rPr>
          <w:bCs/>
          <w:kern w:val="0"/>
        </w:rPr>
        <w:t>赎回资金到账时间</w:t>
      </w:r>
      <w:r>
        <w:rPr>
          <w:rFonts w:hint="eastAsia"/>
          <w:bCs/>
          <w:kern w:val="0"/>
        </w:rPr>
        <w:t>、估值、净值披露时间</w:t>
      </w:r>
      <w:r>
        <w:rPr>
          <w:bCs/>
          <w:kern w:val="0"/>
        </w:rPr>
        <w:t>较晚的风险</w:t>
      </w:r>
    </w:p>
    <w:p w14:paraId="0A3F535B">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本基金的</w:t>
      </w:r>
      <w:r>
        <w:rPr>
          <w:rFonts w:cs="宋体"/>
          <w:color w:val="000000"/>
          <w:kern w:val="0"/>
          <w:szCs w:val="21"/>
        </w:rPr>
        <w:t>赎回资金到账时间在一定程度上取决于</w:t>
      </w:r>
      <w:r>
        <w:rPr>
          <w:rFonts w:hint="eastAsia" w:cs="宋体"/>
          <w:color w:val="000000"/>
          <w:kern w:val="0"/>
          <w:szCs w:val="21"/>
        </w:rPr>
        <w:t>卖出</w:t>
      </w:r>
      <w:r>
        <w:rPr>
          <w:rFonts w:cs="宋体"/>
          <w:color w:val="000000"/>
          <w:kern w:val="0"/>
          <w:szCs w:val="21"/>
        </w:rPr>
        <w:t>或</w:t>
      </w:r>
      <w:r>
        <w:rPr>
          <w:rFonts w:hint="eastAsia" w:cs="宋体"/>
          <w:color w:val="000000"/>
          <w:kern w:val="0"/>
          <w:szCs w:val="21"/>
        </w:rPr>
        <w:t>赎回</w:t>
      </w:r>
      <w:r>
        <w:rPr>
          <w:rFonts w:cs="宋体"/>
          <w:color w:val="000000"/>
          <w:kern w:val="0"/>
          <w:szCs w:val="21"/>
        </w:rPr>
        <w:t>持有基金</w:t>
      </w:r>
      <w:r>
        <w:rPr>
          <w:rFonts w:hint="eastAsia" w:cs="宋体"/>
          <w:color w:val="000000"/>
          <w:kern w:val="0"/>
          <w:szCs w:val="21"/>
        </w:rPr>
        <w:t>所得</w:t>
      </w:r>
      <w:r>
        <w:rPr>
          <w:rFonts w:cs="宋体"/>
          <w:color w:val="000000"/>
          <w:kern w:val="0"/>
          <w:szCs w:val="21"/>
        </w:rPr>
        <w:t>款项的</w:t>
      </w:r>
      <w:r>
        <w:rPr>
          <w:rFonts w:hint="eastAsia" w:cs="宋体"/>
          <w:color w:val="000000"/>
          <w:kern w:val="0"/>
          <w:szCs w:val="21"/>
        </w:rPr>
        <w:t>到账</w:t>
      </w:r>
      <w:r>
        <w:rPr>
          <w:rFonts w:cs="宋体"/>
          <w:color w:val="000000"/>
          <w:kern w:val="0"/>
          <w:szCs w:val="21"/>
        </w:rPr>
        <w:t>时间，</w:t>
      </w:r>
      <w:r>
        <w:rPr>
          <w:rFonts w:hint="eastAsia" w:cs="宋体"/>
          <w:color w:val="000000"/>
          <w:kern w:val="0"/>
          <w:szCs w:val="21"/>
        </w:rPr>
        <w:t>赎回资金到账时间较长，受此影响本基金的赎回资金到账时间可能会较晚。</w:t>
      </w:r>
    </w:p>
    <w:p w14:paraId="04CE7B07">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本基金持有其他公开募集证券投资基金，其估值须待持有的公开募集证券基金净值披露后方可进行，因此本基金的估值和净值披露时间通常晚于一般证券投资基金。</w:t>
      </w:r>
    </w:p>
    <w:p w14:paraId="110EF803">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6、流动性风险</w:t>
      </w:r>
    </w:p>
    <w:p w14:paraId="765DAFF3">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（1）在基金建仓时，可能由于所投资基金</w:t>
      </w:r>
      <w:r>
        <w:rPr>
          <w:rFonts w:cs="宋体"/>
          <w:color w:val="000000"/>
          <w:kern w:val="0"/>
          <w:szCs w:val="21"/>
        </w:rPr>
        <w:t>的</w:t>
      </w:r>
      <w:r>
        <w:rPr>
          <w:rFonts w:hint="eastAsia" w:cs="宋体"/>
          <w:color w:val="000000"/>
          <w:kern w:val="0"/>
          <w:szCs w:val="21"/>
        </w:rPr>
        <w:t>流动性不足等原因而无法按预期进行建仓，从而对基金运作产生不利影响。</w:t>
      </w:r>
    </w:p>
    <w:p w14:paraId="5E92BB65">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（2）在所投资基金暂停交易或者暂停申购、赎回的情况下，基金管理人可能无法迅速、低成本地调整基金投资组合，从而对基金收益造成不利影响。</w:t>
      </w:r>
    </w:p>
    <w:p w14:paraId="55E3051B">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7、</w:t>
      </w:r>
      <w:r>
        <w:rPr>
          <w:rFonts w:cs="宋体"/>
          <w:color w:val="000000"/>
          <w:kern w:val="0"/>
          <w:szCs w:val="21"/>
        </w:rPr>
        <w:t>持有</w:t>
      </w:r>
      <w:r>
        <w:rPr>
          <w:rFonts w:hint="eastAsia" w:cs="宋体"/>
          <w:color w:val="000000"/>
          <w:kern w:val="0"/>
          <w:szCs w:val="21"/>
        </w:rPr>
        <w:t>基金</w:t>
      </w:r>
      <w:r>
        <w:rPr>
          <w:rFonts w:cs="宋体"/>
          <w:color w:val="000000"/>
          <w:kern w:val="0"/>
          <w:szCs w:val="21"/>
        </w:rPr>
        <w:t>管理人</w:t>
      </w:r>
      <w:r>
        <w:rPr>
          <w:rFonts w:hint="eastAsia" w:cs="宋体"/>
          <w:color w:val="000000"/>
          <w:kern w:val="0"/>
          <w:szCs w:val="21"/>
        </w:rPr>
        <w:t>或</w:t>
      </w:r>
      <w:r>
        <w:rPr>
          <w:rFonts w:cs="宋体"/>
          <w:color w:val="000000"/>
          <w:kern w:val="0"/>
          <w:szCs w:val="21"/>
        </w:rPr>
        <w:t>基金管理人关联方管理基金的风险</w:t>
      </w:r>
    </w:p>
    <w:p w14:paraId="3A6AE92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w:t>
      </w:r>
      <w:r>
        <w:rPr>
          <w:rFonts w:cs="宋体"/>
          <w:color w:val="000000"/>
          <w:kern w:val="0"/>
          <w:szCs w:val="21"/>
        </w:rPr>
        <w:t>可投资于基金管理人或基金管理人关联方管理的其他基金</w:t>
      </w:r>
      <w:r>
        <w:rPr>
          <w:rFonts w:hint="eastAsia" w:cs="宋体"/>
          <w:color w:val="000000"/>
          <w:kern w:val="0"/>
          <w:szCs w:val="21"/>
        </w:rPr>
        <w:t>，基金管理人或基金管理人关联方管理的其他基金的</w:t>
      </w:r>
      <w:r>
        <w:rPr>
          <w:rFonts w:cs="宋体"/>
          <w:color w:val="000000"/>
          <w:kern w:val="0"/>
          <w:szCs w:val="21"/>
        </w:rPr>
        <w:t>相关风险</w:t>
      </w:r>
      <w:r>
        <w:rPr>
          <w:rFonts w:hint="eastAsia" w:cs="宋体"/>
          <w:color w:val="000000"/>
          <w:kern w:val="0"/>
          <w:szCs w:val="21"/>
        </w:rPr>
        <w:t>将</w:t>
      </w:r>
      <w:r>
        <w:rPr>
          <w:rFonts w:cs="宋体"/>
          <w:color w:val="000000"/>
          <w:kern w:val="0"/>
          <w:szCs w:val="21"/>
        </w:rPr>
        <w:t>直接或间接成为本基金的风险。</w:t>
      </w:r>
    </w:p>
    <w:p w14:paraId="3C2155E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8、投资于流通受限证券的风险</w:t>
      </w:r>
    </w:p>
    <w:p w14:paraId="2B123968">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投资范围包括流通受限证券，由于流通受限证券具有锁定期，存在潜在的流动性风险。因此可能在本基金需要变现资产时，受流动性所限，本基金无法卖出所持有的流通受限证券，由此可能给基金净值带来不利影响或损失。</w:t>
      </w:r>
    </w:p>
    <w:p w14:paraId="1B6622E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9、投资于资产支持证券的风险</w:t>
      </w:r>
    </w:p>
    <w:p w14:paraId="474F8E9A">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投资范围包括资产支持证券，资产支持证券是一种债券性质的金融工具。资产支持证券的风险主要包括资产风险及证券化风险。资产风险源于资产本身，包括价格波动风险、流动性风险等。证券化风险主要表现为信用评级风险、法律风险等。</w:t>
      </w:r>
    </w:p>
    <w:p w14:paraId="449F7D85">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10、港股通机制下，港股通标的证券投资风险</w:t>
      </w:r>
    </w:p>
    <w:p w14:paraId="20A4556A">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投资范围为具有良好流动性的金融工具，包括内地与香港股票市场交易互联互通机制下允许投资的香港联合交易所上市的股票、ETF，除与其他投资于内地市场股票的基金所面临的共同风险外，本基金还面临港股通机制下因投资环境、投资者结构、投资标的构成、市场制度以及交易规则等差异所带来的特有风险，包括但不限于：</w:t>
      </w:r>
    </w:p>
    <w:p w14:paraId="013A8FE2">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（1）市场联动的风险</w:t>
      </w:r>
    </w:p>
    <w:p w14:paraId="6964B93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w:t>
      </w:r>
    </w:p>
    <w:p w14:paraId="7216BEC6">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（2）股价波动的风险</w:t>
      </w:r>
    </w:p>
    <w:p w14:paraId="4D7D939A">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14:paraId="260884F8">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（3）汇率风险</w:t>
      </w:r>
    </w:p>
    <w:p w14:paraId="40F20EDE">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14:paraId="3E8D7B8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14:paraId="03D0FA85">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（4）港股通额度限制</w:t>
      </w:r>
    </w:p>
    <w:p w14:paraId="0A557DBC">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现行的港股通规则，对港股通设有每日额度上限的限制；本基金可能因为港股通市场每日额度不足，而不能买入看好之投资标的进而错失投资机会的风险。</w:t>
      </w:r>
    </w:p>
    <w:p w14:paraId="57B1E3D7">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（5）港股通可投资标的范围调整带来的风险</w:t>
      </w:r>
    </w:p>
    <w:p w14:paraId="2203DA34">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14:paraId="78E7D37B">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（6）港股通交易日设定的风险</w:t>
      </w:r>
    </w:p>
    <w:p w14:paraId="142DE37E">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根据现行的港股通规则，只有内地与香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14:paraId="56E047F5">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（7）交收制度带来的基金流动性风险</w:t>
      </w:r>
    </w:p>
    <w:p w14:paraId="31A785B1">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14:paraId="51F7B568">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（8）港股通下对公司行为的处理规则带来的风险</w:t>
      </w:r>
    </w:p>
    <w:p w14:paraId="14059A5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14:paraId="6AFFA0C1">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本基金存在因上述规则，利益得不到最大化甚至受损的风险。</w:t>
      </w:r>
    </w:p>
    <w:p w14:paraId="0BDAEC1B">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（9）香港联合交易所停牌、退市等制度性差异带来的风险</w:t>
      </w:r>
    </w:p>
    <w:p w14:paraId="3DB7D009">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14:paraId="30BA49F7">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因该等制度性差异，本基金可能存在因所持个股遭遇非预期性的停牌甚至退市而给基金带来损失的风险。</w:t>
      </w:r>
    </w:p>
    <w:p w14:paraId="09072602">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（10）港股通规则变动带来的风险</w:t>
      </w:r>
    </w:p>
    <w:p w14:paraId="2EFBAECE">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本基金是在港股通机制和规则下参与香港联交所证券的投资，受港股通规则的限制和影响；本基金存在因港股通规则变动而带来基金投资受阻或所持资产组合价值发生波动的风险。</w:t>
      </w:r>
    </w:p>
    <w:p w14:paraId="52D78D1A">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（11）其他可能的风险</w:t>
      </w:r>
    </w:p>
    <w:p w14:paraId="6BAB368D">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除上述显著风险外，本基金参与港股通投资，还可能面临的其他风险，包括但不限于：</w:t>
      </w:r>
    </w:p>
    <w:p w14:paraId="512E9780">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①除因股票交易而发生的佣金、交易征费、交易费、交易系统费、印花税、过户费等税费外，在不进行交易时也可能要继续缴纳证券组合费等各项费用，本基金存在因费用估算不准而导致账户透支的风险；</w:t>
      </w:r>
    </w:p>
    <w:p w14:paraId="270A50D7">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②在香港市场，部分中小市值港股成交量则相对较少，流动性较为缺乏，本基金投资此类股票可能因缺乏交易对手而面临个股流动性风险；</w:t>
      </w:r>
    </w:p>
    <w:p w14:paraId="732D7E07">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③在本基金参与港股通交易中若香港联交所与内地交易所的证券交易服务公司之间的报盘系统或者通信链路出现故障，可能导致15分钟以上不能申报和撤销申报的交易中断风险；</w:t>
      </w:r>
    </w:p>
    <w:p w14:paraId="3D059A9C">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w:t>
      </w:r>
    </w:p>
    <w:p w14:paraId="1390401F">
      <w:pPr>
        <w:autoSpaceDE w:val="0"/>
        <w:autoSpaceDN w:val="0"/>
        <w:snapToGrid w:val="0"/>
        <w:spacing w:line="360" w:lineRule="auto"/>
        <w:ind w:firstLine="420" w:firstLineChars="200"/>
        <w:jc w:val="left"/>
        <w:textAlignment w:val="auto"/>
        <w:rPr>
          <w:rFonts w:hint="eastAsia" w:cs="Arial"/>
          <w:kern w:val="0"/>
          <w:szCs w:val="21"/>
        </w:rPr>
      </w:pPr>
      <w:r>
        <w:rPr>
          <w:rFonts w:hint="eastAsia" w:cs="Arial"/>
          <w:kern w:val="0"/>
          <w:szCs w:val="21"/>
        </w:rPr>
        <w:t>本基金可根据投资策略需要或不同配置地市场环境的变化，选择将部分基金资产投资于港股或选择不将基金资产投资于港股，基金资产并非必然投资港股。</w:t>
      </w:r>
    </w:p>
    <w:p w14:paraId="43DD57B4">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11、启用侧袋机制的风险</w:t>
      </w:r>
    </w:p>
    <w:p w14:paraId="11CFDBA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14:paraId="06819F6D">
      <w:pPr>
        <w:autoSpaceDE w:val="0"/>
        <w:autoSpaceDN w:val="0"/>
        <w:snapToGrid w:val="0"/>
        <w:spacing w:line="360" w:lineRule="auto"/>
        <w:ind w:firstLine="420" w:firstLineChars="200"/>
        <w:jc w:val="left"/>
        <w:textAlignment w:val="auto"/>
        <w:rPr>
          <w:rFonts w:hint="eastAsia" w:cs="宋体"/>
          <w:color w:val="000000"/>
          <w:kern w:val="0"/>
          <w:szCs w:val="21"/>
        </w:rPr>
      </w:pPr>
      <w:r>
        <w:rPr>
          <w:rFonts w:hint="eastAsia" w:cs="宋体"/>
          <w:color w:val="000000"/>
          <w:kern w:val="0"/>
          <w:szCs w:val="21"/>
        </w:rPr>
        <w:t>12、投资于存托凭证的风险</w:t>
      </w:r>
    </w:p>
    <w:p w14:paraId="2ABA8B71">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47132F8A">
      <w:pPr>
        <w:pStyle w:val="25"/>
        <w:spacing w:before="0" w:beforeAutospacing="0" w:after="0" w:afterAutospacing="0" w:line="360" w:lineRule="auto"/>
        <w:ind w:firstLine="420"/>
        <w:rPr>
          <w:sz w:val="21"/>
          <w:szCs w:val="21"/>
        </w:rPr>
      </w:pPr>
      <w:r>
        <w:rPr>
          <w:rFonts w:hint="eastAsia"/>
          <w:sz w:val="21"/>
          <w:szCs w:val="21"/>
        </w:rPr>
        <w:t xml:space="preserve">13、投资公募REITs的特有风险 </w:t>
      </w:r>
    </w:p>
    <w:p w14:paraId="5B37FAAA">
      <w:pPr>
        <w:pStyle w:val="25"/>
        <w:spacing w:before="0" w:beforeAutospacing="0" w:after="0" w:afterAutospacing="0" w:line="360" w:lineRule="auto"/>
        <w:ind w:firstLine="420"/>
        <w:rPr>
          <w:sz w:val="21"/>
          <w:szCs w:val="21"/>
        </w:rPr>
      </w:pPr>
      <w:r>
        <w:rPr>
          <w:rFonts w:hint="eastAsia"/>
          <w:sz w:val="21"/>
          <w:szCs w:val="21"/>
        </w:rPr>
        <w:t xml:space="preserve">公募REITs采用“公募基金+不动产资产支持证券”的产品结构，主要特点如下：一是公募REITs与投资股票或债券的公募基金具有不同的风险收益特征，80%以上基金资产投资于不动产资产支持证券，并持有其全部份额，基金通过不动产资产支持证券持有不动产项目公司全部股权，穿透取得不动产项目完全所有权或经营权利；二是公募REITs以获取不动产项目租金、收费等稳定现金流为主要目的，收益分配比例不低于合并后基金年度可供分配金额的90%；三是公募REITs采取封闭式运作，不开放申购与赎回，在证券交易所上市，场外份额持有人需将基金份额转托管至场内才可卖出或申报预受要约。 </w:t>
      </w:r>
    </w:p>
    <w:p w14:paraId="1B3A1253">
      <w:pPr>
        <w:pStyle w:val="25"/>
        <w:spacing w:before="0" w:beforeAutospacing="0" w:after="0" w:afterAutospacing="0" w:line="360" w:lineRule="auto"/>
        <w:ind w:firstLine="420"/>
        <w:rPr>
          <w:sz w:val="21"/>
          <w:szCs w:val="21"/>
        </w:rPr>
      </w:pPr>
      <w:r>
        <w:rPr>
          <w:rFonts w:hint="eastAsia"/>
          <w:sz w:val="21"/>
          <w:szCs w:val="21"/>
        </w:rPr>
        <w:t xml:space="preserve">投资公募REITs可能面临以下风险，包括但不限于： </w:t>
      </w:r>
    </w:p>
    <w:p w14:paraId="69575479">
      <w:pPr>
        <w:pStyle w:val="25"/>
        <w:spacing w:before="0" w:beforeAutospacing="0" w:after="0" w:afterAutospacing="0" w:line="360" w:lineRule="auto"/>
        <w:ind w:firstLine="420"/>
        <w:rPr>
          <w:sz w:val="21"/>
          <w:szCs w:val="21"/>
        </w:rPr>
      </w:pPr>
      <w:r>
        <w:rPr>
          <w:rFonts w:hint="eastAsia"/>
          <w:sz w:val="21"/>
          <w:szCs w:val="21"/>
        </w:rPr>
        <w:t xml:space="preserve">（1）基金价格波动风险。 </w:t>
      </w:r>
    </w:p>
    <w:p w14:paraId="2A44EEDC">
      <w:pPr>
        <w:pStyle w:val="25"/>
        <w:spacing w:before="0" w:beforeAutospacing="0" w:after="0" w:afterAutospacing="0" w:line="360" w:lineRule="auto"/>
        <w:ind w:firstLine="420"/>
        <w:rPr>
          <w:sz w:val="21"/>
          <w:szCs w:val="21"/>
        </w:rPr>
      </w:pPr>
      <w:r>
        <w:rPr>
          <w:rFonts w:hint="eastAsia"/>
          <w:sz w:val="21"/>
          <w:szCs w:val="21"/>
        </w:rPr>
        <w:t xml:space="preserve">公募REITs大部分资产投资于不动产项目，具有权益属性，受经济环境、运营管理等因素影响，不动产项目市场价值及现金流情况可能发生变化，可能引起公募REITs价格波动，甚至存在不动产项目遭遇极端事件（如地震、台风等）发生较大损失而影响基金价格的风险。 </w:t>
      </w:r>
    </w:p>
    <w:p w14:paraId="6C6C4E4C">
      <w:pPr>
        <w:pStyle w:val="25"/>
        <w:spacing w:before="0" w:beforeAutospacing="0" w:after="0" w:afterAutospacing="0" w:line="360" w:lineRule="auto"/>
        <w:ind w:firstLine="420"/>
        <w:rPr>
          <w:sz w:val="21"/>
          <w:szCs w:val="21"/>
        </w:rPr>
      </w:pPr>
      <w:r>
        <w:rPr>
          <w:rFonts w:hint="eastAsia"/>
          <w:sz w:val="21"/>
          <w:szCs w:val="21"/>
        </w:rPr>
        <w:t xml:space="preserve">（2）不动产项目运营风险。 </w:t>
      </w:r>
    </w:p>
    <w:p w14:paraId="37D41CF2">
      <w:pPr>
        <w:pStyle w:val="25"/>
        <w:spacing w:before="0" w:beforeAutospacing="0" w:after="0" w:afterAutospacing="0" w:line="360" w:lineRule="auto"/>
        <w:ind w:firstLine="420"/>
        <w:rPr>
          <w:sz w:val="21"/>
          <w:szCs w:val="21"/>
        </w:rPr>
      </w:pPr>
      <w:r>
        <w:rPr>
          <w:rFonts w:hint="eastAsia"/>
          <w:sz w:val="21"/>
          <w:szCs w:val="21"/>
        </w:rPr>
        <w:t xml:space="preserve">公募REITs投资集中度高，收益率很大程度依赖不动产项目运营情况，不动产项目可能因经济环境变化或运营不善等因素影响，导致实际现金流大幅低于测算现金流，存在基金收益率不佳的风险，不动产项目运营过程中租金、收费等收入的波动也将影响基金收益分配水平的稳定。此外，公募REITs可直接或间接对外借款，存在不动产项目经营不达预期，基金无法偿还借款的风险。 </w:t>
      </w:r>
    </w:p>
    <w:p w14:paraId="6ED8BAEB">
      <w:pPr>
        <w:pStyle w:val="25"/>
        <w:spacing w:before="0" w:beforeAutospacing="0" w:after="0" w:afterAutospacing="0" w:line="360" w:lineRule="auto"/>
        <w:ind w:firstLine="420"/>
        <w:rPr>
          <w:sz w:val="21"/>
          <w:szCs w:val="21"/>
        </w:rPr>
      </w:pPr>
      <w:r>
        <w:rPr>
          <w:rFonts w:hint="eastAsia"/>
          <w:sz w:val="21"/>
          <w:szCs w:val="21"/>
        </w:rPr>
        <w:t xml:space="preserve">（3）流动性风险。 </w:t>
      </w:r>
    </w:p>
    <w:p w14:paraId="31BC1D8A">
      <w:pPr>
        <w:pStyle w:val="25"/>
        <w:spacing w:before="0" w:beforeAutospacing="0" w:after="0" w:afterAutospacing="0" w:line="360" w:lineRule="auto"/>
        <w:ind w:firstLine="420"/>
        <w:rPr>
          <w:sz w:val="21"/>
          <w:szCs w:val="21"/>
        </w:rPr>
      </w:pPr>
      <w:r>
        <w:rPr>
          <w:rFonts w:hint="eastAsia"/>
          <w:sz w:val="21"/>
          <w:szCs w:val="21"/>
        </w:rPr>
        <w:t xml:space="preserve">公募REITs采取封闭式运作，不开通申购赎回，只能在二级市场交易，存在流动性不足的风险。 </w:t>
      </w:r>
    </w:p>
    <w:p w14:paraId="7CCD2216">
      <w:pPr>
        <w:pStyle w:val="25"/>
        <w:spacing w:before="0" w:beforeAutospacing="0" w:after="0" w:afterAutospacing="0" w:line="360" w:lineRule="auto"/>
        <w:ind w:firstLine="420"/>
        <w:rPr>
          <w:sz w:val="21"/>
          <w:szCs w:val="21"/>
        </w:rPr>
      </w:pPr>
      <w:r>
        <w:rPr>
          <w:rFonts w:hint="eastAsia"/>
          <w:sz w:val="21"/>
          <w:szCs w:val="21"/>
        </w:rPr>
        <w:t xml:space="preserve">（4）终止上市风险。公募REITs运作过程中可能因触发法律法规或交易所规定的终止上市情形而终止上市，导致投资者无法在二级市场交易。 </w:t>
      </w:r>
    </w:p>
    <w:p w14:paraId="47A77F88">
      <w:pPr>
        <w:pStyle w:val="25"/>
        <w:spacing w:before="0" w:beforeAutospacing="0" w:after="0" w:afterAutospacing="0" w:line="360" w:lineRule="auto"/>
        <w:ind w:firstLine="420"/>
        <w:rPr>
          <w:sz w:val="21"/>
          <w:szCs w:val="21"/>
        </w:rPr>
      </w:pPr>
      <w:r>
        <w:rPr>
          <w:rFonts w:hint="eastAsia"/>
          <w:sz w:val="21"/>
          <w:szCs w:val="21"/>
        </w:rPr>
        <w:t xml:space="preserve">（5）税收等政策调整风险。 </w:t>
      </w:r>
    </w:p>
    <w:p w14:paraId="2C57B403">
      <w:pPr>
        <w:pStyle w:val="25"/>
        <w:spacing w:before="0" w:beforeAutospacing="0" w:after="0" w:afterAutospacing="0" w:line="360" w:lineRule="auto"/>
        <w:ind w:firstLine="420"/>
        <w:rPr>
          <w:sz w:val="21"/>
          <w:szCs w:val="21"/>
        </w:rPr>
      </w:pPr>
      <w:r>
        <w:rPr>
          <w:rFonts w:hint="eastAsia"/>
          <w:sz w:val="21"/>
          <w:szCs w:val="21"/>
        </w:rPr>
        <w:t xml:space="preserve">公募REITs运作过程中可能涉及基金份额持有人、公募基金、资产支持证券、项目公司等多层面税负，如果国家税收等政策发生调整，可能影响投资运作与基金收益。 </w:t>
      </w:r>
    </w:p>
    <w:p w14:paraId="41B977C0">
      <w:pPr>
        <w:pStyle w:val="25"/>
        <w:spacing w:before="0" w:beforeAutospacing="0" w:after="0" w:afterAutospacing="0" w:line="360" w:lineRule="auto"/>
        <w:ind w:firstLine="420"/>
        <w:rPr>
          <w:rFonts w:hint="eastAsia"/>
          <w:sz w:val="21"/>
          <w:szCs w:val="21"/>
        </w:rPr>
      </w:pPr>
      <w:r>
        <w:rPr>
          <w:rFonts w:hint="eastAsia"/>
          <w:sz w:val="21"/>
          <w:szCs w:val="21"/>
        </w:rPr>
        <w:t xml:space="preserve">（6）公募REITs相关法律、行政法规、部门规章、规范性文件和交易所业务规则，可能根据市场情况进行修改，或者制定新的法律法规和业务规则，投资者应当及时予以关注和了解。 </w:t>
      </w:r>
    </w:p>
    <w:p w14:paraId="125ABDC0">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14、本基金的投资范围和决策过程决定了本基金具有其他投资风险。例如，本基金还投资于QDII基金、香港互认基金等品种，基金财产可能会面临海外市场风险、汇率风险、政治管制风险等。</w:t>
      </w:r>
    </w:p>
    <w:p w14:paraId="0F30FEDB">
      <w:pPr>
        <w:autoSpaceDE w:val="0"/>
        <w:autoSpaceDN w:val="0"/>
        <w:spacing w:line="360" w:lineRule="auto"/>
        <w:ind w:firstLine="420"/>
        <w:textAlignment w:val="bottom"/>
        <w:rPr>
          <w:b/>
          <w:bCs/>
        </w:rPr>
      </w:pPr>
      <w:r>
        <w:rPr>
          <w:rFonts w:hint="eastAsia"/>
          <w:b/>
          <w:bCs/>
        </w:rPr>
        <w:t>八、其他风险</w:t>
      </w:r>
    </w:p>
    <w:p w14:paraId="3D74A6D3">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1、因基金业务快速发展而在制度建设、人员配备、风险管理和内控制度等方面不完善而产生的风险；</w:t>
      </w:r>
    </w:p>
    <w:p w14:paraId="7158F1BC">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 xml:space="preserve">2、因金融市场危机、行业竞争压力可能产生的风险； </w:t>
      </w:r>
    </w:p>
    <w:p w14:paraId="421239DD">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3、战争、自然灾害等不可抗力因素的出现，可能严重影响证券市场运行，导致基金资产损失；</w:t>
      </w:r>
    </w:p>
    <w:p w14:paraId="37FFB5AC">
      <w:pPr>
        <w:autoSpaceDE w:val="0"/>
        <w:autoSpaceDN w:val="0"/>
        <w:snapToGrid w:val="0"/>
        <w:spacing w:line="360" w:lineRule="auto"/>
        <w:ind w:firstLine="420" w:firstLineChars="200"/>
        <w:jc w:val="left"/>
        <w:textAlignment w:val="auto"/>
        <w:rPr>
          <w:rFonts w:cs="宋体"/>
          <w:color w:val="000000"/>
          <w:kern w:val="0"/>
          <w:szCs w:val="21"/>
        </w:rPr>
      </w:pPr>
      <w:r>
        <w:rPr>
          <w:rFonts w:hint="eastAsia" w:cs="宋体"/>
          <w:color w:val="000000"/>
          <w:kern w:val="0"/>
          <w:szCs w:val="21"/>
        </w:rPr>
        <w:t>4、其他意外导致的风险。</w:t>
      </w:r>
    </w:p>
    <w:p w14:paraId="2BCFE16D">
      <w:pPr>
        <w:autoSpaceDE w:val="0"/>
        <w:autoSpaceDN w:val="0"/>
        <w:spacing w:line="360" w:lineRule="auto"/>
        <w:ind w:firstLine="420"/>
        <w:textAlignment w:val="bottom"/>
        <w:rPr>
          <w:szCs w:val="21"/>
        </w:rPr>
        <w:sectPr>
          <w:footerReference r:id="rId23" w:type="default"/>
          <w:pgSz w:w="11906" w:h="16838"/>
          <w:pgMar w:top="1440" w:right="1797" w:bottom="1440" w:left="1797" w:header="851" w:footer="992" w:gutter="0"/>
          <w:pgNumType w:start="1"/>
          <w:cols w:space="720" w:num="1"/>
          <w:docGrid w:linePitch="312" w:charSpace="0"/>
        </w:sectPr>
      </w:pPr>
    </w:p>
    <w:p w14:paraId="31A8929E">
      <w:pPr>
        <w:pStyle w:val="2"/>
        <w:spacing w:before="72" w:beforeLines="30" w:after="72" w:afterLines="30" w:line="360" w:lineRule="auto"/>
        <w:rPr>
          <w:rFonts w:hint="eastAsia"/>
          <w:b/>
          <w:szCs w:val="21"/>
        </w:rPr>
      </w:pPr>
      <w:bookmarkStart w:id="52" w:name="_Toc48231685"/>
      <w:r>
        <w:rPr>
          <w:rFonts w:hint="eastAsia" w:eastAsia="宋体"/>
          <w:b/>
          <w:sz w:val="28"/>
          <w:szCs w:val="24"/>
        </w:rPr>
        <w:t>第十八部分 基金合同的变更、终止与基金财产的清算</w:t>
      </w:r>
      <w:bookmarkEnd w:id="52"/>
    </w:p>
    <w:p w14:paraId="71BA417C">
      <w:pPr>
        <w:spacing w:line="360" w:lineRule="auto"/>
        <w:ind w:firstLine="316" w:firstLineChars="150"/>
        <w:rPr>
          <w:rFonts w:hint="eastAsia"/>
          <w:b/>
          <w:bCs/>
        </w:rPr>
      </w:pPr>
      <w:r>
        <w:rPr>
          <w:rFonts w:hint="eastAsia"/>
          <w:b/>
          <w:bCs/>
        </w:rPr>
        <w:t>一、基金合同的变更</w:t>
      </w:r>
    </w:p>
    <w:p w14:paraId="5D9ACEB5">
      <w:pPr>
        <w:spacing w:line="360" w:lineRule="auto"/>
        <w:ind w:firstLine="315" w:firstLineChars="150"/>
        <w:rPr>
          <w:rFonts w:hint="eastAsia"/>
        </w:rPr>
      </w:pPr>
      <w:r>
        <w:rPr>
          <w:rFonts w:hint="eastAsia"/>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根据法律法规或监管机构要求报中国证监会备案。</w:t>
      </w:r>
    </w:p>
    <w:p w14:paraId="32632318">
      <w:pPr>
        <w:spacing w:line="360" w:lineRule="auto"/>
        <w:ind w:firstLine="315" w:firstLineChars="150"/>
        <w:rPr>
          <w:rFonts w:hint="eastAsia"/>
        </w:rPr>
      </w:pPr>
      <w:r>
        <w:rPr>
          <w:rFonts w:hint="eastAsia"/>
        </w:rPr>
        <w:t>2、关于基金合同变更的基金份额持有人大会决议自生效后方可执行，自决议生效后2日内在规定媒介公告。</w:t>
      </w:r>
    </w:p>
    <w:p w14:paraId="2639B9E1">
      <w:pPr>
        <w:spacing w:line="360" w:lineRule="auto"/>
        <w:ind w:firstLine="316" w:firstLineChars="150"/>
        <w:rPr>
          <w:rFonts w:hint="eastAsia"/>
          <w:b/>
          <w:bCs/>
        </w:rPr>
      </w:pPr>
      <w:r>
        <w:rPr>
          <w:rFonts w:hint="eastAsia"/>
          <w:b/>
          <w:bCs/>
        </w:rPr>
        <w:t>二、基金合同的终止事由</w:t>
      </w:r>
    </w:p>
    <w:p w14:paraId="7E35042D">
      <w:pPr>
        <w:spacing w:line="360" w:lineRule="auto"/>
        <w:ind w:firstLine="315" w:firstLineChars="150"/>
        <w:rPr>
          <w:rFonts w:hint="eastAsia"/>
        </w:rPr>
      </w:pPr>
      <w:r>
        <w:rPr>
          <w:rFonts w:hint="eastAsia"/>
        </w:rPr>
        <w:t>有下列情形之一的，经履行相关程序后，基金合同应当终止：</w:t>
      </w:r>
    </w:p>
    <w:p w14:paraId="31D12FC6">
      <w:pPr>
        <w:spacing w:line="360" w:lineRule="auto"/>
        <w:ind w:firstLine="315" w:firstLineChars="150"/>
        <w:rPr>
          <w:rFonts w:hint="eastAsia"/>
        </w:rPr>
      </w:pPr>
      <w:r>
        <w:rPr>
          <w:rFonts w:hint="eastAsia"/>
        </w:rPr>
        <w:t>1、基金份额持有人大会决定终止的；</w:t>
      </w:r>
    </w:p>
    <w:p w14:paraId="79DAD667">
      <w:pPr>
        <w:spacing w:line="360" w:lineRule="auto"/>
        <w:ind w:firstLine="315" w:firstLineChars="150"/>
        <w:rPr>
          <w:rFonts w:hint="eastAsia"/>
        </w:rPr>
      </w:pPr>
      <w:r>
        <w:rPr>
          <w:rFonts w:hint="eastAsia"/>
        </w:rPr>
        <w:t>2、基金管理人、基金托管人职责终止，在6个月内没有新基金管理人、新基金托管人承接的；</w:t>
      </w:r>
    </w:p>
    <w:p w14:paraId="273DC320">
      <w:pPr>
        <w:spacing w:line="360" w:lineRule="auto"/>
        <w:ind w:firstLine="315" w:firstLineChars="150"/>
        <w:rPr>
          <w:rFonts w:hint="eastAsia"/>
        </w:rPr>
      </w:pPr>
      <w:r>
        <w:rPr>
          <w:rFonts w:hint="eastAsia"/>
        </w:rPr>
        <w:t>3、基金合同约定的其他情形；</w:t>
      </w:r>
    </w:p>
    <w:p w14:paraId="4DFC3317">
      <w:pPr>
        <w:spacing w:line="360" w:lineRule="auto"/>
        <w:ind w:firstLine="315" w:firstLineChars="150"/>
        <w:rPr>
          <w:rFonts w:hint="eastAsia"/>
        </w:rPr>
      </w:pPr>
      <w:r>
        <w:rPr>
          <w:rFonts w:hint="eastAsia"/>
        </w:rPr>
        <w:t>4、相关法律法规和中国证监会规定的其他情况。</w:t>
      </w:r>
    </w:p>
    <w:p w14:paraId="42443E3B">
      <w:pPr>
        <w:spacing w:line="360" w:lineRule="auto"/>
        <w:ind w:firstLine="316" w:firstLineChars="150"/>
        <w:rPr>
          <w:rFonts w:hint="eastAsia"/>
          <w:b/>
          <w:bCs/>
        </w:rPr>
      </w:pPr>
      <w:r>
        <w:rPr>
          <w:rFonts w:hint="eastAsia"/>
          <w:b/>
          <w:bCs/>
        </w:rPr>
        <w:t>三、基金财产的清算</w:t>
      </w:r>
    </w:p>
    <w:p w14:paraId="3B78907B">
      <w:pPr>
        <w:spacing w:line="360" w:lineRule="auto"/>
        <w:ind w:firstLine="315" w:firstLineChars="150"/>
        <w:rPr>
          <w:rFonts w:hint="eastAsia"/>
        </w:rPr>
      </w:pPr>
      <w:r>
        <w:rPr>
          <w:rFonts w:hint="eastAsia"/>
        </w:rPr>
        <w:t>1、基金财产清算小组：自出现基金合同终止事由之日起30个工作日内成立清算小组，基金管理人组织基金财产清算小组并在中国证监会的监督下进行基金清算。</w:t>
      </w:r>
    </w:p>
    <w:p w14:paraId="0283423C">
      <w:pPr>
        <w:spacing w:line="360" w:lineRule="auto"/>
        <w:ind w:firstLine="315" w:firstLineChars="150"/>
        <w:rPr>
          <w:rFonts w:hint="eastAsia"/>
        </w:rPr>
      </w:pPr>
      <w:r>
        <w:rPr>
          <w:rFonts w:hint="eastAsia"/>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7E7CF91B">
      <w:pPr>
        <w:spacing w:line="360" w:lineRule="auto"/>
        <w:ind w:firstLine="315" w:firstLineChars="150"/>
        <w:rPr>
          <w:rFonts w:hint="eastAsia"/>
        </w:rPr>
      </w:pPr>
      <w:r>
        <w:rPr>
          <w:rFonts w:hint="eastAsia"/>
        </w:rPr>
        <w:t>3、基金财产清算小组职责：基金财产清算小组负责基金财产的保管、清理、估价、变现和分配。基金财产清算小组可以依法进行必要的民事活动。</w:t>
      </w:r>
    </w:p>
    <w:p w14:paraId="39B96A80">
      <w:pPr>
        <w:spacing w:line="360" w:lineRule="auto"/>
        <w:ind w:firstLine="315" w:firstLineChars="150"/>
        <w:rPr>
          <w:rFonts w:hint="eastAsia"/>
        </w:rPr>
      </w:pPr>
      <w:r>
        <w:rPr>
          <w:rFonts w:hint="eastAsia"/>
        </w:rPr>
        <w:t>4、基金财产清算程序：</w:t>
      </w:r>
    </w:p>
    <w:p w14:paraId="279AD620">
      <w:pPr>
        <w:spacing w:line="360" w:lineRule="auto"/>
        <w:ind w:firstLine="315" w:firstLineChars="150"/>
        <w:rPr>
          <w:rFonts w:hint="eastAsia"/>
        </w:rPr>
      </w:pPr>
      <w:r>
        <w:rPr>
          <w:rFonts w:hint="eastAsia"/>
        </w:rPr>
        <w:t>（1）基金合同终止情形出现时，由基金财产清算小组统一接管基金财产；</w:t>
      </w:r>
    </w:p>
    <w:p w14:paraId="2AC1EB8A">
      <w:pPr>
        <w:spacing w:line="360" w:lineRule="auto"/>
        <w:ind w:firstLine="315" w:firstLineChars="150"/>
        <w:rPr>
          <w:rFonts w:hint="eastAsia"/>
        </w:rPr>
      </w:pPr>
      <w:r>
        <w:rPr>
          <w:rFonts w:hint="eastAsia"/>
        </w:rPr>
        <w:t>（2）对基金财产和债权债务进行清理和确认；</w:t>
      </w:r>
    </w:p>
    <w:p w14:paraId="014EE4C8">
      <w:pPr>
        <w:spacing w:line="360" w:lineRule="auto"/>
        <w:ind w:firstLine="315" w:firstLineChars="150"/>
        <w:rPr>
          <w:rFonts w:hint="eastAsia"/>
        </w:rPr>
      </w:pPr>
      <w:r>
        <w:rPr>
          <w:rFonts w:hint="eastAsia"/>
        </w:rPr>
        <w:t>（3）对基金财产进行估值和变现；</w:t>
      </w:r>
    </w:p>
    <w:p w14:paraId="5BB653E5">
      <w:pPr>
        <w:spacing w:line="360" w:lineRule="auto"/>
        <w:ind w:firstLine="315" w:firstLineChars="150"/>
        <w:rPr>
          <w:rFonts w:hint="eastAsia"/>
        </w:rPr>
      </w:pPr>
      <w:r>
        <w:rPr>
          <w:rFonts w:hint="eastAsia"/>
        </w:rPr>
        <w:t>（4）制作清算报告；</w:t>
      </w:r>
    </w:p>
    <w:p w14:paraId="2A1F6CE2">
      <w:pPr>
        <w:spacing w:line="360" w:lineRule="auto"/>
        <w:ind w:firstLine="315" w:firstLineChars="150"/>
        <w:rPr>
          <w:rFonts w:hint="eastAsia"/>
        </w:rPr>
      </w:pPr>
      <w:r>
        <w:rPr>
          <w:rFonts w:hint="eastAsia"/>
        </w:rPr>
        <w:t>（5）聘请会计师事务所对清算报告进行外部审计，聘请律师事务所对清算报告出具法律意见书；</w:t>
      </w:r>
    </w:p>
    <w:p w14:paraId="5E0DC64D">
      <w:pPr>
        <w:spacing w:line="360" w:lineRule="auto"/>
        <w:ind w:firstLine="315" w:firstLineChars="150"/>
        <w:rPr>
          <w:rFonts w:hint="eastAsia"/>
        </w:rPr>
      </w:pPr>
      <w:r>
        <w:rPr>
          <w:rFonts w:hint="eastAsia"/>
        </w:rPr>
        <w:t>（6）将清算报告报中国证监会备案并公告；</w:t>
      </w:r>
    </w:p>
    <w:p w14:paraId="07947844">
      <w:pPr>
        <w:spacing w:line="360" w:lineRule="auto"/>
        <w:ind w:firstLine="315" w:firstLineChars="150"/>
        <w:rPr>
          <w:rFonts w:hint="eastAsia"/>
        </w:rPr>
      </w:pPr>
      <w:r>
        <w:rPr>
          <w:rFonts w:hint="eastAsia"/>
        </w:rPr>
        <w:t>（7）对基金剩余财产进行分配。</w:t>
      </w:r>
    </w:p>
    <w:p w14:paraId="3443CBA3">
      <w:pPr>
        <w:spacing w:line="360" w:lineRule="auto"/>
        <w:ind w:firstLine="315" w:firstLineChars="150"/>
        <w:rPr>
          <w:rFonts w:hint="eastAsia"/>
        </w:rPr>
      </w:pPr>
      <w:r>
        <w:rPr>
          <w:rFonts w:hint="eastAsia"/>
        </w:rPr>
        <w:t>5、基金财产清算的期限为6个月，但因本基金所持证券的流动性受到限制而不能及时变现的，清算期限可相应顺延。</w:t>
      </w:r>
    </w:p>
    <w:p w14:paraId="0DE9BCEF">
      <w:pPr>
        <w:spacing w:line="360" w:lineRule="auto"/>
        <w:ind w:firstLine="316" w:firstLineChars="150"/>
        <w:rPr>
          <w:rFonts w:hint="eastAsia"/>
          <w:b/>
          <w:bCs/>
        </w:rPr>
      </w:pPr>
      <w:r>
        <w:rPr>
          <w:rFonts w:hint="eastAsia"/>
          <w:b/>
          <w:bCs/>
        </w:rPr>
        <w:t>四、清算费用</w:t>
      </w:r>
    </w:p>
    <w:p w14:paraId="136B56EE">
      <w:pPr>
        <w:spacing w:line="360" w:lineRule="auto"/>
        <w:ind w:firstLine="315" w:firstLineChars="150"/>
        <w:rPr>
          <w:rFonts w:hint="eastAsia"/>
        </w:rPr>
      </w:pPr>
      <w:r>
        <w:rPr>
          <w:rFonts w:hint="eastAsia"/>
        </w:rPr>
        <w:t>清算费用是指基金财产清算小组在进行基金清算过程中发生的所有合理费用，清算费用由基金财产清算小组优先从基金剩余财产中支付。</w:t>
      </w:r>
    </w:p>
    <w:p w14:paraId="5CFB40D4">
      <w:pPr>
        <w:spacing w:line="360" w:lineRule="auto"/>
        <w:ind w:firstLine="316" w:firstLineChars="150"/>
        <w:rPr>
          <w:rFonts w:hint="eastAsia"/>
          <w:b/>
          <w:bCs/>
        </w:rPr>
      </w:pPr>
      <w:r>
        <w:rPr>
          <w:rFonts w:hint="eastAsia"/>
          <w:b/>
          <w:bCs/>
        </w:rPr>
        <w:t>五、基金财产清算剩余资产的分配</w:t>
      </w:r>
    </w:p>
    <w:p w14:paraId="0EA8ECCE">
      <w:pPr>
        <w:spacing w:line="360" w:lineRule="auto"/>
        <w:ind w:firstLine="315" w:firstLineChars="150"/>
      </w:pPr>
      <w:r>
        <w:rPr>
          <w:rFonts w:hint="eastAsia"/>
        </w:rPr>
        <w:t>依据基金财产清算的分配方案，将基金财产清算后的全部剩余资产扣除基金财产清算费用、交纳所欠税款并清偿基金债务后，按基金份额持有人持有的各类基金份额比例进行分配。</w:t>
      </w:r>
    </w:p>
    <w:p w14:paraId="267F25B3">
      <w:pPr>
        <w:spacing w:line="360" w:lineRule="auto"/>
        <w:ind w:firstLine="315" w:firstLineChars="150"/>
        <w:rPr>
          <w:rFonts w:hint="eastAsia"/>
          <w:b/>
          <w:bCs/>
        </w:rPr>
      </w:pPr>
      <w:r>
        <w:rPr>
          <w:rFonts w:hint="eastAsia"/>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1D603E86">
      <w:pPr>
        <w:spacing w:line="360" w:lineRule="auto"/>
        <w:ind w:firstLine="316" w:firstLineChars="150"/>
        <w:rPr>
          <w:rFonts w:hint="eastAsia"/>
          <w:b/>
          <w:bCs/>
        </w:rPr>
      </w:pPr>
      <w:r>
        <w:rPr>
          <w:rFonts w:hint="eastAsia"/>
          <w:b/>
          <w:bCs/>
        </w:rPr>
        <w:t>六、基金财产清算的公告</w:t>
      </w:r>
    </w:p>
    <w:p w14:paraId="3A0A02FF">
      <w:pPr>
        <w:spacing w:line="360" w:lineRule="auto"/>
        <w:ind w:firstLine="315" w:firstLineChars="150"/>
        <w:rPr>
          <w:rFonts w:hint="eastAsia"/>
        </w:rPr>
      </w:pPr>
      <w:r>
        <w:rPr>
          <w:rFonts w:hint="eastAsia"/>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3D313061">
      <w:pPr>
        <w:spacing w:line="360" w:lineRule="auto"/>
        <w:ind w:firstLine="316" w:firstLineChars="150"/>
        <w:rPr>
          <w:rFonts w:hint="eastAsia"/>
          <w:b/>
          <w:bCs/>
        </w:rPr>
      </w:pPr>
      <w:r>
        <w:rPr>
          <w:rFonts w:hint="eastAsia"/>
          <w:b/>
          <w:bCs/>
        </w:rPr>
        <w:t>七、基金财产清算账册及文件的保存</w:t>
      </w:r>
    </w:p>
    <w:p w14:paraId="7920A222">
      <w:pPr>
        <w:spacing w:line="360" w:lineRule="auto"/>
        <w:ind w:firstLine="315" w:firstLineChars="150"/>
        <w:rPr>
          <w:rFonts w:hint="eastAsia"/>
        </w:rPr>
      </w:pPr>
      <w:r>
        <w:rPr>
          <w:rFonts w:hint="eastAsia"/>
        </w:rPr>
        <w:t>基金财产清算账册及有关文件由基金托管人保存，保存期限不低于法律法规规定的最低期限。</w:t>
      </w:r>
    </w:p>
    <w:p w14:paraId="4C7B9246">
      <w:pPr>
        <w:spacing w:line="360" w:lineRule="auto"/>
        <w:ind w:firstLine="315" w:firstLineChars="150"/>
        <w:rPr>
          <w:rFonts w:hint="eastAsia"/>
        </w:rPr>
      </w:pPr>
    </w:p>
    <w:p w14:paraId="0DEEF9E1">
      <w:pPr>
        <w:spacing w:line="360" w:lineRule="auto"/>
        <w:ind w:firstLine="361" w:firstLineChars="150"/>
        <w:rPr>
          <w:b/>
          <w:sz w:val="24"/>
        </w:rPr>
        <w:sectPr>
          <w:footerReference r:id="rId24" w:type="default"/>
          <w:pgSz w:w="11906" w:h="16838"/>
          <w:pgMar w:top="1440" w:right="1797" w:bottom="1440" w:left="1797" w:header="851" w:footer="992" w:gutter="0"/>
          <w:pgNumType w:start="1"/>
          <w:cols w:space="720" w:num="1"/>
          <w:docGrid w:linePitch="312" w:charSpace="0"/>
        </w:sectPr>
      </w:pPr>
    </w:p>
    <w:p w14:paraId="16B47EF1">
      <w:pPr>
        <w:pStyle w:val="2"/>
        <w:spacing w:before="72" w:beforeLines="30" w:after="72" w:afterLines="30" w:line="360" w:lineRule="auto"/>
        <w:rPr>
          <w:rFonts w:hint="eastAsia"/>
          <w:b/>
          <w:bCs/>
          <w:szCs w:val="20"/>
        </w:rPr>
      </w:pPr>
      <w:bookmarkStart w:id="53" w:name="_Toc48231686"/>
      <w:r>
        <w:rPr>
          <w:rFonts w:hint="eastAsia" w:eastAsia="宋体"/>
          <w:b/>
          <w:sz w:val="28"/>
          <w:szCs w:val="24"/>
        </w:rPr>
        <w:t>第十九部分 基金合同的内容摘要</w:t>
      </w:r>
      <w:bookmarkEnd w:id="53"/>
    </w:p>
    <w:p w14:paraId="76AAB94F">
      <w:pPr>
        <w:autoSpaceDE w:val="0"/>
        <w:autoSpaceDN w:val="0"/>
        <w:spacing w:line="360" w:lineRule="auto"/>
        <w:ind w:firstLine="422" w:firstLineChars="200"/>
        <w:jc w:val="left"/>
        <w:textAlignment w:val="auto"/>
        <w:rPr>
          <w:rFonts w:hint="eastAsia"/>
          <w:b/>
          <w:bCs/>
          <w:szCs w:val="20"/>
        </w:rPr>
      </w:pPr>
      <w:r>
        <w:rPr>
          <w:rFonts w:hint="eastAsia"/>
          <w:b/>
          <w:bCs/>
          <w:szCs w:val="20"/>
        </w:rPr>
        <w:t>一、基金管理人、基金托管人及基金份额持有人的权利与义务</w:t>
      </w:r>
    </w:p>
    <w:p w14:paraId="37AC7DD8">
      <w:pPr>
        <w:autoSpaceDE w:val="0"/>
        <w:autoSpaceDN w:val="0"/>
        <w:spacing w:line="360" w:lineRule="auto"/>
        <w:ind w:firstLine="420" w:firstLineChars="200"/>
        <w:jc w:val="left"/>
        <w:textAlignment w:val="auto"/>
        <w:rPr>
          <w:rFonts w:hint="eastAsia"/>
          <w:szCs w:val="20"/>
        </w:rPr>
      </w:pPr>
      <w:r>
        <w:rPr>
          <w:rFonts w:hint="eastAsia"/>
          <w:szCs w:val="20"/>
        </w:rPr>
        <w:t>（一）</w:t>
      </w:r>
      <w:r>
        <w:rPr>
          <w:rFonts w:hint="eastAsia"/>
          <w:szCs w:val="20"/>
        </w:rPr>
        <w:tab/>
      </w:r>
      <w:r>
        <w:rPr>
          <w:rFonts w:hint="eastAsia"/>
          <w:szCs w:val="20"/>
        </w:rPr>
        <w:t>基金管理人的权利与义务</w:t>
      </w:r>
    </w:p>
    <w:p w14:paraId="7F5AC5D2">
      <w:pPr>
        <w:autoSpaceDE w:val="0"/>
        <w:autoSpaceDN w:val="0"/>
        <w:spacing w:line="360" w:lineRule="auto"/>
        <w:ind w:firstLine="420" w:firstLineChars="200"/>
        <w:jc w:val="left"/>
        <w:textAlignment w:val="auto"/>
        <w:rPr>
          <w:rFonts w:hint="eastAsia"/>
          <w:szCs w:val="20"/>
        </w:rPr>
      </w:pPr>
      <w:r>
        <w:rPr>
          <w:rFonts w:hint="eastAsia"/>
          <w:szCs w:val="20"/>
        </w:rPr>
        <w:t>1、根据《基金法》、《运作办法》及其他有关规定，基金管理人的权利包括但不限于：</w:t>
      </w:r>
    </w:p>
    <w:p w14:paraId="5165D353">
      <w:pPr>
        <w:autoSpaceDE w:val="0"/>
        <w:autoSpaceDN w:val="0"/>
        <w:spacing w:line="360" w:lineRule="auto"/>
        <w:ind w:firstLine="420" w:firstLineChars="200"/>
        <w:jc w:val="left"/>
        <w:textAlignment w:val="auto"/>
        <w:rPr>
          <w:rFonts w:hint="eastAsia"/>
          <w:szCs w:val="20"/>
        </w:rPr>
      </w:pPr>
      <w:r>
        <w:rPr>
          <w:rFonts w:hint="eastAsia"/>
          <w:szCs w:val="20"/>
        </w:rPr>
        <w:t>（1）依法募集资金；</w:t>
      </w:r>
    </w:p>
    <w:p w14:paraId="0A0CE8F7">
      <w:pPr>
        <w:autoSpaceDE w:val="0"/>
        <w:autoSpaceDN w:val="0"/>
        <w:spacing w:line="360" w:lineRule="auto"/>
        <w:ind w:firstLine="420" w:firstLineChars="200"/>
        <w:jc w:val="left"/>
        <w:textAlignment w:val="auto"/>
        <w:rPr>
          <w:rFonts w:hint="eastAsia"/>
          <w:szCs w:val="20"/>
        </w:rPr>
      </w:pPr>
      <w:r>
        <w:rPr>
          <w:rFonts w:hint="eastAsia"/>
          <w:szCs w:val="20"/>
        </w:rPr>
        <w:t>（2）自基金合同生效之日起，根据法律法规和基金合同独立运用并管理基金财产；</w:t>
      </w:r>
    </w:p>
    <w:p w14:paraId="61CF1EC6">
      <w:pPr>
        <w:autoSpaceDE w:val="0"/>
        <w:autoSpaceDN w:val="0"/>
        <w:spacing w:line="360" w:lineRule="auto"/>
        <w:ind w:firstLine="420" w:firstLineChars="200"/>
        <w:jc w:val="left"/>
        <w:textAlignment w:val="auto"/>
        <w:rPr>
          <w:rFonts w:hint="eastAsia"/>
          <w:szCs w:val="20"/>
        </w:rPr>
      </w:pPr>
      <w:r>
        <w:rPr>
          <w:rFonts w:hint="eastAsia"/>
          <w:szCs w:val="20"/>
        </w:rPr>
        <w:t>（3）依照基金合同收取基金管理费以及法律法规规定或中国证监会批准的其他费用；</w:t>
      </w:r>
    </w:p>
    <w:p w14:paraId="792F1A7B">
      <w:pPr>
        <w:autoSpaceDE w:val="0"/>
        <w:autoSpaceDN w:val="0"/>
        <w:spacing w:line="360" w:lineRule="auto"/>
        <w:ind w:firstLine="420" w:firstLineChars="200"/>
        <w:jc w:val="left"/>
        <w:textAlignment w:val="auto"/>
        <w:rPr>
          <w:rFonts w:hint="eastAsia"/>
          <w:szCs w:val="20"/>
        </w:rPr>
      </w:pPr>
      <w:r>
        <w:rPr>
          <w:rFonts w:hint="eastAsia"/>
          <w:szCs w:val="20"/>
        </w:rPr>
        <w:t>（4）销售基金份额；</w:t>
      </w:r>
    </w:p>
    <w:p w14:paraId="11182153">
      <w:pPr>
        <w:autoSpaceDE w:val="0"/>
        <w:autoSpaceDN w:val="0"/>
        <w:spacing w:line="360" w:lineRule="auto"/>
        <w:ind w:firstLine="420" w:firstLineChars="200"/>
        <w:jc w:val="left"/>
        <w:textAlignment w:val="auto"/>
        <w:rPr>
          <w:rFonts w:hint="eastAsia"/>
          <w:szCs w:val="20"/>
        </w:rPr>
      </w:pPr>
      <w:r>
        <w:rPr>
          <w:rFonts w:hint="eastAsia"/>
          <w:szCs w:val="20"/>
        </w:rPr>
        <w:t>（5）按照规定召集基金份额持有人大会；</w:t>
      </w:r>
    </w:p>
    <w:p w14:paraId="10AF3CC6">
      <w:pPr>
        <w:autoSpaceDE w:val="0"/>
        <w:autoSpaceDN w:val="0"/>
        <w:spacing w:line="360" w:lineRule="auto"/>
        <w:ind w:firstLine="420" w:firstLineChars="200"/>
        <w:jc w:val="left"/>
        <w:textAlignment w:val="auto"/>
        <w:rPr>
          <w:rFonts w:hint="eastAsia"/>
          <w:szCs w:val="20"/>
        </w:rPr>
      </w:pPr>
      <w:r>
        <w:rPr>
          <w:rFonts w:hint="eastAsia"/>
          <w:szCs w:val="20"/>
        </w:rPr>
        <w:t>（6）依据基金合同及有关法律规定监督基金托管人，如认为基金托管人违反了基金合同及国家有关法律规定，应呈报中国证监会和其他监管部门，并采取必要措施保护基金投资者的利益；</w:t>
      </w:r>
    </w:p>
    <w:p w14:paraId="6B6B9B3C">
      <w:pPr>
        <w:autoSpaceDE w:val="0"/>
        <w:autoSpaceDN w:val="0"/>
        <w:spacing w:line="360" w:lineRule="auto"/>
        <w:ind w:firstLine="420" w:firstLineChars="200"/>
        <w:jc w:val="left"/>
        <w:textAlignment w:val="auto"/>
        <w:rPr>
          <w:rFonts w:hint="eastAsia"/>
          <w:szCs w:val="20"/>
        </w:rPr>
      </w:pPr>
      <w:r>
        <w:rPr>
          <w:rFonts w:hint="eastAsia"/>
          <w:szCs w:val="20"/>
        </w:rPr>
        <w:t>（7）在基金托管人更换时，提名新的基金托管人；</w:t>
      </w:r>
    </w:p>
    <w:p w14:paraId="402E4ACE">
      <w:pPr>
        <w:autoSpaceDE w:val="0"/>
        <w:autoSpaceDN w:val="0"/>
        <w:spacing w:line="360" w:lineRule="auto"/>
        <w:ind w:firstLine="420" w:firstLineChars="200"/>
        <w:jc w:val="left"/>
        <w:textAlignment w:val="auto"/>
        <w:rPr>
          <w:rFonts w:hint="eastAsia"/>
          <w:szCs w:val="20"/>
        </w:rPr>
      </w:pPr>
      <w:r>
        <w:rPr>
          <w:rFonts w:hint="eastAsia"/>
          <w:szCs w:val="20"/>
        </w:rPr>
        <w:t xml:space="preserve">（8）选择、更换基金销售机构，对基金销售机构的相关行为进行监督和处理； </w:t>
      </w:r>
    </w:p>
    <w:p w14:paraId="0DB4081C">
      <w:pPr>
        <w:autoSpaceDE w:val="0"/>
        <w:autoSpaceDN w:val="0"/>
        <w:spacing w:line="360" w:lineRule="auto"/>
        <w:ind w:firstLine="420" w:firstLineChars="200"/>
        <w:jc w:val="left"/>
        <w:textAlignment w:val="auto"/>
        <w:rPr>
          <w:rFonts w:hint="eastAsia"/>
          <w:szCs w:val="20"/>
        </w:rPr>
      </w:pPr>
      <w:r>
        <w:rPr>
          <w:rFonts w:hint="eastAsia"/>
          <w:szCs w:val="20"/>
        </w:rPr>
        <w:t xml:space="preserve">（9）担任或委托其他符合条件的机构担任基金登记机构办理基金登记业务并获得基金合同规定的费用； </w:t>
      </w:r>
    </w:p>
    <w:p w14:paraId="2B014B99">
      <w:pPr>
        <w:autoSpaceDE w:val="0"/>
        <w:autoSpaceDN w:val="0"/>
        <w:spacing w:line="360" w:lineRule="auto"/>
        <w:ind w:firstLine="420" w:firstLineChars="200"/>
        <w:jc w:val="left"/>
        <w:textAlignment w:val="auto"/>
        <w:rPr>
          <w:rFonts w:hint="eastAsia"/>
          <w:szCs w:val="20"/>
        </w:rPr>
      </w:pPr>
      <w:r>
        <w:rPr>
          <w:rFonts w:hint="eastAsia"/>
          <w:szCs w:val="20"/>
        </w:rPr>
        <w:t>（10）依据基金合同及有关法律规定决定基金收益的分配方案；</w:t>
      </w:r>
      <w:r>
        <w:rPr>
          <w:rFonts w:hint="eastAsia"/>
          <w:szCs w:val="20"/>
        </w:rPr>
        <w:tab/>
      </w:r>
    </w:p>
    <w:p w14:paraId="487982E9">
      <w:pPr>
        <w:autoSpaceDE w:val="0"/>
        <w:autoSpaceDN w:val="0"/>
        <w:spacing w:line="360" w:lineRule="auto"/>
        <w:ind w:firstLine="420" w:firstLineChars="200"/>
        <w:jc w:val="left"/>
        <w:textAlignment w:val="auto"/>
        <w:rPr>
          <w:rFonts w:hint="eastAsia"/>
          <w:szCs w:val="20"/>
        </w:rPr>
      </w:pPr>
      <w:r>
        <w:rPr>
          <w:rFonts w:hint="eastAsia"/>
          <w:szCs w:val="20"/>
        </w:rPr>
        <w:t xml:space="preserve">（11）在基金合同约定的范围内，拒绝或暂停受理申购、赎回与转换申请； </w:t>
      </w:r>
    </w:p>
    <w:p w14:paraId="357F29E1">
      <w:pPr>
        <w:autoSpaceDE w:val="0"/>
        <w:autoSpaceDN w:val="0"/>
        <w:spacing w:line="360" w:lineRule="auto"/>
        <w:ind w:firstLine="420" w:firstLineChars="200"/>
        <w:jc w:val="left"/>
        <w:textAlignment w:val="auto"/>
        <w:rPr>
          <w:rFonts w:hint="eastAsia"/>
          <w:szCs w:val="20"/>
        </w:rPr>
      </w:pPr>
      <w:r>
        <w:rPr>
          <w:rFonts w:hint="eastAsia"/>
          <w:szCs w:val="20"/>
        </w:rPr>
        <w:t>（12）依照法律法规在遵循基金份额持有人利益优先原则的前提下，代表本基金就本基金所持有的基金份额行使相关基金份额持有人权利，对被投资的公司行使股东权利，为基金的利益行使因基金财产投资于证券、基金所产生的权利；</w:t>
      </w:r>
    </w:p>
    <w:p w14:paraId="60FE76EE">
      <w:pPr>
        <w:autoSpaceDE w:val="0"/>
        <w:autoSpaceDN w:val="0"/>
        <w:spacing w:line="360" w:lineRule="auto"/>
        <w:ind w:firstLine="420" w:firstLineChars="200"/>
        <w:jc w:val="left"/>
        <w:textAlignment w:val="auto"/>
        <w:rPr>
          <w:rFonts w:hint="eastAsia"/>
          <w:szCs w:val="20"/>
        </w:rPr>
      </w:pPr>
      <w:r>
        <w:rPr>
          <w:rFonts w:hint="eastAsia"/>
          <w:szCs w:val="20"/>
        </w:rPr>
        <w:t xml:space="preserve">（13）在法律法规允许的前提下，为基金的利益依法为基金进行融资； </w:t>
      </w:r>
    </w:p>
    <w:p w14:paraId="09751C41">
      <w:pPr>
        <w:autoSpaceDE w:val="0"/>
        <w:autoSpaceDN w:val="0"/>
        <w:spacing w:line="360" w:lineRule="auto"/>
        <w:ind w:firstLine="420" w:firstLineChars="200"/>
        <w:jc w:val="left"/>
        <w:textAlignment w:val="auto"/>
        <w:rPr>
          <w:rFonts w:hint="eastAsia"/>
          <w:szCs w:val="20"/>
        </w:rPr>
      </w:pPr>
      <w:r>
        <w:rPr>
          <w:rFonts w:hint="eastAsia"/>
          <w:szCs w:val="20"/>
        </w:rPr>
        <w:t>（14）以基金管理人的名义，代表基金份额持有人的利益行使诉讼权利或者实施其他法律行为；</w:t>
      </w:r>
    </w:p>
    <w:p w14:paraId="13BF0E6D">
      <w:pPr>
        <w:autoSpaceDE w:val="0"/>
        <w:autoSpaceDN w:val="0"/>
        <w:spacing w:line="360" w:lineRule="auto"/>
        <w:ind w:firstLine="420" w:firstLineChars="200"/>
        <w:jc w:val="left"/>
        <w:textAlignment w:val="auto"/>
        <w:rPr>
          <w:rFonts w:hint="eastAsia"/>
          <w:szCs w:val="20"/>
        </w:rPr>
      </w:pPr>
      <w:r>
        <w:rPr>
          <w:rFonts w:hint="eastAsia"/>
          <w:szCs w:val="20"/>
        </w:rPr>
        <w:t>（15）若本基金持有的基金召开基金份额持有人大会，基金管理人在遵循本基金基金份额持有人利益优先原则的前提下，可行使相关投票权利；</w:t>
      </w:r>
    </w:p>
    <w:p w14:paraId="55BEC964">
      <w:pPr>
        <w:autoSpaceDE w:val="0"/>
        <w:autoSpaceDN w:val="0"/>
        <w:spacing w:line="360" w:lineRule="auto"/>
        <w:ind w:firstLine="420" w:firstLineChars="200"/>
        <w:jc w:val="left"/>
        <w:textAlignment w:val="auto"/>
        <w:rPr>
          <w:rFonts w:hint="eastAsia"/>
          <w:szCs w:val="20"/>
        </w:rPr>
      </w:pPr>
      <w:r>
        <w:rPr>
          <w:rFonts w:hint="eastAsia"/>
          <w:szCs w:val="20"/>
        </w:rPr>
        <w:t>（16）选择、更换律师事务所、会计师事务所、证券经纪商或其他为基金提供服务的外部机构；</w:t>
      </w:r>
      <w:r>
        <w:rPr>
          <w:rFonts w:hint="eastAsia"/>
          <w:szCs w:val="20"/>
        </w:rPr>
        <w:tab/>
      </w:r>
    </w:p>
    <w:p w14:paraId="59E9C3A3">
      <w:pPr>
        <w:autoSpaceDE w:val="0"/>
        <w:autoSpaceDN w:val="0"/>
        <w:spacing w:line="360" w:lineRule="auto"/>
        <w:ind w:firstLine="420" w:firstLineChars="200"/>
        <w:jc w:val="left"/>
        <w:textAlignment w:val="auto"/>
        <w:rPr>
          <w:rFonts w:hint="eastAsia"/>
          <w:szCs w:val="20"/>
        </w:rPr>
      </w:pPr>
      <w:r>
        <w:rPr>
          <w:rFonts w:hint="eastAsia"/>
          <w:szCs w:val="20"/>
        </w:rPr>
        <w:t>（17）在符合有关法律、法规的前提下，制订和调整有关基金认购、申购、赎回、基金转换、定期定额投资和非交易过户等业务规则；</w:t>
      </w:r>
    </w:p>
    <w:p w14:paraId="60498518">
      <w:pPr>
        <w:autoSpaceDE w:val="0"/>
        <w:autoSpaceDN w:val="0"/>
        <w:spacing w:line="360" w:lineRule="auto"/>
        <w:ind w:firstLine="420" w:firstLineChars="200"/>
        <w:jc w:val="left"/>
        <w:textAlignment w:val="auto"/>
        <w:rPr>
          <w:rFonts w:hint="eastAsia"/>
          <w:szCs w:val="20"/>
        </w:rPr>
      </w:pPr>
      <w:r>
        <w:rPr>
          <w:rFonts w:hint="eastAsia"/>
          <w:szCs w:val="20"/>
        </w:rPr>
        <w:t>（18）法律法规及中国证监会规定的和基金合同约定的其他权利。</w:t>
      </w:r>
    </w:p>
    <w:p w14:paraId="36219522">
      <w:pPr>
        <w:autoSpaceDE w:val="0"/>
        <w:autoSpaceDN w:val="0"/>
        <w:spacing w:line="360" w:lineRule="auto"/>
        <w:ind w:firstLine="420" w:firstLineChars="200"/>
        <w:jc w:val="left"/>
        <w:textAlignment w:val="auto"/>
        <w:rPr>
          <w:rFonts w:hint="eastAsia"/>
          <w:szCs w:val="20"/>
        </w:rPr>
      </w:pPr>
      <w:r>
        <w:rPr>
          <w:rFonts w:hint="eastAsia"/>
          <w:szCs w:val="20"/>
        </w:rPr>
        <w:t>2、根据《基金法》、《运作办法》及其他有关规定，基金管理人的义务包括但不限于：</w:t>
      </w:r>
    </w:p>
    <w:p w14:paraId="6C0A27F2">
      <w:pPr>
        <w:autoSpaceDE w:val="0"/>
        <w:autoSpaceDN w:val="0"/>
        <w:spacing w:line="360" w:lineRule="auto"/>
        <w:ind w:firstLine="420" w:firstLineChars="200"/>
        <w:jc w:val="left"/>
        <w:textAlignment w:val="auto"/>
        <w:rPr>
          <w:rFonts w:hint="eastAsia"/>
          <w:szCs w:val="20"/>
        </w:rPr>
      </w:pPr>
      <w:r>
        <w:rPr>
          <w:rFonts w:hint="eastAsia"/>
          <w:szCs w:val="20"/>
        </w:rPr>
        <w:t>（1）依法募集资金，办理或者委托经中国证监会认定的其他机构代为办理基金份额的发售、申购、赎回和登记事宜；</w:t>
      </w:r>
    </w:p>
    <w:p w14:paraId="1ECCF0BA">
      <w:pPr>
        <w:autoSpaceDE w:val="0"/>
        <w:autoSpaceDN w:val="0"/>
        <w:spacing w:line="360" w:lineRule="auto"/>
        <w:ind w:firstLine="420" w:firstLineChars="200"/>
        <w:jc w:val="left"/>
        <w:textAlignment w:val="auto"/>
        <w:rPr>
          <w:rFonts w:hint="eastAsia"/>
          <w:szCs w:val="20"/>
        </w:rPr>
      </w:pPr>
      <w:r>
        <w:rPr>
          <w:rFonts w:hint="eastAsia"/>
          <w:szCs w:val="20"/>
        </w:rPr>
        <w:t>（2）办理基金备案手续；</w:t>
      </w:r>
    </w:p>
    <w:p w14:paraId="68F2B20F">
      <w:pPr>
        <w:autoSpaceDE w:val="0"/>
        <w:autoSpaceDN w:val="0"/>
        <w:spacing w:line="360" w:lineRule="auto"/>
        <w:ind w:firstLine="420" w:firstLineChars="200"/>
        <w:jc w:val="left"/>
        <w:textAlignment w:val="auto"/>
        <w:rPr>
          <w:rFonts w:hint="eastAsia"/>
          <w:szCs w:val="20"/>
        </w:rPr>
      </w:pPr>
      <w:r>
        <w:rPr>
          <w:rFonts w:hint="eastAsia"/>
          <w:szCs w:val="20"/>
        </w:rPr>
        <w:t>（3）自基金合同生效之日起，以诚实信用、谨慎勤勉的原则管理和运用基金财产；</w:t>
      </w:r>
    </w:p>
    <w:p w14:paraId="54C61EFE">
      <w:pPr>
        <w:autoSpaceDE w:val="0"/>
        <w:autoSpaceDN w:val="0"/>
        <w:spacing w:line="360" w:lineRule="auto"/>
        <w:ind w:firstLine="420" w:firstLineChars="200"/>
        <w:jc w:val="left"/>
        <w:textAlignment w:val="auto"/>
        <w:rPr>
          <w:rFonts w:hint="eastAsia"/>
          <w:szCs w:val="20"/>
        </w:rPr>
      </w:pPr>
      <w:r>
        <w:rPr>
          <w:rFonts w:hint="eastAsia"/>
          <w:szCs w:val="20"/>
        </w:rPr>
        <w:t>（4）配备足够的具有专业资格的人员进行基金投资分析、决策，以专业化的经营方式管理和运作基金财产；</w:t>
      </w:r>
    </w:p>
    <w:p w14:paraId="5737E0A8">
      <w:pPr>
        <w:autoSpaceDE w:val="0"/>
        <w:autoSpaceDN w:val="0"/>
        <w:spacing w:line="360" w:lineRule="auto"/>
        <w:ind w:firstLine="420" w:firstLineChars="200"/>
        <w:jc w:val="left"/>
        <w:textAlignment w:val="auto"/>
        <w:rPr>
          <w:rFonts w:hint="eastAsia"/>
          <w:szCs w:val="20"/>
        </w:rPr>
      </w:pPr>
      <w:r>
        <w:rPr>
          <w:rFonts w:hint="eastAsia"/>
          <w:szCs w:val="20"/>
        </w:rPr>
        <w:t>（5）建立健全内部风险控制、监察与稽核、财务管理及人事管理等制度，保证所管理的基金财产和基金管理人的财产相互独立，对所管理的不同基金分别管理，分别记账，进行证券、基金投资；</w:t>
      </w:r>
    </w:p>
    <w:p w14:paraId="2C25BDB0">
      <w:pPr>
        <w:autoSpaceDE w:val="0"/>
        <w:autoSpaceDN w:val="0"/>
        <w:spacing w:line="360" w:lineRule="auto"/>
        <w:ind w:firstLine="420" w:firstLineChars="200"/>
        <w:jc w:val="left"/>
        <w:textAlignment w:val="auto"/>
        <w:rPr>
          <w:rFonts w:hint="eastAsia"/>
          <w:szCs w:val="20"/>
        </w:rPr>
      </w:pPr>
      <w:r>
        <w:rPr>
          <w:rFonts w:hint="eastAsia"/>
          <w:szCs w:val="20"/>
        </w:rPr>
        <w:t>（6）除依据《基金法》、基金合同及其他有关规定外，不得利用基金财产为自己及任何第三人谋取利益，不得委托第三人运作基金财产；</w:t>
      </w:r>
    </w:p>
    <w:p w14:paraId="3F36223D">
      <w:pPr>
        <w:autoSpaceDE w:val="0"/>
        <w:autoSpaceDN w:val="0"/>
        <w:spacing w:line="360" w:lineRule="auto"/>
        <w:ind w:firstLine="420" w:firstLineChars="200"/>
        <w:jc w:val="left"/>
        <w:textAlignment w:val="auto"/>
        <w:rPr>
          <w:rFonts w:hint="eastAsia"/>
          <w:szCs w:val="20"/>
        </w:rPr>
      </w:pPr>
      <w:r>
        <w:rPr>
          <w:rFonts w:hint="eastAsia"/>
          <w:szCs w:val="20"/>
        </w:rPr>
        <w:t>（7）依法接受基金托管人的监督；</w:t>
      </w:r>
    </w:p>
    <w:p w14:paraId="371F412A">
      <w:pPr>
        <w:autoSpaceDE w:val="0"/>
        <w:autoSpaceDN w:val="0"/>
        <w:spacing w:line="360" w:lineRule="auto"/>
        <w:ind w:firstLine="420" w:firstLineChars="200"/>
        <w:jc w:val="left"/>
        <w:textAlignment w:val="auto"/>
        <w:rPr>
          <w:rFonts w:hint="eastAsia"/>
          <w:szCs w:val="20"/>
        </w:rPr>
      </w:pPr>
      <w:r>
        <w:rPr>
          <w:rFonts w:hint="eastAsia"/>
          <w:szCs w:val="20"/>
        </w:rPr>
        <w:t>（8）采取适当合理的措施使计算基金份额认购、申购、赎回和注销价格的方法符合基金合同等法律文件的规定，按有关规定计算并公告基金净值信息，确定基金份额申购、赎回的价格；</w:t>
      </w:r>
    </w:p>
    <w:p w14:paraId="7A869C8F">
      <w:pPr>
        <w:autoSpaceDE w:val="0"/>
        <w:autoSpaceDN w:val="0"/>
        <w:spacing w:line="360" w:lineRule="auto"/>
        <w:ind w:firstLine="420" w:firstLineChars="200"/>
        <w:jc w:val="left"/>
        <w:textAlignment w:val="auto"/>
        <w:rPr>
          <w:rFonts w:hint="eastAsia"/>
          <w:szCs w:val="20"/>
        </w:rPr>
      </w:pPr>
      <w:r>
        <w:rPr>
          <w:rFonts w:hint="eastAsia"/>
          <w:szCs w:val="20"/>
        </w:rPr>
        <w:t>（9）进行基金会计核算并编制基金财务会计报告；</w:t>
      </w:r>
    </w:p>
    <w:p w14:paraId="75DBBF80">
      <w:pPr>
        <w:autoSpaceDE w:val="0"/>
        <w:autoSpaceDN w:val="0"/>
        <w:spacing w:line="360" w:lineRule="auto"/>
        <w:ind w:firstLine="420" w:firstLineChars="200"/>
        <w:jc w:val="left"/>
        <w:textAlignment w:val="auto"/>
        <w:rPr>
          <w:rFonts w:hint="eastAsia"/>
          <w:szCs w:val="20"/>
        </w:rPr>
      </w:pPr>
      <w:r>
        <w:rPr>
          <w:rFonts w:hint="eastAsia"/>
          <w:szCs w:val="20"/>
        </w:rPr>
        <w:t>（10）编制季度报告、中期报告和年度报告；</w:t>
      </w:r>
    </w:p>
    <w:p w14:paraId="7B45F421">
      <w:pPr>
        <w:autoSpaceDE w:val="0"/>
        <w:autoSpaceDN w:val="0"/>
        <w:spacing w:line="360" w:lineRule="auto"/>
        <w:ind w:firstLine="420" w:firstLineChars="200"/>
        <w:jc w:val="left"/>
        <w:textAlignment w:val="auto"/>
        <w:rPr>
          <w:rFonts w:hint="eastAsia"/>
          <w:szCs w:val="20"/>
        </w:rPr>
      </w:pPr>
      <w:r>
        <w:rPr>
          <w:rFonts w:hint="eastAsia"/>
          <w:szCs w:val="20"/>
        </w:rPr>
        <w:t>（11）严格按照《基金法》、基金合同及其他有关规定，履行信息披露及报告义务；</w:t>
      </w:r>
    </w:p>
    <w:p w14:paraId="77701282">
      <w:pPr>
        <w:autoSpaceDE w:val="0"/>
        <w:autoSpaceDN w:val="0"/>
        <w:spacing w:line="360" w:lineRule="auto"/>
        <w:ind w:firstLine="420" w:firstLineChars="200"/>
        <w:jc w:val="left"/>
        <w:textAlignment w:val="auto"/>
        <w:rPr>
          <w:rFonts w:hint="eastAsia"/>
          <w:szCs w:val="20"/>
        </w:rPr>
      </w:pPr>
      <w:r>
        <w:rPr>
          <w:rFonts w:hint="eastAsia"/>
          <w:szCs w:val="20"/>
        </w:rPr>
        <w:t>（12）保守基金商业秘密，不泄露基金投资计划、投资意向等。除《基金法》、基金合同及其他有关规定另有规定外，在基金信息公开披露前应予保密，不向他人泄露，但向审计、法律等外部专业顾问提供的除外；</w:t>
      </w:r>
    </w:p>
    <w:p w14:paraId="66522404">
      <w:pPr>
        <w:autoSpaceDE w:val="0"/>
        <w:autoSpaceDN w:val="0"/>
        <w:spacing w:line="360" w:lineRule="auto"/>
        <w:ind w:firstLine="420" w:firstLineChars="200"/>
        <w:jc w:val="left"/>
        <w:textAlignment w:val="auto"/>
        <w:rPr>
          <w:rFonts w:hint="eastAsia"/>
          <w:szCs w:val="20"/>
        </w:rPr>
      </w:pPr>
      <w:r>
        <w:rPr>
          <w:rFonts w:hint="eastAsia"/>
          <w:szCs w:val="20"/>
        </w:rPr>
        <w:t>（13）按基金合同的约定确定基金收益分配方案，及时向基金份额持有人分配基金收益；</w:t>
      </w:r>
    </w:p>
    <w:p w14:paraId="22ABF87C">
      <w:pPr>
        <w:autoSpaceDE w:val="0"/>
        <w:autoSpaceDN w:val="0"/>
        <w:spacing w:line="360" w:lineRule="auto"/>
        <w:ind w:firstLine="420" w:firstLineChars="200"/>
        <w:jc w:val="left"/>
        <w:textAlignment w:val="auto"/>
        <w:rPr>
          <w:rFonts w:hint="eastAsia"/>
          <w:szCs w:val="20"/>
        </w:rPr>
      </w:pPr>
      <w:r>
        <w:rPr>
          <w:rFonts w:hint="eastAsia"/>
          <w:szCs w:val="20"/>
        </w:rPr>
        <w:t>（14）按规定受理申购与赎回申请，及时、足额支付赎回款项；</w:t>
      </w:r>
    </w:p>
    <w:p w14:paraId="74D0233F">
      <w:pPr>
        <w:autoSpaceDE w:val="0"/>
        <w:autoSpaceDN w:val="0"/>
        <w:spacing w:line="360" w:lineRule="auto"/>
        <w:ind w:firstLine="420" w:firstLineChars="200"/>
        <w:jc w:val="left"/>
        <w:textAlignment w:val="auto"/>
        <w:rPr>
          <w:rFonts w:hint="eastAsia"/>
          <w:szCs w:val="20"/>
        </w:rPr>
      </w:pPr>
      <w:r>
        <w:rPr>
          <w:rFonts w:hint="eastAsia"/>
          <w:szCs w:val="20"/>
        </w:rPr>
        <w:t>（15）依据《基金法》、基金合同及其他有关规定召集基金份额持有人大会或配合基金托管人、基金份额持有人依法召集基金份额持有人大会；</w:t>
      </w:r>
    </w:p>
    <w:p w14:paraId="683469E5">
      <w:pPr>
        <w:autoSpaceDE w:val="0"/>
        <w:autoSpaceDN w:val="0"/>
        <w:spacing w:line="360" w:lineRule="auto"/>
        <w:ind w:firstLine="420" w:firstLineChars="200"/>
        <w:jc w:val="left"/>
        <w:textAlignment w:val="auto"/>
        <w:rPr>
          <w:rFonts w:hint="eastAsia"/>
          <w:szCs w:val="20"/>
        </w:rPr>
      </w:pPr>
      <w:r>
        <w:rPr>
          <w:rFonts w:hint="eastAsia"/>
          <w:szCs w:val="20"/>
        </w:rPr>
        <w:t>（16）按规定保存基金财产管理业务活动的会计账册、报表、记录和其他相关资料，保存期限不低于法律法规规定的最低期限；</w:t>
      </w:r>
    </w:p>
    <w:p w14:paraId="0AA22793">
      <w:pPr>
        <w:autoSpaceDE w:val="0"/>
        <w:autoSpaceDN w:val="0"/>
        <w:spacing w:line="360" w:lineRule="auto"/>
        <w:ind w:firstLine="420" w:firstLineChars="200"/>
        <w:jc w:val="left"/>
        <w:textAlignment w:val="auto"/>
        <w:rPr>
          <w:rFonts w:hint="eastAsia"/>
          <w:szCs w:val="20"/>
        </w:rPr>
      </w:pPr>
      <w:r>
        <w:rPr>
          <w:rFonts w:hint="eastAsia"/>
          <w:szCs w:val="20"/>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18DF054">
      <w:pPr>
        <w:autoSpaceDE w:val="0"/>
        <w:autoSpaceDN w:val="0"/>
        <w:spacing w:line="360" w:lineRule="auto"/>
        <w:ind w:firstLine="420" w:firstLineChars="200"/>
        <w:jc w:val="left"/>
        <w:textAlignment w:val="auto"/>
        <w:rPr>
          <w:rFonts w:hint="eastAsia"/>
          <w:szCs w:val="20"/>
        </w:rPr>
      </w:pPr>
      <w:r>
        <w:rPr>
          <w:rFonts w:hint="eastAsia"/>
          <w:szCs w:val="20"/>
        </w:rPr>
        <w:t>（18）组织并参加基金财产清算小组，参与基金财产的保管、清理、估价、变现和分配；</w:t>
      </w:r>
    </w:p>
    <w:p w14:paraId="331802D6">
      <w:pPr>
        <w:autoSpaceDE w:val="0"/>
        <w:autoSpaceDN w:val="0"/>
        <w:spacing w:line="360" w:lineRule="auto"/>
        <w:ind w:firstLine="420" w:firstLineChars="200"/>
        <w:jc w:val="left"/>
        <w:textAlignment w:val="auto"/>
        <w:rPr>
          <w:rFonts w:hint="eastAsia"/>
          <w:szCs w:val="20"/>
        </w:rPr>
      </w:pPr>
      <w:r>
        <w:rPr>
          <w:rFonts w:hint="eastAsia"/>
          <w:szCs w:val="20"/>
        </w:rPr>
        <w:t>（19）面临解散、依法被撤销或者被依法宣告破产时，及时报告中国证监会并通知基金托管人；</w:t>
      </w:r>
    </w:p>
    <w:p w14:paraId="51CD90A7">
      <w:pPr>
        <w:autoSpaceDE w:val="0"/>
        <w:autoSpaceDN w:val="0"/>
        <w:spacing w:line="360" w:lineRule="auto"/>
        <w:ind w:firstLine="420" w:firstLineChars="200"/>
        <w:jc w:val="left"/>
        <w:textAlignment w:val="auto"/>
        <w:rPr>
          <w:rFonts w:hint="eastAsia"/>
          <w:szCs w:val="20"/>
        </w:rPr>
      </w:pPr>
      <w:r>
        <w:rPr>
          <w:rFonts w:hint="eastAsia"/>
          <w:szCs w:val="20"/>
        </w:rPr>
        <w:t>（20）因违反基金合同导致基金财产的损失或损害基金份额持有人合法权益时，应当承担赔偿责任，其赔偿责任不因其退任而免除；</w:t>
      </w:r>
    </w:p>
    <w:p w14:paraId="37F434D8">
      <w:pPr>
        <w:autoSpaceDE w:val="0"/>
        <w:autoSpaceDN w:val="0"/>
        <w:spacing w:line="360" w:lineRule="auto"/>
        <w:ind w:firstLine="420" w:firstLineChars="200"/>
        <w:jc w:val="left"/>
        <w:textAlignment w:val="auto"/>
        <w:rPr>
          <w:rFonts w:hint="eastAsia"/>
          <w:szCs w:val="20"/>
        </w:rPr>
      </w:pPr>
      <w:r>
        <w:rPr>
          <w:rFonts w:hint="eastAsia"/>
          <w:szCs w:val="20"/>
        </w:rPr>
        <w:t>（21）监督基金托管人按法律法规和基金合同规定履行自己的义务，基金托管人违反基金合同造成基金财产损失时，基金管理人应为基金份额持有人利益向基金托管人追偿；</w:t>
      </w:r>
    </w:p>
    <w:p w14:paraId="13D9C535">
      <w:pPr>
        <w:autoSpaceDE w:val="0"/>
        <w:autoSpaceDN w:val="0"/>
        <w:spacing w:line="360" w:lineRule="auto"/>
        <w:ind w:firstLine="420" w:firstLineChars="200"/>
        <w:jc w:val="left"/>
        <w:textAlignment w:val="auto"/>
        <w:rPr>
          <w:rFonts w:hint="eastAsia"/>
          <w:szCs w:val="20"/>
        </w:rPr>
      </w:pPr>
      <w:r>
        <w:rPr>
          <w:rFonts w:hint="eastAsia"/>
          <w:szCs w:val="20"/>
        </w:rPr>
        <w:t>（22）当基金管理人将其义务委托第三方处理时，应当对第三方处理有关基金事务的行为承担责任；</w:t>
      </w:r>
    </w:p>
    <w:p w14:paraId="11E9E0F8">
      <w:pPr>
        <w:autoSpaceDE w:val="0"/>
        <w:autoSpaceDN w:val="0"/>
        <w:spacing w:line="360" w:lineRule="auto"/>
        <w:ind w:firstLine="420" w:firstLineChars="200"/>
        <w:jc w:val="left"/>
        <w:textAlignment w:val="auto"/>
        <w:rPr>
          <w:rFonts w:hint="eastAsia"/>
          <w:szCs w:val="20"/>
        </w:rPr>
      </w:pPr>
      <w:r>
        <w:rPr>
          <w:rFonts w:hint="eastAsia"/>
          <w:szCs w:val="20"/>
        </w:rPr>
        <w:t>（23）以基金管理人名义，代表基金份额持有人利益行使诉讼权利或实施其他法律行为；</w:t>
      </w:r>
    </w:p>
    <w:p w14:paraId="3DD0EE15">
      <w:pPr>
        <w:autoSpaceDE w:val="0"/>
        <w:autoSpaceDN w:val="0"/>
        <w:spacing w:line="360" w:lineRule="auto"/>
        <w:ind w:firstLine="420" w:firstLineChars="200"/>
        <w:jc w:val="left"/>
        <w:textAlignment w:val="auto"/>
        <w:rPr>
          <w:rFonts w:hint="eastAsia"/>
          <w:szCs w:val="20"/>
        </w:rPr>
      </w:pPr>
      <w:r>
        <w:rPr>
          <w:rFonts w:hint="eastAsia"/>
          <w:szCs w:val="20"/>
        </w:rPr>
        <w:t>（24）若本基金持有的基金召开基金份额持有人大会，基金管理人应遵循本基金基金份额持有人利益优先原则，行使相关投票权利；</w:t>
      </w:r>
    </w:p>
    <w:p w14:paraId="23B7D6BD">
      <w:pPr>
        <w:autoSpaceDE w:val="0"/>
        <w:autoSpaceDN w:val="0"/>
        <w:spacing w:line="360" w:lineRule="auto"/>
        <w:ind w:firstLine="420" w:firstLineChars="200"/>
        <w:jc w:val="left"/>
        <w:textAlignment w:val="auto"/>
        <w:rPr>
          <w:rFonts w:hint="eastAsia"/>
          <w:szCs w:val="20"/>
        </w:rPr>
      </w:pPr>
      <w:r>
        <w:rPr>
          <w:rFonts w:hint="eastAsia"/>
          <w:szCs w:val="20"/>
        </w:rPr>
        <w:t>（25）基金在募集期间未能达到基金的备案条件，基金合同不能生效，基金管理人承担全部募集费用，将已募集资金并加计银行同期活期存款利息在基金募集期结束后30日内退还基金认购人；</w:t>
      </w:r>
    </w:p>
    <w:p w14:paraId="645F2ACA">
      <w:pPr>
        <w:autoSpaceDE w:val="0"/>
        <w:autoSpaceDN w:val="0"/>
        <w:spacing w:line="360" w:lineRule="auto"/>
        <w:ind w:firstLine="420" w:firstLineChars="200"/>
        <w:jc w:val="left"/>
        <w:textAlignment w:val="auto"/>
        <w:rPr>
          <w:rFonts w:hint="eastAsia"/>
          <w:szCs w:val="20"/>
        </w:rPr>
      </w:pPr>
      <w:r>
        <w:rPr>
          <w:rFonts w:hint="eastAsia"/>
          <w:szCs w:val="20"/>
        </w:rPr>
        <w:t>（26）执行生效的基金份额持有人大会的决议；</w:t>
      </w:r>
    </w:p>
    <w:p w14:paraId="237C8B73">
      <w:pPr>
        <w:autoSpaceDE w:val="0"/>
        <w:autoSpaceDN w:val="0"/>
        <w:spacing w:line="360" w:lineRule="auto"/>
        <w:ind w:firstLine="420" w:firstLineChars="200"/>
        <w:jc w:val="left"/>
        <w:textAlignment w:val="auto"/>
        <w:rPr>
          <w:rFonts w:hint="eastAsia"/>
          <w:szCs w:val="20"/>
        </w:rPr>
      </w:pPr>
      <w:r>
        <w:rPr>
          <w:rFonts w:hint="eastAsia"/>
          <w:szCs w:val="20"/>
        </w:rPr>
        <w:t>（27）建立并保存基金份额持有人名册；</w:t>
      </w:r>
    </w:p>
    <w:p w14:paraId="3AC9027F">
      <w:pPr>
        <w:autoSpaceDE w:val="0"/>
        <w:autoSpaceDN w:val="0"/>
        <w:spacing w:line="360" w:lineRule="auto"/>
        <w:ind w:firstLine="420" w:firstLineChars="200"/>
        <w:jc w:val="left"/>
        <w:textAlignment w:val="auto"/>
        <w:rPr>
          <w:rFonts w:hint="eastAsia"/>
          <w:szCs w:val="20"/>
        </w:rPr>
      </w:pPr>
      <w:r>
        <w:rPr>
          <w:rFonts w:hint="eastAsia"/>
          <w:szCs w:val="20"/>
        </w:rPr>
        <w:t>（28）法律法规及中国证监会规定的和基金合同约定的其他义务。</w:t>
      </w:r>
    </w:p>
    <w:p w14:paraId="38BCBB07">
      <w:pPr>
        <w:autoSpaceDE w:val="0"/>
        <w:autoSpaceDN w:val="0"/>
        <w:spacing w:line="360" w:lineRule="auto"/>
        <w:ind w:firstLine="420" w:firstLineChars="200"/>
        <w:jc w:val="left"/>
        <w:textAlignment w:val="auto"/>
        <w:rPr>
          <w:rFonts w:hint="eastAsia"/>
          <w:szCs w:val="20"/>
        </w:rPr>
      </w:pPr>
      <w:r>
        <w:rPr>
          <w:rFonts w:hint="eastAsia"/>
          <w:szCs w:val="20"/>
        </w:rPr>
        <w:t>（二）</w:t>
      </w:r>
      <w:r>
        <w:rPr>
          <w:rFonts w:hint="eastAsia"/>
          <w:szCs w:val="20"/>
        </w:rPr>
        <w:tab/>
      </w:r>
      <w:r>
        <w:rPr>
          <w:rFonts w:hint="eastAsia"/>
          <w:szCs w:val="20"/>
        </w:rPr>
        <w:t>基金托管人的权利与义务</w:t>
      </w:r>
    </w:p>
    <w:p w14:paraId="01B5984B">
      <w:pPr>
        <w:autoSpaceDE w:val="0"/>
        <w:autoSpaceDN w:val="0"/>
        <w:spacing w:line="360" w:lineRule="auto"/>
        <w:ind w:firstLine="420" w:firstLineChars="200"/>
        <w:jc w:val="left"/>
        <w:textAlignment w:val="auto"/>
        <w:rPr>
          <w:rFonts w:hint="eastAsia"/>
          <w:szCs w:val="20"/>
        </w:rPr>
      </w:pPr>
      <w:r>
        <w:rPr>
          <w:rFonts w:hint="eastAsia"/>
          <w:szCs w:val="20"/>
        </w:rPr>
        <w:t>1、根据《基金法》、《运作办法》及其他有关规定，基金托管人的权利包括但不限于：</w:t>
      </w:r>
    </w:p>
    <w:p w14:paraId="4B4AEA4A">
      <w:pPr>
        <w:autoSpaceDE w:val="0"/>
        <w:autoSpaceDN w:val="0"/>
        <w:spacing w:line="360" w:lineRule="auto"/>
        <w:ind w:firstLine="420" w:firstLineChars="200"/>
        <w:jc w:val="left"/>
        <w:textAlignment w:val="auto"/>
        <w:rPr>
          <w:rFonts w:hint="eastAsia"/>
          <w:szCs w:val="20"/>
        </w:rPr>
      </w:pPr>
      <w:r>
        <w:rPr>
          <w:rFonts w:hint="eastAsia"/>
          <w:szCs w:val="20"/>
        </w:rPr>
        <w:t>（1）自基金合同生效之日起，依法律法规和基金合同的规定安全保管基金财产；</w:t>
      </w:r>
    </w:p>
    <w:p w14:paraId="78178B75">
      <w:pPr>
        <w:autoSpaceDE w:val="0"/>
        <w:autoSpaceDN w:val="0"/>
        <w:spacing w:line="360" w:lineRule="auto"/>
        <w:ind w:firstLine="420" w:firstLineChars="200"/>
        <w:jc w:val="left"/>
        <w:textAlignment w:val="auto"/>
        <w:rPr>
          <w:rFonts w:hint="eastAsia"/>
          <w:szCs w:val="20"/>
        </w:rPr>
      </w:pPr>
      <w:r>
        <w:rPr>
          <w:rFonts w:hint="eastAsia"/>
          <w:szCs w:val="20"/>
        </w:rPr>
        <w:t>（2）依基金合同约定获得基金托管费以及法律法规规定或监管部门批准的其他费用；</w:t>
      </w:r>
    </w:p>
    <w:p w14:paraId="628ABA0A">
      <w:pPr>
        <w:autoSpaceDE w:val="0"/>
        <w:autoSpaceDN w:val="0"/>
        <w:spacing w:line="360" w:lineRule="auto"/>
        <w:ind w:firstLine="420" w:firstLineChars="200"/>
        <w:jc w:val="left"/>
        <w:textAlignment w:val="auto"/>
        <w:rPr>
          <w:rFonts w:hint="eastAsia"/>
          <w:szCs w:val="20"/>
        </w:rPr>
      </w:pPr>
      <w:r>
        <w:rPr>
          <w:rFonts w:hint="eastAsia"/>
          <w:szCs w:val="2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B42FB4B">
      <w:pPr>
        <w:autoSpaceDE w:val="0"/>
        <w:autoSpaceDN w:val="0"/>
        <w:spacing w:line="360" w:lineRule="auto"/>
        <w:ind w:firstLine="420" w:firstLineChars="200"/>
        <w:jc w:val="left"/>
        <w:textAlignment w:val="auto"/>
        <w:rPr>
          <w:rFonts w:hint="eastAsia"/>
          <w:szCs w:val="20"/>
        </w:rPr>
      </w:pPr>
      <w:r>
        <w:rPr>
          <w:rFonts w:hint="eastAsia"/>
          <w:szCs w:val="20"/>
        </w:rPr>
        <w:t>（4）根据相关市场规则，为基金开设证券账户、资金账户等投资所需账户，为基金办理证券交易资金清算；</w:t>
      </w:r>
    </w:p>
    <w:p w14:paraId="5EA6ADF1">
      <w:pPr>
        <w:autoSpaceDE w:val="0"/>
        <w:autoSpaceDN w:val="0"/>
        <w:spacing w:line="360" w:lineRule="auto"/>
        <w:ind w:firstLine="420" w:firstLineChars="200"/>
        <w:jc w:val="left"/>
        <w:textAlignment w:val="auto"/>
        <w:rPr>
          <w:rFonts w:hint="eastAsia"/>
          <w:szCs w:val="20"/>
        </w:rPr>
      </w:pPr>
      <w:r>
        <w:rPr>
          <w:rFonts w:hint="eastAsia"/>
          <w:szCs w:val="20"/>
        </w:rPr>
        <w:t>（5）提议召开或召集基金份额持有人大会；</w:t>
      </w:r>
    </w:p>
    <w:p w14:paraId="6590E466">
      <w:pPr>
        <w:autoSpaceDE w:val="0"/>
        <w:autoSpaceDN w:val="0"/>
        <w:spacing w:line="360" w:lineRule="auto"/>
        <w:ind w:firstLine="420" w:firstLineChars="200"/>
        <w:jc w:val="left"/>
        <w:textAlignment w:val="auto"/>
        <w:rPr>
          <w:rFonts w:hint="eastAsia"/>
          <w:szCs w:val="20"/>
        </w:rPr>
      </w:pPr>
      <w:r>
        <w:rPr>
          <w:rFonts w:hint="eastAsia"/>
          <w:szCs w:val="20"/>
        </w:rPr>
        <w:t>（6）在基金管理人更换时，提名新的基金管理人；</w:t>
      </w:r>
    </w:p>
    <w:p w14:paraId="1A8E3A64">
      <w:pPr>
        <w:autoSpaceDE w:val="0"/>
        <w:autoSpaceDN w:val="0"/>
        <w:spacing w:line="360" w:lineRule="auto"/>
        <w:ind w:firstLine="420" w:firstLineChars="200"/>
        <w:jc w:val="left"/>
        <w:textAlignment w:val="auto"/>
        <w:rPr>
          <w:rFonts w:hint="eastAsia"/>
          <w:szCs w:val="20"/>
        </w:rPr>
      </w:pPr>
      <w:r>
        <w:rPr>
          <w:rFonts w:hint="eastAsia"/>
          <w:szCs w:val="20"/>
        </w:rPr>
        <w:t>（7）法律法规及中国证监会规定的和基金合同约定的其他权利。</w:t>
      </w:r>
    </w:p>
    <w:p w14:paraId="723CED94">
      <w:pPr>
        <w:autoSpaceDE w:val="0"/>
        <w:autoSpaceDN w:val="0"/>
        <w:spacing w:line="360" w:lineRule="auto"/>
        <w:ind w:firstLine="420" w:firstLineChars="200"/>
        <w:jc w:val="left"/>
        <w:textAlignment w:val="auto"/>
        <w:rPr>
          <w:rFonts w:hint="eastAsia"/>
          <w:szCs w:val="20"/>
        </w:rPr>
      </w:pPr>
      <w:r>
        <w:rPr>
          <w:rFonts w:hint="eastAsia"/>
          <w:szCs w:val="20"/>
        </w:rPr>
        <w:t>2、根据《基金法》、《运作办法》及其他有关规定，基金托管人的义务包括但不限于：</w:t>
      </w:r>
    </w:p>
    <w:p w14:paraId="672885F2">
      <w:pPr>
        <w:autoSpaceDE w:val="0"/>
        <w:autoSpaceDN w:val="0"/>
        <w:spacing w:line="360" w:lineRule="auto"/>
        <w:ind w:firstLine="420" w:firstLineChars="200"/>
        <w:jc w:val="left"/>
        <w:textAlignment w:val="auto"/>
        <w:rPr>
          <w:rFonts w:hint="eastAsia"/>
          <w:szCs w:val="20"/>
        </w:rPr>
      </w:pPr>
      <w:r>
        <w:rPr>
          <w:rFonts w:hint="eastAsia"/>
          <w:szCs w:val="20"/>
        </w:rPr>
        <w:t>（1）以诚实信用、勤勉尽责的原则持有并安全保管基金财产；</w:t>
      </w:r>
    </w:p>
    <w:p w14:paraId="2E507A3A">
      <w:pPr>
        <w:autoSpaceDE w:val="0"/>
        <w:autoSpaceDN w:val="0"/>
        <w:spacing w:line="360" w:lineRule="auto"/>
        <w:ind w:firstLine="420" w:firstLineChars="200"/>
        <w:jc w:val="left"/>
        <w:textAlignment w:val="auto"/>
        <w:rPr>
          <w:rFonts w:hint="eastAsia"/>
          <w:szCs w:val="20"/>
        </w:rPr>
      </w:pPr>
      <w:r>
        <w:rPr>
          <w:rFonts w:hint="eastAsia"/>
          <w:szCs w:val="20"/>
        </w:rPr>
        <w:t>（2）设立专门的基金托管部门，具有符合要求的营业场所，配备足够的、合格的熟悉基金托管业务的专职人员，负责基金财产托管事宜；</w:t>
      </w:r>
    </w:p>
    <w:p w14:paraId="0399D866">
      <w:pPr>
        <w:autoSpaceDE w:val="0"/>
        <w:autoSpaceDN w:val="0"/>
        <w:spacing w:line="360" w:lineRule="auto"/>
        <w:ind w:firstLine="420" w:firstLineChars="200"/>
        <w:jc w:val="left"/>
        <w:textAlignment w:val="auto"/>
        <w:rPr>
          <w:rFonts w:hint="eastAsia"/>
          <w:szCs w:val="20"/>
        </w:rPr>
      </w:pPr>
      <w:r>
        <w:rPr>
          <w:rFonts w:hint="eastAsia"/>
          <w:szCs w:val="2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0D0C26A">
      <w:pPr>
        <w:autoSpaceDE w:val="0"/>
        <w:autoSpaceDN w:val="0"/>
        <w:spacing w:line="360" w:lineRule="auto"/>
        <w:ind w:firstLine="420" w:firstLineChars="200"/>
        <w:jc w:val="left"/>
        <w:textAlignment w:val="auto"/>
        <w:rPr>
          <w:rFonts w:hint="eastAsia"/>
          <w:szCs w:val="20"/>
        </w:rPr>
      </w:pPr>
      <w:r>
        <w:rPr>
          <w:rFonts w:hint="eastAsia"/>
          <w:szCs w:val="20"/>
        </w:rPr>
        <w:t>（4）除依据《基金法》、基金合同、托管协议及其他有关规定外，不得利用基金财产为自己及任何第三人谋取利益，不得委托第三人托管基金财产；</w:t>
      </w:r>
    </w:p>
    <w:p w14:paraId="40BC0841">
      <w:pPr>
        <w:autoSpaceDE w:val="0"/>
        <w:autoSpaceDN w:val="0"/>
        <w:spacing w:line="360" w:lineRule="auto"/>
        <w:ind w:firstLine="420" w:firstLineChars="200"/>
        <w:jc w:val="left"/>
        <w:textAlignment w:val="auto"/>
        <w:rPr>
          <w:rFonts w:hint="eastAsia"/>
          <w:szCs w:val="20"/>
        </w:rPr>
      </w:pPr>
      <w:r>
        <w:rPr>
          <w:rFonts w:hint="eastAsia"/>
          <w:szCs w:val="20"/>
        </w:rPr>
        <w:t>（5）保管由基金管理人代表基金签订的与基金有关的重大合同及有关凭证；</w:t>
      </w:r>
    </w:p>
    <w:p w14:paraId="2ABF8566">
      <w:pPr>
        <w:autoSpaceDE w:val="0"/>
        <w:autoSpaceDN w:val="0"/>
        <w:spacing w:line="360" w:lineRule="auto"/>
        <w:ind w:firstLine="420" w:firstLineChars="200"/>
        <w:jc w:val="left"/>
        <w:textAlignment w:val="auto"/>
        <w:rPr>
          <w:rFonts w:hint="eastAsia"/>
          <w:szCs w:val="20"/>
        </w:rPr>
      </w:pPr>
      <w:r>
        <w:rPr>
          <w:rFonts w:hint="eastAsia"/>
          <w:szCs w:val="20"/>
        </w:rPr>
        <w:t>（6）按规定开设基金财产的资金账户和证券账户等投资所需账户，按照基金合同的约定，根据基金管理人的投资指令，及时办理清算、交割事宜；</w:t>
      </w:r>
    </w:p>
    <w:p w14:paraId="3796C6B5">
      <w:pPr>
        <w:autoSpaceDE w:val="0"/>
        <w:autoSpaceDN w:val="0"/>
        <w:spacing w:line="360" w:lineRule="auto"/>
        <w:ind w:firstLine="420" w:firstLineChars="200"/>
        <w:jc w:val="left"/>
        <w:textAlignment w:val="auto"/>
        <w:rPr>
          <w:rFonts w:hint="eastAsia"/>
          <w:szCs w:val="20"/>
        </w:rPr>
      </w:pPr>
      <w:r>
        <w:rPr>
          <w:rFonts w:hint="eastAsia"/>
          <w:szCs w:val="20"/>
        </w:rPr>
        <w:t>（7）保守基金商业秘密，除《基金法》、基金合同及其他有关规定另有规定外，在基金信息公开披露前予以保密，不得向他人泄露，但向审计、法律等外部专业顾问提供的除外；</w:t>
      </w:r>
    </w:p>
    <w:p w14:paraId="36CF482C">
      <w:pPr>
        <w:autoSpaceDE w:val="0"/>
        <w:autoSpaceDN w:val="0"/>
        <w:spacing w:line="360" w:lineRule="auto"/>
        <w:ind w:firstLine="420" w:firstLineChars="200"/>
        <w:jc w:val="left"/>
        <w:textAlignment w:val="auto"/>
        <w:rPr>
          <w:rFonts w:hint="eastAsia"/>
          <w:szCs w:val="20"/>
        </w:rPr>
      </w:pPr>
      <w:r>
        <w:rPr>
          <w:rFonts w:hint="eastAsia"/>
          <w:szCs w:val="20"/>
        </w:rPr>
        <w:t>（8）复核、审查基金管理人编制的基金资产净值、各类基金份额净值、基金份额申购赎回价格、基金定期报告、更新的招募说明书、基金产品资料概要、基金清算报告等公开披露的相关基金信息，并向基金管理人进行书面或电子确认；</w:t>
      </w:r>
    </w:p>
    <w:p w14:paraId="20DB74A1">
      <w:pPr>
        <w:autoSpaceDE w:val="0"/>
        <w:autoSpaceDN w:val="0"/>
        <w:spacing w:line="360" w:lineRule="auto"/>
        <w:ind w:firstLine="420" w:firstLineChars="200"/>
        <w:jc w:val="left"/>
        <w:textAlignment w:val="auto"/>
        <w:rPr>
          <w:rFonts w:hint="eastAsia"/>
          <w:szCs w:val="20"/>
        </w:rPr>
      </w:pPr>
      <w:r>
        <w:rPr>
          <w:rFonts w:hint="eastAsia"/>
          <w:szCs w:val="20"/>
        </w:rPr>
        <w:t>（9）办理与基金托管业务活动有关的信息披露事项；</w:t>
      </w:r>
    </w:p>
    <w:p w14:paraId="7250FEB9">
      <w:pPr>
        <w:autoSpaceDE w:val="0"/>
        <w:autoSpaceDN w:val="0"/>
        <w:spacing w:line="360" w:lineRule="auto"/>
        <w:ind w:firstLine="420" w:firstLineChars="200"/>
        <w:jc w:val="left"/>
        <w:textAlignment w:val="auto"/>
        <w:rPr>
          <w:rFonts w:hint="eastAsia"/>
          <w:szCs w:val="20"/>
        </w:rPr>
      </w:pPr>
      <w:r>
        <w:rPr>
          <w:rFonts w:hint="eastAsia"/>
          <w:szCs w:val="2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89EB4F8">
      <w:pPr>
        <w:autoSpaceDE w:val="0"/>
        <w:autoSpaceDN w:val="0"/>
        <w:spacing w:line="360" w:lineRule="auto"/>
        <w:ind w:firstLine="420" w:firstLineChars="200"/>
        <w:jc w:val="left"/>
        <w:textAlignment w:val="auto"/>
        <w:rPr>
          <w:rFonts w:hint="eastAsia"/>
          <w:szCs w:val="20"/>
        </w:rPr>
      </w:pPr>
      <w:r>
        <w:rPr>
          <w:rFonts w:hint="eastAsia"/>
          <w:szCs w:val="20"/>
        </w:rPr>
        <w:t>（11）保存基金托管业务活动的记录、账册、报表和其他相关资料，保存期限不低于法律法规规定的最低期限；</w:t>
      </w:r>
    </w:p>
    <w:p w14:paraId="6150E314">
      <w:pPr>
        <w:autoSpaceDE w:val="0"/>
        <w:autoSpaceDN w:val="0"/>
        <w:spacing w:line="360" w:lineRule="auto"/>
        <w:ind w:firstLine="420" w:firstLineChars="200"/>
        <w:jc w:val="left"/>
        <w:textAlignment w:val="auto"/>
        <w:rPr>
          <w:rFonts w:hint="eastAsia"/>
          <w:szCs w:val="20"/>
        </w:rPr>
      </w:pPr>
      <w:r>
        <w:rPr>
          <w:rFonts w:hint="eastAsia"/>
          <w:szCs w:val="20"/>
        </w:rPr>
        <w:t>（12）从基金管理人或其委托的登记机构处接收并保存基金份额持有人名册；</w:t>
      </w:r>
    </w:p>
    <w:p w14:paraId="23658000">
      <w:pPr>
        <w:autoSpaceDE w:val="0"/>
        <w:autoSpaceDN w:val="0"/>
        <w:spacing w:line="360" w:lineRule="auto"/>
        <w:ind w:firstLine="420" w:firstLineChars="200"/>
        <w:jc w:val="left"/>
        <w:textAlignment w:val="auto"/>
        <w:rPr>
          <w:rFonts w:hint="eastAsia"/>
          <w:szCs w:val="20"/>
        </w:rPr>
      </w:pPr>
      <w:r>
        <w:rPr>
          <w:rFonts w:hint="eastAsia"/>
          <w:szCs w:val="20"/>
        </w:rPr>
        <w:t>（13）按规定制作相关账册并与基金管理人核对；</w:t>
      </w:r>
    </w:p>
    <w:p w14:paraId="04600D92">
      <w:pPr>
        <w:autoSpaceDE w:val="0"/>
        <w:autoSpaceDN w:val="0"/>
        <w:spacing w:line="360" w:lineRule="auto"/>
        <w:ind w:firstLine="420" w:firstLineChars="200"/>
        <w:jc w:val="left"/>
        <w:textAlignment w:val="auto"/>
        <w:rPr>
          <w:rFonts w:hint="eastAsia"/>
          <w:szCs w:val="20"/>
        </w:rPr>
      </w:pPr>
      <w:r>
        <w:rPr>
          <w:rFonts w:hint="eastAsia"/>
          <w:szCs w:val="20"/>
        </w:rPr>
        <w:t>（14）依据基金管理人的指令或有关规定向基金份额持有人支付基金收益和赎回款项；</w:t>
      </w:r>
    </w:p>
    <w:p w14:paraId="6A0BF568">
      <w:pPr>
        <w:autoSpaceDE w:val="0"/>
        <w:autoSpaceDN w:val="0"/>
        <w:spacing w:line="360" w:lineRule="auto"/>
        <w:ind w:firstLine="420" w:firstLineChars="200"/>
        <w:jc w:val="left"/>
        <w:textAlignment w:val="auto"/>
        <w:rPr>
          <w:rFonts w:hint="eastAsia"/>
          <w:szCs w:val="20"/>
        </w:rPr>
      </w:pPr>
      <w:r>
        <w:rPr>
          <w:rFonts w:hint="eastAsia"/>
          <w:szCs w:val="20"/>
        </w:rPr>
        <w:t>（15）依据《基金法》、基金合同及其他有关规定，召集基金份额持有人大会或配合基金管理人、基金份额持有人依法召集基金份额持有人大会；</w:t>
      </w:r>
    </w:p>
    <w:p w14:paraId="1556EEA9">
      <w:pPr>
        <w:autoSpaceDE w:val="0"/>
        <w:autoSpaceDN w:val="0"/>
        <w:spacing w:line="360" w:lineRule="auto"/>
        <w:ind w:firstLine="420" w:firstLineChars="200"/>
        <w:jc w:val="left"/>
        <w:textAlignment w:val="auto"/>
        <w:rPr>
          <w:rFonts w:hint="eastAsia"/>
          <w:szCs w:val="20"/>
        </w:rPr>
      </w:pPr>
      <w:r>
        <w:rPr>
          <w:rFonts w:hint="eastAsia"/>
          <w:szCs w:val="20"/>
        </w:rPr>
        <w:t>（16）按照法律法规和基金合同的规定监督基金管理人的投资运作；</w:t>
      </w:r>
    </w:p>
    <w:p w14:paraId="01BB4D46">
      <w:pPr>
        <w:autoSpaceDE w:val="0"/>
        <w:autoSpaceDN w:val="0"/>
        <w:spacing w:line="360" w:lineRule="auto"/>
        <w:ind w:firstLine="420" w:firstLineChars="200"/>
        <w:jc w:val="left"/>
        <w:textAlignment w:val="auto"/>
        <w:rPr>
          <w:rFonts w:hint="eastAsia"/>
          <w:szCs w:val="20"/>
        </w:rPr>
      </w:pPr>
      <w:r>
        <w:rPr>
          <w:rFonts w:hint="eastAsia"/>
          <w:szCs w:val="20"/>
        </w:rPr>
        <w:t>（17）参加基金财产清算小组，参与基金财产的保管、清理、估价、变现和分配；</w:t>
      </w:r>
    </w:p>
    <w:p w14:paraId="723321ED">
      <w:pPr>
        <w:autoSpaceDE w:val="0"/>
        <w:autoSpaceDN w:val="0"/>
        <w:spacing w:line="360" w:lineRule="auto"/>
        <w:ind w:firstLine="420" w:firstLineChars="200"/>
        <w:jc w:val="left"/>
        <w:textAlignment w:val="auto"/>
        <w:rPr>
          <w:rFonts w:hint="eastAsia"/>
          <w:szCs w:val="20"/>
        </w:rPr>
      </w:pPr>
      <w:r>
        <w:rPr>
          <w:rFonts w:hint="eastAsia"/>
          <w:szCs w:val="20"/>
        </w:rPr>
        <w:t>（18）面临解散、依法被撤销或者被依法宣告破产时，及时报告中国证监会和银行业监督管理机构，并通知基金管理人；</w:t>
      </w:r>
    </w:p>
    <w:p w14:paraId="5FF5EB70">
      <w:pPr>
        <w:autoSpaceDE w:val="0"/>
        <w:autoSpaceDN w:val="0"/>
        <w:spacing w:line="360" w:lineRule="auto"/>
        <w:ind w:firstLine="420" w:firstLineChars="200"/>
        <w:jc w:val="left"/>
        <w:textAlignment w:val="auto"/>
        <w:rPr>
          <w:rFonts w:hint="eastAsia"/>
          <w:szCs w:val="20"/>
        </w:rPr>
      </w:pPr>
      <w:r>
        <w:rPr>
          <w:rFonts w:hint="eastAsia"/>
          <w:szCs w:val="20"/>
        </w:rPr>
        <w:t>（19）因违反基金合同导致基金财产损失时，应承担赔偿责任，其赔偿责任不因其退任而免除；</w:t>
      </w:r>
    </w:p>
    <w:p w14:paraId="51A53DC1">
      <w:pPr>
        <w:autoSpaceDE w:val="0"/>
        <w:autoSpaceDN w:val="0"/>
        <w:spacing w:line="360" w:lineRule="auto"/>
        <w:ind w:firstLine="420" w:firstLineChars="200"/>
        <w:jc w:val="left"/>
        <w:textAlignment w:val="auto"/>
        <w:rPr>
          <w:rFonts w:hint="eastAsia"/>
          <w:szCs w:val="20"/>
        </w:rPr>
      </w:pPr>
      <w:r>
        <w:rPr>
          <w:rFonts w:hint="eastAsia"/>
          <w:szCs w:val="20"/>
        </w:rPr>
        <w:t>（20）按规定监督基金管理人按法律法规和基金合同规定履行自己的义务，基金管理人因违反基金合同造成基金财产损失时，应为基金份额持有人利益向基金管理人追偿；</w:t>
      </w:r>
    </w:p>
    <w:p w14:paraId="418746A5">
      <w:pPr>
        <w:autoSpaceDE w:val="0"/>
        <w:autoSpaceDN w:val="0"/>
        <w:spacing w:line="360" w:lineRule="auto"/>
        <w:ind w:firstLine="420" w:firstLineChars="200"/>
        <w:jc w:val="left"/>
        <w:textAlignment w:val="auto"/>
        <w:rPr>
          <w:rFonts w:hint="eastAsia"/>
          <w:szCs w:val="20"/>
        </w:rPr>
      </w:pPr>
      <w:r>
        <w:rPr>
          <w:rFonts w:hint="eastAsia"/>
          <w:szCs w:val="20"/>
        </w:rPr>
        <w:t>（21）执行生效的基金份额持有人大会的决议；</w:t>
      </w:r>
    </w:p>
    <w:p w14:paraId="6FABF2B3">
      <w:pPr>
        <w:autoSpaceDE w:val="0"/>
        <w:autoSpaceDN w:val="0"/>
        <w:spacing w:line="360" w:lineRule="auto"/>
        <w:ind w:firstLine="420" w:firstLineChars="200"/>
        <w:jc w:val="left"/>
        <w:textAlignment w:val="auto"/>
        <w:rPr>
          <w:rFonts w:hint="eastAsia"/>
          <w:szCs w:val="20"/>
        </w:rPr>
      </w:pPr>
      <w:r>
        <w:rPr>
          <w:rFonts w:hint="eastAsia"/>
          <w:szCs w:val="20"/>
        </w:rPr>
        <w:t>（22）法律法规及中国证监会规定的和基金合同约定的其他义务。</w:t>
      </w:r>
    </w:p>
    <w:p w14:paraId="134EF8DB">
      <w:pPr>
        <w:autoSpaceDE w:val="0"/>
        <w:autoSpaceDN w:val="0"/>
        <w:spacing w:line="360" w:lineRule="auto"/>
        <w:ind w:firstLine="420" w:firstLineChars="200"/>
        <w:jc w:val="left"/>
        <w:textAlignment w:val="auto"/>
        <w:rPr>
          <w:rFonts w:hint="eastAsia"/>
          <w:szCs w:val="20"/>
        </w:rPr>
      </w:pPr>
      <w:r>
        <w:rPr>
          <w:rFonts w:hint="eastAsia"/>
          <w:szCs w:val="20"/>
        </w:rPr>
        <w:t>（三）基金份额持有人</w:t>
      </w:r>
    </w:p>
    <w:p w14:paraId="539C2C4A">
      <w:pPr>
        <w:autoSpaceDE w:val="0"/>
        <w:autoSpaceDN w:val="0"/>
        <w:spacing w:line="360" w:lineRule="auto"/>
        <w:ind w:firstLine="420" w:firstLineChars="200"/>
        <w:jc w:val="left"/>
        <w:textAlignment w:val="auto"/>
        <w:rPr>
          <w:rFonts w:hint="eastAsia"/>
          <w:szCs w:val="20"/>
        </w:rPr>
      </w:pPr>
      <w:r>
        <w:rPr>
          <w:rFonts w:hint="eastAsia"/>
          <w:szCs w:val="20"/>
        </w:rPr>
        <w:t>基金投资者持有本基金基金份额的行为即视为对基金合同的承认和接受，基金投资者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4968E19C">
      <w:pPr>
        <w:autoSpaceDE w:val="0"/>
        <w:autoSpaceDN w:val="0"/>
        <w:spacing w:line="360" w:lineRule="auto"/>
        <w:ind w:firstLine="420" w:firstLineChars="200"/>
        <w:jc w:val="left"/>
        <w:textAlignment w:val="auto"/>
        <w:rPr>
          <w:rFonts w:hint="eastAsia"/>
          <w:szCs w:val="20"/>
        </w:rPr>
      </w:pPr>
      <w:r>
        <w:rPr>
          <w:rFonts w:hint="eastAsia"/>
          <w:szCs w:val="20"/>
        </w:rPr>
        <w:t>除法律法规另有规定或本基金合同另有约定外，同一类别每份基金份额具有同等的合法权益。</w:t>
      </w:r>
    </w:p>
    <w:p w14:paraId="748C770F">
      <w:pPr>
        <w:autoSpaceDE w:val="0"/>
        <w:autoSpaceDN w:val="0"/>
        <w:spacing w:line="360" w:lineRule="auto"/>
        <w:ind w:firstLine="420" w:firstLineChars="200"/>
        <w:jc w:val="left"/>
        <w:textAlignment w:val="auto"/>
        <w:rPr>
          <w:rFonts w:hint="eastAsia"/>
          <w:szCs w:val="20"/>
        </w:rPr>
      </w:pPr>
      <w:r>
        <w:rPr>
          <w:rFonts w:hint="eastAsia"/>
          <w:szCs w:val="20"/>
        </w:rPr>
        <w:t>1、根据《基金法》、《运作办法》及其他有关规定，基金份额持有人的权利包括但不限于：</w:t>
      </w:r>
    </w:p>
    <w:p w14:paraId="5C8F99F2">
      <w:pPr>
        <w:autoSpaceDE w:val="0"/>
        <w:autoSpaceDN w:val="0"/>
        <w:spacing w:line="360" w:lineRule="auto"/>
        <w:ind w:firstLine="420" w:firstLineChars="200"/>
        <w:jc w:val="left"/>
        <w:textAlignment w:val="auto"/>
        <w:rPr>
          <w:rFonts w:hint="eastAsia"/>
          <w:szCs w:val="20"/>
        </w:rPr>
      </w:pPr>
      <w:r>
        <w:rPr>
          <w:rFonts w:hint="eastAsia"/>
          <w:szCs w:val="20"/>
        </w:rPr>
        <w:t>（1）分享基金财产收益；</w:t>
      </w:r>
    </w:p>
    <w:p w14:paraId="5E5E4E44">
      <w:pPr>
        <w:autoSpaceDE w:val="0"/>
        <w:autoSpaceDN w:val="0"/>
        <w:spacing w:line="360" w:lineRule="auto"/>
        <w:ind w:firstLine="420" w:firstLineChars="200"/>
        <w:jc w:val="left"/>
        <w:textAlignment w:val="auto"/>
        <w:rPr>
          <w:rFonts w:hint="eastAsia"/>
          <w:szCs w:val="20"/>
        </w:rPr>
      </w:pPr>
      <w:r>
        <w:rPr>
          <w:rFonts w:hint="eastAsia"/>
          <w:szCs w:val="20"/>
        </w:rPr>
        <w:t>（2）参与分配清算后的剩余基金财产；</w:t>
      </w:r>
    </w:p>
    <w:p w14:paraId="09C910AF">
      <w:pPr>
        <w:autoSpaceDE w:val="0"/>
        <w:autoSpaceDN w:val="0"/>
        <w:spacing w:line="360" w:lineRule="auto"/>
        <w:ind w:firstLine="420" w:firstLineChars="200"/>
        <w:jc w:val="left"/>
        <w:textAlignment w:val="auto"/>
        <w:rPr>
          <w:rFonts w:hint="eastAsia"/>
          <w:szCs w:val="20"/>
        </w:rPr>
      </w:pPr>
      <w:r>
        <w:rPr>
          <w:rFonts w:hint="eastAsia"/>
          <w:szCs w:val="20"/>
        </w:rPr>
        <w:t>（3）依法转让或者申请赎回其持有的基金份额；</w:t>
      </w:r>
    </w:p>
    <w:p w14:paraId="720E0FCD">
      <w:pPr>
        <w:autoSpaceDE w:val="0"/>
        <w:autoSpaceDN w:val="0"/>
        <w:spacing w:line="360" w:lineRule="auto"/>
        <w:ind w:firstLine="420" w:firstLineChars="200"/>
        <w:jc w:val="left"/>
        <w:textAlignment w:val="auto"/>
        <w:rPr>
          <w:rFonts w:hint="eastAsia"/>
          <w:szCs w:val="20"/>
        </w:rPr>
      </w:pPr>
      <w:r>
        <w:rPr>
          <w:rFonts w:hint="eastAsia"/>
          <w:szCs w:val="20"/>
        </w:rPr>
        <w:t>（4）按照规定要求召开基金份额持有人大会或者召集基金份额持有人大会；</w:t>
      </w:r>
    </w:p>
    <w:p w14:paraId="615348E2">
      <w:pPr>
        <w:autoSpaceDE w:val="0"/>
        <w:autoSpaceDN w:val="0"/>
        <w:spacing w:line="360" w:lineRule="auto"/>
        <w:ind w:firstLine="420" w:firstLineChars="200"/>
        <w:jc w:val="left"/>
        <w:textAlignment w:val="auto"/>
        <w:rPr>
          <w:rFonts w:hint="eastAsia"/>
          <w:szCs w:val="20"/>
        </w:rPr>
      </w:pPr>
      <w:r>
        <w:rPr>
          <w:rFonts w:hint="eastAsia"/>
          <w:szCs w:val="20"/>
        </w:rPr>
        <w:t>（5）出席或者委派代表出席基金份额持有人大会，对基金份额持有人大会审议事项行使表决权；</w:t>
      </w:r>
    </w:p>
    <w:p w14:paraId="51C6B499">
      <w:pPr>
        <w:autoSpaceDE w:val="0"/>
        <w:autoSpaceDN w:val="0"/>
        <w:spacing w:line="360" w:lineRule="auto"/>
        <w:ind w:firstLine="420" w:firstLineChars="200"/>
        <w:jc w:val="left"/>
        <w:textAlignment w:val="auto"/>
        <w:rPr>
          <w:rFonts w:hint="eastAsia"/>
          <w:szCs w:val="20"/>
        </w:rPr>
      </w:pPr>
      <w:r>
        <w:rPr>
          <w:rFonts w:hint="eastAsia"/>
          <w:szCs w:val="20"/>
        </w:rPr>
        <w:t>（6）查阅或者复制公开披露的基金信息资料；</w:t>
      </w:r>
    </w:p>
    <w:p w14:paraId="4B34364A">
      <w:pPr>
        <w:autoSpaceDE w:val="0"/>
        <w:autoSpaceDN w:val="0"/>
        <w:spacing w:line="360" w:lineRule="auto"/>
        <w:ind w:firstLine="420" w:firstLineChars="200"/>
        <w:jc w:val="left"/>
        <w:textAlignment w:val="auto"/>
        <w:rPr>
          <w:rFonts w:hint="eastAsia"/>
          <w:szCs w:val="20"/>
        </w:rPr>
      </w:pPr>
      <w:r>
        <w:rPr>
          <w:rFonts w:hint="eastAsia"/>
          <w:szCs w:val="20"/>
        </w:rPr>
        <w:t>（7）监督基金管理人的投资运作；</w:t>
      </w:r>
    </w:p>
    <w:p w14:paraId="5C11341A">
      <w:pPr>
        <w:autoSpaceDE w:val="0"/>
        <w:autoSpaceDN w:val="0"/>
        <w:spacing w:line="360" w:lineRule="auto"/>
        <w:ind w:firstLine="420" w:firstLineChars="200"/>
        <w:jc w:val="left"/>
        <w:textAlignment w:val="auto"/>
        <w:rPr>
          <w:rFonts w:hint="eastAsia"/>
          <w:szCs w:val="20"/>
        </w:rPr>
      </w:pPr>
      <w:r>
        <w:rPr>
          <w:rFonts w:hint="eastAsia"/>
          <w:szCs w:val="20"/>
        </w:rPr>
        <w:t>（8）对基金管理人、基金托管人、基金服务机构损害其合法权益的行为依法提起诉讼或仲裁；</w:t>
      </w:r>
    </w:p>
    <w:p w14:paraId="67F23AA8">
      <w:pPr>
        <w:autoSpaceDE w:val="0"/>
        <w:autoSpaceDN w:val="0"/>
        <w:spacing w:line="360" w:lineRule="auto"/>
        <w:ind w:firstLine="420" w:firstLineChars="200"/>
        <w:jc w:val="left"/>
        <w:textAlignment w:val="auto"/>
        <w:rPr>
          <w:rFonts w:hint="eastAsia"/>
          <w:szCs w:val="20"/>
        </w:rPr>
      </w:pPr>
      <w:r>
        <w:rPr>
          <w:rFonts w:hint="eastAsia"/>
          <w:szCs w:val="20"/>
        </w:rPr>
        <w:t>（9）法律法规及中国证监会规定的和基金合同约定的其他权利。</w:t>
      </w:r>
    </w:p>
    <w:p w14:paraId="03E80D97">
      <w:pPr>
        <w:autoSpaceDE w:val="0"/>
        <w:autoSpaceDN w:val="0"/>
        <w:spacing w:line="360" w:lineRule="auto"/>
        <w:ind w:firstLine="420" w:firstLineChars="200"/>
        <w:jc w:val="left"/>
        <w:textAlignment w:val="auto"/>
        <w:rPr>
          <w:rFonts w:hint="eastAsia"/>
          <w:szCs w:val="20"/>
        </w:rPr>
      </w:pPr>
      <w:r>
        <w:rPr>
          <w:rFonts w:hint="eastAsia"/>
          <w:szCs w:val="20"/>
        </w:rPr>
        <w:t>2、根据《基金法》、《运作办法》及其他有关规定，基金份额持有人的义务包括但不限于：</w:t>
      </w:r>
    </w:p>
    <w:p w14:paraId="48F71255">
      <w:pPr>
        <w:autoSpaceDE w:val="0"/>
        <w:autoSpaceDN w:val="0"/>
        <w:spacing w:line="360" w:lineRule="auto"/>
        <w:ind w:firstLine="420" w:firstLineChars="200"/>
        <w:jc w:val="left"/>
        <w:textAlignment w:val="auto"/>
        <w:rPr>
          <w:rFonts w:hint="eastAsia"/>
          <w:szCs w:val="20"/>
        </w:rPr>
      </w:pPr>
      <w:r>
        <w:rPr>
          <w:rFonts w:hint="eastAsia"/>
          <w:szCs w:val="20"/>
        </w:rPr>
        <w:t>（1）认真阅读并遵守基金合同、招募说明书等信息披露文件；</w:t>
      </w:r>
    </w:p>
    <w:p w14:paraId="331F510D">
      <w:pPr>
        <w:autoSpaceDE w:val="0"/>
        <w:autoSpaceDN w:val="0"/>
        <w:spacing w:line="360" w:lineRule="auto"/>
        <w:ind w:firstLine="420" w:firstLineChars="200"/>
        <w:jc w:val="left"/>
        <w:textAlignment w:val="auto"/>
        <w:rPr>
          <w:rFonts w:hint="eastAsia"/>
          <w:szCs w:val="20"/>
        </w:rPr>
      </w:pPr>
      <w:r>
        <w:rPr>
          <w:rFonts w:hint="eastAsia"/>
          <w:szCs w:val="20"/>
        </w:rPr>
        <w:t>（2）了解所投资基金产品，了解自身风险承受能力，自主判断基金的投资价值，自主做出投资决策，自行承担投资风险；</w:t>
      </w:r>
    </w:p>
    <w:p w14:paraId="78247CE8">
      <w:pPr>
        <w:autoSpaceDE w:val="0"/>
        <w:autoSpaceDN w:val="0"/>
        <w:spacing w:line="360" w:lineRule="auto"/>
        <w:ind w:firstLine="420" w:firstLineChars="200"/>
        <w:jc w:val="left"/>
        <w:textAlignment w:val="auto"/>
        <w:rPr>
          <w:rFonts w:hint="eastAsia"/>
          <w:szCs w:val="20"/>
        </w:rPr>
      </w:pPr>
      <w:r>
        <w:rPr>
          <w:rFonts w:hint="eastAsia"/>
          <w:szCs w:val="20"/>
        </w:rPr>
        <w:t>（3）关注基金信息披露，及时行使权利和履行义务；</w:t>
      </w:r>
    </w:p>
    <w:p w14:paraId="221DDC04">
      <w:pPr>
        <w:autoSpaceDE w:val="0"/>
        <w:autoSpaceDN w:val="0"/>
        <w:spacing w:line="360" w:lineRule="auto"/>
        <w:ind w:firstLine="420" w:firstLineChars="200"/>
        <w:jc w:val="left"/>
        <w:textAlignment w:val="auto"/>
        <w:rPr>
          <w:rFonts w:hint="eastAsia"/>
          <w:szCs w:val="20"/>
        </w:rPr>
      </w:pPr>
      <w:r>
        <w:rPr>
          <w:rFonts w:hint="eastAsia"/>
          <w:szCs w:val="20"/>
        </w:rPr>
        <w:t>（4）交纳基金认购、申购款项及法律法规和基金合同所规定的费用；</w:t>
      </w:r>
    </w:p>
    <w:p w14:paraId="4FFD639D">
      <w:pPr>
        <w:autoSpaceDE w:val="0"/>
        <w:autoSpaceDN w:val="0"/>
        <w:spacing w:line="360" w:lineRule="auto"/>
        <w:ind w:firstLine="420" w:firstLineChars="200"/>
        <w:jc w:val="left"/>
        <w:textAlignment w:val="auto"/>
        <w:rPr>
          <w:rFonts w:hint="eastAsia"/>
          <w:szCs w:val="20"/>
        </w:rPr>
      </w:pPr>
      <w:r>
        <w:rPr>
          <w:rFonts w:hint="eastAsia"/>
          <w:szCs w:val="20"/>
        </w:rPr>
        <w:t>（5）在其持有的基金份额范围内，承担基金亏损或者基金合同终止的有限责任；</w:t>
      </w:r>
    </w:p>
    <w:p w14:paraId="5F755563">
      <w:pPr>
        <w:autoSpaceDE w:val="0"/>
        <w:autoSpaceDN w:val="0"/>
        <w:spacing w:line="360" w:lineRule="auto"/>
        <w:ind w:firstLine="420" w:firstLineChars="200"/>
        <w:jc w:val="left"/>
        <w:textAlignment w:val="auto"/>
        <w:rPr>
          <w:rFonts w:hint="eastAsia"/>
          <w:szCs w:val="20"/>
        </w:rPr>
      </w:pPr>
      <w:r>
        <w:rPr>
          <w:rFonts w:hint="eastAsia"/>
          <w:szCs w:val="20"/>
        </w:rPr>
        <w:t>（6）不从事任何有损基金及其他基金合同当事人合法权益的活动；</w:t>
      </w:r>
    </w:p>
    <w:p w14:paraId="0712538C">
      <w:pPr>
        <w:autoSpaceDE w:val="0"/>
        <w:autoSpaceDN w:val="0"/>
        <w:spacing w:line="360" w:lineRule="auto"/>
        <w:ind w:firstLine="420" w:firstLineChars="200"/>
        <w:jc w:val="left"/>
        <w:textAlignment w:val="auto"/>
        <w:rPr>
          <w:rFonts w:hint="eastAsia"/>
          <w:szCs w:val="20"/>
        </w:rPr>
      </w:pPr>
      <w:r>
        <w:rPr>
          <w:rFonts w:hint="eastAsia"/>
          <w:szCs w:val="20"/>
        </w:rPr>
        <w:t>（7）执行生效的基金份额持有人大会的决议；</w:t>
      </w:r>
    </w:p>
    <w:p w14:paraId="4A197ACC">
      <w:pPr>
        <w:autoSpaceDE w:val="0"/>
        <w:autoSpaceDN w:val="0"/>
        <w:spacing w:line="360" w:lineRule="auto"/>
        <w:ind w:firstLine="420" w:firstLineChars="200"/>
        <w:jc w:val="left"/>
        <w:textAlignment w:val="auto"/>
        <w:rPr>
          <w:rFonts w:hint="eastAsia"/>
          <w:szCs w:val="20"/>
        </w:rPr>
      </w:pPr>
      <w:r>
        <w:rPr>
          <w:rFonts w:hint="eastAsia"/>
          <w:szCs w:val="20"/>
        </w:rPr>
        <w:t>（8）返还在基金交易过程中因任何原因获得的不当得利；</w:t>
      </w:r>
    </w:p>
    <w:p w14:paraId="31DCE885">
      <w:pPr>
        <w:autoSpaceDE w:val="0"/>
        <w:autoSpaceDN w:val="0"/>
        <w:spacing w:line="360" w:lineRule="auto"/>
        <w:ind w:firstLine="420" w:firstLineChars="200"/>
        <w:jc w:val="left"/>
        <w:textAlignment w:val="auto"/>
        <w:rPr>
          <w:rFonts w:hint="eastAsia"/>
          <w:szCs w:val="20"/>
        </w:rPr>
      </w:pPr>
      <w:r>
        <w:rPr>
          <w:rFonts w:hint="eastAsia"/>
          <w:szCs w:val="20"/>
        </w:rPr>
        <w:t>（9）遵守基金管理人、基金托管人、销售机构和登记机构的相关交易及业务规则；</w:t>
      </w:r>
    </w:p>
    <w:p w14:paraId="3584F400">
      <w:pPr>
        <w:autoSpaceDE w:val="0"/>
        <w:autoSpaceDN w:val="0"/>
        <w:spacing w:line="360" w:lineRule="auto"/>
        <w:ind w:firstLine="420" w:firstLineChars="200"/>
        <w:jc w:val="left"/>
        <w:textAlignment w:val="auto"/>
        <w:rPr>
          <w:rFonts w:hint="eastAsia"/>
          <w:szCs w:val="20"/>
        </w:rPr>
      </w:pPr>
      <w:r>
        <w:rPr>
          <w:rFonts w:hint="eastAsia"/>
          <w:szCs w:val="20"/>
        </w:rPr>
        <w:t>（10）法律法规及中国证监会规定的和基金合同约定的其他义务。</w:t>
      </w:r>
    </w:p>
    <w:p w14:paraId="62D7109F">
      <w:pPr>
        <w:autoSpaceDE w:val="0"/>
        <w:autoSpaceDN w:val="0"/>
        <w:spacing w:line="360" w:lineRule="auto"/>
        <w:ind w:firstLine="422" w:firstLineChars="200"/>
        <w:jc w:val="left"/>
        <w:textAlignment w:val="auto"/>
        <w:rPr>
          <w:rFonts w:hint="eastAsia"/>
          <w:b/>
          <w:bCs/>
          <w:szCs w:val="20"/>
        </w:rPr>
      </w:pPr>
      <w:r>
        <w:rPr>
          <w:rFonts w:hint="eastAsia"/>
          <w:b/>
          <w:bCs/>
          <w:szCs w:val="20"/>
        </w:rPr>
        <w:t>二、基金份额持有人大会召集、议事及表决的程序和规则</w:t>
      </w:r>
    </w:p>
    <w:p w14:paraId="0945EC22">
      <w:pPr>
        <w:autoSpaceDE w:val="0"/>
        <w:autoSpaceDN w:val="0"/>
        <w:spacing w:line="360" w:lineRule="auto"/>
        <w:ind w:firstLine="420" w:firstLineChars="200"/>
        <w:jc w:val="left"/>
        <w:textAlignment w:val="auto"/>
        <w:rPr>
          <w:rFonts w:hint="eastAsia"/>
          <w:szCs w:val="20"/>
        </w:rPr>
      </w:pPr>
      <w:r>
        <w:rPr>
          <w:rFonts w:hint="eastAsia"/>
          <w:szCs w:val="20"/>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2AC539B3">
      <w:pPr>
        <w:autoSpaceDE w:val="0"/>
        <w:autoSpaceDN w:val="0"/>
        <w:spacing w:line="360" w:lineRule="auto"/>
        <w:ind w:firstLine="420" w:firstLineChars="200"/>
        <w:jc w:val="left"/>
        <w:textAlignment w:val="auto"/>
        <w:rPr>
          <w:rFonts w:hint="eastAsia"/>
          <w:szCs w:val="20"/>
        </w:rPr>
      </w:pPr>
      <w:r>
        <w:rPr>
          <w:rFonts w:hint="eastAsia"/>
          <w:szCs w:val="20"/>
        </w:rPr>
        <w:t>本基金基金份额持有人大会不设日常机构。</w:t>
      </w:r>
    </w:p>
    <w:p w14:paraId="5A38CB39">
      <w:pPr>
        <w:autoSpaceDE w:val="0"/>
        <w:autoSpaceDN w:val="0"/>
        <w:spacing w:line="360" w:lineRule="auto"/>
        <w:ind w:firstLine="420" w:firstLineChars="200"/>
        <w:jc w:val="left"/>
        <w:textAlignment w:val="auto"/>
        <w:rPr>
          <w:rFonts w:hint="eastAsia"/>
          <w:szCs w:val="20"/>
        </w:rPr>
      </w:pPr>
      <w:r>
        <w:rPr>
          <w:rFonts w:hint="eastAsia"/>
          <w:szCs w:val="20"/>
        </w:rPr>
        <w:t>一、召开事由</w:t>
      </w:r>
    </w:p>
    <w:p w14:paraId="32D5CE8B">
      <w:pPr>
        <w:autoSpaceDE w:val="0"/>
        <w:autoSpaceDN w:val="0"/>
        <w:spacing w:line="360" w:lineRule="auto"/>
        <w:ind w:firstLine="420" w:firstLineChars="200"/>
        <w:jc w:val="left"/>
        <w:textAlignment w:val="auto"/>
        <w:rPr>
          <w:rFonts w:hint="eastAsia"/>
          <w:szCs w:val="20"/>
        </w:rPr>
      </w:pPr>
      <w:r>
        <w:rPr>
          <w:rFonts w:hint="eastAsia"/>
          <w:szCs w:val="20"/>
        </w:rPr>
        <w:t>1、除法律法规和中国证监会另有规定或《基金合同》另有约定外，当出现或需要决定下列事由之一的，应当召开基金份额持有人大会：</w:t>
      </w:r>
    </w:p>
    <w:p w14:paraId="7E239E07">
      <w:pPr>
        <w:autoSpaceDE w:val="0"/>
        <w:autoSpaceDN w:val="0"/>
        <w:spacing w:line="360" w:lineRule="auto"/>
        <w:ind w:firstLine="420" w:firstLineChars="200"/>
        <w:jc w:val="left"/>
        <w:textAlignment w:val="auto"/>
        <w:rPr>
          <w:rFonts w:hint="eastAsia"/>
          <w:szCs w:val="20"/>
        </w:rPr>
      </w:pPr>
      <w:r>
        <w:rPr>
          <w:rFonts w:hint="eastAsia"/>
          <w:szCs w:val="20"/>
        </w:rPr>
        <w:t>（1）终止基金合同；</w:t>
      </w:r>
    </w:p>
    <w:p w14:paraId="326767B1">
      <w:pPr>
        <w:autoSpaceDE w:val="0"/>
        <w:autoSpaceDN w:val="0"/>
        <w:spacing w:line="360" w:lineRule="auto"/>
        <w:ind w:firstLine="420" w:firstLineChars="200"/>
        <w:jc w:val="left"/>
        <w:textAlignment w:val="auto"/>
        <w:rPr>
          <w:rFonts w:hint="eastAsia"/>
          <w:szCs w:val="20"/>
        </w:rPr>
      </w:pPr>
      <w:r>
        <w:rPr>
          <w:rFonts w:hint="eastAsia"/>
          <w:szCs w:val="20"/>
        </w:rPr>
        <w:t>（2）更换基金管理人；</w:t>
      </w:r>
    </w:p>
    <w:p w14:paraId="3CF6430D">
      <w:pPr>
        <w:autoSpaceDE w:val="0"/>
        <w:autoSpaceDN w:val="0"/>
        <w:spacing w:line="360" w:lineRule="auto"/>
        <w:ind w:firstLine="420" w:firstLineChars="200"/>
        <w:jc w:val="left"/>
        <w:textAlignment w:val="auto"/>
        <w:rPr>
          <w:rFonts w:hint="eastAsia"/>
          <w:szCs w:val="20"/>
        </w:rPr>
      </w:pPr>
      <w:r>
        <w:rPr>
          <w:rFonts w:hint="eastAsia"/>
          <w:szCs w:val="20"/>
        </w:rPr>
        <w:t>（3）更换基金托管人；</w:t>
      </w:r>
    </w:p>
    <w:p w14:paraId="23F610B4">
      <w:pPr>
        <w:autoSpaceDE w:val="0"/>
        <w:autoSpaceDN w:val="0"/>
        <w:spacing w:line="360" w:lineRule="auto"/>
        <w:ind w:firstLine="420" w:firstLineChars="200"/>
        <w:jc w:val="left"/>
        <w:textAlignment w:val="auto"/>
        <w:rPr>
          <w:rFonts w:hint="eastAsia"/>
          <w:szCs w:val="20"/>
        </w:rPr>
      </w:pPr>
      <w:r>
        <w:rPr>
          <w:rFonts w:hint="eastAsia"/>
          <w:szCs w:val="20"/>
        </w:rPr>
        <w:t>（4）转换基金运作方式；</w:t>
      </w:r>
    </w:p>
    <w:p w14:paraId="5B776B5A">
      <w:pPr>
        <w:autoSpaceDE w:val="0"/>
        <w:autoSpaceDN w:val="0"/>
        <w:spacing w:line="360" w:lineRule="auto"/>
        <w:ind w:firstLine="420" w:firstLineChars="200"/>
        <w:jc w:val="left"/>
        <w:textAlignment w:val="auto"/>
        <w:rPr>
          <w:rFonts w:hint="eastAsia"/>
          <w:szCs w:val="20"/>
        </w:rPr>
      </w:pPr>
      <w:r>
        <w:rPr>
          <w:rFonts w:hint="eastAsia"/>
          <w:szCs w:val="20"/>
        </w:rPr>
        <w:t>（5）调整基金管理人、基金托管人的报酬标准或提高销售服务费率；</w:t>
      </w:r>
    </w:p>
    <w:p w14:paraId="2537BBCB">
      <w:pPr>
        <w:autoSpaceDE w:val="0"/>
        <w:autoSpaceDN w:val="0"/>
        <w:spacing w:line="360" w:lineRule="auto"/>
        <w:ind w:firstLine="420" w:firstLineChars="200"/>
        <w:jc w:val="left"/>
        <w:textAlignment w:val="auto"/>
        <w:rPr>
          <w:rFonts w:hint="eastAsia"/>
          <w:szCs w:val="20"/>
        </w:rPr>
      </w:pPr>
      <w:r>
        <w:rPr>
          <w:rFonts w:hint="eastAsia"/>
          <w:szCs w:val="20"/>
        </w:rPr>
        <w:t>（6）变更基金类别；</w:t>
      </w:r>
    </w:p>
    <w:p w14:paraId="3F8F0809">
      <w:pPr>
        <w:autoSpaceDE w:val="0"/>
        <w:autoSpaceDN w:val="0"/>
        <w:spacing w:line="360" w:lineRule="auto"/>
        <w:ind w:firstLine="420" w:firstLineChars="200"/>
        <w:jc w:val="left"/>
        <w:textAlignment w:val="auto"/>
        <w:rPr>
          <w:rFonts w:hint="eastAsia"/>
          <w:szCs w:val="20"/>
        </w:rPr>
      </w:pPr>
      <w:r>
        <w:rPr>
          <w:rFonts w:hint="eastAsia"/>
          <w:szCs w:val="20"/>
        </w:rPr>
        <w:t>（7）本基金与其他基金的合并；</w:t>
      </w:r>
    </w:p>
    <w:p w14:paraId="242A54FA">
      <w:pPr>
        <w:autoSpaceDE w:val="0"/>
        <w:autoSpaceDN w:val="0"/>
        <w:spacing w:line="360" w:lineRule="auto"/>
        <w:ind w:firstLine="420" w:firstLineChars="200"/>
        <w:jc w:val="left"/>
        <w:textAlignment w:val="auto"/>
        <w:rPr>
          <w:rFonts w:hint="eastAsia"/>
          <w:szCs w:val="20"/>
        </w:rPr>
      </w:pPr>
      <w:r>
        <w:rPr>
          <w:rFonts w:hint="eastAsia"/>
          <w:szCs w:val="20"/>
        </w:rPr>
        <w:t>（8）变更基金投资目标、范围或策略；</w:t>
      </w:r>
    </w:p>
    <w:p w14:paraId="0FF885D1">
      <w:pPr>
        <w:autoSpaceDE w:val="0"/>
        <w:autoSpaceDN w:val="0"/>
        <w:spacing w:line="360" w:lineRule="auto"/>
        <w:ind w:firstLine="420" w:firstLineChars="200"/>
        <w:jc w:val="left"/>
        <w:textAlignment w:val="auto"/>
        <w:rPr>
          <w:rFonts w:hint="eastAsia"/>
          <w:szCs w:val="20"/>
        </w:rPr>
      </w:pPr>
      <w:r>
        <w:rPr>
          <w:rFonts w:hint="eastAsia"/>
          <w:szCs w:val="20"/>
        </w:rPr>
        <w:t>（9）变更基金份额持有人大会程序；</w:t>
      </w:r>
    </w:p>
    <w:p w14:paraId="5CF6B9D7">
      <w:pPr>
        <w:autoSpaceDE w:val="0"/>
        <w:autoSpaceDN w:val="0"/>
        <w:spacing w:line="360" w:lineRule="auto"/>
        <w:ind w:firstLine="420" w:firstLineChars="200"/>
        <w:jc w:val="left"/>
        <w:textAlignment w:val="auto"/>
        <w:rPr>
          <w:rFonts w:hint="eastAsia"/>
          <w:szCs w:val="20"/>
        </w:rPr>
      </w:pPr>
      <w:r>
        <w:rPr>
          <w:rFonts w:hint="eastAsia"/>
          <w:szCs w:val="20"/>
        </w:rPr>
        <w:t>（10）基金管理人或基金托管人要求召开基金份额持有人大会；</w:t>
      </w:r>
    </w:p>
    <w:p w14:paraId="4108FB5C">
      <w:pPr>
        <w:autoSpaceDE w:val="0"/>
        <w:autoSpaceDN w:val="0"/>
        <w:spacing w:line="360" w:lineRule="auto"/>
        <w:ind w:firstLine="420" w:firstLineChars="200"/>
        <w:jc w:val="left"/>
        <w:textAlignment w:val="auto"/>
        <w:rPr>
          <w:rFonts w:hint="eastAsia"/>
          <w:szCs w:val="20"/>
        </w:rPr>
      </w:pPr>
      <w:r>
        <w:rPr>
          <w:rFonts w:hint="eastAsia"/>
          <w:szCs w:val="20"/>
        </w:rPr>
        <w:t>（11）单独或合计持有本基金总份额10%以上（含10%）基金份额的基金份额持有人（以基金管理人收到提议当日的基金份额计算，下同）就同一事项书面要求召开基金份额持有人大会；</w:t>
      </w:r>
    </w:p>
    <w:p w14:paraId="08578453">
      <w:pPr>
        <w:autoSpaceDE w:val="0"/>
        <w:autoSpaceDN w:val="0"/>
        <w:spacing w:line="360" w:lineRule="auto"/>
        <w:ind w:firstLine="420" w:firstLineChars="200"/>
        <w:jc w:val="left"/>
        <w:textAlignment w:val="auto"/>
        <w:rPr>
          <w:rFonts w:hint="eastAsia"/>
          <w:szCs w:val="20"/>
        </w:rPr>
      </w:pPr>
      <w:r>
        <w:rPr>
          <w:rFonts w:hint="eastAsia"/>
          <w:szCs w:val="20"/>
        </w:rPr>
        <w:t>（12）对基金合同当事人权利和义务产生重大影响的其他事项；</w:t>
      </w:r>
    </w:p>
    <w:p w14:paraId="6D59CBB9">
      <w:pPr>
        <w:autoSpaceDE w:val="0"/>
        <w:autoSpaceDN w:val="0"/>
        <w:spacing w:line="360" w:lineRule="auto"/>
        <w:ind w:firstLine="420" w:firstLineChars="200"/>
        <w:jc w:val="left"/>
        <w:textAlignment w:val="auto"/>
        <w:rPr>
          <w:rFonts w:hint="eastAsia"/>
          <w:szCs w:val="20"/>
        </w:rPr>
      </w:pPr>
      <w:r>
        <w:rPr>
          <w:rFonts w:hint="eastAsia"/>
          <w:szCs w:val="20"/>
        </w:rPr>
        <w:t>（13）法律法规、基金合同或中国证监会规定的其他应当召开基金份额持有人大会的事项。</w:t>
      </w:r>
    </w:p>
    <w:p w14:paraId="08ED97D7">
      <w:pPr>
        <w:autoSpaceDE w:val="0"/>
        <w:autoSpaceDN w:val="0"/>
        <w:spacing w:line="360" w:lineRule="auto"/>
        <w:ind w:firstLine="420" w:firstLineChars="200"/>
        <w:jc w:val="left"/>
        <w:textAlignment w:val="auto"/>
        <w:rPr>
          <w:rFonts w:hint="eastAsia"/>
          <w:szCs w:val="20"/>
        </w:rPr>
      </w:pPr>
      <w:r>
        <w:rPr>
          <w:rFonts w:hint="eastAsia"/>
          <w:szCs w:val="20"/>
        </w:rPr>
        <w:t>2、在法律法规规定和《基金合同》约定的范围内且对基金份额持有人利益无实质性不利影响的前提下，以下情况可由基金管理人和基金托管人协商后修改，不需召开基金份额持有人大会：</w:t>
      </w:r>
    </w:p>
    <w:p w14:paraId="1E476720">
      <w:pPr>
        <w:autoSpaceDE w:val="0"/>
        <w:autoSpaceDN w:val="0"/>
        <w:spacing w:line="360" w:lineRule="auto"/>
        <w:ind w:firstLine="420" w:firstLineChars="200"/>
        <w:jc w:val="left"/>
        <w:textAlignment w:val="auto"/>
        <w:rPr>
          <w:rFonts w:hint="eastAsia"/>
          <w:szCs w:val="20"/>
        </w:rPr>
      </w:pPr>
      <w:r>
        <w:rPr>
          <w:rFonts w:hint="eastAsia"/>
          <w:szCs w:val="20"/>
        </w:rPr>
        <w:t>（1）法律法规要求增加的基金费用的收取；</w:t>
      </w:r>
    </w:p>
    <w:p w14:paraId="62806B99">
      <w:pPr>
        <w:autoSpaceDE w:val="0"/>
        <w:autoSpaceDN w:val="0"/>
        <w:spacing w:line="360" w:lineRule="auto"/>
        <w:ind w:firstLine="420" w:firstLineChars="200"/>
        <w:jc w:val="left"/>
        <w:textAlignment w:val="auto"/>
        <w:rPr>
          <w:rFonts w:hint="eastAsia"/>
          <w:szCs w:val="20"/>
        </w:rPr>
      </w:pPr>
      <w:r>
        <w:rPr>
          <w:rFonts w:hint="eastAsia"/>
          <w:szCs w:val="20"/>
        </w:rPr>
        <w:t>（2）调整本基金的申购费率、调低销售服务费、变更收费方式、增加新的基金份额类别、调整现有基金份额类别设置及其金额限制、费率水平、对基金份额分类办法及规则进行调整；</w:t>
      </w:r>
    </w:p>
    <w:p w14:paraId="6C4FBA40">
      <w:pPr>
        <w:autoSpaceDE w:val="0"/>
        <w:autoSpaceDN w:val="0"/>
        <w:spacing w:line="360" w:lineRule="auto"/>
        <w:ind w:firstLine="420" w:firstLineChars="200"/>
        <w:jc w:val="left"/>
        <w:textAlignment w:val="auto"/>
        <w:rPr>
          <w:rFonts w:hint="eastAsia"/>
          <w:szCs w:val="20"/>
        </w:rPr>
      </w:pPr>
      <w:r>
        <w:rPr>
          <w:rFonts w:hint="eastAsia"/>
          <w:szCs w:val="20"/>
        </w:rPr>
        <w:t>（3）因相应的法律法规发生变动而应当对基金合同进行修改；</w:t>
      </w:r>
    </w:p>
    <w:p w14:paraId="456E8C04">
      <w:pPr>
        <w:autoSpaceDE w:val="0"/>
        <w:autoSpaceDN w:val="0"/>
        <w:spacing w:line="360" w:lineRule="auto"/>
        <w:ind w:firstLine="420" w:firstLineChars="200"/>
        <w:jc w:val="left"/>
        <w:textAlignment w:val="auto"/>
        <w:rPr>
          <w:rFonts w:hint="eastAsia"/>
          <w:szCs w:val="20"/>
        </w:rPr>
      </w:pPr>
      <w:r>
        <w:rPr>
          <w:rFonts w:hint="eastAsia"/>
          <w:szCs w:val="20"/>
        </w:rPr>
        <w:t>（4）对基金合同的修改对基金份额持有人利益无实质性不利影响或修改不涉及基金合同当事人权利义务关系发生重大变化；</w:t>
      </w:r>
    </w:p>
    <w:p w14:paraId="00523E18">
      <w:pPr>
        <w:autoSpaceDE w:val="0"/>
        <w:autoSpaceDN w:val="0"/>
        <w:spacing w:line="360" w:lineRule="auto"/>
        <w:ind w:firstLine="420" w:firstLineChars="200"/>
        <w:jc w:val="left"/>
        <w:textAlignment w:val="auto"/>
        <w:rPr>
          <w:rFonts w:hint="eastAsia"/>
          <w:szCs w:val="20"/>
        </w:rPr>
      </w:pPr>
      <w:r>
        <w:rPr>
          <w:rFonts w:hint="eastAsia"/>
          <w:szCs w:val="20"/>
        </w:rPr>
        <w:t>（5）基金管理人、登记机构、基金销售机构调整有关基金申购、赎回、转换、非交易过户、转托管等业务的规则；</w:t>
      </w:r>
    </w:p>
    <w:p w14:paraId="21173DC9">
      <w:pPr>
        <w:autoSpaceDE w:val="0"/>
        <w:autoSpaceDN w:val="0"/>
        <w:spacing w:line="360" w:lineRule="auto"/>
        <w:ind w:firstLine="420" w:firstLineChars="200"/>
        <w:jc w:val="left"/>
        <w:textAlignment w:val="auto"/>
        <w:rPr>
          <w:rFonts w:hint="eastAsia"/>
          <w:szCs w:val="20"/>
        </w:rPr>
      </w:pPr>
      <w:r>
        <w:rPr>
          <w:rFonts w:hint="eastAsia"/>
          <w:szCs w:val="20"/>
        </w:rPr>
        <w:t>（6）基金管理人履行适当程序后，推出新业务或服务；</w:t>
      </w:r>
    </w:p>
    <w:p w14:paraId="5B86D20C">
      <w:pPr>
        <w:autoSpaceDE w:val="0"/>
        <w:autoSpaceDN w:val="0"/>
        <w:spacing w:line="360" w:lineRule="auto"/>
        <w:ind w:firstLine="420" w:firstLineChars="200"/>
        <w:jc w:val="left"/>
        <w:textAlignment w:val="auto"/>
        <w:rPr>
          <w:rFonts w:hint="eastAsia"/>
          <w:szCs w:val="20"/>
        </w:rPr>
      </w:pPr>
      <w:r>
        <w:rPr>
          <w:rFonts w:hint="eastAsia"/>
          <w:szCs w:val="20"/>
        </w:rPr>
        <w:t>（7）按照法律法规和基金合同规定不需召开基金份额持有人大会的其他情形。</w:t>
      </w:r>
    </w:p>
    <w:p w14:paraId="7083EFEC">
      <w:pPr>
        <w:autoSpaceDE w:val="0"/>
        <w:autoSpaceDN w:val="0"/>
        <w:spacing w:line="360" w:lineRule="auto"/>
        <w:ind w:firstLine="420" w:firstLineChars="200"/>
        <w:jc w:val="left"/>
        <w:textAlignment w:val="auto"/>
        <w:rPr>
          <w:rFonts w:hint="eastAsia"/>
          <w:szCs w:val="20"/>
        </w:rPr>
      </w:pPr>
      <w:r>
        <w:rPr>
          <w:rFonts w:hint="eastAsia"/>
          <w:szCs w:val="20"/>
        </w:rPr>
        <w:t>二、会议召集人及召集方式</w:t>
      </w:r>
    </w:p>
    <w:p w14:paraId="19B68935">
      <w:pPr>
        <w:autoSpaceDE w:val="0"/>
        <w:autoSpaceDN w:val="0"/>
        <w:spacing w:line="360" w:lineRule="auto"/>
        <w:ind w:firstLine="420" w:firstLineChars="200"/>
        <w:jc w:val="left"/>
        <w:textAlignment w:val="auto"/>
        <w:rPr>
          <w:rFonts w:hint="eastAsia"/>
          <w:szCs w:val="20"/>
        </w:rPr>
      </w:pPr>
      <w:r>
        <w:rPr>
          <w:rFonts w:hint="eastAsia"/>
          <w:szCs w:val="20"/>
        </w:rPr>
        <w:t>1、除法律法规规定或基金合同另有约定外，基金份额持有人大会由基金管理人召集；</w:t>
      </w:r>
    </w:p>
    <w:p w14:paraId="4A3ADA5A">
      <w:pPr>
        <w:autoSpaceDE w:val="0"/>
        <w:autoSpaceDN w:val="0"/>
        <w:spacing w:line="360" w:lineRule="auto"/>
        <w:ind w:firstLine="420" w:firstLineChars="200"/>
        <w:jc w:val="left"/>
        <w:textAlignment w:val="auto"/>
        <w:rPr>
          <w:rFonts w:hint="eastAsia"/>
          <w:szCs w:val="20"/>
        </w:rPr>
      </w:pPr>
      <w:r>
        <w:rPr>
          <w:rFonts w:hint="eastAsia"/>
          <w:szCs w:val="20"/>
        </w:rPr>
        <w:t>2、基金管理人未按规定召集或不能召集时，由基金托管人召集；</w:t>
      </w:r>
    </w:p>
    <w:p w14:paraId="7F424062">
      <w:pPr>
        <w:autoSpaceDE w:val="0"/>
        <w:autoSpaceDN w:val="0"/>
        <w:spacing w:line="360" w:lineRule="auto"/>
        <w:ind w:firstLine="420" w:firstLineChars="200"/>
        <w:jc w:val="left"/>
        <w:textAlignment w:val="auto"/>
        <w:rPr>
          <w:rFonts w:hint="eastAsia"/>
          <w:szCs w:val="20"/>
        </w:rPr>
      </w:pPr>
      <w:r>
        <w:rPr>
          <w:rFonts w:hint="eastAsia"/>
          <w:szCs w:val="20"/>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7BEA723C">
      <w:pPr>
        <w:autoSpaceDE w:val="0"/>
        <w:autoSpaceDN w:val="0"/>
        <w:spacing w:line="360" w:lineRule="auto"/>
        <w:ind w:firstLine="420" w:firstLineChars="200"/>
        <w:jc w:val="left"/>
        <w:textAlignment w:val="auto"/>
        <w:rPr>
          <w:rFonts w:hint="eastAsia"/>
          <w:szCs w:val="20"/>
        </w:rPr>
      </w:pPr>
      <w:r>
        <w:rPr>
          <w:rFonts w:hint="eastAsia"/>
          <w:szCs w:val="2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5B549BD4">
      <w:pPr>
        <w:autoSpaceDE w:val="0"/>
        <w:autoSpaceDN w:val="0"/>
        <w:spacing w:line="360" w:lineRule="auto"/>
        <w:ind w:firstLine="420" w:firstLineChars="200"/>
        <w:jc w:val="left"/>
        <w:textAlignment w:val="auto"/>
        <w:rPr>
          <w:rFonts w:hint="eastAsia"/>
          <w:szCs w:val="20"/>
        </w:rPr>
      </w:pPr>
      <w:r>
        <w:rPr>
          <w:rFonts w:hint="eastAsia"/>
          <w:szCs w:val="2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F2B31F0">
      <w:pPr>
        <w:autoSpaceDE w:val="0"/>
        <w:autoSpaceDN w:val="0"/>
        <w:spacing w:line="360" w:lineRule="auto"/>
        <w:ind w:firstLine="420" w:firstLineChars="200"/>
        <w:jc w:val="left"/>
        <w:textAlignment w:val="auto"/>
        <w:rPr>
          <w:rFonts w:hint="eastAsia"/>
          <w:szCs w:val="20"/>
        </w:rPr>
      </w:pPr>
      <w:r>
        <w:rPr>
          <w:rFonts w:hint="eastAsia"/>
          <w:szCs w:val="20"/>
        </w:rPr>
        <w:t>6、基金份额持有人会议的召集人负责选择确定开会时间、地点、方式和权益登记日。</w:t>
      </w:r>
    </w:p>
    <w:p w14:paraId="3E1F361C">
      <w:pPr>
        <w:autoSpaceDE w:val="0"/>
        <w:autoSpaceDN w:val="0"/>
        <w:spacing w:line="360" w:lineRule="auto"/>
        <w:ind w:firstLine="420" w:firstLineChars="200"/>
        <w:jc w:val="left"/>
        <w:textAlignment w:val="auto"/>
        <w:rPr>
          <w:rFonts w:hint="eastAsia"/>
          <w:szCs w:val="20"/>
        </w:rPr>
      </w:pPr>
      <w:r>
        <w:rPr>
          <w:rFonts w:hint="eastAsia"/>
          <w:szCs w:val="20"/>
        </w:rPr>
        <w:t>三、召开基金份额持有人大会的通知时间、通知内容、通知方式</w:t>
      </w:r>
    </w:p>
    <w:p w14:paraId="5CA9AC48">
      <w:pPr>
        <w:autoSpaceDE w:val="0"/>
        <w:autoSpaceDN w:val="0"/>
        <w:spacing w:line="360" w:lineRule="auto"/>
        <w:ind w:firstLine="420" w:firstLineChars="200"/>
        <w:jc w:val="left"/>
        <w:textAlignment w:val="auto"/>
        <w:rPr>
          <w:rFonts w:hint="eastAsia"/>
          <w:szCs w:val="20"/>
        </w:rPr>
      </w:pPr>
      <w:r>
        <w:rPr>
          <w:rFonts w:hint="eastAsia"/>
          <w:szCs w:val="20"/>
        </w:rPr>
        <w:t>1、召开基金份额持有人大会，召集人应于会议召开前30日，在规定媒介公告。基金份额持有人大会通知应至少载明以下内容：</w:t>
      </w:r>
    </w:p>
    <w:p w14:paraId="2FA09814">
      <w:pPr>
        <w:autoSpaceDE w:val="0"/>
        <w:autoSpaceDN w:val="0"/>
        <w:spacing w:line="360" w:lineRule="auto"/>
        <w:ind w:firstLine="420" w:firstLineChars="200"/>
        <w:jc w:val="left"/>
        <w:textAlignment w:val="auto"/>
        <w:rPr>
          <w:rFonts w:hint="eastAsia"/>
          <w:szCs w:val="20"/>
        </w:rPr>
      </w:pPr>
      <w:r>
        <w:rPr>
          <w:rFonts w:hint="eastAsia"/>
          <w:szCs w:val="20"/>
        </w:rPr>
        <w:t>（1）会议召开的时间、地点和会议形式；</w:t>
      </w:r>
    </w:p>
    <w:p w14:paraId="2C30AE31">
      <w:pPr>
        <w:autoSpaceDE w:val="0"/>
        <w:autoSpaceDN w:val="0"/>
        <w:spacing w:line="360" w:lineRule="auto"/>
        <w:ind w:firstLine="420" w:firstLineChars="200"/>
        <w:jc w:val="left"/>
        <w:textAlignment w:val="auto"/>
        <w:rPr>
          <w:rFonts w:hint="eastAsia"/>
          <w:szCs w:val="20"/>
        </w:rPr>
      </w:pPr>
      <w:r>
        <w:rPr>
          <w:rFonts w:hint="eastAsia"/>
          <w:szCs w:val="20"/>
        </w:rPr>
        <w:t>（2）会议拟审议的事项、议事程序和表决方式；</w:t>
      </w:r>
    </w:p>
    <w:p w14:paraId="1FF209B6">
      <w:pPr>
        <w:autoSpaceDE w:val="0"/>
        <w:autoSpaceDN w:val="0"/>
        <w:spacing w:line="360" w:lineRule="auto"/>
        <w:ind w:firstLine="420" w:firstLineChars="200"/>
        <w:jc w:val="left"/>
        <w:textAlignment w:val="auto"/>
        <w:rPr>
          <w:rFonts w:hint="eastAsia"/>
          <w:szCs w:val="20"/>
        </w:rPr>
      </w:pPr>
      <w:r>
        <w:rPr>
          <w:rFonts w:hint="eastAsia"/>
          <w:szCs w:val="20"/>
        </w:rPr>
        <w:t>（3）有权出席基金份额持有人大会的基金份额持有人的权益登记日；</w:t>
      </w:r>
    </w:p>
    <w:p w14:paraId="0D7CF55D">
      <w:pPr>
        <w:autoSpaceDE w:val="0"/>
        <w:autoSpaceDN w:val="0"/>
        <w:spacing w:line="360" w:lineRule="auto"/>
        <w:ind w:firstLine="420" w:firstLineChars="200"/>
        <w:jc w:val="left"/>
        <w:textAlignment w:val="auto"/>
        <w:rPr>
          <w:rFonts w:hint="eastAsia"/>
          <w:szCs w:val="20"/>
        </w:rPr>
      </w:pPr>
      <w:r>
        <w:rPr>
          <w:rFonts w:hint="eastAsia"/>
          <w:szCs w:val="20"/>
        </w:rPr>
        <w:t>（4）授权委托证明的内容要求（包括但不限于代理人身份，代理权限和代理有效期限等）、送达时间和地点；</w:t>
      </w:r>
    </w:p>
    <w:p w14:paraId="323C8C71">
      <w:pPr>
        <w:autoSpaceDE w:val="0"/>
        <w:autoSpaceDN w:val="0"/>
        <w:spacing w:line="360" w:lineRule="auto"/>
        <w:ind w:firstLine="420" w:firstLineChars="200"/>
        <w:jc w:val="left"/>
        <w:textAlignment w:val="auto"/>
        <w:rPr>
          <w:rFonts w:hint="eastAsia"/>
          <w:szCs w:val="20"/>
        </w:rPr>
      </w:pPr>
      <w:r>
        <w:rPr>
          <w:rFonts w:hint="eastAsia"/>
          <w:szCs w:val="20"/>
        </w:rPr>
        <w:t>（5）会务常设联系人姓名及联系电话；</w:t>
      </w:r>
    </w:p>
    <w:p w14:paraId="1906E82B">
      <w:pPr>
        <w:autoSpaceDE w:val="0"/>
        <w:autoSpaceDN w:val="0"/>
        <w:spacing w:line="360" w:lineRule="auto"/>
        <w:ind w:firstLine="420" w:firstLineChars="200"/>
        <w:jc w:val="left"/>
        <w:textAlignment w:val="auto"/>
        <w:rPr>
          <w:rFonts w:hint="eastAsia"/>
          <w:szCs w:val="20"/>
        </w:rPr>
      </w:pPr>
      <w:r>
        <w:rPr>
          <w:rFonts w:hint="eastAsia"/>
          <w:szCs w:val="20"/>
        </w:rPr>
        <w:t>（6）出席会议者必须准备的文件和必须履行的手续；</w:t>
      </w:r>
    </w:p>
    <w:p w14:paraId="11A67C01">
      <w:pPr>
        <w:autoSpaceDE w:val="0"/>
        <w:autoSpaceDN w:val="0"/>
        <w:spacing w:line="360" w:lineRule="auto"/>
        <w:ind w:firstLine="420" w:firstLineChars="200"/>
        <w:jc w:val="left"/>
        <w:textAlignment w:val="auto"/>
        <w:rPr>
          <w:rFonts w:hint="eastAsia"/>
          <w:szCs w:val="20"/>
        </w:rPr>
      </w:pPr>
      <w:r>
        <w:rPr>
          <w:rFonts w:hint="eastAsia"/>
          <w:szCs w:val="20"/>
        </w:rPr>
        <w:t>（7）召集人需要通知的其他事项。</w:t>
      </w:r>
    </w:p>
    <w:p w14:paraId="2D197163">
      <w:pPr>
        <w:autoSpaceDE w:val="0"/>
        <w:autoSpaceDN w:val="0"/>
        <w:spacing w:line="360" w:lineRule="auto"/>
        <w:ind w:firstLine="420" w:firstLineChars="200"/>
        <w:jc w:val="left"/>
        <w:textAlignment w:val="auto"/>
        <w:rPr>
          <w:rFonts w:hint="eastAsia"/>
          <w:szCs w:val="20"/>
        </w:rPr>
      </w:pPr>
      <w:r>
        <w:rPr>
          <w:rFonts w:hint="eastAsia"/>
          <w:szCs w:val="2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E4B6A4C">
      <w:pPr>
        <w:autoSpaceDE w:val="0"/>
        <w:autoSpaceDN w:val="0"/>
        <w:spacing w:line="360" w:lineRule="auto"/>
        <w:ind w:firstLine="420" w:firstLineChars="200"/>
        <w:jc w:val="left"/>
        <w:textAlignment w:val="auto"/>
        <w:rPr>
          <w:rFonts w:hint="eastAsia"/>
          <w:szCs w:val="20"/>
        </w:rPr>
      </w:pPr>
      <w:r>
        <w:rPr>
          <w:rFonts w:hint="eastAsia"/>
          <w:szCs w:val="2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2FB537B">
      <w:pPr>
        <w:autoSpaceDE w:val="0"/>
        <w:autoSpaceDN w:val="0"/>
        <w:spacing w:line="360" w:lineRule="auto"/>
        <w:ind w:firstLine="420" w:firstLineChars="200"/>
        <w:jc w:val="left"/>
        <w:textAlignment w:val="auto"/>
        <w:rPr>
          <w:rFonts w:hint="eastAsia"/>
          <w:szCs w:val="20"/>
        </w:rPr>
      </w:pPr>
      <w:r>
        <w:rPr>
          <w:rFonts w:hint="eastAsia"/>
          <w:szCs w:val="20"/>
        </w:rPr>
        <w:t>四、基金份额持有人出席会议的方式</w:t>
      </w:r>
    </w:p>
    <w:p w14:paraId="5E1DD0F1">
      <w:pPr>
        <w:autoSpaceDE w:val="0"/>
        <w:autoSpaceDN w:val="0"/>
        <w:spacing w:line="360" w:lineRule="auto"/>
        <w:ind w:firstLine="420" w:firstLineChars="200"/>
        <w:jc w:val="left"/>
        <w:textAlignment w:val="auto"/>
        <w:rPr>
          <w:rFonts w:hint="eastAsia"/>
          <w:szCs w:val="20"/>
        </w:rPr>
      </w:pPr>
      <w:r>
        <w:rPr>
          <w:rFonts w:hint="eastAsia"/>
          <w:szCs w:val="20"/>
        </w:rPr>
        <w:t>基金份额持有人大会可通过现场开会方式、通讯开会方式或法律法规、监管机构允许的其他方式召开，会议的召开方式由会议召集人确定。基金管理人、基金托管人须为基金份额持有人行使投票权提供便利。</w:t>
      </w:r>
    </w:p>
    <w:p w14:paraId="2B83B211">
      <w:pPr>
        <w:autoSpaceDE w:val="0"/>
        <w:autoSpaceDN w:val="0"/>
        <w:spacing w:line="360" w:lineRule="auto"/>
        <w:ind w:firstLine="420" w:firstLineChars="200"/>
        <w:jc w:val="left"/>
        <w:textAlignment w:val="auto"/>
        <w:rPr>
          <w:rFonts w:hint="eastAsia"/>
          <w:szCs w:val="20"/>
        </w:rPr>
      </w:pPr>
      <w:r>
        <w:rPr>
          <w:rFonts w:hint="eastAsia"/>
          <w:szCs w:val="2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5919A84">
      <w:pPr>
        <w:autoSpaceDE w:val="0"/>
        <w:autoSpaceDN w:val="0"/>
        <w:spacing w:line="360" w:lineRule="auto"/>
        <w:ind w:firstLine="420" w:firstLineChars="200"/>
        <w:jc w:val="left"/>
        <w:textAlignment w:val="auto"/>
        <w:rPr>
          <w:rFonts w:hint="eastAsia"/>
          <w:szCs w:val="20"/>
        </w:rPr>
      </w:pPr>
      <w:r>
        <w:rPr>
          <w:rFonts w:hint="eastAsia"/>
          <w:szCs w:val="2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D0B8922">
      <w:pPr>
        <w:autoSpaceDE w:val="0"/>
        <w:autoSpaceDN w:val="0"/>
        <w:spacing w:line="360" w:lineRule="auto"/>
        <w:ind w:firstLine="420" w:firstLineChars="200"/>
        <w:jc w:val="left"/>
        <w:textAlignment w:val="auto"/>
        <w:rPr>
          <w:rFonts w:hint="eastAsia"/>
          <w:szCs w:val="20"/>
        </w:rPr>
      </w:pPr>
      <w:r>
        <w:rPr>
          <w:rFonts w:hint="eastAsia"/>
          <w:szCs w:val="20"/>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三个月以后、六个月以内，就原定审议事项重新召集基金份额持有人大会。重新召集的基金份额持有人大会到会者在权益登记日代表的有效的基金份额应不少于本基金在权益登记日基金总份额的三分之一（含三分之一）。</w:t>
      </w:r>
    </w:p>
    <w:p w14:paraId="68E6D395">
      <w:pPr>
        <w:autoSpaceDE w:val="0"/>
        <w:autoSpaceDN w:val="0"/>
        <w:spacing w:line="360" w:lineRule="auto"/>
        <w:ind w:firstLine="420" w:firstLineChars="200"/>
        <w:jc w:val="left"/>
        <w:textAlignment w:val="auto"/>
        <w:rPr>
          <w:rFonts w:hint="eastAsia"/>
          <w:szCs w:val="20"/>
        </w:rPr>
      </w:pPr>
      <w:r>
        <w:rPr>
          <w:rFonts w:hint="eastAsia"/>
          <w:szCs w:val="20"/>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174B585D">
      <w:pPr>
        <w:autoSpaceDE w:val="0"/>
        <w:autoSpaceDN w:val="0"/>
        <w:spacing w:line="360" w:lineRule="auto"/>
        <w:ind w:firstLine="420" w:firstLineChars="200"/>
        <w:jc w:val="left"/>
        <w:textAlignment w:val="auto"/>
        <w:rPr>
          <w:rFonts w:hint="eastAsia"/>
          <w:szCs w:val="20"/>
        </w:rPr>
      </w:pPr>
      <w:r>
        <w:rPr>
          <w:rFonts w:hint="eastAsia"/>
          <w:szCs w:val="20"/>
        </w:rPr>
        <w:t>在同时符合以下条件时，通讯开会的方式视为有效：</w:t>
      </w:r>
    </w:p>
    <w:p w14:paraId="3B216139">
      <w:pPr>
        <w:autoSpaceDE w:val="0"/>
        <w:autoSpaceDN w:val="0"/>
        <w:spacing w:line="360" w:lineRule="auto"/>
        <w:ind w:firstLine="420" w:firstLineChars="200"/>
        <w:jc w:val="left"/>
        <w:textAlignment w:val="auto"/>
        <w:rPr>
          <w:rFonts w:hint="eastAsia"/>
          <w:szCs w:val="20"/>
        </w:rPr>
      </w:pPr>
      <w:r>
        <w:rPr>
          <w:rFonts w:hint="eastAsia"/>
          <w:szCs w:val="20"/>
        </w:rPr>
        <w:t>（1）会议召集人按基金合同约定公布会议通知后，在2个工作日内连续公布相关提示性公告；</w:t>
      </w:r>
    </w:p>
    <w:p w14:paraId="19E2ABC2">
      <w:pPr>
        <w:autoSpaceDE w:val="0"/>
        <w:autoSpaceDN w:val="0"/>
        <w:spacing w:line="360" w:lineRule="auto"/>
        <w:ind w:firstLine="420" w:firstLineChars="200"/>
        <w:jc w:val="left"/>
        <w:textAlignment w:val="auto"/>
        <w:rPr>
          <w:rFonts w:hint="eastAsia"/>
          <w:szCs w:val="20"/>
        </w:rPr>
      </w:pPr>
      <w:r>
        <w:rPr>
          <w:rFonts w:hint="eastAsia"/>
          <w:szCs w:val="2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20C30EEC">
      <w:pPr>
        <w:autoSpaceDE w:val="0"/>
        <w:autoSpaceDN w:val="0"/>
        <w:spacing w:line="360" w:lineRule="auto"/>
        <w:ind w:firstLine="420" w:firstLineChars="200"/>
        <w:jc w:val="left"/>
        <w:textAlignment w:val="auto"/>
        <w:rPr>
          <w:rFonts w:hint="eastAsia"/>
          <w:szCs w:val="20"/>
        </w:rPr>
      </w:pPr>
      <w:r>
        <w:rPr>
          <w:rFonts w:hint="eastAsia"/>
          <w:szCs w:val="20"/>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三个月以后、六个月以内，就原定审议事项重新召集基金份额持有人大会。重新召集的基金份额持有人大会应当有代表三分之一以上（含三分之一）基金份额的持有人直接出具表决意见或授权他人代表出具表决意见；</w:t>
      </w:r>
    </w:p>
    <w:p w14:paraId="49ACF425">
      <w:pPr>
        <w:autoSpaceDE w:val="0"/>
        <w:autoSpaceDN w:val="0"/>
        <w:spacing w:line="360" w:lineRule="auto"/>
        <w:ind w:firstLine="420" w:firstLineChars="200"/>
        <w:jc w:val="left"/>
        <w:textAlignment w:val="auto"/>
        <w:rPr>
          <w:rFonts w:hint="eastAsia"/>
          <w:szCs w:val="20"/>
        </w:rPr>
      </w:pPr>
      <w:r>
        <w:rPr>
          <w:rFonts w:hint="eastAsia"/>
          <w:szCs w:val="2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登记机构记录相符。</w:t>
      </w:r>
    </w:p>
    <w:p w14:paraId="73038EA6">
      <w:pPr>
        <w:autoSpaceDE w:val="0"/>
        <w:autoSpaceDN w:val="0"/>
        <w:spacing w:line="360" w:lineRule="auto"/>
        <w:ind w:firstLine="420" w:firstLineChars="200"/>
        <w:jc w:val="left"/>
        <w:textAlignment w:val="auto"/>
        <w:rPr>
          <w:rFonts w:hint="eastAsia"/>
          <w:szCs w:val="20"/>
        </w:rPr>
      </w:pPr>
      <w:r>
        <w:rPr>
          <w:rFonts w:hint="eastAsia"/>
          <w:szCs w:val="20"/>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1DE2CAF5">
      <w:pPr>
        <w:autoSpaceDE w:val="0"/>
        <w:autoSpaceDN w:val="0"/>
        <w:spacing w:line="360" w:lineRule="auto"/>
        <w:ind w:firstLine="420" w:firstLineChars="200"/>
        <w:jc w:val="left"/>
        <w:textAlignment w:val="auto"/>
        <w:rPr>
          <w:rFonts w:hint="eastAsia"/>
          <w:szCs w:val="20"/>
        </w:rPr>
      </w:pPr>
      <w:r>
        <w:rPr>
          <w:rFonts w:hint="eastAsia"/>
          <w:szCs w:val="20"/>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58A2BB71">
      <w:pPr>
        <w:autoSpaceDE w:val="0"/>
        <w:autoSpaceDN w:val="0"/>
        <w:spacing w:line="360" w:lineRule="auto"/>
        <w:ind w:firstLine="420" w:firstLineChars="200"/>
        <w:jc w:val="left"/>
        <w:textAlignment w:val="auto"/>
        <w:rPr>
          <w:rFonts w:hint="eastAsia"/>
          <w:szCs w:val="20"/>
        </w:rPr>
      </w:pPr>
      <w:r>
        <w:rPr>
          <w:rFonts w:hint="eastAsia"/>
          <w:szCs w:val="20"/>
        </w:rPr>
        <w:t>五、议事内容与程序</w:t>
      </w:r>
    </w:p>
    <w:p w14:paraId="53EB973A">
      <w:pPr>
        <w:autoSpaceDE w:val="0"/>
        <w:autoSpaceDN w:val="0"/>
        <w:spacing w:line="360" w:lineRule="auto"/>
        <w:ind w:firstLine="420" w:firstLineChars="200"/>
        <w:jc w:val="left"/>
        <w:textAlignment w:val="auto"/>
        <w:rPr>
          <w:rFonts w:hint="eastAsia"/>
          <w:szCs w:val="20"/>
        </w:rPr>
      </w:pPr>
      <w:r>
        <w:rPr>
          <w:rFonts w:hint="eastAsia"/>
          <w:szCs w:val="20"/>
        </w:rPr>
        <w:t>1、议事内容及提案权</w:t>
      </w:r>
    </w:p>
    <w:p w14:paraId="59A15AFA">
      <w:pPr>
        <w:autoSpaceDE w:val="0"/>
        <w:autoSpaceDN w:val="0"/>
        <w:spacing w:line="360" w:lineRule="auto"/>
        <w:ind w:firstLine="420" w:firstLineChars="200"/>
        <w:jc w:val="left"/>
        <w:textAlignment w:val="auto"/>
        <w:rPr>
          <w:rFonts w:hint="eastAsia"/>
          <w:szCs w:val="20"/>
        </w:rPr>
      </w:pPr>
      <w:r>
        <w:rPr>
          <w:rFonts w:hint="eastAsia"/>
          <w:szCs w:val="2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2FC69FB">
      <w:pPr>
        <w:autoSpaceDE w:val="0"/>
        <w:autoSpaceDN w:val="0"/>
        <w:spacing w:line="360" w:lineRule="auto"/>
        <w:ind w:firstLine="420" w:firstLineChars="200"/>
        <w:jc w:val="left"/>
        <w:textAlignment w:val="auto"/>
        <w:rPr>
          <w:rFonts w:hint="eastAsia"/>
          <w:szCs w:val="20"/>
        </w:rPr>
      </w:pPr>
      <w:r>
        <w:rPr>
          <w:rFonts w:hint="eastAsia"/>
          <w:szCs w:val="20"/>
        </w:rPr>
        <w:t>基金份额持有人大会的召集人发出召集会议的通知后，对原有提案的修改应当在基金份额持有人大会召开前及时公告。</w:t>
      </w:r>
    </w:p>
    <w:p w14:paraId="6B46B614">
      <w:pPr>
        <w:autoSpaceDE w:val="0"/>
        <w:autoSpaceDN w:val="0"/>
        <w:spacing w:line="360" w:lineRule="auto"/>
        <w:ind w:firstLine="420" w:firstLineChars="200"/>
        <w:jc w:val="left"/>
        <w:textAlignment w:val="auto"/>
        <w:rPr>
          <w:rFonts w:hint="eastAsia"/>
          <w:szCs w:val="20"/>
        </w:rPr>
      </w:pPr>
      <w:r>
        <w:rPr>
          <w:rFonts w:hint="eastAsia"/>
          <w:szCs w:val="20"/>
        </w:rPr>
        <w:t>基金份额持有人大会不得对未事先公告的议事内容进行表决。</w:t>
      </w:r>
    </w:p>
    <w:p w14:paraId="11CE70A6">
      <w:pPr>
        <w:autoSpaceDE w:val="0"/>
        <w:autoSpaceDN w:val="0"/>
        <w:spacing w:line="360" w:lineRule="auto"/>
        <w:ind w:firstLine="420" w:firstLineChars="200"/>
        <w:jc w:val="left"/>
        <w:textAlignment w:val="auto"/>
        <w:rPr>
          <w:rFonts w:hint="eastAsia"/>
          <w:szCs w:val="20"/>
        </w:rPr>
      </w:pPr>
      <w:r>
        <w:rPr>
          <w:rFonts w:hint="eastAsia"/>
          <w:szCs w:val="20"/>
        </w:rPr>
        <w:t>2、议事程序</w:t>
      </w:r>
    </w:p>
    <w:p w14:paraId="632DE01F">
      <w:pPr>
        <w:autoSpaceDE w:val="0"/>
        <w:autoSpaceDN w:val="0"/>
        <w:spacing w:line="360" w:lineRule="auto"/>
        <w:ind w:firstLine="420" w:firstLineChars="200"/>
        <w:jc w:val="left"/>
        <w:textAlignment w:val="auto"/>
        <w:rPr>
          <w:rFonts w:hint="eastAsia"/>
          <w:szCs w:val="20"/>
        </w:rPr>
      </w:pPr>
      <w:r>
        <w:rPr>
          <w:rFonts w:hint="eastAsia"/>
          <w:szCs w:val="20"/>
        </w:rPr>
        <w:t>（1）现场开会</w:t>
      </w:r>
    </w:p>
    <w:p w14:paraId="1B9E245B">
      <w:pPr>
        <w:autoSpaceDE w:val="0"/>
        <w:autoSpaceDN w:val="0"/>
        <w:spacing w:line="360" w:lineRule="auto"/>
        <w:ind w:firstLine="420" w:firstLineChars="200"/>
        <w:jc w:val="left"/>
        <w:textAlignment w:val="auto"/>
        <w:rPr>
          <w:rFonts w:hint="eastAsia"/>
          <w:szCs w:val="20"/>
        </w:rPr>
      </w:pPr>
      <w:r>
        <w:rPr>
          <w:rFonts w:hint="eastAsia"/>
          <w:szCs w:val="20"/>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FB85CEE">
      <w:pPr>
        <w:autoSpaceDE w:val="0"/>
        <w:autoSpaceDN w:val="0"/>
        <w:spacing w:line="360" w:lineRule="auto"/>
        <w:ind w:firstLine="420" w:firstLineChars="200"/>
        <w:jc w:val="left"/>
        <w:textAlignment w:val="auto"/>
        <w:rPr>
          <w:rFonts w:hint="eastAsia"/>
          <w:szCs w:val="20"/>
        </w:rPr>
      </w:pPr>
      <w:r>
        <w:rPr>
          <w:rFonts w:hint="eastAsia"/>
          <w:szCs w:val="20"/>
        </w:rPr>
        <w:t>会议召集人应当制作出席会议人员的签名册。签名册载明参加会议人员姓名（或单位名称）、身份证明文件号码、持有或代表有表决权的基金份额、委托人姓名（或单位名称）和联系方式等事项。</w:t>
      </w:r>
    </w:p>
    <w:p w14:paraId="66B8ED72">
      <w:pPr>
        <w:autoSpaceDE w:val="0"/>
        <w:autoSpaceDN w:val="0"/>
        <w:spacing w:line="360" w:lineRule="auto"/>
        <w:ind w:firstLine="420" w:firstLineChars="200"/>
        <w:jc w:val="left"/>
        <w:textAlignment w:val="auto"/>
        <w:rPr>
          <w:rFonts w:hint="eastAsia"/>
          <w:szCs w:val="20"/>
        </w:rPr>
      </w:pPr>
      <w:r>
        <w:rPr>
          <w:rFonts w:hint="eastAsia"/>
          <w:szCs w:val="20"/>
        </w:rPr>
        <w:t>（2）通讯开会</w:t>
      </w:r>
    </w:p>
    <w:p w14:paraId="7943A5C4">
      <w:pPr>
        <w:autoSpaceDE w:val="0"/>
        <w:autoSpaceDN w:val="0"/>
        <w:spacing w:line="360" w:lineRule="auto"/>
        <w:ind w:firstLine="420" w:firstLineChars="200"/>
        <w:jc w:val="left"/>
        <w:textAlignment w:val="auto"/>
        <w:rPr>
          <w:rFonts w:hint="eastAsia"/>
          <w:szCs w:val="20"/>
        </w:rPr>
      </w:pPr>
      <w:r>
        <w:rPr>
          <w:rFonts w:hint="eastAsia"/>
          <w:szCs w:val="20"/>
        </w:rPr>
        <w:t>在通讯开会的情况下，首先由召集人提前30日公布提案，在所通知的表决截止日期后2个工作日内在公证机关监督下由召集人统计全部有效表决，在公证机关监督下形成决议。</w:t>
      </w:r>
    </w:p>
    <w:p w14:paraId="04951760">
      <w:pPr>
        <w:autoSpaceDE w:val="0"/>
        <w:autoSpaceDN w:val="0"/>
        <w:spacing w:line="360" w:lineRule="auto"/>
        <w:ind w:firstLine="420" w:firstLineChars="200"/>
        <w:jc w:val="left"/>
        <w:textAlignment w:val="auto"/>
        <w:rPr>
          <w:rFonts w:hint="eastAsia"/>
          <w:szCs w:val="20"/>
        </w:rPr>
      </w:pPr>
      <w:r>
        <w:rPr>
          <w:rFonts w:hint="eastAsia"/>
          <w:szCs w:val="20"/>
        </w:rPr>
        <w:t>六、表决</w:t>
      </w:r>
    </w:p>
    <w:p w14:paraId="1947BAE2">
      <w:pPr>
        <w:autoSpaceDE w:val="0"/>
        <w:autoSpaceDN w:val="0"/>
        <w:spacing w:line="360" w:lineRule="auto"/>
        <w:ind w:firstLine="420" w:firstLineChars="200"/>
        <w:jc w:val="left"/>
        <w:textAlignment w:val="auto"/>
        <w:rPr>
          <w:rFonts w:hint="eastAsia"/>
          <w:szCs w:val="20"/>
        </w:rPr>
      </w:pPr>
      <w:r>
        <w:rPr>
          <w:rFonts w:hint="eastAsia"/>
          <w:szCs w:val="20"/>
        </w:rPr>
        <w:t>基金份额持有人所持每份基金份额有一票表决权。</w:t>
      </w:r>
    </w:p>
    <w:p w14:paraId="122C8DDF">
      <w:pPr>
        <w:autoSpaceDE w:val="0"/>
        <w:autoSpaceDN w:val="0"/>
        <w:spacing w:line="360" w:lineRule="auto"/>
        <w:ind w:firstLine="420" w:firstLineChars="200"/>
        <w:jc w:val="left"/>
        <w:textAlignment w:val="auto"/>
        <w:rPr>
          <w:rFonts w:hint="eastAsia"/>
          <w:szCs w:val="20"/>
        </w:rPr>
      </w:pPr>
      <w:r>
        <w:rPr>
          <w:rFonts w:hint="eastAsia"/>
          <w:szCs w:val="20"/>
        </w:rPr>
        <w:t>基金份额持有人大会决议分为一般决议和特别决议：</w:t>
      </w:r>
    </w:p>
    <w:p w14:paraId="054F3892">
      <w:pPr>
        <w:autoSpaceDE w:val="0"/>
        <w:autoSpaceDN w:val="0"/>
        <w:spacing w:line="360" w:lineRule="auto"/>
        <w:ind w:firstLine="420" w:firstLineChars="200"/>
        <w:jc w:val="left"/>
        <w:textAlignment w:val="auto"/>
        <w:rPr>
          <w:rFonts w:hint="eastAsia"/>
          <w:szCs w:val="20"/>
        </w:rPr>
      </w:pPr>
      <w:r>
        <w:rPr>
          <w:rFonts w:hint="eastAsia"/>
          <w:szCs w:val="2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54FAA285">
      <w:pPr>
        <w:autoSpaceDE w:val="0"/>
        <w:autoSpaceDN w:val="0"/>
        <w:spacing w:line="360" w:lineRule="auto"/>
        <w:ind w:firstLine="420" w:firstLineChars="200"/>
        <w:jc w:val="left"/>
        <w:textAlignment w:val="auto"/>
        <w:rPr>
          <w:rFonts w:hint="eastAsia"/>
          <w:szCs w:val="20"/>
        </w:rPr>
      </w:pPr>
      <w:r>
        <w:rPr>
          <w:rFonts w:hint="eastAsia"/>
          <w:szCs w:val="2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68F552B3">
      <w:pPr>
        <w:autoSpaceDE w:val="0"/>
        <w:autoSpaceDN w:val="0"/>
        <w:spacing w:line="360" w:lineRule="auto"/>
        <w:ind w:firstLine="420" w:firstLineChars="200"/>
        <w:jc w:val="left"/>
        <w:textAlignment w:val="auto"/>
        <w:rPr>
          <w:rFonts w:hint="eastAsia"/>
          <w:szCs w:val="20"/>
        </w:rPr>
      </w:pPr>
      <w:r>
        <w:rPr>
          <w:rFonts w:hint="eastAsia"/>
          <w:szCs w:val="20"/>
        </w:rPr>
        <w:t>基金份额持有人大会采取记名方式进行投票表决。</w:t>
      </w:r>
    </w:p>
    <w:p w14:paraId="751AC783">
      <w:pPr>
        <w:autoSpaceDE w:val="0"/>
        <w:autoSpaceDN w:val="0"/>
        <w:spacing w:line="360" w:lineRule="auto"/>
        <w:ind w:firstLine="420" w:firstLineChars="200"/>
        <w:jc w:val="left"/>
        <w:textAlignment w:val="auto"/>
        <w:rPr>
          <w:rFonts w:hint="eastAsia"/>
          <w:szCs w:val="20"/>
        </w:rPr>
      </w:pPr>
      <w:r>
        <w:rPr>
          <w:rFonts w:hint="eastAsia"/>
          <w:szCs w:val="20"/>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69EB4DE">
      <w:pPr>
        <w:autoSpaceDE w:val="0"/>
        <w:autoSpaceDN w:val="0"/>
        <w:spacing w:line="360" w:lineRule="auto"/>
        <w:ind w:firstLine="420" w:firstLineChars="200"/>
        <w:jc w:val="left"/>
        <w:textAlignment w:val="auto"/>
        <w:rPr>
          <w:rFonts w:hint="eastAsia"/>
          <w:szCs w:val="20"/>
        </w:rPr>
      </w:pPr>
      <w:r>
        <w:rPr>
          <w:rFonts w:hint="eastAsia"/>
          <w:szCs w:val="20"/>
        </w:rPr>
        <w:t>基金份额持有人大会的各项提案或同一项提案内并列的各项议题应当分开审议、逐项表决。</w:t>
      </w:r>
    </w:p>
    <w:p w14:paraId="4092F756">
      <w:pPr>
        <w:autoSpaceDE w:val="0"/>
        <w:autoSpaceDN w:val="0"/>
        <w:spacing w:line="360" w:lineRule="auto"/>
        <w:ind w:firstLine="420" w:firstLineChars="200"/>
        <w:jc w:val="left"/>
        <w:textAlignment w:val="auto"/>
        <w:rPr>
          <w:rFonts w:hint="eastAsia"/>
          <w:szCs w:val="20"/>
        </w:rPr>
      </w:pPr>
      <w:r>
        <w:rPr>
          <w:rFonts w:hint="eastAsia"/>
          <w:szCs w:val="20"/>
        </w:rPr>
        <w:t>在上述规则的前提下，具体规则以召集人发布的基金份额持有人大会通知为准。</w:t>
      </w:r>
    </w:p>
    <w:p w14:paraId="0447E61E">
      <w:pPr>
        <w:autoSpaceDE w:val="0"/>
        <w:autoSpaceDN w:val="0"/>
        <w:spacing w:line="360" w:lineRule="auto"/>
        <w:ind w:firstLine="420" w:firstLineChars="200"/>
        <w:jc w:val="left"/>
        <w:textAlignment w:val="auto"/>
        <w:rPr>
          <w:rFonts w:hint="eastAsia"/>
          <w:szCs w:val="20"/>
        </w:rPr>
      </w:pPr>
      <w:r>
        <w:rPr>
          <w:rFonts w:hint="eastAsia"/>
          <w:szCs w:val="20"/>
        </w:rPr>
        <w:t>七、计票</w:t>
      </w:r>
    </w:p>
    <w:p w14:paraId="7A7BF84B">
      <w:pPr>
        <w:autoSpaceDE w:val="0"/>
        <w:autoSpaceDN w:val="0"/>
        <w:spacing w:line="360" w:lineRule="auto"/>
        <w:ind w:firstLine="420" w:firstLineChars="200"/>
        <w:jc w:val="left"/>
        <w:textAlignment w:val="auto"/>
        <w:rPr>
          <w:rFonts w:hint="eastAsia"/>
          <w:szCs w:val="20"/>
        </w:rPr>
      </w:pPr>
      <w:r>
        <w:rPr>
          <w:rFonts w:hint="eastAsia"/>
          <w:szCs w:val="20"/>
        </w:rPr>
        <w:t>1、现场开会</w:t>
      </w:r>
    </w:p>
    <w:p w14:paraId="312C6563">
      <w:pPr>
        <w:autoSpaceDE w:val="0"/>
        <w:autoSpaceDN w:val="0"/>
        <w:spacing w:line="360" w:lineRule="auto"/>
        <w:ind w:firstLine="420" w:firstLineChars="200"/>
        <w:jc w:val="left"/>
        <w:textAlignment w:val="auto"/>
        <w:rPr>
          <w:rFonts w:hint="eastAsia"/>
          <w:szCs w:val="20"/>
        </w:rPr>
      </w:pPr>
      <w:r>
        <w:rPr>
          <w:rFonts w:hint="eastAsia"/>
          <w:szCs w:val="2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14A635E">
      <w:pPr>
        <w:autoSpaceDE w:val="0"/>
        <w:autoSpaceDN w:val="0"/>
        <w:spacing w:line="360" w:lineRule="auto"/>
        <w:ind w:firstLine="420" w:firstLineChars="200"/>
        <w:jc w:val="left"/>
        <w:textAlignment w:val="auto"/>
        <w:rPr>
          <w:rFonts w:hint="eastAsia"/>
          <w:szCs w:val="20"/>
        </w:rPr>
      </w:pPr>
      <w:r>
        <w:rPr>
          <w:rFonts w:hint="eastAsia"/>
          <w:szCs w:val="20"/>
        </w:rPr>
        <w:t>（2）监票人应当在基金份额持有人表决后立即进行清点并由大会主持人当场公布计票结果。</w:t>
      </w:r>
    </w:p>
    <w:p w14:paraId="3031EB30">
      <w:pPr>
        <w:autoSpaceDE w:val="0"/>
        <w:autoSpaceDN w:val="0"/>
        <w:spacing w:line="360" w:lineRule="auto"/>
        <w:ind w:firstLine="420" w:firstLineChars="200"/>
        <w:jc w:val="left"/>
        <w:textAlignment w:val="auto"/>
        <w:rPr>
          <w:rFonts w:hint="eastAsia"/>
          <w:szCs w:val="20"/>
        </w:rPr>
      </w:pPr>
      <w:r>
        <w:rPr>
          <w:rFonts w:hint="eastAsia"/>
          <w:szCs w:val="2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90AF23C">
      <w:pPr>
        <w:autoSpaceDE w:val="0"/>
        <w:autoSpaceDN w:val="0"/>
        <w:spacing w:line="360" w:lineRule="auto"/>
        <w:ind w:firstLine="420" w:firstLineChars="200"/>
        <w:jc w:val="left"/>
        <w:textAlignment w:val="auto"/>
        <w:rPr>
          <w:rFonts w:hint="eastAsia"/>
          <w:szCs w:val="20"/>
        </w:rPr>
      </w:pPr>
      <w:r>
        <w:rPr>
          <w:rFonts w:hint="eastAsia"/>
          <w:szCs w:val="20"/>
        </w:rPr>
        <w:t>（4）计票过程应由公证机关予以公证，基金管理人或基金托管人拒不出席大会的，不影响计票的效力。</w:t>
      </w:r>
    </w:p>
    <w:p w14:paraId="688D4B87">
      <w:pPr>
        <w:autoSpaceDE w:val="0"/>
        <w:autoSpaceDN w:val="0"/>
        <w:spacing w:line="360" w:lineRule="auto"/>
        <w:ind w:firstLine="420" w:firstLineChars="200"/>
        <w:jc w:val="left"/>
        <w:textAlignment w:val="auto"/>
        <w:rPr>
          <w:rFonts w:hint="eastAsia"/>
          <w:szCs w:val="20"/>
        </w:rPr>
      </w:pPr>
      <w:r>
        <w:rPr>
          <w:rFonts w:hint="eastAsia"/>
          <w:szCs w:val="20"/>
        </w:rPr>
        <w:t>2、通讯开会</w:t>
      </w:r>
    </w:p>
    <w:p w14:paraId="7F8834BF">
      <w:pPr>
        <w:autoSpaceDE w:val="0"/>
        <w:autoSpaceDN w:val="0"/>
        <w:spacing w:line="360" w:lineRule="auto"/>
        <w:ind w:firstLine="420" w:firstLineChars="200"/>
        <w:jc w:val="left"/>
        <w:textAlignment w:val="auto"/>
        <w:rPr>
          <w:rFonts w:hint="eastAsia"/>
          <w:szCs w:val="20"/>
        </w:rPr>
      </w:pPr>
      <w:r>
        <w:rPr>
          <w:rFonts w:hint="eastAsia"/>
          <w:szCs w:val="2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465099C4">
      <w:pPr>
        <w:autoSpaceDE w:val="0"/>
        <w:autoSpaceDN w:val="0"/>
        <w:spacing w:line="360" w:lineRule="auto"/>
        <w:ind w:firstLine="420" w:firstLineChars="200"/>
        <w:jc w:val="left"/>
        <w:textAlignment w:val="auto"/>
        <w:rPr>
          <w:rFonts w:hint="eastAsia"/>
          <w:szCs w:val="20"/>
        </w:rPr>
      </w:pPr>
      <w:r>
        <w:rPr>
          <w:rFonts w:hint="eastAsia"/>
          <w:szCs w:val="20"/>
        </w:rPr>
        <w:t>八、生效与公告</w:t>
      </w:r>
    </w:p>
    <w:p w14:paraId="2C4CB2F1">
      <w:pPr>
        <w:autoSpaceDE w:val="0"/>
        <w:autoSpaceDN w:val="0"/>
        <w:spacing w:line="360" w:lineRule="auto"/>
        <w:ind w:firstLine="420" w:firstLineChars="200"/>
        <w:jc w:val="left"/>
        <w:textAlignment w:val="auto"/>
        <w:rPr>
          <w:rFonts w:hint="eastAsia"/>
          <w:szCs w:val="20"/>
        </w:rPr>
      </w:pPr>
      <w:r>
        <w:rPr>
          <w:rFonts w:hint="eastAsia"/>
          <w:szCs w:val="20"/>
        </w:rPr>
        <w:t>基金份额持有人大会的决议，召集人应当自通过之日起5日内报中国证监会备案。</w:t>
      </w:r>
    </w:p>
    <w:p w14:paraId="3DB11F6C">
      <w:pPr>
        <w:autoSpaceDE w:val="0"/>
        <w:autoSpaceDN w:val="0"/>
        <w:spacing w:line="360" w:lineRule="auto"/>
        <w:ind w:firstLine="420" w:firstLineChars="200"/>
        <w:jc w:val="left"/>
        <w:textAlignment w:val="auto"/>
        <w:rPr>
          <w:rFonts w:hint="eastAsia"/>
          <w:szCs w:val="20"/>
        </w:rPr>
      </w:pPr>
      <w:r>
        <w:rPr>
          <w:rFonts w:hint="eastAsia"/>
          <w:szCs w:val="20"/>
        </w:rPr>
        <w:t>基金份额持有人大会的决议自表决通过之日起生效。</w:t>
      </w:r>
    </w:p>
    <w:p w14:paraId="66EED746">
      <w:pPr>
        <w:autoSpaceDE w:val="0"/>
        <w:autoSpaceDN w:val="0"/>
        <w:spacing w:line="360" w:lineRule="auto"/>
        <w:ind w:firstLine="420" w:firstLineChars="200"/>
        <w:jc w:val="left"/>
        <w:textAlignment w:val="auto"/>
        <w:rPr>
          <w:rFonts w:hint="eastAsia"/>
          <w:szCs w:val="20"/>
        </w:rPr>
      </w:pPr>
      <w:r>
        <w:rPr>
          <w:rFonts w:hint="eastAsia"/>
          <w:szCs w:val="20"/>
        </w:rPr>
        <w:t>基金份额持有人大会决议自生效之日起按规定在规定媒介上公告。如果采用通讯方式进行表决，在公告基金份额持有人大会决议时，必须将公证书全文、公证机构、公证员姓名等一同公告。</w:t>
      </w:r>
    </w:p>
    <w:p w14:paraId="0042F84A">
      <w:pPr>
        <w:autoSpaceDE w:val="0"/>
        <w:autoSpaceDN w:val="0"/>
        <w:spacing w:line="360" w:lineRule="auto"/>
        <w:ind w:firstLine="420" w:firstLineChars="200"/>
        <w:jc w:val="left"/>
        <w:textAlignment w:val="auto"/>
        <w:rPr>
          <w:rFonts w:hint="eastAsia"/>
          <w:szCs w:val="20"/>
        </w:rPr>
      </w:pPr>
      <w:r>
        <w:rPr>
          <w:rFonts w:hint="eastAsia"/>
          <w:szCs w:val="20"/>
        </w:rPr>
        <w:t>基金管理人、基金托管人和基金份额持有人应当执行生效的基金份额持有人大会的决议。生效的基金份额持有人大会决议对全体基金份额持有人、基金管理人、基金托管人均有约束力。</w:t>
      </w:r>
    </w:p>
    <w:p w14:paraId="6C89EFB3">
      <w:pPr>
        <w:autoSpaceDE w:val="0"/>
        <w:autoSpaceDN w:val="0"/>
        <w:spacing w:line="360" w:lineRule="auto"/>
        <w:ind w:firstLine="420" w:firstLineChars="200"/>
        <w:jc w:val="left"/>
        <w:textAlignment w:val="auto"/>
        <w:rPr>
          <w:rFonts w:hint="eastAsia"/>
          <w:szCs w:val="20"/>
        </w:rPr>
      </w:pPr>
      <w:r>
        <w:rPr>
          <w:rFonts w:hint="eastAsia"/>
          <w:szCs w:val="20"/>
        </w:rPr>
        <w:t>九、基金管理人代表本基金出席本基金投资的基金的基金份额持有人大会并参与表决的特别约定</w:t>
      </w:r>
    </w:p>
    <w:p w14:paraId="19BE0515">
      <w:pPr>
        <w:autoSpaceDE w:val="0"/>
        <w:autoSpaceDN w:val="0"/>
        <w:spacing w:line="360" w:lineRule="auto"/>
        <w:ind w:firstLine="420" w:firstLineChars="200"/>
        <w:jc w:val="left"/>
        <w:textAlignment w:val="auto"/>
        <w:rPr>
          <w:rFonts w:hint="eastAsia"/>
          <w:szCs w:val="20"/>
        </w:rPr>
      </w:pPr>
      <w:r>
        <w:rPr>
          <w:rFonts w:hint="eastAsia"/>
          <w:szCs w:val="20"/>
        </w:rPr>
        <w:t>本基金持有的基金召开基金份额持有人大会时，基金管理人应当代表本基金基金份额持有人的利益直接参与所持有基金的基金份额持有人大会，并在遵循本基金基金份额持有人利益优先原则的前提下行使相关投票权利，无需事先召开本基金的基金份额持有人大会。基金管理人需将表决意见事先征求基金托管人的意见，并将表决意见在定期报告中予以披露。基金投资者持有本基金基金份额的行为即视为同意本基金管理人参与本基金所持基金的基金份额持有人大会并行使相关投票权利。法律法规另有规定的从其规定。</w:t>
      </w:r>
    </w:p>
    <w:p w14:paraId="04D75665">
      <w:pPr>
        <w:autoSpaceDE w:val="0"/>
        <w:autoSpaceDN w:val="0"/>
        <w:spacing w:line="360" w:lineRule="auto"/>
        <w:ind w:firstLine="420" w:firstLineChars="200"/>
        <w:jc w:val="left"/>
        <w:textAlignment w:val="auto"/>
        <w:rPr>
          <w:rFonts w:hint="eastAsia"/>
          <w:szCs w:val="20"/>
        </w:rPr>
      </w:pPr>
      <w:r>
        <w:rPr>
          <w:rFonts w:hint="eastAsia"/>
          <w:szCs w:val="20"/>
        </w:rPr>
        <w:t>在遵循本基金基金份额持有人利益优先原则的前提下，本基金的基金管理人可代表本基金的基金份额持有人提议召开或召集本基金所持基金的基金份额持有人大会，无需事先召开本基金的基金份额持有人大会。基金投资者持有本基金基金份额的行为即视为同意本基金管理人代表本基金的基金份额持有人提议召开或召集本基金所持基金的基金份额持有人大会。法律法规或监管部门另有规定的从其规定。</w:t>
      </w:r>
    </w:p>
    <w:p w14:paraId="1B5F5FED">
      <w:pPr>
        <w:autoSpaceDE w:val="0"/>
        <w:autoSpaceDN w:val="0"/>
        <w:spacing w:line="360" w:lineRule="auto"/>
        <w:ind w:firstLine="420" w:firstLineChars="200"/>
        <w:jc w:val="left"/>
        <w:textAlignment w:val="auto"/>
        <w:rPr>
          <w:rFonts w:hint="eastAsia"/>
          <w:szCs w:val="20"/>
        </w:rPr>
      </w:pPr>
      <w:r>
        <w:rPr>
          <w:rFonts w:hint="eastAsia"/>
          <w:szCs w:val="20"/>
        </w:rPr>
        <w:t>法律法规对于本基金参与本基金持有的基金召开基金份额持有人大会的程序或要求另有规定的，从其规定。</w:t>
      </w:r>
    </w:p>
    <w:p w14:paraId="7AE78816">
      <w:pPr>
        <w:autoSpaceDE w:val="0"/>
        <w:autoSpaceDN w:val="0"/>
        <w:spacing w:line="360" w:lineRule="auto"/>
        <w:ind w:firstLine="420" w:firstLineChars="200"/>
        <w:jc w:val="left"/>
        <w:textAlignment w:val="auto"/>
        <w:rPr>
          <w:rFonts w:hint="eastAsia"/>
          <w:szCs w:val="20"/>
        </w:rPr>
      </w:pPr>
      <w:r>
        <w:rPr>
          <w:rFonts w:hint="eastAsia"/>
          <w:szCs w:val="20"/>
        </w:rPr>
        <w:t>十、实施侧袋机制期间基金份额持有人大会的特殊约定</w:t>
      </w:r>
    </w:p>
    <w:p w14:paraId="384925F4">
      <w:pPr>
        <w:autoSpaceDE w:val="0"/>
        <w:autoSpaceDN w:val="0"/>
        <w:spacing w:line="360" w:lineRule="auto"/>
        <w:ind w:firstLine="420" w:firstLineChars="200"/>
        <w:jc w:val="left"/>
        <w:textAlignment w:val="auto"/>
        <w:rPr>
          <w:rFonts w:hint="eastAsia"/>
          <w:szCs w:val="20"/>
        </w:rPr>
      </w:pPr>
      <w:r>
        <w:rPr>
          <w:rFonts w:hint="eastAsia"/>
          <w:szCs w:val="20"/>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9691810">
      <w:pPr>
        <w:autoSpaceDE w:val="0"/>
        <w:autoSpaceDN w:val="0"/>
        <w:spacing w:line="360" w:lineRule="auto"/>
        <w:ind w:firstLine="420" w:firstLineChars="200"/>
        <w:jc w:val="left"/>
        <w:textAlignment w:val="auto"/>
        <w:rPr>
          <w:rFonts w:hint="eastAsia"/>
          <w:szCs w:val="20"/>
        </w:rPr>
      </w:pPr>
      <w:r>
        <w:rPr>
          <w:rFonts w:hint="eastAsia"/>
          <w:szCs w:val="20"/>
        </w:rPr>
        <w:t>1、基金份额持有人行使提议权、召集权、提名权所需单独或合计代表相关基金份额10%以上（含10%）；</w:t>
      </w:r>
    </w:p>
    <w:p w14:paraId="1E1DE811">
      <w:pPr>
        <w:autoSpaceDE w:val="0"/>
        <w:autoSpaceDN w:val="0"/>
        <w:spacing w:line="360" w:lineRule="auto"/>
        <w:ind w:firstLine="420" w:firstLineChars="200"/>
        <w:jc w:val="left"/>
        <w:textAlignment w:val="auto"/>
        <w:rPr>
          <w:rFonts w:hint="eastAsia"/>
          <w:szCs w:val="20"/>
        </w:rPr>
      </w:pPr>
      <w:r>
        <w:rPr>
          <w:rFonts w:hint="eastAsia"/>
          <w:szCs w:val="20"/>
        </w:rPr>
        <w:t>2、现场开会的到会者在权益登记日代表的基金份额不少于本基金在权益登记日相关基金份额的二分之一（含二分之一）；</w:t>
      </w:r>
    </w:p>
    <w:p w14:paraId="247908DE">
      <w:pPr>
        <w:autoSpaceDE w:val="0"/>
        <w:autoSpaceDN w:val="0"/>
        <w:spacing w:line="360" w:lineRule="auto"/>
        <w:ind w:firstLine="420" w:firstLineChars="200"/>
        <w:jc w:val="left"/>
        <w:textAlignment w:val="auto"/>
        <w:rPr>
          <w:rFonts w:hint="eastAsia"/>
          <w:szCs w:val="20"/>
        </w:rPr>
      </w:pPr>
      <w:r>
        <w:rPr>
          <w:rFonts w:hint="eastAsia"/>
          <w:szCs w:val="20"/>
        </w:rPr>
        <w:t>3、通讯开会的直接出具表决意见或授权他人代表出具表决意见的基金份额持有人所持有的基金份额不小于在权益登记日相关基金份额的二分之一（含二分之一）；</w:t>
      </w:r>
    </w:p>
    <w:p w14:paraId="69E66D03">
      <w:pPr>
        <w:autoSpaceDE w:val="0"/>
        <w:autoSpaceDN w:val="0"/>
        <w:spacing w:line="360" w:lineRule="auto"/>
        <w:ind w:firstLine="420" w:firstLineChars="200"/>
        <w:jc w:val="left"/>
        <w:textAlignment w:val="auto"/>
        <w:rPr>
          <w:rFonts w:hint="eastAsia"/>
          <w:szCs w:val="20"/>
        </w:rPr>
      </w:pPr>
      <w:r>
        <w:rPr>
          <w:rFonts w:hint="eastAsia"/>
          <w:szCs w:val="20"/>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3747E353">
      <w:pPr>
        <w:autoSpaceDE w:val="0"/>
        <w:autoSpaceDN w:val="0"/>
        <w:spacing w:line="360" w:lineRule="auto"/>
        <w:ind w:firstLine="420" w:firstLineChars="200"/>
        <w:jc w:val="left"/>
        <w:textAlignment w:val="auto"/>
        <w:rPr>
          <w:rFonts w:hint="eastAsia"/>
          <w:szCs w:val="20"/>
        </w:rPr>
      </w:pPr>
      <w:r>
        <w:rPr>
          <w:rFonts w:hint="eastAsia"/>
          <w:szCs w:val="20"/>
        </w:rPr>
        <w:t>5、现场开会由出席大会的基金份额持有人和代理人所持表决权的50%以上（含50%）选举产生一名基金份额持有人作为该次基金份额持有人大会的主持人；</w:t>
      </w:r>
    </w:p>
    <w:p w14:paraId="4EB13E27">
      <w:pPr>
        <w:autoSpaceDE w:val="0"/>
        <w:autoSpaceDN w:val="0"/>
        <w:spacing w:line="360" w:lineRule="auto"/>
        <w:ind w:firstLine="420" w:firstLineChars="200"/>
        <w:jc w:val="left"/>
        <w:textAlignment w:val="auto"/>
        <w:rPr>
          <w:rFonts w:hint="eastAsia"/>
          <w:szCs w:val="20"/>
        </w:rPr>
      </w:pPr>
      <w:r>
        <w:rPr>
          <w:rFonts w:hint="eastAsia"/>
          <w:szCs w:val="20"/>
        </w:rPr>
        <w:t>6、一般决议须经参加大会的基金份额持有人或其代理人所持表决权的二分之一以上（含二分之一）通过；</w:t>
      </w:r>
    </w:p>
    <w:p w14:paraId="6A3F69CE">
      <w:pPr>
        <w:autoSpaceDE w:val="0"/>
        <w:autoSpaceDN w:val="0"/>
        <w:spacing w:line="360" w:lineRule="auto"/>
        <w:ind w:firstLine="420" w:firstLineChars="200"/>
        <w:jc w:val="left"/>
        <w:textAlignment w:val="auto"/>
        <w:rPr>
          <w:rFonts w:hint="eastAsia"/>
          <w:szCs w:val="20"/>
        </w:rPr>
      </w:pPr>
      <w:r>
        <w:rPr>
          <w:rFonts w:hint="eastAsia"/>
          <w:szCs w:val="20"/>
        </w:rPr>
        <w:t>7、特别决议应当经参加大会的基金份额持有人或其代理人所持表决权的三分之二以上（含三分之二）通过。</w:t>
      </w:r>
    </w:p>
    <w:p w14:paraId="7DDDE36C">
      <w:pPr>
        <w:autoSpaceDE w:val="0"/>
        <w:autoSpaceDN w:val="0"/>
        <w:spacing w:line="360" w:lineRule="auto"/>
        <w:ind w:firstLine="420" w:firstLineChars="200"/>
        <w:jc w:val="left"/>
        <w:textAlignment w:val="auto"/>
        <w:rPr>
          <w:rFonts w:hint="eastAsia"/>
          <w:szCs w:val="20"/>
        </w:rPr>
      </w:pPr>
      <w:r>
        <w:rPr>
          <w:rFonts w:hint="eastAsia"/>
          <w:szCs w:val="20"/>
        </w:rPr>
        <w:t>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w:t>
      </w:r>
    </w:p>
    <w:p w14:paraId="2A1DE580">
      <w:pPr>
        <w:autoSpaceDE w:val="0"/>
        <w:autoSpaceDN w:val="0"/>
        <w:spacing w:line="360" w:lineRule="auto"/>
        <w:ind w:firstLine="420" w:firstLineChars="200"/>
        <w:jc w:val="left"/>
        <w:textAlignment w:val="auto"/>
        <w:rPr>
          <w:rFonts w:hint="eastAsia"/>
          <w:szCs w:val="20"/>
        </w:rPr>
      </w:pPr>
      <w:r>
        <w:rPr>
          <w:rFonts w:hint="eastAsia"/>
          <w:szCs w:val="20"/>
        </w:rPr>
        <w:t>侧袋机制实施期间，关于基金份额持有人大会的相关规定以本节特殊约定内容为准，本节没有规定的适用上文相关约定。</w:t>
      </w:r>
    </w:p>
    <w:p w14:paraId="71AC53EA">
      <w:pPr>
        <w:autoSpaceDE w:val="0"/>
        <w:autoSpaceDN w:val="0"/>
        <w:spacing w:line="360" w:lineRule="auto"/>
        <w:ind w:firstLine="420" w:firstLineChars="200"/>
        <w:jc w:val="left"/>
        <w:textAlignment w:val="auto"/>
        <w:rPr>
          <w:rFonts w:hint="eastAsia"/>
          <w:b/>
          <w:bCs/>
          <w:szCs w:val="20"/>
        </w:rPr>
      </w:pPr>
      <w:r>
        <w:rPr>
          <w:rFonts w:hint="eastAsia"/>
          <w:szCs w:val="20"/>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741CB909">
      <w:pPr>
        <w:autoSpaceDE w:val="0"/>
        <w:autoSpaceDN w:val="0"/>
        <w:spacing w:line="360" w:lineRule="auto"/>
        <w:ind w:firstLine="422" w:firstLineChars="200"/>
        <w:jc w:val="left"/>
        <w:textAlignment w:val="auto"/>
        <w:rPr>
          <w:rFonts w:hint="eastAsia"/>
          <w:b/>
          <w:bCs/>
          <w:szCs w:val="20"/>
        </w:rPr>
      </w:pPr>
      <w:r>
        <w:rPr>
          <w:rFonts w:hint="eastAsia"/>
          <w:b/>
          <w:bCs/>
          <w:szCs w:val="20"/>
        </w:rPr>
        <w:t>三、基金合同的变更、终止与基金财产的清算</w:t>
      </w:r>
    </w:p>
    <w:p w14:paraId="40B5390D">
      <w:pPr>
        <w:autoSpaceDE w:val="0"/>
        <w:autoSpaceDN w:val="0"/>
        <w:spacing w:line="360" w:lineRule="auto"/>
        <w:ind w:firstLine="420" w:firstLineChars="200"/>
        <w:jc w:val="left"/>
        <w:textAlignment w:val="auto"/>
        <w:rPr>
          <w:rFonts w:hint="eastAsia"/>
          <w:szCs w:val="20"/>
        </w:rPr>
      </w:pPr>
      <w:r>
        <w:rPr>
          <w:rFonts w:hint="eastAsia"/>
          <w:szCs w:val="20"/>
        </w:rPr>
        <w:t>一、基金合同的变更</w:t>
      </w:r>
    </w:p>
    <w:p w14:paraId="14DBB5A9">
      <w:pPr>
        <w:autoSpaceDE w:val="0"/>
        <w:autoSpaceDN w:val="0"/>
        <w:spacing w:line="360" w:lineRule="auto"/>
        <w:ind w:firstLine="420" w:firstLineChars="200"/>
        <w:jc w:val="left"/>
        <w:textAlignment w:val="auto"/>
        <w:rPr>
          <w:rFonts w:hint="eastAsia"/>
          <w:szCs w:val="20"/>
        </w:rPr>
      </w:pPr>
      <w:r>
        <w:rPr>
          <w:rFonts w:hint="eastAsia"/>
          <w:szCs w:val="20"/>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根据法律法规或监管机构要求报中国证监会备案。</w:t>
      </w:r>
    </w:p>
    <w:p w14:paraId="3D7B1E84">
      <w:pPr>
        <w:autoSpaceDE w:val="0"/>
        <w:autoSpaceDN w:val="0"/>
        <w:spacing w:line="360" w:lineRule="auto"/>
        <w:ind w:firstLine="420" w:firstLineChars="200"/>
        <w:jc w:val="left"/>
        <w:textAlignment w:val="auto"/>
        <w:rPr>
          <w:rFonts w:hint="eastAsia"/>
          <w:szCs w:val="20"/>
        </w:rPr>
      </w:pPr>
      <w:r>
        <w:rPr>
          <w:rFonts w:hint="eastAsia"/>
          <w:szCs w:val="20"/>
        </w:rPr>
        <w:t>2、关于基金合同变更的基金份额持有人大会决议自生效后方可执行，自决议生效后2日内在规定媒介公告。</w:t>
      </w:r>
    </w:p>
    <w:p w14:paraId="1C1C3CD4">
      <w:pPr>
        <w:autoSpaceDE w:val="0"/>
        <w:autoSpaceDN w:val="0"/>
        <w:spacing w:line="360" w:lineRule="auto"/>
        <w:ind w:firstLine="420" w:firstLineChars="200"/>
        <w:jc w:val="left"/>
        <w:textAlignment w:val="auto"/>
        <w:rPr>
          <w:rFonts w:hint="eastAsia"/>
          <w:szCs w:val="20"/>
        </w:rPr>
      </w:pPr>
      <w:r>
        <w:rPr>
          <w:rFonts w:hint="eastAsia"/>
          <w:szCs w:val="20"/>
        </w:rPr>
        <w:t>二、基金合同的终止事由</w:t>
      </w:r>
    </w:p>
    <w:p w14:paraId="70627544">
      <w:pPr>
        <w:autoSpaceDE w:val="0"/>
        <w:autoSpaceDN w:val="0"/>
        <w:spacing w:line="360" w:lineRule="auto"/>
        <w:ind w:firstLine="420" w:firstLineChars="200"/>
        <w:jc w:val="left"/>
        <w:textAlignment w:val="auto"/>
        <w:rPr>
          <w:rFonts w:hint="eastAsia"/>
          <w:szCs w:val="20"/>
        </w:rPr>
      </w:pPr>
      <w:r>
        <w:rPr>
          <w:rFonts w:hint="eastAsia"/>
          <w:szCs w:val="20"/>
        </w:rPr>
        <w:t>有下列情形之一的，经履行相关程序后，基金合同应当终止：</w:t>
      </w:r>
    </w:p>
    <w:p w14:paraId="5BE1D6CE">
      <w:pPr>
        <w:autoSpaceDE w:val="0"/>
        <w:autoSpaceDN w:val="0"/>
        <w:spacing w:line="360" w:lineRule="auto"/>
        <w:ind w:firstLine="420" w:firstLineChars="200"/>
        <w:jc w:val="left"/>
        <w:textAlignment w:val="auto"/>
        <w:rPr>
          <w:rFonts w:hint="eastAsia"/>
          <w:szCs w:val="20"/>
        </w:rPr>
      </w:pPr>
      <w:r>
        <w:rPr>
          <w:rFonts w:hint="eastAsia"/>
          <w:szCs w:val="20"/>
        </w:rPr>
        <w:t>1、基金份额持有人大会决定终止的；</w:t>
      </w:r>
    </w:p>
    <w:p w14:paraId="62E5A3EF">
      <w:pPr>
        <w:autoSpaceDE w:val="0"/>
        <w:autoSpaceDN w:val="0"/>
        <w:spacing w:line="360" w:lineRule="auto"/>
        <w:ind w:firstLine="420" w:firstLineChars="200"/>
        <w:jc w:val="left"/>
        <w:textAlignment w:val="auto"/>
        <w:rPr>
          <w:rFonts w:hint="eastAsia"/>
          <w:szCs w:val="20"/>
        </w:rPr>
      </w:pPr>
      <w:r>
        <w:rPr>
          <w:rFonts w:hint="eastAsia"/>
          <w:szCs w:val="20"/>
        </w:rPr>
        <w:t>2、基金管理人、基金托管人职责终止，在6个月内没有新基金管理人、新基金托管人承接的；</w:t>
      </w:r>
    </w:p>
    <w:p w14:paraId="5EA8AF22">
      <w:pPr>
        <w:autoSpaceDE w:val="0"/>
        <w:autoSpaceDN w:val="0"/>
        <w:spacing w:line="360" w:lineRule="auto"/>
        <w:ind w:firstLine="420" w:firstLineChars="200"/>
        <w:jc w:val="left"/>
        <w:textAlignment w:val="auto"/>
        <w:rPr>
          <w:rFonts w:hint="eastAsia"/>
          <w:szCs w:val="20"/>
        </w:rPr>
      </w:pPr>
      <w:r>
        <w:rPr>
          <w:rFonts w:hint="eastAsia"/>
          <w:szCs w:val="20"/>
        </w:rPr>
        <w:t>3、基金合同约定的其他情形；</w:t>
      </w:r>
    </w:p>
    <w:p w14:paraId="5A71626F">
      <w:pPr>
        <w:autoSpaceDE w:val="0"/>
        <w:autoSpaceDN w:val="0"/>
        <w:spacing w:line="360" w:lineRule="auto"/>
        <w:ind w:firstLine="420" w:firstLineChars="200"/>
        <w:jc w:val="left"/>
        <w:textAlignment w:val="auto"/>
        <w:rPr>
          <w:rFonts w:hint="eastAsia"/>
          <w:szCs w:val="20"/>
        </w:rPr>
      </w:pPr>
      <w:r>
        <w:rPr>
          <w:rFonts w:hint="eastAsia"/>
          <w:szCs w:val="20"/>
        </w:rPr>
        <w:t>4、相关法律法规和中国证监会规定的其他情况。</w:t>
      </w:r>
    </w:p>
    <w:p w14:paraId="36B38F8A">
      <w:pPr>
        <w:autoSpaceDE w:val="0"/>
        <w:autoSpaceDN w:val="0"/>
        <w:spacing w:line="360" w:lineRule="auto"/>
        <w:ind w:firstLine="420" w:firstLineChars="200"/>
        <w:jc w:val="left"/>
        <w:textAlignment w:val="auto"/>
        <w:rPr>
          <w:rFonts w:hint="eastAsia"/>
          <w:szCs w:val="20"/>
        </w:rPr>
      </w:pPr>
      <w:r>
        <w:rPr>
          <w:rFonts w:hint="eastAsia"/>
          <w:szCs w:val="20"/>
        </w:rPr>
        <w:t>三、基金财产的清算</w:t>
      </w:r>
    </w:p>
    <w:p w14:paraId="0291BF28">
      <w:pPr>
        <w:autoSpaceDE w:val="0"/>
        <w:autoSpaceDN w:val="0"/>
        <w:spacing w:line="360" w:lineRule="auto"/>
        <w:ind w:firstLine="420" w:firstLineChars="200"/>
        <w:jc w:val="left"/>
        <w:textAlignment w:val="auto"/>
        <w:rPr>
          <w:rFonts w:hint="eastAsia"/>
          <w:szCs w:val="20"/>
        </w:rPr>
      </w:pPr>
      <w:r>
        <w:rPr>
          <w:rFonts w:hint="eastAsia"/>
          <w:szCs w:val="20"/>
        </w:rPr>
        <w:t>1、基金财产清算小组：自出现基金合同终止事由之日起30个工作日内成立清算小组，基金管理人组织基金财产清算小组并在中国证监会的监督下进行基金清算。</w:t>
      </w:r>
    </w:p>
    <w:p w14:paraId="4D8EBED0">
      <w:pPr>
        <w:autoSpaceDE w:val="0"/>
        <w:autoSpaceDN w:val="0"/>
        <w:spacing w:line="360" w:lineRule="auto"/>
        <w:ind w:firstLine="420" w:firstLineChars="200"/>
        <w:jc w:val="left"/>
        <w:textAlignment w:val="auto"/>
        <w:rPr>
          <w:rFonts w:hint="eastAsia"/>
          <w:szCs w:val="20"/>
        </w:rPr>
      </w:pPr>
      <w:r>
        <w:rPr>
          <w:rFonts w:hint="eastAsia"/>
          <w:szCs w:val="20"/>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4839B291">
      <w:pPr>
        <w:autoSpaceDE w:val="0"/>
        <w:autoSpaceDN w:val="0"/>
        <w:spacing w:line="360" w:lineRule="auto"/>
        <w:ind w:firstLine="420" w:firstLineChars="200"/>
        <w:jc w:val="left"/>
        <w:textAlignment w:val="auto"/>
        <w:rPr>
          <w:rFonts w:hint="eastAsia"/>
          <w:szCs w:val="20"/>
        </w:rPr>
      </w:pPr>
      <w:r>
        <w:rPr>
          <w:rFonts w:hint="eastAsia"/>
          <w:szCs w:val="20"/>
        </w:rPr>
        <w:t>3、基金财产清算小组职责：基金财产清算小组负责基金财产的保管、清理、估价、变现和分配。基金财产清算小组可以依法进行必要的民事活动。</w:t>
      </w:r>
    </w:p>
    <w:p w14:paraId="2A31B13E">
      <w:pPr>
        <w:autoSpaceDE w:val="0"/>
        <w:autoSpaceDN w:val="0"/>
        <w:spacing w:line="360" w:lineRule="auto"/>
        <w:ind w:firstLine="420" w:firstLineChars="200"/>
        <w:jc w:val="left"/>
        <w:textAlignment w:val="auto"/>
        <w:rPr>
          <w:rFonts w:hint="eastAsia"/>
          <w:szCs w:val="20"/>
        </w:rPr>
      </w:pPr>
      <w:r>
        <w:rPr>
          <w:rFonts w:hint="eastAsia"/>
          <w:szCs w:val="20"/>
        </w:rPr>
        <w:t>4、基金财产清算程序：</w:t>
      </w:r>
    </w:p>
    <w:p w14:paraId="68D3CB1A">
      <w:pPr>
        <w:autoSpaceDE w:val="0"/>
        <w:autoSpaceDN w:val="0"/>
        <w:spacing w:line="360" w:lineRule="auto"/>
        <w:ind w:firstLine="420" w:firstLineChars="200"/>
        <w:jc w:val="left"/>
        <w:textAlignment w:val="auto"/>
        <w:rPr>
          <w:rFonts w:hint="eastAsia"/>
          <w:szCs w:val="20"/>
        </w:rPr>
      </w:pPr>
      <w:r>
        <w:rPr>
          <w:rFonts w:hint="eastAsia"/>
          <w:szCs w:val="20"/>
        </w:rPr>
        <w:t>（1）基金合同终止情形出现时，由基金财产清算小组统一接管基金财产；</w:t>
      </w:r>
    </w:p>
    <w:p w14:paraId="713CDAFA">
      <w:pPr>
        <w:autoSpaceDE w:val="0"/>
        <w:autoSpaceDN w:val="0"/>
        <w:spacing w:line="360" w:lineRule="auto"/>
        <w:ind w:firstLine="420" w:firstLineChars="200"/>
        <w:jc w:val="left"/>
        <w:textAlignment w:val="auto"/>
        <w:rPr>
          <w:rFonts w:hint="eastAsia"/>
          <w:szCs w:val="20"/>
        </w:rPr>
      </w:pPr>
      <w:r>
        <w:rPr>
          <w:rFonts w:hint="eastAsia"/>
          <w:szCs w:val="20"/>
        </w:rPr>
        <w:t>（2）对基金财产和债权债务进行清理和确认；</w:t>
      </w:r>
    </w:p>
    <w:p w14:paraId="57CFE06B">
      <w:pPr>
        <w:autoSpaceDE w:val="0"/>
        <w:autoSpaceDN w:val="0"/>
        <w:spacing w:line="360" w:lineRule="auto"/>
        <w:ind w:firstLine="420" w:firstLineChars="200"/>
        <w:jc w:val="left"/>
        <w:textAlignment w:val="auto"/>
        <w:rPr>
          <w:rFonts w:hint="eastAsia"/>
          <w:szCs w:val="20"/>
        </w:rPr>
      </w:pPr>
      <w:r>
        <w:rPr>
          <w:rFonts w:hint="eastAsia"/>
          <w:szCs w:val="20"/>
        </w:rPr>
        <w:t>（3）对基金财产进行估值和变现；</w:t>
      </w:r>
    </w:p>
    <w:p w14:paraId="0FF18D83">
      <w:pPr>
        <w:autoSpaceDE w:val="0"/>
        <w:autoSpaceDN w:val="0"/>
        <w:spacing w:line="360" w:lineRule="auto"/>
        <w:ind w:firstLine="420" w:firstLineChars="200"/>
        <w:jc w:val="left"/>
        <w:textAlignment w:val="auto"/>
        <w:rPr>
          <w:rFonts w:hint="eastAsia"/>
          <w:szCs w:val="20"/>
        </w:rPr>
      </w:pPr>
      <w:r>
        <w:rPr>
          <w:rFonts w:hint="eastAsia"/>
          <w:szCs w:val="20"/>
        </w:rPr>
        <w:t>（4）制作清算报告；</w:t>
      </w:r>
    </w:p>
    <w:p w14:paraId="5411567C">
      <w:pPr>
        <w:autoSpaceDE w:val="0"/>
        <w:autoSpaceDN w:val="0"/>
        <w:spacing w:line="360" w:lineRule="auto"/>
        <w:ind w:firstLine="420" w:firstLineChars="200"/>
        <w:jc w:val="left"/>
        <w:textAlignment w:val="auto"/>
        <w:rPr>
          <w:rFonts w:hint="eastAsia"/>
          <w:szCs w:val="20"/>
        </w:rPr>
      </w:pPr>
      <w:r>
        <w:rPr>
          <w:rFonts w:hint="eastAsia"/>
          <w:szCs w:val="20"/>
        </w:rPr>
        <w:t>（5）聘请会计师事务所对清算报告进行外部审计，聘请律师事务所对清算报告出具法律意见书；</w:t>
      </w:r>
    </w:p>
    <w:p w14:paraId="5B49216D">
      <w:pPr>
        <w:autoSpaceDE w:val="0"/>
        <w:autoSpaceDN w:val="0"/>
        <w:spacing w:line="360" w:lineRule="auto"/>
        <w:ind w:firstLine="420" w:firstLineChars="200"/>
        <w:jc w:val="left"/>
        <w:textAlignment w:val="auto"/>
        <w:rPr>
          <w:rFonts w:hint="eastAsia"/>
          <w:szCs w:val="20"/>
        </w:rPr>
      </w:pPr>
      <w:r>
        <w:rPr>
          <w:rFonts w:hint="eastAsia"/>
          <w:szCs w:val="20"/>
        </w:rPr>
        <w:t>（6）将清算报告报中国证监会备案并公告；</w:t>
      </w:r>
    </w:p>
    <w:p w14:paraId="654CF466">
      <w:pPr>
        <w:autoSpaceDE w:val="0"/>
        <w:autoSpaceDN w:val="0"/>
        <w:spacing w:line="360" w:lineRule="auto"/>
        <w:ind w:firstLine="420" w:firstLineChars="200"/>
        <w:jc w:val="left"/>
        <w:textAlignment w:val="auto"/>
        <w:rPr>
          <w:rFonts w:hint="eastAsia"/>
          <w:szCs w:val="20"/>
        </w:rPr>
      </w:pPr>
      <w:r>
        <w:rPr>
          <w:rFonts w:hint="eastAsia"/>
          <w:szCs w:val="20"/>
        </w:rPr>
        <w:t>（7）对基金剩余财产进行分配。</w:t>
      </w:r>
    </w:p>
    <w:p w14:paraId="50D2F420">
      <w:pPr>
        <w:autoSpaceDE w:val="0"/>
        <w:autoSpaceDN w:val="0"/>
        <w:spacing w:line="360" w:lineRule="auto"/>
        <w:ind w:firstLine="420" w:firstLineChars="200"/>
        <w:jc w:val="left"/>
        <w:textAlignment w:val="auto"/>
        <w:rPr>
          <w:rFonts w:hint="eastAsia"/>
          <w:szCs w:val="20"/>
        </w:rPr>
      </w:pPr>
      <w:r>
        <w:rPr>
          <w:rFonts w:hint="eastAsia"/>
          <w:szCs w:val="20"/>
        </w:rPr>
        <w:t>5、基金财产清算的期限为6个月，但因本基金所持证券的流动性受到限制而不能及时变现的，清算期限可相应顺延。</w:t>
      </w:r>
    </w:p>
    <w:p w14:paraId="5B185D1D">
      <w:pPr>
        <w:autoSpaceDE w:val="0"/>
        <w:autoSpaceDN w:val="0"/>
        <w:spacing w:line="360" w:lineRule="auto"/>
        <w:ind w:firstLine="420" w:firstLineChars="200"/>
        <w:jc w:val="left"/>
        <w:textAlignment w:val="auto"/>
        <w:rPr>
          <w:rFonts w:hint="eastAsia"/>
          <w:szCs w:val="20"/>
        </w:rPr>
      </w:pPr>
      <w:r>
        <w:rPr>
          <w:rFonts w:hint="eastAsia"/>
          <w:szCs w:val="20"/>
        </w:rPr>
        <w:t>四、清算费用</w:t>
      </w:r>
    </w:p>
    <w:p w14:paraId="79524260">
      <w:pPr>
        <w:autoSpaceDE w:val="0"/>
        <w:autoSpaceDN w:val="0"/>
        <w:spacing w:line="360" w:lineRule="auto"/>
        <w:ind w:firstLine="420" w:firstLineChars="200"/>
        <w:jc w:val="left"/>
        <w:textAlignment w:val="auto"/>
        <w:rPr>
          <w:rFonts w:hint="eastAsia"/>
          <w:szCs w:val="20"/>
        </w:rPr>
      </w:pPr>
      <w:r>
        <w:rPr>
          <w:rFonts w:hint="eastAsia"/>
          <w:szCs w:val="20"/>
        </w:rPr>
        <w:t>清算费用是指基金财产清算小组在进行基金清算过程中发生的所有合理费用，清算费用由基金财产清算小组优先从基金剩余财产中支付。</w:t>
      </w:r>
    </w:p>
    <w:p w14:paraId="172FA3F6">
      <w:pPr>
        <w:autoSpaceDE w:val="0"/>
        <w:autoSpaceDN w:val="0"/>
        <w:spacing w:line="360" w:lineRule="auto"/>
        <w:ind w:firstLine="420" w:firstLineChars="200"/>
        <w:jc w:val="left"/>
        <w:textAlignment w:val="auto"/>
        <w:rPr>
          <w:rFonts w:hint="eastAsia"/>
          <w:szCs w:val="20"/>
        </w:rPr>
      </w:pPr>
      <w:r>
        <w:rPr>
          <w:rFonts w:hint="eastAsia"/>
          <w:szCs w:val="20"/>
        </w:rPr>
        <w:t>五、基金财产清算剩余资产的分配</w:t>
      </w:r>
    </w:p>
    <w:p w14:paraId="36A5CF96">
      <w:pPr>
        <w:autoSpaceDE w:val="0"/>
        <w:autoSpaceDN w:val="0"/>
        <w:spacing w:line="360" w:lineRule="auto"/>
        <w:ind w:firstLine="420" w:firstLineChars="200"/>
        <w:jc w:val="left"/>
        <w:textAlignment w:val="auto"/>
        <w:rPr>
          <w:szCs w:val="20"/>
        </w:rPr>
      </w:pPr>
      <w:r>
        <w:rPr>
          <w:rFonts w:hint="eastAsia"/>
          <w:szCs w:val="20"/>
        </w:rPr>
        <w:t>依据基金财产清算的分配方案，将基金财产清算后的全部剩余资产扣除基金财产清算费用、交纳所欠税款并清偿基金债务后，按基金份额持有人持有的各类基金份额比例进行分配。</w:t>
      </w:r>
    </w:p>
    <w:p w14:paraId="272330DC">
      <w:pPr>
        <w:autoSpaceDE w:val="0"/>
        <w:autoSpaceDN w:val="0"/>
        <w:spacing w:line="360" w:lineRule="auto"/>
        <w:ind w:firstLine="420" w:firstLineChars="200"/>
        <w:jc w:val="left"/>
        <w:textAlignment w:val="auto"/>
        <w:rPr>
          <w:rFonts w:hint="eastAsia"/>
          <w:szCs w:val="20"/>
        </w:rPr>
      </w:pPr>
      <w:r>
        <w:rPr>
          <w:rFonts w:hint="eastAsia"/>
          <w:szCs w:val="20"/>
        </w:rPr>
        <w:t>其中，对于投资者通过直销机构认购/申购的C类基金份额计提的销售服务费，或者在其他销售机构保有且持续持有期限超过一年的C类基金份额继续计提的销售服务费，将在基金合同终止时随剩余资产分配款项一并返还给投资者。</w:t>
      </w:r>
    </w:p>
    <w:p w14:paraId="1FB9F551">
      <w:pPr>
        <w:autoSpaceDE w:val="0"/>
        <w:autoSpaceDN w:val="0"/>
        <w:spacing w:line="360" w:lineRule="auto"/>
        <w:ind w:firstLine="420" w:firstLineChars="200"/>
        <w:jc w:val="left"/>
        <w:textAlignment w:val="auto"/>
        <w:rPr>
          <w:rFonts w:hint="eastAsia"/>
          <w:szCs w:val="20"/>
        </w:rPr>
      </w:pPr>
      <w:r>
        <w:rPr>
          <w:rFonts w:hint="eastAsia"/>
          <w:szCs w:val="20"/>
        </w:rPr>
        <w:t>六、基金财产清算的公告</w:t>
      </w:r>
    </w:p>
    <w:p w14:paraId="1806041F">
      <w:pPr>
        <w:autoSpaceDE w:val="0"/>
        <w:autoSpaceDN w:val="0"/>
        <w:spacing w:line="360" w:lineRule="auto"/>
        <w:ind w:firstLine="420" w:firstLineChars="200"/>
        <w:jc w:val="left"/>
        <w:textAlignment w:val="auto"/>
        <w:rPr>
          <w:rFonts w:hint="eastAsia"/>
          <w:szCs w:val="20"/>
        </w:rPr>
      </w:pPr>
      <w:r>
        <w:rPr>
          <w:rFonts w:hint="eastAsia"/>
          <w:szCs w:val="20"/>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w:t>
      </w:r>
    </w:p>
    <w:p w14:paraId="63158798">
      <w:pPr>
        <w:autoSpaceDE w:val="0"/>
        <w:autoSpaceDN w:val="0"/>
        <w:spacing w:line="360" w:lineRule="auto"/>
        <w:ind w:firstLine="420" w:firstLineChars="200"/>
        <w:jc w:val="left"/>
        <w:textAlignment w:val="auto"/>
        <w:rPr>
          <w:rFonts w:hint="eastAsia"/>
          <w:szCs w:val="20"/>
        </w:rPr>
      </w:pPr>
      <w:r>
        <w:rPr>
          <w:rFonts w:hint="eastAsia"/>
          <w:szCs w:val="20"/>
        </w:rPr>
        <w:t>七、基金财产清算账册及文件的保存</w:t>
      </w:r>
    </w:p>
    <w:p w14:paraId="1F225566">
      <w:pPr>
        <w:autoSpaceDE w:val="0"/>
        <w:autoSpaceDN w:val="0"/>
        <w:spacing w:line="360" w:lineRule="auto"/>
        <w:ind w:firstLine="420" w:firstLineChars="200"/>
        <w:jc w:val="left"/>
        <w:textAlignment w:val="auto"/>
        <w:rPr>
          <w:rFonts w:hint="eastAsia"/>
          <w:b/>
          <w:bCs/>
          <w:szCs w:val="20"/>
        </w:rPr>
      </w:pPr>
      <w:r>
        <w:rPr>
          <w:rFonts w:hint="eastAsia"/>
          <w:szCs w:val="20"/>
        </w:rPr>
        <w:t>基金财产清算账册及有关文件由基金托管人保存，保存期限不低于法律法规规定的最低期限。</w:t>
      </w:r>
    </w:p>
    <w:p w14:paraId="454B6944">
      <w:pPr>
        <w:autoSpaceDE w:val="0"/>
        <w:autoSpaceDN w:val="0"/>
        <w:spacing w:line="360" w:lineRule="auto"/>
        <w:ind w:firstLine="422" w:firstLineChars="200"/>
        <w:jc w:val="left"/>
        <w:textAlignment w:val="auto"/>
        <w:rPr>
          <w:rFonts w:hint="eastAsia"/>
          <w:b/>
          <w:bCs/>
          <w:szCs w:val="20"/>
        </w:rPr>
      </w:pPr>
      <w:r>
        <w:rPr>
          <w:rFonts w:hint="eastAsia"/>
          <w:b/>
          <w:bCs/>
          <w:szCs w:val="20"/>
        </w:rPr>
        <w:t>四、争议的处理和适用的法律</w:t>
      </w:r>
    </w:p>
    <w:p w14:paraId="37F0D9D9">
      <w:pPr>
        <w:autoSpaceDE w:val="0"/>
        <w:autoSpaceDN w:val="0"/>
        <w:spacing w:line="360" w:lineRule="auto"/>
        <w:ind w:firstLine="420" w:firstLineChars="200"/>
        <w:jc w:val="left"/>
        <w:textAlignment w:val="auto"/>
        <w:rPr>
          <w:rFonts w:hint="eastAsia"/>
          <w:szCs w:val="20"/>
        </w:rPr>
      </w:pPr>
      <w:r>
        <w:rPr>
          <w:rFonts w:hint="eastAsia"/>
          <w:szCs w:val="20"/>
        </w:rPr>
        <w:t>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律师费由败诉方承担。</w:t>
      </w:r>
    </w:p>
    <w:p w14:paraId="4C83FE0E">
      <w:pPr>
        <w:autoSpaceDE w:val="0"/>
        <w:autoSpaceDN w:val="0"/>
        <w:spacing w:line="360" w:lineRule="auto"/>
        <w:ind w:firstLine="420" w:firstLineChars="200"/>
        <w:jc w:val="left"/>
        <w:textAlignment w:val="auto"/>
        <w:rPr>
          <w:rFonts w:hint="eastAsia"/>
          <w:szCs w:val="20"/>
        </w:rPr>
      </w:pPr>
      <w:r>
        <w:rPr>
          <w:rFonts w:hint="eastAsia"/>
          <w:szCs w:val="20"/>
        </w:rPr>
        <w:t>争议处理期间，基金合同当事人应恪守各自的职责，继续忠实、勤勉、尽责地履行基金合同规定的义务，维护基金份额持有人的合法权益。</w:t>
      </w:r>
    </w:p>
    <w:p w14:paraId="4CF9EE37">
      <w:pPr>
        <w:autoSpaceDE w:val="0"/>
        <w:autoSpaceDN w:val="0"/>
        <w:spacing w:line="360" w:lineRule="auto"/>
        <w:ind w:firstLine="420" w:firstLineChars="200"/>
        <w:jc w:val="left"/>
        <w:textAlignment w:val="auto"/>
        <w:rPr>
          <w:rFonts w:hint="eastAsia"/>
          <w:b/>
          <w:bCs/>
          <w:szCs w:val="20"/>
        </w:rPr>
      </w:pPr>
      <w:r>
        <w:rPr>
          <w:rFonts w:hint="eastAsia"/>
          <w:szCs w:val="20"/>
        </w:rPr>
        <w:t>本基金合同受中国法律（为本基金合同之目的，在此不包括香港、澳门特别行政区法律和台湾地区的有关规定）管辖并从其解释。</w:t>
      </w:r>
    </w:p>
    <w:p w14:paraId="33EABF81">
      <w:pPr>
        <w:autoSpaceDE w:val="0"/>
        <w:autoSpaceDN w:val="0"/>
        <w:spacing w:line="360" w:lineRule="auto"/>
        <w:ind w:firstLine="422" w:firstLineChars="200"/>
        <w:jc w:val="left"/>
        <w:textAlignment w:val="auto"/>
        <w:rPr>
          <w:rFonts w:hint="eastAsia"/>
          <w:b/>
          <w:bCs/>
          <w:szCs w:val="20"/>
        </w:rPr>
      </w:pPr>
      <w:r>
        <w:rPr>
          <w:rFonts w:hint="eastAsia"/>
          <w:b/>
          <w:bCs/>
          <w:szCs w:val="20"/>
        </w:rPr>
        <w:t>五、基金合同存放地和投资人取得合同的方式</w:t>
      </w:r>
    </w:p>
    <w:p w14:paraId="5C6E6447">
      <w:pPr>
        <w:autoSpaceDE w:val="0"/>
        <w:autoSpaceDN w:val="0"/>
        <w:spacing w:line="360" w:lineRule="auto"/>
        <w:ind w:firstLine="420" w:firstLineChars="200"/>
        <w:jc w:val="left"/>
        <w:textAlignment w:val="auto"/>
        <w:rPr>
          <w:rFonts w:hint="eastAsia"/>
          <w:szCs w:val="20"/>
        </w:rPr>
      </w:pPr>
      <w:r>
        <w:rPr>
          <w:rFonts w:hint="eastAsia"/>
          <w:szCs w:val="20"/>
        </w:rPr>
        <w:t>基金合同可印制成册，供投资者在基金管理人、基金托管人、销售机构的办公场所和营业场所查阅。</w:t>
      </w:r>
    </w:p>
    <w:p w14:paraId="65EAC035">
      <w:pPr>
        <w:spacing w:line="360" w:lineRule="auto"/>
        <w:ind w:firstLine="422" w:firstLineChars="200"/>
        <w:rPr>
          <w:rFonts w:hint="eastAsia"/>
          <w:b/>
          <w:bCs/>
          <w:szCs w:val="20"/>
        </w:rPr>
      </w:pPr>
    </w:p>
    <w:p w14:paraId="44086247">
      <w:pPr>
        <w:spacing w:line="360" w:lineRule="auto"/>
        <w:ind w:firstLine="422" w:firstLineChars="200"/>
        <w:rPr>
          <w:rFonts w:hint="eastAsia"/>
          <w:b/>
          <w:bCs/>
          <w:szCs w:val="20"/>
        </w:rPr>
      </w:pPr>
    </w:p>
    <w:p w14:paraId="1910844D">
      <w:pPr>
        <w:widowControl/>
        <w:adjustRightInd/>
        <w:spacing w:line="360" w:lineRule="auto"/>
        <w:ind w:firstLine="482" w:firstLineChars="200"/>
        <w:jc w:val="left"/>
        <w:textAlignment w:val="auto"/>
        <w:rPr>
          <w:b/>
          <w:kern w:val="44"/>
          <w:sz w:val="24"/>
        </w:rPr>
        <w:sectPr>
          <w:footerReference r:id="rId25" w:type="default"/>
          <w:pgSz w:w="11906" w:h="16838"/>
          <w:pgMar w:top="1440" w:right="1797" w:bottom="1440" w:left="1797" w:header="851" w:footer="992" w:gutter="0"/>
          <w:pgNumType w:start="1"/>
          <w:cols w:space="720" w:num="1"/>
          <w:docGrid w:linePitch="312" w:charSpace="0"/>
        </w:sectPr>
      </w:pPr>
    </w:p>
    <w:p w14:paraId="4F1C4950">
      <w:pPr>
        <w:pStyle w:val="2"/>
        <w:spacing w:before="72" w:beforeLines="30" w:after="72" w:afterLines="30" w:line="360" w:lineRule="auto"/>
        <w:jc w:val="center"/>
        <w:rPr>
          <w:rFonts w:hint="eastAsia"/>
          <w:b/>
          <w:szCs w:val="21"/>
        </w:rPr>
      </w:pPr>
      <w:bookmarkStart w:id="54" w:name="_Toc48231687"/>
      <w:r>
        <w:rPr>
          <w:rFonts w:hint="eastAsia" w:eastAsia="宋体"/>
          <w:b/>
          <w:sz w:val="28"/>
          <w:szCs w:val="24"/>
        </w:rPr>
        <w:t>第二十部分 基金托管协议的内容摘要</w:t>
      </w:r>
      <w:bookmarkEnd w:id="54"/>
    </w:p>
    <w:p w14:paraId="495D1141">
      <w:pPr>
        <w:spacing w:line="360" w:lineRule="auto"/>
        <w:ind w:firstLine="422" w:firstLineChars="200"/>
        <w:rPr>
          <w:b/>
          <w:szCs w:val="21"/>
        </w:rPr>
      </w:pPr>
      <w:bookmarkStart w:id="55" w:name="_Hlk117608204"/>
      <w:r>
        <w:rPr>
          <w:rFonts w:hint="eastAsia"/>
          <w:b/>
          <w:szCs w:val="21"/>
        </w:rPr>
        <w:t>一、基金托管协议当事人</w:t>
      </w:r>
    </w:p>
    <w:p w14:paraId="20ACF071">
      <w:pPr>
        <w:spacing w:line="360" w:lineRule="auto"/>
        <w:ind w:firstLine="420" w:firstLineChars="200"/>
        <w:rPr>
          <w:rFonts w:hint="eastAsia" w:cs="Arial"/>
          <w:szCs w:val="21"/>
        </w:rPr>
      </w:pPr>
      <w:r>
        <w:rPr>
          <w:rFonts w:hint="eastAsia" w:cs="Arial"/>
          <w:szCs w:val="21"/>
        </w:rPr>
        <w:t>（一）基金管理人</w:t>
      </w:r>
    </w:p>
    <w:p w14:paraId="3BA081CB">
      <w:pPr>
        <w:spacing w:line="360" w:lineRule="auto"/>
        <w:ind w:firstLine="420" w:firstLineChars="200"/>
        <w:rPr>
          <w:rFonts w:hint="eastAsia" w:cs="Arial"/>
          <w:szCs w:val="21"/>
        </w:rPr>
      </w:pPr>
      <w:r>
        <w:rPr>
          <w:rFonts w:hint="eastAsia" w:cs="Arial"/>
          <w:szCs w:val="21"/>
        </w:rPr>
        <w:t>名称：博时基金管理有限公司</w:t>
      </w:r>
    </w:p>
    <w:p w14:paraId="27875394">
      <w:pPr>
        <w:spacing w:line="360" w:lineRule="auto"/>
        <w:ind w:firstLine="420" w:firstLineChars="200"/>
        <w:rPr>
          <w:rFonts w:hint="eastAsia" w:cs="Arial"/>
          <w:szCs w:val="21"/>
        </w:rPr>
      </w:pPr>
      <w:r>
        <w:rPr>
          <w:rFonts w:hint="eastAsia" w:cs="Arial"/>
          <w:szCs w:val="21"/>
        </w:rPr>
        <w:t>住所：深圳市福田区莲花街道福新社区益田路5999号基金大厦21层</w:t>
      </w:r>
    </w:p>
    <w:p w14:paraId="37FD96CD">
      <w:pPr>
        <w:spacing w:line="360" w:lineRule="auto"/>
        <w:ind w:firstLine="420" w:firstLineChars="200"/>
        <w:rPr>
          <w:rFonts w:hint="eastAsia" w:cs="Arial"/>
          <w:szCs w:val="21"/>
        </w:rPr>
      </w:pPr>
      <w:r>
        <w:rPr>
          <w:rFonts w:hint="eastAsia" w:cs="Arial"/>
          <w:szCs w:val="21"/>
        </w:rPr>
        <w:t>办公地址：广东省深圳市福田区益田路5999号基金大厦21层</w:t>
      </w:r>
    </w:p>
    <w:p w14:paraId="69157C72">
      <w:pPr>
        <w:spacing w:line="360" w:lineRule="auto"/>
        <w:ind w:firstLine="420" w:firstLineChars="200"/>
        <w:rPr>
          <w:rFonts w:hint="eastAsia" w:cs="Arial"/>
          <w:szCs w:val="21"/>
        </w:rPr>
      </w:pPr>
      <w:r>
        <w:rPr>
          <w:rFonts w:hint="eastAsia" w:cs="Arial"/>
          <w:szCs w:val="21"/>
        </w:rPr>
        <w:t>邮政编码：518040</w:t>
      </w:r>
    </w:p>
    <w:p w14:paraId="0A778791">
      <w:pPr>
        <w:spacing w:line="360" w:lineRule="auto"/>
        <w:ind w:firstLine="420" w:firstLineChars="200"/>
        <w:rPr>
          <w:rFonts w:hint="eastAsia" w:cs="Arial"/>
          <w:szCs w:val="21"/>
        </w:rPr>
      </w:pPr>
      <w:r>
        <w:rPr>
          <w:rFonts w:hint="eastAsia" w:cs="Arial"/>
          <w:szCs w:val="21"/>
        </w:rPr>
        <w:t>法定代表人：张东</w:t>
      </w:r>
    </w:p>
    <w:p w14:paraId="3EBF2156">
      <w:pPr>
        <w:spacing w:line="360" w:lineRule="auto"/>
        <w:ind w:firstLine="420" w:firstLineChars="200"/>
        <w:rPr>
          <w:rFonts w:hint="eastAsia" w:cs="Arial"/>
          <w:szCs w:val="21"/>
        </w:rPr>
      </w:pPr>
      <w:r>
        <w:rPr>
          <w:rFonts w:hint="eastAsia" w:cs="Arial"/>
          <w:szCs w:val="21"/>
        </w:rPr>
        <w:t>成立时间： 1998年7月13日</w:t>
      </w:r>
    </w:p>
    <w:p w14:paraId="46A2799A">
      <w:pPr>
        <w:spacing w:line="360" w:lineRule="auto"/>
        <w:ind w:firstLine="420" w:firstLineChars="200"/>
        <w:rPr>
          <w:rFonts w:hint="eastAsia" w:cs="Arial"/>
          <w:szCs w:val="21"/>
        </w:rPr>
      </w:pPr>
      <w:r>
        <w:rPr>
          <w:rFonts w:hint="eastAsia" w:cs="Arial"/>
          <w:szCs w:val="21"/>
        </w:rPr>
        <w:t>批准设立机关：中国证券监督管理委员会</w:t>
      </w:r>
    </w:p>
    <w:p w14:paraId="55F2B469">
      <w:pPr>
        <w:spacing w:line="360" w:lineRule="auto"/>
        <w:ind w:firstLine="420" w:firstLineChars="200"/>
        <w:rPr>
          <w:rFonts w:hint="eastAsia" w:cs="Arial"/>
          <w:szCs w:val="21"/>
        </w:rPr>
      </w:pPr>
      <w:r>
        <w:rPr>
          <w:rFonts w:hint="eastAsia" w:cs="Arial"/>
          <w:szCs w:val="21"/>
        </w:rPr>
        <w:t>批准设立文号：中国证监会证监基字【1998】26号</w:t>
      </w:r>
    </w:p>
    <w:p w14:paraId="5E592C57">
      <w:pPr>
        <w:spacing w:line="360" w:lineRule="auto"/>
        <w:ind w:firstLine="420" w:firstLineChars="200"/>
        <w:rPr>
          <w:rFonts w:hint="eastAsia" w:cs="Arial"/>
          <w:szCs w:val="21"/>
        </w:rPr>
      </w:pPr>
      <w:r>
        <w:rPr>
          <w:rFonts w:hint="eastAsia" w:cs="Arial"/>
          <w:szCs w:val="21"/>
        </w:rPr>
        <w:t>组织形式：有限责任公司</w:t>
      </w:r>
    </w:p>
    <w:p w14:paraId="26A54308">
      <w:pPr>
        <w:spacing w:line="360" w:lineRule="auto"/>
        <w:ind w:firstLine="420" w:firstLineChars="200"/>
        <w:rPr>
          <w:rFonts w:hint="eastAsia" w:cs="Arial"/>
          <w:szCs w:val="21"/>
        </w:rPr>
      </w:pPr>
      <w:r>
        <w:rPr>
          <w:rFonts w:hint="eastAsia" w:cs="Arial"/>
          <w:szCs w:val="21"/>
        </w:rPr>
        <w:t>注册资本：2.5亿元人民币</w:t>
      </w:r>
    </w:p>
    <w:p w14:paraId="183567B0">
      <w:pPr>
        <w:spacing w:line="360" w:lineRule="auto"/>
        <w:ind w:firstLine="420" w:firstLineChars="200"/>
        <w:rPr>
          <w:rFonts w:hint="eastAsia" w:cs="Arial"/>
          <w:szCs w:val="21"/>
        </w:rPr>
      </w:pPr>
      <w:r>
        <w:rPr>
          <w:rFonts w:hint="eastAsia" w:cs="Arial"/>
          <w:szCs w:val="21"/>
        </w:rPr>
        <w:t>存续期间：持续经营</w:t>
      </w:r>
    </w:p>
    <w:p w14:paraId="2377FE0C">
      <w:pPr>
        <w:spacing w:line="360" w:lineRule="auto"/>
        <w:ind w:firstLine="420" w:firstLineChars="200"/>
        <w:rPr>
          <w:rFonts w:hint="eastAsia" w:cs="Arial"/>
          <w:szCs w:val="21"/>
        </w:rPr>
      </w:pPr>
      <w:r>
        <w:rPr>
          <w:rFonts w:hint="eastAsia" w:cs="Arial"/>
          <w:szCs w:val="21"/>
        </w:rPr>
        <w:t>经营范围：基金募集；基金销售；资产管理以及中国证监会许可的其它业务。</w:t>
      </w:r>
    </w:p>
    <w:p w14:paraId="021B1653">
      <w:pPr>
        <w:spacing w:line="360" w:lineRule="auto"/>
        <w:ind w:firstLine="420" w:firstLineChars="200"/>
        <w:rPr>
          <w:rFonts w:hint="eastAsia" w:cs="Arial"/>
          <w:szCs w:val="21"/>
        </w:rPr>
      </w:pPr>
      <w:r>
        <w:rPr>
          <w:rFonts w:hint="eastAsia" w:cs="Arial"/>
          <w:szCs w:val="21"/>
        </w:rPr>
        <w:t>（二）基金托管人</w:t>
      </w:r>
    </w:p>
    <w:p w14:paraId="5B8AD185">
      <w:pPr>
        <w:spacing w:line="360" w:lineRule="auto"/>
        <w:ind w:firstLine="420" w:firstLineChars="200"/>
        <w:rPr>
          <w:rFonts w:hint="eastAsia" w:cs="Arial"/>
          <w:szCs w:val="21"/>
        </w:rPr>
      </w:pPr>
      <w:r>
        <w:rPr>
          <w:rFonts w:hint="eastAsia" w:cs="Arial"/>
          <w:szCs w:val="21"/>
        </w:rPr>
        <w:t>名称：招商银行股份有限公司(简称：招商银行)</w:t>
      </w:r>
    </w:p>
    <w:p w14:paraId="35061748">
      <w:pPr>
        <w:spacing w:line="360" w:lineRule="auto"/>
        <w:ind w:firstLine="420" w:firstLineChars="200"/>
        <w:rPr>
          <w:rFonts w:hint="eastAsia" w:cs="Arial"/>
          <w:szCs w:val="21"/>
        </w:rPr>
      </w:pPr>
      <w:r>
        <w:rPr>
          <w:rFonts w:hint="eastAsia" w:cs="Arial"/>
          <w:szCs w:val="21"/>
        </w:rPr>
        <w:t>住所：深圳市深南大道7088号招商银行大厦</w:t>
      </w:r>
    </w:p>
    <w:p w14:paraId="65F06A49">
      <w:pPr>
        <w:spacing w:line="360" w:lineRule="auto"/>
        <w:ind w:firstLine="420" w:firstLineChars="200"/>
        <w:rPr>
          <w:rFonts w:hint="eastAsia" w:cs="Arial"/>
          <w:szCs w:val="21"/>
        </w:rPr>
      </w:pPr>
      <w:r>
        <w:rPr>
          <w:rFonts w:hint="eastAsia" w:cs="Arial"/>
          <w:szCs w:val="21"/>
        </w:rPr>
        <w:t>办公地址：深圳市深南大道7088号招商银行大厦</w:t>
      </w:r>
    </w:p>
    <w:p w14:paraId="30BD68E0">
      <w:pPr>
        <w:spacing w:line="360" w:lineRule="auto"/>
        <w:ind w:firstLine="420" w:firstLineChars="200"/>
        <w:rPr>
          <w:rFonts w:hint="eastAsia" w:cs="Arial"/>
          <w:szCs w:val="21"/>
        </w:rPr>
      </w:pPr>
      <w:r>
        <w:rPr>
          <w:rFonts w:hint="eastAsia" w:cs="Arial"/>
          <w:szCs w:val="21"/>
        </w:rPr>
        <w:t>邮政编码：518040</w:t>
      </w:r>
    </w:p>
    <w:p w14:paraId="18E85017">
      <w:pPr>
        <w:spacing w:line="360" w:lineRule="auto"/>
        <w:ind w:firstLine="420" w:firstLineChars="200"/>
        <w:rPr>
          <w:rFonts w:hint="eastAsia" w:cs="Arial"/>
          <w:szCs w:val="21"/>
        </w:rPr>
      </w:pPr>
      <w:r>
        <w:rPr>
          <w:rFonts w:hint="eastAsia" w:cs="Arial"/>
          <w:szCs w:val="21"/>
        </w:rPr>
        <w:t>法定代表人：缪建民</w:t>
      </w:r>
    </w:p>
    <w:p w14:paraId="01DB937F">
      <w:pPr>
        <w:spacing w:line="360" w:lineRule="auto"/>
        <w:ind w:firstLine="420" w:firstLineChars="200"/>
        <w:rPr>
          <w:rFonts w:hint="eastAsia" w:cs="Arial"/>
          <w:szCs w:val="21"/>
        </w:rPr>
      </w:pPr>
      <w:r>
        <w:rPr>
          <w:rFonts w:hint="eastAsia" w:cs="Arial"/>
          <w:szCs w:val="21"/>
        </w:rPr>
        <w:t>成立时间：1987年3月31日</w:t>
      </w:r>
    </w:p>
    <w:p w14:paraId="09B31B23">
      <w:pPr>
        <w:spacing w:line="360" w:lineRule="auto"/>
        <w:ind w:firstLine="420" w:firstLineChars="200"/>
        <w:rPr>
          <w:rFonts w:hint="eastAsia" w:cs="Arial"/>
          <w:szCs w:val="21"/>
        </w:rPr>
      </w:pPr>
      <w:r>
        <w:rPr>
          <w:rFonts w:hint="eastAsia" w:cs="Arial"/>
          <w:szCs w:val="21"/>
        </w:rPr>
        <w:t>批准设立机关及批准设立文号：中国人民银行银复字（1986）175号文、银复（1987）86号文</w:t>
      </w:r>
    </w:p>
    <w:p w14:paraId="5EBD371E">
      <w:pPr>
        <w:spacing w:line="360" w:lineRule="auto"/>
        <w:ind w:firstLine="420" w:firstLineChars="200"/>
        <w:rPr>
          <w:rFonts w:hint="eastAsia" w:cs="Arial"/>
          <w:szCs w:val="21"/>
        </w:rPr>
      </w:pPr>
      <w:r>
        <w:rPr>
          <w:rFonts w:hint="eastAsia" w:cs="Arial"/>
          <w:szCs w:val="21"/>
        </w:rPr>
        <w:t>基金托管业务批准文号：证监基金字[2002]83号</w:t>
      </w:r>
    </w:p>
    <w:p w14:paraId="45B6BD57">
      <w:pPr>
        <w:spacing w:line="360" w:lineRule="auto"/>
        <w:ind w:firstLine="420" w:firstLineChars="200"/>
        <w:rPr>
          <w:rFonts w:hint="eastAsia" w:cs="Arial"/>
          <w:szCs w:val="21"/>
        </w:rPr>
      </w:pPr>
      <w:r>
        <w:rPr>
          <w:rFonts w:hint="eastAsia" w:cs="Arial"/>
          <w:szCs w:val="21"/>
        </w:rPr>
        <w:t>组织形式：股份有限公司</w:t>
      </w:r>
    </w:p>
    <w:p w14:paraId="0514D1F3">
      <w:pPr>
        <w:spacing w:line="360" w:lineRule="auto"/>
        <w:ind w:firstLine="420" w:firstLineChars="200"/>
        <w:rPr>
          <w:rFonts w:hint="eastAsia" w:cs="Arial"/>
          <w:szCs w:val="21"/>
        </w:rPr>
      </w:pPr>
      <w:r>
        <w:rPr>
          <w:rFonts w:hint="eastAsia" w:cs="Arial"/>
          <w:szCs w:val="21"/>
        </w:rPr>
        <w:t>注册资本：人民币252.20亿元</w:t>
      </w:r>
    </w:p>
    <w:p w14:paraId="677CA7CD">
      <w:pPr>
        <w:spacing w:line="360" w:lineRule="auto"/>
        <w:ind w:firstLine="420" w:firstLineChars="200"/>
        <w:rPr>
          <w:rFonts w:hint="eastAsia" w:cs="Arial"/>
          <w:szCs w:val="21"/>
        </w:rPr>
      </w:pPr>
      <w:r>
        <w:rPr>
          <w:rFonts w:hint="eastAsia" w:cs="Arial"/>
          <w:szCs w:val="21"/>
        </w:rPr>
        <w:t>存续期间：持续经营</w:t>
      </w:r>
    </w:p>
    <w:p w14:paraId="7608E0C8">
      <w:pPr>
        <w:spacing w:line="360" w:lineRule="auto"/>
        <w:ind w:firstLine="422" w:firstLineChars="200"/>
        <w:rPr>
          <w:b/>
          <w:szCs w:val="21"/>
        </w:rPr>
      </w:pPr>
      <w:r>
        <w:rPr>
          <w:rFonts w:hint="eastAsia"/>
          <w:b/>
          <w:szCs w:val="21"/>
        </w:rPr>
        <w:t>二、基金托管人对基金管理人的业务监督和核查</w:t>
      </w:r>
    </w:p>
    <w:p w14:paraId="0CD4F33D">
      <w:pPr>
        <w:spacing w:line="360" w:lineRule="auto"/>
        <w:ind w:firstLine="525" w:firstLineChars="250"/>
        <w:rPr>
          <w:rFonts w:hint="eastAsia"/>
          <w:szCs w:val="21"/>
        </w:rPr>
      </w:pPr>
      <w:r>
        <w:rPr>
          <w:rFonts w:hint="eastAsia"/>
          <w:szCs w:val="21"/>
        </w:rPr>
        <w:t>（一）基金托管人根据有关法律法规的规定以及《基金合同》的约定，对基金投资范围、投资比例、投资限制、关联方交易等进行监督。</w:t>
      </w:r>
    </w:p>
    <w:p w14:paraId="4201F7D3">
      <w:pPr>
        <w:spacing w:line="360" w:lineRule="auto"/>
        <w:ind w:firstLine="525" w:firstLineChars="250"/>
        <w:rPr>
          <w:rFonts w:hint="eastAsia"/>
          <w:szCs w:val="21"/>
        </w:rPr>
      </w:pPr>
      <w:r>
        <w:rPr>
          <w:rFonts w:hint="eastAsia"/>
          <w:szCs w:val="21"/>
        </w:rPr>
        <w:t>1.本基金将投资于以下金融工具：</w:t>
      </w:r>
    </w:p>
    <w:p w14:paraId="68ED80CF">
      <w:pPr>
        <w:spacing w:line="360" w:lineRule="auto"/>
        <w:ind w:firstLine="525" w:firstLineChars="250"/>
        <w:rPr>
          <w:rFonts w:hint="eastAsia"/>
          <w:szCs w:val="21"/>
        </w:rPr>
      </w:pPr>
      <w:r>
        <w:rPr>
          <w:rFonts w:hint="eastAsia"/>
          <w:szCs w:val="21"/>
        </w:rPr>
        <w:t>本基金的投资范围主要包括经中国证监会依法核准或注册的公开募集证券投资基金（包含香港互认基金、QDII基金、公开募集不动产投资信托基金（以下简称“公募REITs”）、商品基金，但具有复杂、衍生品性质的基金份额除外）、国内依法发行或上市的股票（包含主板、创业板及其他经中国证监会核准上市的股票、存托凭证）、港股通标的证券（包含股票和ETF）、债券（包括国债、政府支持债券、政府支持机构债券、金融债、企业债、公司债、地方政府债、央行票据、中期票据、短期融资券、</w:t>
      </w:r>
      <w:r>
        <w:rPr>
          <w:rFonts w:hint="eastAsia"/>
          <w:szCs w:val="21"/>
          <w:lang w:eastAsia="zh-CN"/>
        </w:rPr>
        <w:t>超短期融资券</w:t>
      </w:r>
      <w:r>
        <w:rPr>
          <w:rFonts w:hint="eastAsia"/>
          <w:szCs w:val="21"/>
        </w:rPr>
        <w:t>、公开发行的次级债、可转换债券（含可分离交易可转债）、可交换债券）、债券回购、资产支持证券、银行存款（协议存款、通知存款以及定期存款等）、同业存单、现金以及法律法规或中国证监会允许基金投资的其他金融工具（但须符合中国证监会相关规定）。</w:t>
      </w:r>
    </w:p>
    <w:p w14:paraId="665ED934">
      <w:pPr>
        <w:spacing w:line="360" w:lineRule="auto"/>
        <w:ind w:firstLine="525" w:firstLineChars="250"/>
        <w:rPr>
          <w:rFonts w:hint="eastAsia"/>
          <w:szCs w:val="21"/>
        </w:rPr>
      </w:pPr>
      <w:r>
        <w:rPr>
          <w:rFonts w:hint="eastAsia"/>
          <w:szCs w:val="21"/>
        </w:rPr>
        <w:t>如法律法规或监管机构以后允许基金投资其他品种的，基金管理人在履行适当程序后，可以将其纳入投资范围。</w:t>
      </w:r>
    </w:p>
    <w:p w14:paraId="71605B2D">
      <w:pPr>
        <w:spacing w:line="360" w:lineRule="auto"/>
        <w:ind w:firstLine="525" w:firstLineChars="250"/>
        <w:rPr>
          <w:rFonts w:hint="eastAsia"/>
          <w:szCs w:val="21"/>
        </w:rPr>
      </w:pPr>
      <w:r>
        <w:rPr>
          <w:rFonts w:hint="eastAsia"/>
          <w:szCs w:val="21"/>
        </w:rPr>
        <w:t>基金的投资组合比例为：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本基金持有的现金或者到期日在一年以内的政府债券不低于基金资产净值的5%，其中现金不包括结算备付金、存出保证金、应收申购款等。</w:t>
      </w:r>
    </w:p>
    <w:p w14:paraId="3BE603C4">
      <w:pPr>
        <w:spacing w:line="360" w:lineRule="auto"/>
        <w:ind w:firstLine="525" w:firstLineChars="250"/>
        <w:rPr>
          <w:rFonts w:hint="eastAsia"/>
          <w:szCs w:val="21"/>
        </w:rPr>
      </w:pPr>
      <w:r>
        <w:rPr>
          <w:rFonts w:hint="eastAsia"/>
          <w:szCs w:val="21"/>
        </w:rPr>
        <w:t>权益类资产指股票（含存托凭证）、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77ED54FF">
      <w:pPr>
        <w:spacing w:line="360" w:lineRule="auto"/>
        <w:ind w:firstLine="525" w:firstLineChars="250"/>
        <w:rPr>
          <w:rFonts w:hint="eastAsia"/>
          <w:szCs w:val="21"/>
        </w:rPr>
      </w:pPr>
      <w:r>
        <w:rPr>
          <w:rFonts w:hint="eastAsia"/>
          <w:szCs w:val="21"/>
        </w:rPr>
        <w:t>如法律法规或监管机构以后允许本基金投资其他品种或对投资比例要求有变更的，基金管理人在履行适当程序后，可以做出相应调整。</w:t>
      </w:r>
    </w:p>
    <w:p w14:paraId="32FBFFE5">
      <w:pPr>
        <w:spacing w:line="360" w:lineRule="auto"/>
        <w:ind w:firstLine="525" w:firstLineChars="250"/>
        <w:rPr>
          <w:rFonts w:hint="eastAsia"/>
          <w:szCs w:val="21"/>
        </w:rPr>
      </w:pPr>
      <w:r>
        <w:rPr>
          <w:rFonts w:hint="eastAsia"/>
          <w:szCs w:val="21"/>
        </w:rPr>
        <w:t>2.基金的投资组合将遵循以下限制：</w:t>
      </w:r>
    </w:p>
    <w:p w14:paraId="6E8E75FF">
      <w:pPr>
        <w:spacing w:line="360" w:lineRule="auto"/>
        <w:ind w:firstLine="525" w:firstLineChars="250"/>
        <w:rPr>
          <w:rFonts w:hint="eastAsia"/>
          <w:szCs w:val="21"/>
        </w:rPr>
      </w:pPr>
      <w:r>
        <w:rPr>
          <w:rFonts w:hint="eastAsia"/>
          <w:szCs w:val="21"/>
        </w:rPr>
        <w:t>（1）本基金投资于中国证监会依法核准或注册的公开募集证券投资基金占基金资产的比例不低于80%；投资于权益类资产占基金资产的比例为5%-30%（其中，本基金投资于境内权益类资产占基金资产的比例不低于5%、投资于港股通标的股票不超过股票资产的50%）；投资于香港互认基金、QDII基金的比例不超过本基金资产的20%；投资于货币市场基金的比例不高于基金资产的15%。</w:t>
      </w:r>
    </w:p>
    <w:p w14:paraId="3B2110D3">
      <w:pPr>
        <w:spacing w:line="360" w:lineRule="auto"/>
        <w:ind w:firstLine="525" w:firstLineChars="250"/>
        <w:rPr>
          <w:rFonts w:hint="eastAsia"/>
          <w:szCs w:val="21"/>
        </w:rPr>
      </w:pPr>
      <w:r>
        <w:rPr>
          <w:rFonts w:hint="eastAsia"/>
          <w:szCs w:val="21"/>
        </w:rPr>
        <w:t>权益类资产指股票</w:t>
      </w:r>
      <w:r>
        <w:rPr>
          <w:rFonts w:hint="eastAsia"/>
          <w:bCs/>
          <w:szCs w:val="21"/>
        </w:rPr>
        <w:t>（含存托凭证）</w:t>
      </w:r>
      <w:r>
        <w:rPr>
          <w:rFonts w:hint="eastAsia"/>
          <w:szCs w:val="21"/>
        </w:rPr>
        <w:t>、股票型基金和权益类混合型基金，权益类混合型基金指至少满足以下一条标准的混合型基金：1）基金合同约定投资股票资产占基金资产的比例不低于60%；2）基金最近连续四个季度定期报告中披露的股票资产占基金资产的比例均在60%以上；</w:t>
      </w:r>
    </w:p>
    <w:p w14:paraId="14BA2A11">
      <w:pPr>
        <w:spacing w:line="360" w:lineRule="auto"/>
        <w:ind w:firstLine="525" w:firstLineChars="250"/>
        <w:rPr>
          <w:rFonts w:hint="eastAsia"/>
          <w:szCs w:val="21"/>
        </w:rPr>
      </w:pPr>
      <w:r>
        <w:rPr>
          <w:rFonts w:hint="eastAsia"/>
          <w:szCs w:val="21"/>
        </w:rPr>
        <w:t>（2）本基金持有的现金或者到期日在一年以内的政府债券不低于基金资产净值的5%，其中现金不包括结算备付金、存出保证金、应收申购款等；</w:t>
      </w:r>
    </w:p>
    <w:p w14:paraId="75D017BF">
      <w:pPr>
        <w:spacing w:line="360" w:lineRule="auto"/>
        <w:ind w:firstLine="525" w:firstLineChars="250"/>
        <w:rPr>
          <w:rFonts w:hint="eastAsia"/>
          <w:szCs w:val="21"/>
        </w:rPr>
      </w:pPr>
      <w:r>
        <w:rPr>
          <w:rFonts w:hint="eastAsia"/>
          <w:szCs w:val="21"/>
        </w:rPr>
        <w:t>（3）本基金持有单只基金，其市值不得超过基金资产净值的20%；</w:t>
      </w:r>
    </w:p>
    <w:p w14:paraId="4C779E6B">
      <w:pPr>
        <w:spacing w:line="360" w:lineRule="auto"/>
        <w:ind w:firstLine="525" w:firstLineChars="250"/>
        <w:rPr>
          <w:rFonts w:hint="eastAsia"/>
          <w:szCs w:val="21"/>
        </w:rPr>
      </w:pPr>
      <w:r>
        <w:rPr>
          <w:rFonts w:hint="eastAsia"/>
          <w:szCs w:val="21"/>
        </w:rPr>
        <w:t>（4）被投资基金的运作期限应当不少于1年，最近定期报告披露的基金净资产应当不低于1亿元；</w:t>
      </w:r>
    </w:p>
    <w:p w14:paraId="6144A5E2">
      <w:pPr>
        <w:spacing w:line="360" w:lineRule="auto"/>
        <w:ind w:firstLine="525" w:firstLineChars="250"/>
        <w:rPr>
          <w:rFonts w:hint="eastAsia"/>
          <w:szCs w:val="21"/>
        </w:rPr>
      </w:pPr>
      <w:r>
        <w:rPr>
          <w:rFonts w:hint="eastAsia"/>
          <w:szCs w:val="21"/>
        </w:rPr>
        <w:t>（5）本基金管理人管理的全部基金（ETF联接基金除外）持有单只基金不得超过被投资基金净资产的20％，被投资基金净资产规模以最近定期报告披露的规模为准；</w:t>
      </w:r>
    </w:p>
    <w:p w14:paraId="6DFB342D">
      <w:pPr>
        <w:spacing w:line="360" w:lineRule="auto"/>
        <w:ind w:firstLine="525" w:firstLineChars="250"/>
        <w:rPr>
          <w:rFonts w:hint="eastAsia"/>
          <w:szCs w:val="21"/>
        </w:rPr>
      </w:pPr>
      <w:r>
        <w:rPr>
          <w:rFonts w:hint="eastAsia"/>
          <w:szCs w:val="21"/>
        </w:rPr>
        <w:t>（6）本基金持有一家公司发行的证券（不含本基金所投资的基金份额，同一家公司在内地和香港同时上市的A+H股合并计算），其市值不超过基金资产净值的10%；</w:t>
      </w:r>
    </w:p>
    <w:p w14:paraId="51625582">
      <w:pPr>
        <w:spacing w:line="360" w:lineRule="auto"/>
        <w:ind w:firstLine="525" w:firstLineChars="250"/>
        <w:rPr>
          <w:rFonts w:hint="eastAsia"/>
          <w:szCs w:val="21"/>
        </w:rPr>
      </w:pPr>
      <w:r>
        <w:rPr>
          <w:rFonts w:hint="eastAsia"/>
          <w:szCs w:val="21"/>
        </w:rPr>
        <w:t>（7）本基金管理人管理的全部基金持有一家公司发行的证券（不含本基金所投资的基金份额，同一家公司在内地和香港同时上市的A+H股合并计算），不超过该证券的10%；</w:t>
      </w:r>
    </w:p>
    <w:p w14:paraId="36E20307">
      <w:pPr>
        <w:spacing w:line="360" w:lineRule="auto"/>
        <w:ind w:firstLine="525" w:firstLineChars="250"/>
        <w:rPr>
          <w:rFonts w:hint="eastAsia"/>
          <w:szCs w:val="21"/>
        </w:rPr>
      </w:pPr>
      <w:r>
        <w:rPr>
          <w:rFonts w:hint="eastAsia"/>
          <w:szCs w:val="21"/>
        </w:rPr>
        <w:t>（8）本基金投资于同一原始权益人的各类资产支持证券的比例，不得超过基金资产净值的10%；</w:t>
      </w:r>
    </w:p>
    <w:p w14:paraId="7F1FD78E">
      <w:pPr>
        <w:spacing w:line="360" w:lineRule="auto"/>
        <w:ind w:firstLine="525" w:firstLineChars="250"/>
        <w:rPr>
          <w:rFonts w:hint="eastAsia"/>
          <w:szCs w:val="21"/>
        </w:rPr>
      </w:pPr>
      <w:r>
        <w:rPr>
          <w:rFonts w:hint="eastAsia"/>
          <w:szCs w:val="21"/>
        </w:rPr>
        <w:t>（9）本基金持有的全部资产支持证券，其市值不得超过基金资产净值的20%；</w:t>
      </w:r>
    </w:p>
    <w:p w14:paraId="135BC24F">
      <w:pPr>
        <w:spacing w:line="360" w:lineRule="auto"/>
        <w:ind w:firstLine="525" w:firstLineChars="250"/>
        <w:rPr>
          <w:rFonts w:hint="eastAsia"/>
          <w:szCs w:val="21"/>
        </w:rPr>
      </w:pPr>
      <w:r>
        <w:rPr>
          <w:rFonts w:hint="eastAsia"/>
          <w:szCs w:val="21"/>
        </w:rPr>
        <w:t>（10）本基金持有的同一（指同一信用级别）资产支持证券的比例，不得超过该资产支持证券规模的10%；</w:t>
      </w:r>
    </w:p>
    <w:p w14:paraId="23240C7B">
      <w:pPr>
        <w:spacing w:line="360" w:lineRule="auto"/>
        <w:ind w:firstLine="525" w:firstLineChars="250"/>
        <w:rPr>
          <w:rFonts w:hint="eastAsia"/>
          <w:szCs w:val="21"/>
        </w:rPr>
      </w:pPr>
      <w:r>
        <w:rPr>
          <w:rFonts w:hint="eastAsia"/>
          <w:szCs w:val="21"/>
        </w:rPr>
        <w:t>（11）本基金管理人管理的全部基金投资于同一原始权益人的各类资产支持证券，不得超过其各类资产支持证券合计规模的10%；</w:t>
      </w:r>
    </w:p>
    <w:p w14:paraId="0541FD8F">
      <w:pPr>
        <w:spacing w:line="360" w:lineRule="auto"/>
        <w:ind w:firstLine="525" w:firstLineChars="250"/>
        <w:rPr>
          <w:rFonts w:hint="eastAsia"/>
          <w:szCs w:val="21"/>
        </w:rPr>
      </w:pPr>
      <w:r>
        <w:rPr>
          <w:rFonts w:hint="eastAsia"/>
          <w:szCs w:val="21"/>
        </w:rPr>
        <w:t>（12）本基金应投资于信用级别评级为BBB以上（含BBB）的资产支持证券。基金持有资产支持证券期间，如果其信用等级下降、不再符合投资标准，应在评级报告发布之日起3个月内予以全部卖出；</w:t>
      </w:r>
    </w:p>
    <w:p w14:paraId="555DEDE1">
      <w:pPr>
        <w:spacing w:line="360" w:lineRule="auto"/>
        <w:ind w:firstLine="525" w:firstLineChars="250"/>
        <w:rPr>
          <w:rFonts w:hint="eastAsia"/>
          <w:szCs w:val="21"/>
        </w:rPr>
      </w:pPr>
      <w:r>
        <w:rPr>
          <w:rFonts w:hint="eastAsia"/>
          <w:szCs w:val="21"/>
        </w:rPr>
        <w:t>（13）本基金财产参与股票发行申购，本基金所申报的金额不超过本基金的总资产，本基金所申报的股票数量不超过拟发行股票公司本次发行股票的总量；</w:t>
      </w:r>
    </w:p>
    <w:p w14:paraId="215E8D8E">
      <w:pPr>
        <w:spacing w:line="360" w:lineRule="auto"/>
        <w:ind w:firstLine="525" w:firstLineChars="250"/>
        <w:rPr>
          <w:rFonts w:hint="eastAsia"/>
          <w:szCs w:val="21"/>
        </w:rPr>
      </w:pPr>
      <w:r>
        <w:rPr>
          <w:rFonts w:hint="eastAsia"/>
          <w:szCs w:val="21"/>
        </w:rPr>
        <w:t>（14）本基金的基金资产总值不得超过基金资产净值的140%；</w:t>
      </w:r>
    </w:p>
    <w:p w14:paraId="462E8408">
      <w:pPr>
        <w:spacing w:line="360" w:lineRule="auto"/>
        <w:ind w:firstLine="525" w:firstLineChars="250"/>
        <w:rPr>
          <w:rFonts w:hint="eastAsia"/>
          <w:szCs w:val="21"/>
        </w:rPr>
      </w:pPr>
      <w:r>
        <w:rPr>
          <w:rFonts w:hint="eastAsia"/>
          <w:szCs w:val="21"/>
        </w:rPr>
        <w:t>（15）本基金投资于封闭运作基金、定期开放基金等流通受限基金，不得超过基金资产净值的10%；</w:t>
      </w:r>
    </w:p>
    <w:p w14:paraId="0FA39D27">
      <w:pPr>
        <w:spacing w:line="360" w:lineRule="auto"/>
        <w:ind w:firstLine="525" w:firstLineChars="250"/>
        <w:rPr>
          <w:rFonts w:hint="eastAsia"/>
          <w:szCs w:val="21"/>
        </w:rPr>
      </w:pPr>
      <w:r>
        <w:rPr>
          <w:rFonts w:hint="eastAsia"/>
          <w:szCs w:val="21"/>
        </w:rPr>
        <w:t>（16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3DA15526">
      <w:pPr>
        <w:spacing w:line="360" w:lineRule="auto"/>
        <w:ind w:firstLine="525" w:firstLineChars="250"/>
        <w:rPr>
          <w:rFonts w:hint="eastAsia"/>
          <w:szCs w:val="21"/>
        </w:rPr>
      </w:pPr>
      <w:r>
        <w:rPr>
          <w:rFonts w:hint="eastAsia"/>
          <w:szCs w:val="21"/>
        </w:rPr>
        <w:t>（17）本基金主动投资于流动性受限资产的市值合计不得超过该基金资产净值的15% ；</w:t>
      </w:r>
    </w:p>
    <w:p w14:paraId="33DBCFD5">
      <w:pPr>
        <w:spacing w:line="360" w:lineRule="auto"/>
        <w:ind w:firstLine="525" w:firstLineChars="250"/>
        <w:rPr>
          <w:rFonts w:hint="eastAsia"/>
          <w:szCs w:val="21"/>
        </w:rPr>
      </w:pPr>
      <w:r>
        <w:rPr>
          <w:rFonts w:hint="eastAsia"/>
          <w:szCs w:val="21"/>
        </w:rPr>
        <w:t>因证券市场波动、上市公司股票停牌、基金规模变动等基金管理人之外的因素致使基金不符合该比例限制的，基金管理人不得主动新增流动性受限资产的投资；</w:t>
      </w:r>
    </w:p>
    <w:p w14:paraId="37EBF5F4">
      <w:pPr>
        <w:spacing w:line="360" w:lineRule="auto"/>
        <w:ind w:firstLine="525" w:firstLineChars="250"/>
        <w:rPr>
          <w:rFonts w:hint="eastAsia"/>
          <w:szCs w:val="21"/>
        </w:rPr>
      </w:pPr>
      <w:r>
        <w:rPr>
          <w:rFonts w:hint="eastAsia"/>
          <w:szCs w:val="21"/>
        </w:rPr>
        <w:t>（18）本基金与私募类证券资管产品及中国证监会认定的其他主体为交易对手开展逆回购交易的，可接受质押品的资质要求应当与基金合同约定的投资范围保持一致；</w:t>
      </w:r>
    </w:p>
    <w:p w14:paraId="0F6591C9">
      <w:pPr>
        <w:spacing w:line="360" w:lineRule="auto"/>
        <w:ind w:firstLine="525" w:firstLineChars="250"/>
        <w:rPr>
          <w:rFonts w:hint="eastAsia"/>
          <w:szCs w:val="21"/>
        </w:rPr>
      </w:pPr>
      <w:r>
        <w:rPr>
          <w:rFonts w:hint="eastAsia"/>
          <w:szCs w:val="21"/>
        </w:rPr>
        <w:t>（19）本基金投资存托凭证的比例限制依照境内上市交易的股票执行，与境内上市交易的股票合并计算；</w:t>
      </w:r>
    </w:p>
    <w:p w14:paraId="7093212D">
      <w:pPr>
        <w:spacing w:line="360" w:lineRule="auto"/>
        <w:ind w:firstLine="525" w:firstLineChars="250"/>
        <w:rPr>
          <w:rFonts w:hint="eastAsia"/>
          <w:szCs w:val="21"/>
        </w:rPr>
      </w:pPr>
      <w:r>
        <w:rPr>
          <w:rFonts w:hint="eastAsia"/>
          <w:szCs w:val="21"/>
        </w:rPr>
        <w:t>（20）法律法规及中国证监会规定的和基金合同约定的其他投资限制。</w:t>
      </w:r>
    </w:p>
    <w:p w14:paraId="5DFC7909">
      <w:pPr>
        <w:spacing w:line="360" w:lineRule="auto"/>
        <w:ind w:firstLine="525" w:firstLineChars="250"/>
        <w:rPr>
          <w:rFonts w:hint="eastAsia"/>
          <w:szCs w:val="21"/>
        </w:rPr>
      </w:pPr>
      <w:r>
        <w:rPr>
          <w:rFonts w:hint="eastAsia"/>
          <w:szCs w:val="21"/>
        </w:rPr>
        <w:t>因证券市场波动、基金规模变动等基金管理人之外的因素致使基金投资不符合上述第（3）、（5）项的，基金管理人应当在20个交易日内进行调整，但中国证监会规定的特殊情形除外；对于除第（2）、（3）、（5）、（12）、（17）、（18）项外的其他比例限制，因证券市场波动、证券发行人合并、基金规模变动等基金管理人之外的因素致使基金投资比例不符合上述规定投资比例的，基金管理人应当在10个交易日内进行调整，但中国证监会规定的特殊情形除外。</w:t>
      </w:r>
    </w:p>
    <w:p w14:paraId="1BC2084F">
      <w:pPr>
        <w:spacing w:line="360" w:lineRule="auto"/>
        <w:ind w:firstLine="525" w:firstLineChars="250"/>
        <w:rPr>
          <w:rFonts w:hint="eastAsia"/>
          <w:szCs w:val="21"/>
        </w:rPr>
      </w:pPr>
      <w:r>
        <w:rPr>
          <w:rFonts w:hint="eastAsia"/>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4EF7A2DE">
      <w:pPr>
        <w:spacing w:line="360" w:lineRule="auto"/>
        <w:ind w:firstLine="525" w:firstLineChars="250"/>
        <w:rPr>
          <w:rFonts w:hint="eastAsia"/>
          <w:szCs w:val="21"/>
        </w:rPr>
      </w:pPr>
      <w:r>
        <w:rPr>
          <w:rFonts w:hint="eastAsia"/>
          <w:szCs w:val="21"/>
        </w:rPr>
        <w:t>如果法律法规或监管部门对上述投资组合比例限制进行变更的，基金管理人在履行适当程序后，以变更后的规定为准。法律法规或监管部门取消上述限制，如适用于本基金，在履行适当程序后本基金投资不再受相关限制。</w:t>
      </w:r>
    </w:p>
    <w:p w14:paraId="20710270">
      <w:pPr>
        <w:spacing w:line="360" w:lineRule="auto"/>
        <w:ind w:firstLine="525" w:firstLineChars="250"/>
        <w:rPr>
          <w:rFonts w:hint="eastAsia"/>
          <w:szCs w:val="21"/>
        </w:rPr>
      </w:pPr>
      <w:r>
        <w:rPr>
          <w:rFonts w:hint="eastAsia"/>
          <w:szCs w:val="21"/>
        </w:rPr>
        <w:t>3.本基金财产不得用于以下投资或者活动：</w:t>
      </w:r>
    </w:p>
    <w:p w14:paraId="55812567">
      <w:pPr>
        <w:spacing w:line="360" w:lineRule="auto"/>
        <w:ind w:firstLine="525" w:firstLineChars="250"/>
        <w:rPr>
          <w:rFonts w:hint="eastAsia"/>
          <w:szCs w:val="21"/>
        </w:rPr>
      </w:pPr>
      <w:r>
        <w:rPr>
          <w:rFonts w:hint="eastAsia"/>
          <w:szCs w:val="21"/>
        </w:rPr>
        <w:t>根据法律法规的规定及基金合同的约定，本基金禁止从事下列行为：</w:t>
      </w:r>
    </w:p>
    <w:p w14:paraId="74017653">
      <w:pPr>
        <w:spacing w:line="360" w:lineRule="auto"/>
        <w:ind w:firstLine="525" w:firstLineChars="250"/>
        <w:rPr>
          <w:rFonts w:hint="eastAsia"/>
          <w:szCs w:val="21"/>
        </w:rPr>
      </w:pPr>
      <w:r>
        <w:rPr>
          <w:rFonts w:hint="eastAsia"/>
          <w:szCs w:val="21"/>
        </w:rPr>
        <w:t>（1）承销证券；</w:t>
      </w:r>
    </w:p>
    <w:p w14:paraId="2AE98001">
      <w:pPr>
        <w:spacing w:line="360" w:lineRule="auto"/>
        <w:ind w:firstLine="525" w:firstLineChars="250"/>
        <w:rPr>
          <w:rFonts w:hint="eastAsia"/>
          <w:szCs w:val="21"/>
        </w:rPr>
      </w:pPr>
      <w:r>
        <w:rPr>
          <w:rFonts w:hint="eastAsia"/>
          <w:szCs w:val="21"/>
        </w:rPr>
        <w:t>（2）违反规定向他人贷款或者提供担保；</w:t>
      </w:r>
    </w:p>
    <w:p w14:paraId="1733C290">
      <w:pPr>
        <w:spacing w:line="360" w:lineRule="auto"/>
        <w:ind w:firstLine="525" w:firstLineChars="250"/>
        <w:rPr>
          <w:rFonts w:hint="eastAsia"/>
          <w:szCs w:val="21"/>
        </w:rPr>
      </w:pPr>
      <w:r>
        <w:rPr>
          <w:rFonts w:hint="eastAsia"/>
          <w:szCs w:val="21"/>
        </w:rPr>
        <w:t>（3）从事承担无限责任的投资；</w:t>
      </w:r>
    </w:p>
    <w:p w14:paraId="30832159">
      <w:pPr>
        <w:spacing w:line="360" w:lineRule="auto"/>
        <w:ind w:firstLine="525" w:firstLineChars="250"/>
        <w:rPr>
          <w:rFonts w:hint="eastAsia"/>
          <w:szCs w:val="21"/>
        </w:rPr>
      </w:pPr>
      <w:r>
        <w:rPr>
          <w:rFonts w:hint="eastAsia"/>
          <w:szCs w:val="21"/>
        </w:rPr>
        <w:t>（4）向基金管理人、基金托管人出资；</w:t>
      </w:r>
    </w:p>
    <w:p w14:paraId="4D165667">
      <w:pPr>
        <w:spacing w:line="360" w:lineRule="auto"/>
        <w:ind w:firstLine="525" w:firstLineChars="250"/>
        <w:rPr>
          <w:rFonts w:hint="eastAsia"/>
          <w:szCs w:val="21"/>
        </w:rPr>
      </w:pPr>
      <w:r>
        <w:rPr>
          <w:rFonts w:hint="eastAsia"/>
          <w:szCs w:val="21"/>
        </w:rPr>
        <w:t>（5）从事内幕交易、操纵证券交易价格及其他不正当的证券交易活动；</w:t>
      </w:r>
    </w:p>
    <w:p w14:paraId="0BA28033">
      <w:pPr>
        <w:spacing w:line="360" w:lineRule="auto"/>
        <w:ind w:firstLine="525" w:firstLineChars="250"/>
        <w:rPr>
          <w:rFonts w:hint="eastAsia"/>
          <w:szCs w:val="21"/>
        </w:rPr>
      </w:pPr>
      <w:r>
        <w:rPr>
          <w:rFonts w:hint="eastAsia"/>
          <w:szCs w:val="21"/>
        </w:rPr>
        <w:t>（6）持有具有复杂、衍生品性质的基金份额，包括分级基金和中国证监会认定的其他基金份额，但中国证监会认可或批准的特殊基金中基金除外；</w:t>
      </w:r>
    </w:p>
    <w:p w14:paraId="7237F7B3">
      <w:pPr>
        <w:spacing w:line="360" w:lineRule="auto"/>
        <w:ind w:firstLine="525" w:firstLineChars="250"/>
        <w:rPr>
          <w:rFonts w:hint="eastAsia"/>
          <w:szCs w:val="21"/>
        </w:rPr>
      </w:pPr>
      <w:r>
        <w:rPr>
          <w:rFonts w:hint="eastAsia"/>
          <w:szCs w:val="21"/>
        </w:rPr>
        <w:t>（7）投资其他基金中基金；</w:t>
      </w:r>
    </w:p>
    <w:p w14:paraId="2B654A13">
      <w:pPr>
        <w:spacing w:line="360" w:lineRule="auto"/>
        <w:ind w:firstLine="525" w:firstLineChars="250"/>
        <w:rPr>
          <w:rFonts w:hint="eastAsia"/>
          <w:szCs w:val="21"/>
        </w:rPr>
      </w:pPr>
      <w:r>
        <w:rPr>
          <w:rFonts w:hint="eastAsia"/>
          <w:szCs w:val="21"/>
        </w:rPr>
        <w:t>（8）法律、行政法规和中国证监会规定禁止的其他活动。</w:t>
      </w:r>
    </w:p>
    <w:p w14:paraId="2731C526">
      <w:pPr>
        <w:spacing w:line="360" w:lineRule="auto"/>
        <w:ind w:firstLine="525" w:firstLineChars="250"/>
        <w:rPr>
          <w:rFonts w:hint="eastAsia"/>
          <w:szCs w:val="21"/>
        </w:rPr>
      </w:pPr>
      <w:r>
        <w:rPr>
          <w:rFonts w:hint="eastAsia"/>
          <w:szCs w:val="21"/>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697FF69">
      <w:pPr>
        <w:spacing w:line="360" w:lineRule="auto"/>
        <w:ind w:firstLine="525" w:firstLineChars="250"/>
        <w:rPr>
          <w:rFonts w:hint="eastAsia"/>
          <w:szCs w:val="21"/>
        </w:rPr>
      </w:pPr>
      <w:r>
        <w:rPr>
          <w:rFonts w:hint="eastAsia"/>
          <w:szCs w:val="21"/>
        </w:rPr>
        <w:t>法律、行政法规或监管部门取消或变更上述限制，如适用于本基金，基金管理人在履行适当程序后，则本基金投资不再受相关限制或按变更后的规定执行。</w:t>
      </w:r>
    </w:p>
    <w:p w14:paraId="41910D50">
      <w:pPr>
        <w:spacing w:line="360" w:lineRule="auto"/>
        <w:ind w:firstLine="525" w:firstLineChars="250"/>
        <w:rPr>
          <w:rFonts w:hint="eastAsia"/>
          <w:szCs w:val="21"/>
        </w:rPr>
      </w:pPr>
      <w:r>
        <w:rPr>
          <w:rFonts w:hint="eastAsia"/>
          <w:szCs w:val="21"/>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0A51383C">
      <w:pPr>
        <w:spacing w:line="360" w:lineRule="auto"/>
        <w:ind w:firstLine="525" w:firstLineChars="250"/>
        <w:rPr>
          <w:rFonts w:hint="eastAsia"/>
          <w:szCs w:val="21"/>
        </w:rPr>
      </w:pPr>
      <w:r>
        <w:rPr>
          <w:rFonts w:hint="eastAsia"/>
          <w:szCs w:val="21"/>
        </w:rPr>
        <w:t>本基金投资银行存款应符合如下规定：</w:t>
      </w:r>
    </w:p>
    <w:p w14:paraId="5F18EF5D">
      <w:pPr>
        <w:spacing w:line="360" w:lineRule="auto"/>
        <w:ind w:firstLine="525" w:firstLineChars="250"/>
        <w:rPr>
          <w:rFonts w:hint="eastAsia"/>
          <w:szCs w:val="21"/>
        </w:rPr>
      </w:pPr>
      <w:r>
        <w:rPr>
          <w:rFonts w:hint="eastAsia"/>
          <w:szCs w:val="21"/>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14:paraId="272E7AF0">
      <w:pPr>
        <w:spacing w:line="360" w:lineRule="auto"/>
        <w:ind w:firstLine="525" w:firstLineChars="250"/>
        <w:rPr>
          <w:rFonts w:hint="eastAsia"/>
          <w:szCs w:val="21"/>
        </w:rPr>
      </w:pPr>
      <w:r>
        <w:rPr>
          <w:rFonts w:hint="eastAsia"/>
          <w:szCs w:val="21"/>
        </w:rPr>
        <w:t>有关法律法规或监管部门制定或修改新的定期存款投资政策，基金管理人履行适当程序后，可相应调整投资组合限制的规定。</w:t>
      </w:r>
    </w:p>
    <w:p w14:paraId="5DF1F48B">
      <w:pPr>
        <w:spacing w:line="360" w:lineRule="auto"/>
        <w:ind w:firstLine="525" w:firstLineChars="250"/>
        <w:rPr>
          <w:rFonts w:hint="eastAsia"/>
          <w:szCs w:val="21"/>
        </w:rPr>
      </w:pPr>
      <w:r>
        <w:rPr>
          <w:rFonts w:hint="eastAsia"/>
          <w:szCs w:val="21"/>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2DD041D1">
      <w:pPr>
        <w:spacing w:line="360" w:lineRule="auto"/>
        <w:ind w:firstLine="525" w:firstLineChars="250"/>
        <w:rPr>
          <w:rFonts w:hint="eastAsia"/>
          <w:szCs w:val="21"/>
        </w:rPr>
      </w:pPr>
      <w:r>
        <w:rPr>
          <w:rFonts w:hint="eastAsia"/>
          <w:szCs w:val="21"/>
        </w:rPr>
        <w:t>（1）基金管理人负责控制信用风险。信用风险主要包括存款银行的信用等级、存款银行的支付能力等涉及到存款银行选择方面的风险。因选择存款银行不当造成基金财产损失的，由基金管理人承担责任。</w:t>
      </w:r>
    </w:p>
    <w:p w14:paraId="0517C381">
      <w:pPr>
        <w:spacing w:line="360" w:lineRule="auto"/>
        <w:ind w:firstLine="525" w:firstLineChars="250"/>
        <w:rPr>
          <w:rFonts w:hint="eastAsia"/>
          <w:szCs w:val="21"/>
        </w:rPr>
      </w:pPr>
      <w:r>
        <w:rPr>
          <w:rFonts w:hint="eastAsia"/>
          <w:szCs w:val="21"/>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6E624B28">
      <w:pPr>
        <w:spacing w:line="360" w:lineRule="auto"/>
        <w:ind w:firstLine="525" w:firstLineChars="250"/>
        <w:rPr>
          <w:rFonts w:hint="eastAsia"/>
          <w:szCs w:val="21"/>
        </w:rPr>
      </w:pPr>
      <w:r>
        <w:rPr>
          <w:rFonts w:hint="eastAsia"/>
          <w:szCs w:val="21"/>
        </w:rPr>
        <w:t>（3）基金管理人须加强内部风险控制制度的建设。如因基金管理人员工职务行为导致基金财产受到损失的，需由基金管理人承担由此造成的损失。</w:t>
      </w:r>
    </w:p>
    <w:p w14:paraId="3FAC3D7C">
      <w:pPr>
        <w:spacing w:line="360" w:lineRule="auto"/>
        <w:ind w:firstLine="525" w:firstLineChars="250"/>
        <w:rPr>
          <w:rFonts w:hint="eastAsia"/>
          <w:szCs w:val="21"/>
        </w:rPr>
      </w:pPr>
      <w:r>
        <w:rPr>
          <w:rFonts w:hint="eastAsia"/>
          <w:szCs w:val="21"/>
        </w:rPr>
        <w:t>（4）基金管理人与基金托管人在开展基金存款业务时，应严格遵守《基金法》、《运作办法》等有关法律法规，以及国家有关账户管理、利率管理、支付结算等的各项规定。</w:t>
      </w:r>
    </w:p>
    <w:p w14:paraId="36D3BBE7">
      <w:pPr>
        <w:spacing w:line="360" w:lineRule="auto"/>
        <w:ind w:firstLine="525" w:firstLineChars="250"/>
        <w:rPr>
          <w:rFonts w:hint="eastAsia"/>
          <w:szCs w:val="21"/>
        </w:rPr>
      </w:pPr>
      <w:r>
        <w:rPr>
          <w:rFonts w:hint="eastAsia"/>
          <w:szCs w:val="21"/>
        </w:rPr>
        <w:t>（三）基金投资银行存款协议的签订、账户开设与管理、投资指令与资金划付、账目核对、到期兑付、提前支取、基金投资银行存款的监督</w:t>
      </w:r>
    </w:p>
    <w:p w14:paraId="4F9941FB">
      <w:pPr>
        <w:spacing w:line="360" w:lineRule="auto"/>
        <w:ind w:firstLine="525" w:firstLineChars="250"/>
        <w:rPr>
          <w:rFonts w:hint="eastAsia"/>
          <w:szCs w:val="21"/>
        </w:rPr>
      </w:pPr>
      <w:r>
        <w:rPr>
          <w:rFonts w:hint="eastAsia"/>
          <w:szCs w:val="21"/>
        </w:rPr>
        <w:t>1.基金投资银行存款协议的签订</w:t>
      </w:r>
    </w:p>
    <w:p w14:paraId="280E3A50">
      <w:pPr>
        <w:spacing w:line="360" w:lineRule="auto"/>
        <w:ind w:firstLine="525" w:firstLineChars="250"/>
        <w:rPr>
          <w:rFonts w:hint="eastAsia"/>
          <w:szCs w:val="21"/>
        </w:rPr>
      </w:pPr>
      <w:r>
        <w:rPr>
          <w:rFonts w:hint="eastAsia"/>
          <w:szCs w:val="21"/>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67B16833">
      <w:pPr>
        <w:spacing w:line="360" w:lineRule="auto"/>
        <w:ind w:firstLine="525" w:firstLineChars="250"/>
        <w:rPr>
          <w:rFonts w:hint="eastAsia"/>
          <w:szCs w:val="21"/>
        </w:rPr>
      </w:pPr>
      <w:r>
        <w:rPr>
          <w:rFonts w:hint="eastAsia"/>
          <w:szCs w:val="21"/>
        </w:rPr>
        <w:t>（2）基金托管人依据相关法规对《总体合作协议》和《存款协议书》的内容进行复核，审查存款银行资格等。</w:t>
      </w:r>
    </w:p>
    <w:p w14:paraId="5C6C3312">
      <w:pPr>
        <w:spacing w:line="360" w:lineRule="auto"/>
        <w:ind w:firstLine="525" w:firstLineChars="250"/>
        <w:rPr>
          <w:rFonts w:hint="eastAsia"/>
          <w:szCs w:val="21"/>
        </w:rPr>
      </w:pPr>
      <w:r>
        <w:rPr>
          <w:rFonts w:hint="eastAsia"/>
          <w:szCs w:val="21"/>
        </w:rPr>
        <w:t>（3）基金管理人应在《存款协议书》中明确存款证实书或其他有效存款凭证的办理方式、邮寄地址、联系人和联系电话，以及存款证实书或其他有效凭证在邮寄过程中遗失后，存款余额的确认及兑付办法等。</w:t>
      </w:r>
    </w:p>
    <w:p w14:paraId="15A5552A">
      <w:pPr>
        <w:spacing w:line="360" w:lineRule="auto"/>
        <w:ind w:firstLine="525" w:firstLineChars="250"/>
        <w:rPr>
          <w:rFonts w:hint="eastAsia"/>
          <w:szCs w:val="21"/>
        </w:rPr>
      </w:pPr>
      <w:r>
        <w:rPr>
          <w:rFonts w:hint="eastAsia"/>
          <w:szCs w:val="21"/>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14:paraId="6F797ACD">
      <w:pPr>
        <w:spacing w:line="360" w:lineRule="auto"/>
        <w:ind w:firstLine="525" w:firstLineChars="250"/>
        <w:rPr>
          <w:rFonts w:hint="eastAsia"/>
          <w:szCs w:val="21"/>
        </w:rPr>
      </w:pPr>
      <w:r>
        <w:rPr>
          <w:rFonts w:hint="eastAsia"/>
          <w:szCs w:val="21"/>
        </w:rPr>
        <w:t>（5）基金管理人应在《存款协议书》中规定，基金存放到期或提前兑付的资金应全部划转到指定的基金托管账户，并在《存款协议书》写明账户名称和账号，未划入指定账户的，由存款银行承担一切责任。</w:t>
      </w:r>
    </w:p>
    <w:p w14:paraId="206DC666">
      <w:pPr>
        <w:spacing w:line="360" w:lineRule="auto"/>
        <w:ind w:firstLine="525" w:firstLineChars="250"/>
        <w:rPr>
          <w:rFonts w:hint="eastAsia"/>
          <w:szCs w:val="21"/>
        </w:rPr>
      </w:pPr>
      <w:r>
        <w:rPr>
          <w:rFonts w:hint="eastAsia"/>
          <w:szCs w:val="21"/>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4FDA21B5">
      <w:pPr>
        <w:spacing w:line="360" w:lineRule="auto"/>
        <w:ind w:firstLine="525" w:firstLineChars="250"/>
        <w:rPr>
          <w:rFonts w:hint="eastAsia"/>
          <w:szCs w:val="21"/>
        </w:rPr>
      </w:pPr>
      <w:r>
        <w:rPr>
          <w:rFonts w:hint="eastAsia"/>
          <w:szCs w:val="21"/>
        </w:rPr>
        <w:t>（7）基金管理人应在《存款协议书》中规定，因定期存款产生的存单不得被质押或以任何方式被抵押，不得用于转让和背书。</w:t>
      </w:r>
    </w:p>
    <w:p w14:paraId="3F4C7D14">
      <w:pPr>
        <w:spacing w:line="360" w:lineRule="auto"/>
        <w:ind w:firstLine="525" w:firstLineChars="250"/>
        <w:rPr>
          <w:rFonts w:hint="eastAsia"/>
          <w:szCs w:val="21"/>
        </w:rPr>
      </w:pPr>
      <w:r>
        <w:rPr>
          <w:rFonts w:hint="eastAsia"/>
          <w:szCs w:val="21"/>
        </w:rPr>
        <w:t>2.基金投资银行存款时的账户开设与管理</w:t>
      </w:r>
    </w:p>
    <w:p w14:paraId="77DFC1AE">
      <w:pPr>
        <w:spacing w:line="360" w:lineRule="auto"/>
        <w:ind w:firstLine="525" w:firstLineChars="250"/>
        <w:rPr>
          <w:rFonts w:hint="eastAsia"/>
          <w:szCs w:val="21"/>
        </w:rPr>
      </w:pPr>
      <w:r>
        <w:rPr>
          <w:rFonts w:hint="eastAsia"/>
          <w:szCs w:val="21"/>
        </w:rPr>
        <w:t>（1）基金投资于银行存款时，基金管理人应当依据基金管理人与存款银行签订的《总体合作协议》、《存款协议书》等，以基金的名义在存款银行总行或授权分行指定的分支机构开立银行账户。</w:t>
      </w:r>
    </w:p>
    <w:p w14:paraId="118DDBF9">
      <w:pPr>
        <w:spacing w:line="360" w:lineRule="auto"/>
        <w:ind w:firstLine="525" w:firstLineChars="250"/>
        <w:rPr>
          <w:rFonts w:hint="eastAsia"/>
          <w:szCs w:val="21"/>
        </w:rPr>
      </w:pPr>
      <w:r>
        <w:rPr>
          <w:rFonts w:hint="eastAsia"/>
          <w:szCs w:val="21"/>
        </w:rPr>
        <w:t>（2）基金投资于银行存款时的预留印鉴由基金托管人保管和使用。</w:t>
      </w:r>
    </w:p>
    <w:p w14:paraId="6370B436">
      <w:pPr>
        <w:spacing w:line="360" w:lineRule="auto"/>
        <w:ind w:firstLine="525" w:firstLineChars="250"/>
        <w:rPr>
          <w:rFonts w:hint="eastAsia"/>
          <w:szCs w:val="21"/>
        </w:rPr>
      </w:pPr>
      <w:r>
        <w:rPr>
          <w:rFonts w:hint="eastAsia"/>
          <w:szCs w:val="21"/>
        </w:rPr>
        <w:t>3.存款凭证传递、账目核对及到期兑付</w:t>
      </w:r>
    </w:p>
    <w:p w14:paraId="25B7AA11">
      <w:pPr>
        <w:spacing w:line="360" w:lineRule="auto"/>
        <w:ind w:firstLine="525" w:firstLineChars="250"/>
        <w:rPr>
          <w:rFonts w:hint="eastAsia"/>
          <w:szCs w:val="21"/>
        </w:rPr>
      </w:pPr>
      <w:r>
        <w:rPr>
          <w:rFonts w:hint="eastAsia"/>
          <w:szCs w:val="21"/>
        </w:rPr>
        <w:t>（1）存款证实书等存款凭证传递</w:t>
      </w:r>
    </w:p>
    <w:p w14:paraId="474E18F8">
      <w:pPr>
        <w:spacing w:line="360" w:lineRule="auto"/>
        <w:ind w:firstLine="525" w:firstLineChars="250"/>
        <w:rPr>
          <w:rFonts w:hint="eastAsia"/>
          <w:szCs w:val="21"/>
        </w:rPr>
      </w:pPr>
      <w:r>
        <w:rPr>
          <w:rFonts w:hint="eastAsia"/>
          <w:szCs w:val="21"/>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14:paraId="559C3840">
      <w:pPr>
        <w:spacing w:line="360" w:lineRule="auto"/>
        <w:ind w:firstLine="525" w:firstLineChars="250"/>
        <w:rPr>
          <w:rFonts w:hint="eastAsia"/>
          <w:szCs w:val="21"/>
        </w:rPr>
      </w:pPr>
      <w:r>
        <w:rPr>
          <w:rFonts w:hint="eastAsia"/>
          <w:szCs w:val="21"/>
        </w:rPr>
        <w:t>（2）存款凭证的遗失补办</w:t>
      </w:r>
    </w:p>
    <w:p w14:paraId="0F6876E8">
      <w:pPr>
        <w:spacing w:line="360" w:lineRule="auto"/>
        <w:ind w:firstLine="525" w:firstLineChars="250"/>
        <w:rPr>
          <w:rFonts w:hint="eastAsia"/>
          <w:szCs w:val="21"/>
        </w:rPr>
      </w:pPr>
      <w:r>
        <w:rPr>
          <w:rFonts w:hint="eastAsia"/>
          <w:szCs w:val="21"/>
        </w:rPr>
        <w:t>存款凭证在邮寄过程中遗失的，由基金管理人向存款银行提出补办申请，基金管理人应督促存款银行尽快补办存款凭证，并按以上（1）的方式快递或上门交付至基金托管人，原存款凭证自动作废。</w:t>
      </w:r>
    </w:p>
    <w:p w14:paraId="5A6713CB">
      <w:pPr>
        <w:spacing w:line="360" w:lineRule="auto"/>
        <w:ind w:firstLine="525" w:firstLineChars="250"/>
        <w:rPr>
          <w:rFonts w:hint="eastAsia"/>
          <w:szCs w:val="21"/>
        </w:rPr>
      </w:pPr>
      <w:r>
        <w:rPr>
          <w:rFonts w:hint="eastAsia"/>
          <w:szCs w:val="21"/>
        </w:rPr>
        <w:t>（3）账目核对</w:t>
      </w:r>
    </w:p>
    <w:p w14:paraId="2876C10C">
      <w:pPr>
        <w:spacing w:line="360" w:lineRule="auto"/>
        <w:ind w:firstLine="525" w:firstLineChars="250"/>
        <w:rPr>
          <w:rFonts w:hint="eastAsia"/>
          <w:szCs w:val="21"/>
        </w:rPr>
      </w:pPr>
      <w:r>
        <w:rPr>
          <w:rFonts w:hint="eastAsia"/>
          <w:szCs w:val="21"/>
        </w:rPr>
        <w:t>每个工作日，基金管理人应与基金托管人核对各项银行存款投资余额及应计利息。</w:t>
      </w:r>
    </w:p>
    <w:p w14:paraId="0AAB3C27">
      <w:pPr>
        <w:spacing w:line="360" w:lineRule="auto"/>
        <w:ind w:firstLine="525" w:firstLineChars="250"/>
        <w:rPr>
          <w:rFonts w:hint="eastAsia"/>
          <w:szCs w:val="21"/>
        </w:rPr>
      </w:pPr>
      <w:r>
        <w:rPr>
          <w:rFonts w:hint="eastAsia"/>
          <w:szCs w:val="21"/>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14:paraId="6699B6B0">
      <w:pPr>
        <w:spacing w:line="360" w:lineRule="auto"/>
        <w:ind w:firstLine="525" w:firstLineChars="250"/>
        <w:rPr>
          <w:rFonts w:hint="eastAsia"/>
          <w:szCs w:val="21"/>
        </w:rPr>
      </w:pPr>
      <w:r>
        <w:rPr>
          <w:rFonts w:hint="eastAsia"/>
          <w:szCs w:val="21"/>
        </w:rPr>
        <w:t>存款银行应配合基金托管人对存款凭证的询证，并在询证函上加盖存款银行公章寄送至基金托管人指定联系人。</w:t>
      </w:r>
    </w:p>
    <w:p w14:paraId="4B3B7C9E">
      <w:pPr>
        <w:spacing w:line="360" w:lineRule="auto"/>
        <w:ind w:firstLine="525" w:firstLineChars="250"/>
        <w:rPr>
          <w:rFonts w:hint="eastAsia"/>
          <w:szCs w:val="21"/>
        </w:rPr>
      </w:pPr>
      <w:r>
        <w:rPr>
          <w:rFonts w:hint="eastAsia"/>
          <w:szCs w:val="21"/>
        </w:rPr>
        <w:t>（4）到期兑付</w:t>
      </w:r>
    </w:p>
    <w:p w14:paraId="414DD0E7">
      <w:pPr>
        <w:spacing w:line="360" w:lineRule="auto"/>
        <w:ind w:firstLine="525" w:firstLineChars="250"/>
        <w:rPr>
          <w:rFonts w:hint="eastAsia"/>
          <w:szCs w:val="21"/>
        </w:rPr>
      </w:pPr>
      <w:r>
        <w:rPr>
          <w:rFonts w:hint="eastAsia"/>
          <w:szCs w:val="21"/>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14:paraId="3731E2E0">
      <w:pPr>
        <w:spacing w:line="360" w:lineRule="auto"/>
        <w:ind w:firstLine="525" w:firstLineChars="250"/>
        <w:rPr>
          <w:rFonts w:hint="eastAsia"/>
          <w:szCs w:val="21"/>
        </w:rPr>
      </w:pPr>
      <w:r>
        <w:rPr>
          <w:rFonts w:hint="eastAsia"/>
          <w:szCs w:val="21"/>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14:paraId="5FE1B010">
      <w:pPr>
        <w:spacing w:line="360" w:lineRule="auto"/>
        <w:ind w:firstLine="525" w:firstLineChars="250"/>
        <w:rPr>
          <w:rFonts w:hint="eastAsia"/>
          <w:szCs w:val="21"/>
        </w:rPr>
      </w:pPr>
      <w:r>
        <w:rPr>
          <w:rFonts w:hint="eastAsia"/>
          <w:szCs w:val="21"/>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w:t>
      </w:r>
    </w:p>
    <w:p w14:paraId="10F22657">
      <w:pPr>
        <w:spacing w:line="360" w:lineRule="auto"/>
        <w:ind w:firstLine="525" w:firstLineChars="250"/>
        <w:rPr>
          <w:rFonts w:hint="eastAsia"/>
          <w:szCs w:val="21"/>
        </w:rPr>
      </w:pPr>
      <w:r>
        <w:rPr>
          <w:rFonts w:hint="eastAsia"/>
          <w:szCs w:val="21"/>
        </w:rPr>
        <w:t>4.提前支取</w:t>
      </w:r>
    </w:p>
    <w:p w14:paraId="2D5ABBF8">
      <w:pPr>
        <w:spacing w:line="360" w:lineRule="auto"/>
        <w:ind w:firstLine="525" w:firstLineChars="250"/>
        <w:rPr>
          <w:rFonts w:hint="eastAsia"/>
          <w:szCs w:val="21"/>
        </w:rPr>
      </w:pPr>
      <w:r>
        <w:rPr>
          <w:rFonts w:hint="eastAsia"/>
          <w:szCs w:val="21"/>
        </w:rPr>
        <w:t>如果在存款期限内，由于基金规模发生缩减的原因或者出于流动性管理的需要等原因，基金管理人可以提前支取全部或部分资金。</w:t>
      </w:r>
    </w:p>
    <w:p w14:paraId="4B4904A4">
      <w:pPr>
        <w:spacing w:line="360" w:lineRule="auto"/>
        <w:ind w:firstLine="525" w:firstLineChars="250"/>
        <w:rPr>
          <w:rFonts w:hint="eastAsia"/>
          <w:szCs w:val="21"/>
        </w:rPr>
      </w:pPr>
      <w:r>
        <w:rPr>
          <w:rFonts w:hint="eastAsia"/>
          <w:szCs w:val="21"/>
        </w:rPr>
        <w:t>提前支取的具体事项按照基金管理人与存款银行签订的《存款协议书》执行。</w:t>
      </w:r>
    </w:p>
    <w:p w14:paraId="70AAEFF8">
      <w:pPr>
        <w:spacing w:line="360" w:lineRule="auto"/>
        <w:ind w:firstLine="525" w:firstLineChars="250"/>
        <w:rPr>
          <w:rFonts w:hint="eastAsia"/>
          <w:szCs w:val="21"/>
        </w:rPr>
      </w:pPr>
      <w:r>
        <w:rPr>
          <w:rFonts w:hint="eastAsia"/>
          <w:szCs w:val="21"/>
        </w:rPr>
        <w:t>5.基金投资银行存款的监督</w:t>
      </w:r>
    </w:p>
    <w:p w14:paraId="46E9BAF1">
      <w:pPr>
        <w:spacing w:line="360" w:lineRule="auto"/>
        <w:ind w:firstLine="525" w:firstLineChars="250"/>
        <w:rPr>
          <w:rFonts w:hint="eastAsia"/>
          <w:szCs w:val="21"/>
        </w:rPr>
      </w:pPr>
      <w:r>
        <w:rPr>
          <w:rFonts w:hint="eastAsia"/>
          <w:szCs w:val="21"/>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个工作日内纠正或拒绝结算，若因基金管理人拒不执行造成基金财产损失的，相关损失由基金管理人承担，基金托管人不承担责任。</w:t>
      </w:r>
    </w:p>
    <w:p w14:paraId="7F900DD2">
      <w:pPr>
        <w:spacing w:line="360" w:lineRule="auto"/>
        <w:ind w:firstLine="525" w:firstLineChars="250"/>
        <w:rPr>
          <w:rFonts w:hint="eastAsia"/>
          <w:szCs w:val="21"/>
        </w:rPr>
      </w:pPr>
      <w:r>
        <w:rPr>
          <w:rFonts w:hint="eastAsia"/>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如基金管理人在基金投资运作之前未向基金托管人提供银行间债券市场交易对手名单的，视为基金管理人认可全市场交易对手。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14:paraId="1F811029">
      <w:pPr>
        <w:spacing w:line="360" w:lineRule="auto"/>
        <w:ind w:firstLine="525" w:firstLineChars="250"/>
        <w:rPr>
          <w:rFonts w:hint="eastAsia"/>
          <w:szCs w:val="21"/>
        </w:rPr>
      </w:pPr>
      <w:r>
        <w:rPr>
          <w:rFonts w:hint="eastAsia"/>
          <w:szCs w:val="21"/>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应提供必要的协助。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14:paraId="34D9DAF4">
      <w:pPr>
        <w:spacing w:line="360" w:lineRule="auto"/>
        <w:ind w:firstLine="525" w:firstLineChars="250"/>
        <w:rPr>
          <w:rFonts w:hint="eastAsia"/>
          <w:szCs w:val="21"/>
        </w:rPr>
      </w:pPr>
      <w:r>
        <w:rPr>
          <w:rFonts w:hint="eastAsia"/>
          <w:szCs w:val="21"/>
        </w:rPr>
        <w:t>（五）本基金投资流通受限证券，应遵守《关于基金投资非公开发行股票等流通受限证券有关问题的通知》等有关监管规定。</w:t>
      </w:r>
    </w:p>
    <w:p w14:paraId="1B8D5D00">
      <w:pPr>
        <w:spacing w:line="360" w:lineRule="auto"/>
        <w:ind w:firstLine="525" w:firstLineChars="250"/>
        <w:rPr>
          <w:rFonts w:hint="eastAsia"/>
          <w:szCs w:val="21"/>
        </w:rPr>
      </w:pPr>
      <w:r>
        <w:rPr>
          <w:rFonts w:hint="eastAsia"/>
          <w:szCs w:val="21"/>
        </w:rPr>
        <w:t>1.流通受限证券包括由法律法规或中国证监会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670444B5">
      <w:pPr>
        <w:spacing w:line="360" w:lineRule="auto"/>
        <w:ind w:firstLine="525" w:firstLineChars="250"/>
        <w:rPr>
          <w:rFonts w:hint="eastAsia"/>
          <w:szCs w:val="21"/>
        </w:rPr>
      </w:pPr>
      <w:r>
        <w:rPr>
          <w:rFonts w:hint="eastAsia"/>
          <w:szCs w:val="21"/>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14:paraId="024AF53D">
      <w:pPr>
        <w:spacing w:line="360" w:lineRule="auto"/>
        <w:ind w:firstLine="525" w:firstLineChars="250"/>
        <w:rPr>
          <w:rFonts w:hint="eastAsia"/>
          <w:szCs w:val="21"/>
        </w:rPr>
      </w:pPr>
      <w:r>
        <w:rPr>
          <w:rFonts w:hint="eastAsia"/>
          <w:szCs w:val="21"/>
        </w:rPr>
        <w:t>本基金不得投资未经中国证监会批准的非公开发行证券。</w:t>
      </w:r>
    </w:p>
    <w:p w14:paraId="38E67155">
      <w:pPr>
        <w:spacing w:line="360" w:lineRule="auto"/>
        <w:ind w:firstLine="525" w:firstLineChars="250"/>
        <w:rPr>
          <w:rFonts w:hint="eastAsia"/>
          <w:szCs w:val="21"/>
        </w:rPr>
      </w:pPr>
      <w:r>
        <w:rPr>
          <w:rFonts w:hint="eastAsia"/>
          <w:szCs w:val="21"/>
        </w:rPr>
        <w:t>本基金不得投资有锁定期但锁定期不明确的证券，但法律法规或中国证监会另有规定的除外。</w:t>
      </w:r>
    </w:p>
    <w:p w14:paraId="69BCD646">
      <w:pPr>
        <w:spacing w:line="360" w:lineRule="auto"/>
        <w:ind w:firstLine="525" w:firstLineChars="250"/>
        <w:rPr>
          <w:rFonts w:hint="eastAsia"/>
          <w:szCs w:val="21"/>
        </w:rPr>
      </w:pPr>
      <w:r>
        <w:rPr>
          <w:rFonts w:hint="eastAsia"/>
          <w:szCs w:val="21"/>
        </w:rPr>
        <w:t>2. 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3407A78B">
      <w:pPr>
        <w:spacing w:line="360" w:lineRule="auto"/>
        <w:ind w:firstLine="525" w:firstLineChars="250"/>
        <w:rPr>
          <w:rFonts w:hint="eastAsia"/>
          <w:szCs w:val="21"/>
        </w:rPr>
      </w:pPr>
      <w:r>
        <w:rPr>
          <w:rFonts w:hint="eastAsia"/>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5983BE20">
      <w:pPr>
        <w:spacing w:line="360" w:lineRule="auto"/>
        <w:ind w:firstLine="525" w:firstLineChars="250"/>
        <w:rPr>
          <w:rFonts w:hint="eastAsia"/>
          <w:szCs w:val="21"/>
        </w:rPr>
      </w:pPr>
      <w:r>
        <w:rPr>
          <w:rFonts w:hint="eastAsia"/>
          <w:szCs w:val="21"/>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14:paraId="5B34002A">
      <w:pPr>
        <w:spacing w:line="360" w:lineRule="auto"/>
        <w:ind w:firstLine="525" w:firstLineChars="250"/>
        <w:rPr>
          <w:rFonts w:hint="eastAsia"/>
          <w:szCs w:val="21"/>
        </w:rPr>
      </w:pPr>
      <w:r>
        <w:rPr>
          <w:rFonts w:hint="eastAsia"/>
          <w:szCs w:val="21"/>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14:paraId="0702B5B8">
      <w:pPr>
        <w:spacing w:line="360" w:lineRule="auto"/>
        <w:ind w:firstLine="525" w:firstLineChars="250"/>
        <w:rPr>
          <w:rFonts w:hint="eastAsia"/>
          <w:szCs w:val="21"/>
        </w:rPr>
      </w:pPr>
      <w:r>
        <w:rPr>
          <w:rFonts w:hint="eastAsia"/>
          <w:szCs w:val="21"/>
        </w:rPr>
        <w:t>由于基金管理人未及时提供有关证券的具体的必要的信息，致使基金托管人无法审核认购指令而影响认购款项划拨的，基金托管人免于承担责任。</w:t>
      </w:r>
    </w:p>
    <w:p w14:paraId="27BB004F">
      <w:pPr>
        <w:spacing w:line="360" w:lineRule="auto"/>
        <w:ind w:firstLine="525" w:firstLineChars="250"/>
        <w:rPr>
          <w:rFonts w:hint="eastAsia"/>
          <w:szCs w:val="21"/>
        </w:rPr>
      </w:pPr>
      <w:r>
        <w:rPr>
          <w:rFonts w:hint="eastAsia"/>
          <w:szCs w:val="21"/>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14:paraId="1FB5214C">
      <w:pPr>
        <w:spacing w:line="360" w:lineRule="auto"/>
        <w:ind w:firstLine="525" w:firstLineChars="250"/>
        <w:rPr>
          <w:rFonts w:hint="eastAsia"/>
          <w:szCs w:val="21"/>
        </w:rPr>
      </w:pPr>
      <w:r>
        <w:rPr>
          <w:rFonts w:hint="eastAsia"/>
          <w:szCs w:val="21"/>
        </w:rPr>
        <w:t>5. 基金管理人应在基金投资非公开发行股票后两个交易日内，在中国证监会规定媒介披露所投资非公开发行股票的名称、数量、总成本、账面价值，以及总成本和账面价值占基金资产净值的比例、锁定期等信息。</w:t>
      </w:r>
    </w:p>
    <w:p w14:paraId="68BFA13B">
      <w:pPr>
        <w:spacing w:line="360" w:lineRule="auto"/>
        <w:ind w:firstLine="525" w:firstLineChars="250"/>
        <w:rPr>
          <w:rFonts w:hint="eastAsia"/>
          <w:szCs w:val="21"/>
        </w:rPr>
      </w:pPr>
      <w:r>
        <w:rPr>
          <w:rFonts w:hint="eastAsia"/>
          <w:szCs w:val="21"/>
        </w:rPr>
        <w:t>（六）基金管理人应当对投资中期票据业务进行研究，认真评估中期票据投资业务的风险，本着审慎、勤勉尽责的原则进行中期票据的投资业务，并应符合法律法规及监管机构的相关规定。</w:t>
      </w:r>
    </w:p>
    <w:p w14:paraId="1DFC2CA5">
      <w:pPr>
        <w:spacing w:line="360" w:lineRule="auto"/>
        <w:ind w:firstLine="525" w:firstLineChars="250"/>
        <w:rPr>
          <w:rFonts w:hint="eastAsia"/>
          <w:szCs w:val="21"/>
        </w:rPr>
      </w:pPr>
      <w:r>
        <w:rPr>
          <w:rFonts w:hint="eastAsia"/>
          <w:szCs w:val="21"/>
        </w:rPr>
        <w:t>（七）本基金拟通过第三方基金销售机构投资开放式基金，基金管理人负责选择销售机构，并确保在销售机构预留的备案回款账户为本基金托管账户。</w:t>
      </w:r>
    </w:p>
    <w:p w14:paraId="1B98CCA7">
      <w:pPr>
        <w:spacing w:line="360" w:lineRule="auto"/>
        <w:ind w:firstLine="525" w:firstLineChars="250"/>
        <w:rPr>
          <w:rFonts w:hint="eastAsia"/>
          <w:szCs w:val="21"/>
        </w:rPr>
      </w:pPr>
      <w:r>
        <w:rPr>
          <w:rFonts w:hint="eastAsia"/>
          <w:szCs w:val="21"/>
        </w:rPr>
        <w:t>（八）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14:paraId="5DD7D294">
      <w:pPr>
        <w:spacing w:line="360" w:lineRule="auto"/>
        <w:ind w:firstLine="525" w:firstLineChars="250"/>
        <w:rPr>
          <w:rFonts w:hint="eastAsia"/>
          <w:szCs w:val="21"/>
        </w:rPr>
      </w:pPr>
      <w:r>
        <w:rPr>
          <w:rFonts w:hint="eastAsia"/>
          <w:szCs w:val="21"/>
        </w:rPr>
        <w:t>（九）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电话、邮件或书面通知，基金管理人应以书面形式给基金托管人发出回函，就基金托管人的合理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11D79F79">
      <w:pPr>
        <w:spacing w:line="360" w:lineRule="auto"/>
        <w:ind w:firstLine="525" w:firstLineChars="250"/>
        <w:rPr>
          <w:rFonts w:hint="eastAsia"/>
          <w:szCs w:val="21"/>
        </w:rPr>
      </w:pPr>
      <w:r>
        <w:rPr>
          <w:rFonts w:hint="eastAsia"/>
          <w:szCs w:val="21"/>
        </w:rPr>
        <w:t>（十）基金管理人有义务配合和协助基金托管人依照法律法规、《基金合同》和本托管协议对基金业务执行核查。包括但不限于：对基金托管人发出的提示，基金管理人应在规定时间内答复并改正，或就基金托管人的合理疑义进行解释或举证；对基金托管人按照法律法规、基金合同和本托管协议的要求需向中国证监会报送基金监督报告的事项，基金管理人应积极配合提供相关数据资料和制度等。</w:t>
      </w:r>
    </w:p>
    <w:p w14:paraId="15A674F8">
      <w:pPr>
        <w:spacing w:line="360" w:lineRule="auto"/>
        <w:ind w:firstLine="525" w:firstLineChars="250"/>
        <w:rPr>
          <w:rFonts w:hint="eastAsia"/>
          <w:szCs w:val="21"/>
        </w:rPr>
      </w:pPr>
      <w:r>
        <w:rPr>
          <w:rFonts w:hint="eastAsia"/>
          <w:szCs w:val="21"/>
        </w:rPr>
        <w:t>（十一）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14:paraId="28D44ED6">
      <w:pPr>
        <w:spacing w:line="360" w:lineRule="auto"/>
        <w:ind w:firstLine="525" w:firstLineChars="250"/>
        <w:rPr>
          <w:rFonts w:hint="eastAsia"/>
          <w:szCs w:val="21"/>
        </w:rPr>
      </w:pPr>
      <w:r>
        <w:rPr>
          <w:rFonts w:hint="eastAsia"/>
          <w:szCs w:val="21"/>
        </w:rPr>
        <w:t>（十二）基金托管人发现基金管理人有重大违规行为，应及时报告中国证监会，同时通知基金管理人限期纠正。</w:t>
      </w:r>
    </w:p>
    <w:p w14:paraId="67C399C6">
      <w:pPr>
        <w:spacing w:line="360" w:lineRule="auto"/>
        <w:ind w:firstLine="525" w:firstLineChars="250"/>
        <w:rPr>
          <w:rFonts w:hint="eastAsia"/>
          <w:szCs w:val="21"/>
        </w:rPr>
      </w:pPr>
      <w:r>
        <w:rPr>
          <w:rFonts w:hint="eastAsia"/>
          <w:szCs w:val="21"/>
        </w:rPr>
        <w:t>（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4F6E2398">
      <w:pPr>
        <w:spacing w:line="360" w:lineRule="auto"/>
        <w:ind w:firstLine="525" w:firstLineChars="250"/>
        <w:rPr>
          <w:rFonts w:hint="eastAsia"/>
          <w:b/>
          <w:szCs w:val="21"/>
        </w:rPr>
      </w:pPr>
      <w:r>
        <w:rPr>
          <w:rFonts w:hint="eastAsia"/>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1FF747E9">
      <w:pPr>
        <w:spacing w:line="360" w:lineRule="auto"/>
        <w:ind w:firstLine="527" w:firstLineChars="250"/>
        <w:rPr>
          <w:b/>
          <w:szCs w:val="21"/>
        </w:rPr>
      </w:pPr>
      <w:r>
        <w:rPr>
          <w:rFonts w:hint="eastAsia"/>
          <w:b/>
          <w:szCs w:val="21"/>
        </w:rPr>
        <w:t>三、基金管理人对基金托管人的业务核查</w:t>
      </w:r>
    </w:p>
    <w:p w14:paraId="317473B3">
      <w:pPr>
        <w:spacing w:line="360" w:lineRule="auto"/>
        <w:ind w:firstLine="420" w:firstLineChars="200"/>
        <w:rPr>
          <w:rFonts w:hint="eastAsia" w:cs="Arial"/>
          <w:szCs w:val="21"/>
        </w:rPr>
      </w:pPr>
      <w:r>
        <w:rPr>
          <w:rFonts w:hint="eastAsia" w:cs="Arial"/>
          <w:szCs w:val="21"/>
        </w:rPr>
        <w:t>（一）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14:paraId="762C5361">
      <w:pPr>
        <w:spacing w:line="360" w:lineRule="auto"/>
        <w:ind w:firstLine="420" w:firstLineChars="200"/>
        <w:rPr>
          <w:rFonts w:hint="eastAsia" w:cs="Arial"/>
          <w:szCs w:val="21"/>
        </w:rPr>
      </w:pPr>
      <w:r>
        <w:rPr>
          <w:rFonts w:hint="eastAsia" w:cs="Arial"/>
          <w:szCs w:val="21"/>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14:paraId="42ED9AA5">
      <w:pPr>
        <w:spacing w:line="360" w:lineRule="auto"/>
        <w:ind w:firstLine="420" w:firstLineChars="200"/>
        <w:rPr>
          <w:rFonts w:hint="eastAsia" w:cs="Arial"/>
          <w:szCs w:val="21"/>
        </w:rPr>
      </w:pPr>
      <w:r>
        <w:rPr>
          <w:rFonts w:hint="eastAsia" w:cs="Arial"/>
          <w:szCs w:val="21"/>
        </w:rPr>
        <w:t>（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30879B56">
      <w:pPr>
        <w:spacing w:line="360" w:lineRule="auto"/>
        <w:ind w:firstLine="420" w:firstLineChars="200"/>
        <w:rPr>
          <w:rFonts w:hint="eastAsia"/>
          <w:b/>
          <w:szCs w:val="21"/>
        </w:rPr>
      </w:pPr>
      <w:r>
        <w:rPr>
          <w:rFonts w:hint="eastAsia" w:cs="Arial"/>
          <w:szCs w:val="21"/>
        </w:rPr>
        <w:t>（四）基金管理人发现基金托管人有重大违规行为，应及时报告中国证监会，同时通知基金托管人限期纠正，并将纠正结果报告中国证监会。</w:t>
      </w:r>
    </w:p>
    <w:p w14:paraId="0CB4B454">
      <w:pPr>
        <w:spacing w:line="360" w:lineRule="auto"/>
        <w:ind w:firstLine="422" w:firstLineChars="200"/>
        <w:rPr>
          <w:b/>
          <w:szCs w:val="21"/>
        </w:rPr>
      </w:pPr>
      <w:r>
        <w:rPr>
          <w:rFonts w:hint="eastAsia"/>
          <w:b/>
          <w:szCs w:val="21"/>
        </w:rPr>
        <w:t>四、基金财产保管</w:t>
      </w:r>
    </w:p>
    <w:p w14:paraId="5E5CFCB3">
      <w:pPr>
        <w:spacing w:line="360" w:lineRule="auto"/>
        <w:ind w:firstLine="420" w:firstLineChars="200"/>
        <w:rPr>
          <w:rFonts w:hint="eastAsia" w:cs="Arial"/>
          <w:szCs w:val="21"/>
        </w:rPr>
      </w:pPr>
      <w:r>
        <w:rPr>
          <w:rFonts w:hint="eastAsia" w:cs="Arial"/>
          <w:szCs w:val="21"/>
        </w:rPr>
        <w:t>（一）基金财产保管的原则</w:t>
      </w:r>
    </w:p>
    <w:p w14:paraId="7B4D5934">
      <w:pPr>
        <w:spacing w:line="360" w:lineRule="auto"/>
        <w:ind w:firstLine="420" w:firstLineChars="200"/>
        <w:rPr>
          <w:rFonts w:hint="eastAsia" w:cs="Arial"/>
          <w:szCs w:val="21"/>
        </w:rPr>
      </w:pPr>
      <w:r>
        <w:rPr>
          <w:rFonts w:hint="eastAsia" w:cs="Arial"/>
          <w:szCs w:val="21"/>
        </w:rPr>
        <w:t>1.基金财产应独立于基金管理人、基金托管人的固有财产。</w:t>
      </w:r>
    </w:p>
    <w:p w14:paraId="6A6E07AC">
      <w:pPr>
        <w:spacing w:line="360" w:lineRule="auto"/>
        <w:ind w:firstLine="420" w:firstLineChars="200"/>
        <w:rPr>
          <w:rFonts w:hint="eastAsia" w:cs="Arial"/>
          <w:szCs w:val="21"/>
        </w:rPr>
      </w:pPr>
      <w:r>
        <w:rPr>
          <w:rFonts w:hint="eastAsia" w:cs="Arial"/>
          <w:szCs w:val="21"/>
        </w:rPr>
        <w:t>2.基金托管人应安全保管基金财产。</w:t>
      </w:r>
    </w:p>
    <w:p w14:paraId="55B80393">
      <w:pPr>
        <w:spacing w:line="360" w:lineRule="auto"/>
        <w:ind w:firstLine="420" w:firstLineChars="200"/>
        <w:rPr>
          <w:rFonts w:hint="eastAsia" w:cs="Arial"/>
          <w:szCs w:val="21"/>
        </w:rPr>
      </w:pPr>
      <w:r>
        <w:rPr>
          <w:rFonts w:hint="eastAsia" w:cs="Arial"/>
          <w:szCs w:val="21"/>
        </w:rPr>
        <w:t>3.基金托管人按照规定开设资金账户、证券账户等投资所需的相关账户。</w:t>
      </w:r>
    </w:p>
    <w:p w14:paraId="48C8C989">
      <w:pPr>
        <w:spacing w:line="360" w:lineRule="auto"/>
        <w:ind w:firstLine="420" w:firstLineChars="200"/>
        <w:rPr>
          <w:rFonts w:hint="eastAsia" w:cs="Arial"/>
          <w:szCs w:val="21"/>
        </w:rPr>
      </w:pPr>
      <w:r>
        <w:rPr>
          <w:rFonts w:hint="eastAsia" w:cs="Arial"/>
          <w:szCs w:val="21"/>
        </w:rPr>
        <w:t>4.基金托管人对所托管的不同基金财产分别设置账户，确保基金财产的完整与独立。</w:t>
      </w:r>
    </w:p>
    <w:p w14:paraId="05D3F4EC">
      <w:pPr>
        <w:spacing w:line="360" w:lineRule="auto"/>
        <w:ind w:firstLine="420" w:firstLineChars="200"/>
        <w:rPr>
          <w:rFonts w:hint="eastAsia" w:cs="Arial"/>
          <w:szCs w:val="21"/>
        </w:rPr>
      </w:pPr>
      <w:r>
        <w:rPr>
          <w:rFonts w:hint="eastAsia" w:cs="Arial"/>
          <w:szCs w:val="21"/>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14:paraId="68CB35BC">
      <w:pPr>
        <w:spacing w:line="360" w:lineRule="auto"/>
        <w:ind w:firstLine="420" w:firstLineChars="200"/>
        <w:rPr>
          <w:rFonts w:hint="eastAsia" w:cs="Arial"/>
          <w:szCs w:val="21"/>
        </w:rPr>
      </w:pPr>
      <w:r>
        <w:rPr>
          <w:rFonts w:hint="eastAsia" w:cs="Arial"/>
          <w:szCs w:val="21"/>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基金托管人应给予必要的协助。</w:t>
      </w:r>
    </w:p>
    <w:p w14:paraId="398DDD9A">
      <w:pPr>
        <w:spacing w:line="360" w:lineRule="auto"/>
        <w:ind w:firstLine="420" w:firstLineChars="200"/>
        <w:rPr>
          <w:rFonts w:hint="eastAsia" w:cs="Arial"/>
          <w:szCs w:val="21"/>
        </w:rPr>
      </w:pPr>
      <w:r>
        <w:rPr>
          <w:rFonts w:hint="eastAsia" w:cs="Arial"/>
          <w:szCs w:val="21"/>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14:paraId="4AF49E47">
      <w:pPr>
        <w:spacing w:line="360" w:lineRule="auto"/>
        <w:ind w:firstLine="420" w:firstLineChars="200"/>
        <w:rPr>
          <w:rFonts w:hint="eastAsia" w:cs="Arial"/>
          <w:szCs w:val="21"/>
        </w:rPr>
      </w:pPr>
      <w:r>
        <w:rPr>
          <w:rFonts w:hint="eastAsia" w:cs="Arial"/>
          <w:szCs w:val="21"/>
        </w:rPr>
        <w:t>8.除依据法律法规和基金合同的规定外，基金托管人不得委托第三人托管基金财产。</w:t>
      </w:r>
    </w:p>
    <w:p w14:paraId="46AE0D2B">
      <w:pPr>
        <w:spacing w:line="360" w:lineRule="auto"/>
        <w:ind w:firstLine="420" w:firstLineChars="200"/>
        <w:rPr>
          <w:rFonts w:hint="eastAsia" w:cs="Arial"/>
          <w:szCs w:val="21"/>
        </w:rPr>
      </w:pPr>
      <w:r>
        <w:rPr>
          <w:rFonts w:hint="eastAsia" w:cs="Arial"/>
          <w:szCs w:val="21"/>
        </w:rPr>
        <w:t>（二）基金募集期间及募集资金的验资</w:t>
      </w:r>
    </w:p>
    <w:p w14:paraId="01927D62">
      <w:pPr>
        <w:spacing w:line="360" w:lineRule="auto"/>
        <w:ind w:firstLine="420" w:firstLineChars="200"/>
        <w:rPr>
          <w:rFonts w:hint="eastAsia" w:cs="Arial"/>
          <w:szCs w:val="21"/>
        </w:rPr>
      </w:pPr>
      <w:r>
        <w:rPr>
          <w:rFonts w:hint="eastAsia" w:cs="Arial"/>
          <w:szCs w:val="21"/>
        </w:rPr>
        <w:t>1.基金募集期间募集的资金应存放于“基金募集专户”。该账户由基金管理人开立并管理。</w:t>
      </w:r>
    </w:p>
    <w:p w14:paraId="1E085F89">
      <w:pPr>
        <w:spacing w:line="360" w:lineRule="auto"/>
        <w:ind w:firstLine="420" w:firstLineChars="200"/>
        <w:rPr>
          <w:rFonts w:hint="eastAsia" w:cs="Arial"/>
          <w:szCs w:val="21"/>
        </w:rPr>
      </w:pPr>
      <w:r>
        <w:rPr>
          <w:rFonts w:hint="eastAsia" w:cs="Arial"/>
          <w:szCs w:val="21"/>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符合《证券法》规定的会计师事务所进行验资，出具验资报告。出具的验资报告由参加验资的2名或2名以上中国注册会计师签字方为有效。</w:t>
      </w:r>
    </w:p>
    <w:p w14:paraId="28BA1C0C">
      <w:pPr>
        <w:spacing w:line="360" w:lineRule="auto"/>
        <w:ind w:firstLine="420" w:firstLineChars="200"/>
        <w:rPr>
          <w:rFonts w:hint="eastAsia" w:cs="Arial"/>
          <w:szCs w:val="21"/>
        </w:rPr>
      </w:pPr>
      <w:r>
        <w:rPr>
          <w:rFonts w:hint="eastAsia" w:cs="Arial"/>
          <w:szCs w:val="21"/>
        </w:rPr>
        <w:t>3.若基金募集期限届满，未能达到基金合同生效的条件，由基金管理人按规定办理退款等事宜，基金托管人应当予以必要的协助和配合。</w:t>
      </w:r>
    </w:p>
    <w:p w14:paraId="4FA49B95">
      <w:pPr>
        <w:spacing w:line="360" w:lineRule="auto"/>
        <w:ind w:firstLine="420" w:firstLineChars="200"/>
        <w:rPr>
          <w:rFonts w:hint="eastAsia" w:cs="Arial"/>
          <w:szCs w:val="21"/>
        </w:rPr>
      </w:pPr>
      <w:r>
        <w:rPr>
          <w:rFonts w:hint="eastAsia" w:cs="Arial"/>
          <w:szCs w:val="21"/>
        </w:rPr>
        <w:t>（三）基金资金账户的开立和管理</w:t>
      </w:r>
    </w:p>
    <w:p w14:paraId="330D9D0C">
      <w:pPr>
        <w:spacing w:line="360" w:lineRule="auto"/>
        <w:ind w:firstLine="420" w:firstLineChars="200"/>
        <w:rPr>
          <w:rFonts w:hint="eastAsia" w:cs="Arial"/>
          <w:szCs w:val="21"/>
        </w:rPr>
      </w:pPr>
      <w:r>
        <w:rPr>
          <w:rFonts w:hint="eastAsia" w:cs="Arial"/>
          <w:szCs w:val="21"/>
        </w:rPr>
        <w:t>1.基金托管人以本基金的名义在其营业机构开立基金的资金账户（也可称为“托管账户”），保管基金的银行存款，并根据基金管理人的指令办理资金收付。基金开立的托管账户原则上应按“开户主体全称+产品全称”规则命名，如遇账户名称过长影响其他业务办理等特殊情况时，开户主体或产品名称可以使用简称，确保资金账户名称与所托管的产品名称相对应，预留印鉴为基金托管人印章。2.基金资金账户的开立和使用，限于满足开展本基金业务的需要。基金托管人和基金管理人不得假借本基金的名义开立任何其他银行账户；亦不得使用基金的任何账户进行本基金业务以外的活动。</w:t>
      </w:r>
    </w:p>
    <w:p w14:paraId="635B7EA2">
      <w:pPr>
        <w:spacing w:line="360" w:lineRule="auto"/>
        <w:ind w:firstLine="420" w:firstLineChars="200"/>
        <w:rPr>
          <w:rFonts w:hint="eastAsia" w:cs="Arial"/>
          <w:szCs w:val="21"/>
        </w:rPr>
      </w:pPr>
      <w:r>
        <w:rPr>
          <w:rFonts w:hint="eastAsia" w:cs="Arial"/>
          <w:szCs w:val="21"/>
        </w:rPr>
        <w:t>3.基金资金账户的开立和管理应符合法律法规及银行业监督管理机构的有关规定。</w:t>
      </w:r>
    </w:p>
    <w:p w14:paraId="4794AA03">
      <w:pPr>
        <w:spacing w:line="360" w:lineRule="auto"/>
        <w:ind w:firstLine="420" w:firstLineChars="200"/>
        <w:rPr>
          <w:rFonts w:hint="eastAsia" w:cs="Arial"/>
          <w:szCs w:val="21"/>
        </w:rPr>
      </w:pPr>
      <w:r>
        <w:rPr>
          <w:rFonts w:hint="eastAsia" w:cs="Arial"/>
          <w:szCs w:val="21"/>
        </w:rPr>
        <w:t>（四）基金证券账户和结算备付金账户的开立和管理</w:t>
      </w:r>
    </w:p>
    <w:p w14:paraId="59E881C1">
      <w:pPr>
        <w:spacing w:line="360" w:lineRule="auto"/>
        <w:ind w:firstLine="420" w:firstLineChars="200"/>
        <w:rPr>
          <w:rFonts w:hint="eastAsia" w:cs="Arial"/>
          <w:szCs w:val="21"/>
        </w:rPr>
      </w:pPr>
      <w:r>
        <w:rPr>
          <w:rFonts w:hint="eastAsia" w:cs="Arial"/>
          <w:szCs w:val="21"/>
        </w:rPr>
        <w:t>1.基金托管人在中国证券登记结算有限责任公司上海分公司、深圳分公司为基金开立基金托管人与基金联名的证券账户。</w:t>
      </w:r>
    </w:p>
    <w:p w14:paraId="37F3CF5F">
      <w:pPr>
        <w:spacing w:line="360" w:lineRule="auto"/>
        <w:ind w:firstLine="420" w:firstLineChars="200"/>
        <w:rPr>
          <w:rFonts w:hint="eastAsia" w:cs="Arial"/>
          <w:szCs w:val="21"/>
        </w:rPr>
      </w:pPr>
      <w:r>
        <w:rPr>
          <w:rFonts w:hint="eastAsia" w:cs="Arial"/>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62E02724">
      <w:pPr>
        <w:spacing w:line="360" w:lineRule="auto"/>
        <w:ind w:firstLine="420" w:firstLineChars="200"/>
        <w:rPr>
          <w:rFonts w:hint="eastAsia" w:cs="Arial"/>
          <w:szCs w:val="21"/>
        </w:rPr>
      </w:pPr>
      <w:r>
        <w:rPr>
          <w:rFonts w:hint="eastAsia" w:cs="Arial"/>
          <w:szCs w:val="21"/>
        </w:rPr>
        <w:t>3.基金证券账户的开立和证券账户卡的保管由基金托管人负责，账户资产的管理和运用由基金管理人负责。</w:t>
      </w:r>
    </w:p>
    <w:p w14:paraId="15F8397A">
      <w:pPr>
        <w:spacing w:line="360" w:lineRule="auto"/>
        <w:ind w:firstLine="420" w:firstLineChars="200"/>
        <w:rPr>
          <w:rFonts w:hint="eastAsia" w:cs="Arial"/>
          <w:szCs w:val="21"/>
        </w:rPr>
      </w:pPr>
      <w:r>
        <w:rPr>
          <w:rFonts w:hint="eastAsia" w:cs="Arial"/>
          <w:szCs w:val="21"/>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14:paraId="5B3A49CD">
      <w:pPr>
        <w:spacing w:line="360" w:lineRule="auto"/>
        <w:ind w:firstLine="420" w:firstLineChars="200"/>
        <w:rPr>
          <w:rFonts w:hint="eastAsia" w:cs="Arial"/>
          <w:szCs w:val="21"/>
        </w:rPr>
      </w:pPr>
      <w:r>
        <w:rPr>
          <w:rFonts w:hint="eastAsia" w:cs="Arial"/>
          <w:szCs w:val="21"/>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14:paraId="20BCB2F5">
      <w:pPr>
        <w:spacing w:line="360" w:lineRule="auto"/>
        <w:ind w:firstLine="420" w:firstLineChars="200"/>
        <w:rPr>
          <w:rFonts w:hint="eastAsia" w:cs="Arial"/>
          <w:szCs w:val="21"/>
        </w:rPr>
      </w:pPr>
      <w:r>
        <w:rPr>
          <w:rFonts w:hint="eastAsia" w:cs="Arial"/>
          <w:szCs w:val="21"/>
        </w:rPr>
        <w:t>（五）债券托管账户的开设和管理</w:t>
      </w:r>
    </w:p>
    <w:p w14:paraId="5CDFE81D">
      <w:pPr>
        <w:spacing w:line="360" w:lineRule="auto"/>
        <w:ind w:firstLine="420" w:firstLineChars="200"/>
        <w:rPr>
          <w:rFonts w:hint="eastAsia" w:cs="Arial"/>
          <w:szCs w:val="21"/>
        </w:rPr>
      </w:pPr>
      <w:r>
        <w:rPr>
          <w:rFonts w:hint="eastAsia" w:cs="Arial"/>
          <w:szCs w:val="21"/>
        </w:rPr>
        <w:t>基金合同生效后，基金托管人根据中国人民银行、中央国债登记结算有限责任公司和银行间市场清算所股份有限公司的有关规定，以基金的名义在中央国债登记结算有限责任公司和银行间市场登记结算机构开立债券托管账户，并代表基金进行银行间市场债券的结算。</w:t>
      </w:r>
    </w:p>
    <w:p w14:paraId="4E1CD726">
      <w:pPr>
        <w:spacing w:line="360" w:lineRule="auto"/>
        <w:ind w:firstLine="420" w:firstLineChars="200"/>
        <w:rPr>
          <w:rFonts w:hint="eastAsia" w:cs="Arial"/>
          <w:szCs w:val="21"/>
        </w:rPr>
      </w:pPr>
      <w:r>
        <w:rPr>
          <w:rFonts w:hint="eastAsia" w:cs="Arial"/>
          <w:szCs w:val="21"/>
        </w:rPr>
        <w:t>（六）其他账户的开立和管理</w:t>
      </w:r>
    </w:p>
    <w:p w14:paraId="4797553A">
      <w:pPr>
        <w:spacing w:line="360" w:lineRule="auto"/>
        <w:ind w:firstLine="420" w:firstLineChars="200"/>
        <w:rPr>
          <w:rFonts w:hint="eastAsia" w:cs="Arial"/>
          <w:szCs w:val="21"/>
        </w:rPr>
      </w:pPr>
      <w:r>
        <w:rPr>
          <w:rFonts w:hint="eastAsia" w:cs="Arial"/>
          <w:szCs w:val="21"/>
        </w:rPr>
        <w:t>1. 基金托管人和基金管理人应当在开户过程中相互配合，并提供所需资料。基金管理人保证所提供的账户开户材料的真实性和有效性，且在相关资料变更后及时将变更的资料提供给基金托管人。</w:t>
      </w:r>
    </w:p>
    <w:p w14:paraId="11F0D2A3">
      <w:pPr>
        <w:spacing w:line="360" w:lineRule="auto"/>
        <w:ind w:firstLine="420" w:firstLineChars="200"/>
        <w:rPr>
          <w:rFonts w:hint="eastAsia" w:cs="Arial"/>
          <w:szCs w:val="21"/>
        </w:rPr>
      </w:pPr>
      <w:r>
        <w:rPr>
          <w:rFonts w:hint="eastAsia" w:cs="Arial"/>
          <w:szCs w:val="21"/>
        </w:rPr>
        <w:t>2.因业务发展需要而开立的其他账户，可以根据法律法规和基金合同的规定，由基金管理人协助基金托管人按照有关法律法规和本协议的约定协商后开立。新账户按有关规定使用并管理。</w:t>
      </w:r>
    </w:p>
    <w:p w14:paraId="0967CF06">
      <w:pPr>
        <w:spacing w:line="360" w:lineRule="auto"/>
        <w:ind w:firstLine="420" w:firstLineChars="200"/>
        <w:rPr>
          <w:rFonts w:hint="eastAsia" w:cs="Arial"/>
          <w:szCs w:val="21"/>
        </w:rPr>
      </w:pPr>
      <w:r>
        <w:rPr>
          <w:rFonts w:hint="eastAsia" w:cs="Arial"/>
          <w:szCs w:val="21"/>
        </w:rPr>
        <w:t>3.法律法规等有关规定对相关账户的开立和管理另有规定的，从其规定办理。</w:t>
      </w:r>
    </w:p>
    <w:p w14:paraId="2B90ED11">
      <w:pPr>
        <w:spacing w:line="360" w:lineRule="auto"/>
        <w:ind w:firstLine="420" w:firstLineChars="200"/>
        <w:rPr>
          <w:rFonts w:hint="eastAsia" w:cs="Arial"/>
          <w:szCs w:val="21"/>
        </w:rPr>
      </w:pPr>
      <w:r>
        <w:rPr>
          <w:rFonts w:hint="eastAsia" w:cs="Arial"/>
          <w:szCs w:val="21"/>
        </w:rPr>
        <w:t>（七）基金财产投资的有关有价凭证等的保管</w:t>
      </w:r>
    </w:p>
    <w:p w14:paraId="13FA5030">
      <w:pPr>
        <w:spacing w:line="360" w:lineRule="auto"/>
        <w:ind w:firstLine="420" w:firstLineChars="200"/>
        <w:rPr>
          <w:rFonts w:hint="eastAsia" w:cs="Arial"/>
          <w:szCs w:val="21"/>
        </w:rPr>
      </w:pPr>
      <w:r>
        <w:rPr>
          <w:rFonts w:hint="eastAsia" w:cs="Arial"/>
          <w:szCs w:val="21"/>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14:paraId="32C74896">
      <w:pPr>
        <w:spacing w:line="360" w:lineRule="auto"/>
        <w:ind w:firstLine="420" w:firstLineChars="200"/>
        <w:rPr>
          <w:rFonts w:hint="eastAsia" w:cs="Arial"/>
          <w:szCs w:val="21"/>
        </w:rPr>
      </w:pPr>
      <w:r>
        <w:rPr>
          <w:rFonts w:hint="eastAsia" w:cs="Arial"/>
          <w:szCs w:val="21"/>
        </w:rPr>
        <w:t>（八）与基金财产有关的重大合同的保管</w:t>
      </w:r>
    </w:p>
    <w:p w14:paraId="6A33D746">
      <w:pPr>
        <w:spacing w:line="360" w:lineRule="auto"/>
        <w:ind w:firstLine="420" w:firstLineChars="200"/>
        <w:rPr>
          <w:rFonts w:hint="eastAsia" w:cs="Arial"/>
          <w:szCs w:val="21"/>
        </w:rPr>
      </w:pPr>
      <w:r>
        <w:rPr>
          <w:rFonts w:hint="eastAsia" w:cs="Arial"/>
          <w:szCs w:val="21"/>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14:paraId="05027474">
      <w:pPr>
        <w:spacing w:line="360" w:lineRule="auto"/>
        <w:ind w:firstLine="420" w:firstLineChars="200"/>
        <w:rPr>
          <w:rFonts w:hint="eastAsia"/>
          <w:b/>
          <w:szCs w:val="21"/>
        </w:rPr>
      </w:pPr>
      <w:r>
        <w:rPr>
          <w:rFonts w:hint="eastAsia" w:cs="Arial"/>
          <w:szCs w:val="21"/>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3640A49D">
      <w:pPr>
        <w:spacing w:line="360" w:lineRule="auto"/>
        <w:ind w:firstLine="422" w:firstLineChars="200"/>
        <w:rPr>
          <w:rFonts w:hint="eastAsia"/>
          <w:b/>
          <w:szCs w:val="21"/>
        </w:rPr>
      </w:pPr>
      <w:r>
        <w:rPr>
          <w:rFonts w:hint="eastAsia"/>
          <w:b/>
          <w:szCs w:val="21"/>
        </w:rPr>
        <w:t>五、基金资产净值计算和会计核算</w:t>
      </w:r>
    </w:p>
    <w:p w14:paraId="10C6670C">
      <w:pPr>
        <w:spacing w:line="360" w:lineRule="auto"/>
        <w:ind w:firstLine="420" w:firstLineChars="200"/>
        <w:rPr>
          <w:rFonts w:hint="eastAsia" w:cs="Arial"/>
          <w:szCs w:val="21"/>
        </w:rPr>
      </w:pPr>
      <w:r>
        <w:rPr>
          <w:rFonts w:hint="eastAsia" w:cs="Arial"/>
          <w:szCs w:val="21"/>
        </w:rPr>
        <w:t>（一）基金资产净值的计算、复核与完成的时间及程序</w:t>
      </w:r>
    </w:p>
    <w:p w14:paraId="1652BD53">
      <w:pPr>
        <w:spacing w:line="360" w:lineRule="auto"/>
        <w:ind w:firstLine="420" w:firstLineChars="200"/>
        <w:rPr>
          <w:rFonts w:hint="eastAsia" w:cs="Arial"/>
          <w:szCs w:val="21"/>
        </w:rPr>
      </w:pPr>
      <w:r>
        <w:rPr>
          <w:rFonts w:hint="eastAsia" w:cs="Arial"/>
          <w:szCs w:val="21"/>
        </w:rPr>
        <w:t>1.基金资产净值</w:t>
      </w:r>
    </w:p>
    <w:p w14:paraId="484135C0">
      <w:pPr>
        <w:spacing w:line="360" w:lineRule="auto"/>
        <w:ind w:firstLine="420" w:firstLineChars="200"/>
        <w:rPr>
          <w:rFonts w:hint="eastAsia" w:cs="Arial"/>
          <w:szCs w:val="21"/>
        </w:rPr>
      </w:pPr>
      <w:r>
        <w:rPr>
          <w:rFonts w:hint="eastAsia" w:cs="Arial"/>
          <w:szCs w:val="21"/>
        </w:rPr>
        <w:t>基金资产净值是指基金资产总值减去基金负债后的价值。</w:t>
      </w:r>
    </w:p>
    <w:p w14:paraId="624550EC">
      <w:pPr>
        <w:spacing w:line="360" w:lineRule="auto"/>
        <w:ind w:firstLine="420" w:firstLineChars="200"/>
        <w:rPr>
          <w:rFonts w:cs="Arial"/>
          <w:szCs w:val="21"/>
        </w:rPr>
      </w:pPr>
      <w:r>
        <w:rPr>
          <w:rFonts w:hint="eastAsia" w:cs="Arial"/>
          <w:szCs w:val="21"/>
        </w:rPr>
        <w:t>各类基金份额净值是按照每个估值日，各类基金份额的基金资产净值除以当日该类基金份额的余额数量计算，均精确到0.0001元，小数点后第5位四舍五入，由此产生的误差计入基金财产。基金管理人可以设立大额赎回情形下的净值精度应急调整机制。国家另有规定的，从其规定。</w:t>
      </w:r>
    </w:p>
    <w:p w14:paraId="6899A42F">
      <w:pPr>
        <w:spacing w:line="360" w:lineRule="auto"/>
        <w:ind w:firstLine="420" w:firstLineChars="200"/>
        <w:rPr>
          <w:rFonts w:hint="eastAsia" w:cs="Arial"/>
          <w:szCs w:val="21"/>
        </w:rPr>
      </w:pPr>
      <w:r>
        <w:rPr>
          <w:rFonts w:hint="eastAsia" w:cs="Arial"/>
          <w:szCs w:val="21"/>
        </w:rPr>
        <w:t>基金管理人于</w:t>
      </w:r>
      <w:r>
        <w:rPr>
          <w:rFonts w:hint="eastAsia" w:ascii="宋体" w:hAnsi="宋体" w:cs="Arial"/>
          <w:szCs w:val="21"/>
        </w:rPr>
        <w:t>每个估值日的次二个工作日内</w:t>
      </w:r>
      <w:r>
        <w:rPr>
          <w:rFonts w:hint="eastAsia" w:cs="Arial"/>
          <w:szCs w:val="21"/>
        </w:rPr>
        <w:t>计算基金资产净值及各类基金份额净值，经基金托管人复核，并按规定公告。</w:t>
      </w:r>
    </w:p>
    <w:p w14:paraId="26A95343">
      <w:pPr>
        <w:spacing w:line="360" w:lineRule="auto"/>
        <w:ind w:firstLine="420" w:firstLineChars="200"/>
        <w:rPr>
          <w:rFonts w:hint="eastAsia" w:cs="Arial"/>
          <w:szCs w:val="21"/>
        </w:rPr>
      </w:pPr>
      <w:r>
        <w:rPr>
          <w:rFonts w:hint="eastAsia" w:cs="Arial"/>
          <w:szCs w:val="21"/>
        </w:rPr>
        <w:t>2.复核程序</w:t>
      </w:r>
    </w:p>
    <w:p w14:paraId="57D65107">
      <w:pPr>
        <w:spacing w:line="360" w:lineRule="auto"/>
        <w:ind w:firstLine="420" w:firstLineChars="200"/>
        <w:rPr>
          <w:rFonts w:hint="eastAsia" w:cs="Arial"/>
          <w:szCs w:val="21"/>
        </w:rPr>
      </w:pPr>
      <w:r>
        <w:rPr>
          <w:rFonts w:hint="eastAsia" w:cs="Arial"/>
          <w:szCs w:val="21"/>
        </w:rPr>
        <w:t>基金管理人应对基金资产估值。但基金管理人根据法律法规或基金合同的规定暂停估值时除外。基金管理人对基金资产估值后，将各类基金份额净值结果发送基金托管人，经基金托管人复核无误后，由基金管理人按约定对外公布。</w:t>
      </w:r>
    </w:p>
    <w:p w14:paraId="3E057989">
      <w:pPr>
        <w:numPr>
          <w:ilvl w:val="0"/>
          <w:numId w:val="5"/>
        </w:numPr>
        <w:spacing w:line="360" w:lineRule="auto"/>
        <w:ind w:firstLine="420" w:firstLineChars="200"/>
        <w:rPr>
          <w:rFonts w:hint="eastAsia" w:cs="Arial"/>
          <w:szCs w:val="21"/>
        </w:rPr>
      </w:pPr>
      <w:r>
        <w:rPr>
          <w:rFonts w:hint="eastAsia" w:cs="Arial"/>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w:t>
      </w:r>
    </w:p>
    <w:p w14:paraId="6E8D39FD">
      <w:pPr>
        <w:snapToGrid w:val="0"/>
        <w:spacing w:line="360" w:lineRule="auto"/>
        <w:ind w:firstLine="420" w:firstLineChars="200"/>
        <w:rPr>
          <w:rFonts w:hint="eastAsia" w:cs="Arial"/>
          <w:szCs w:val="21"/>
        </w:rPr>
      </w:pPr>
      <w:r>
        <w:rPr>
          <w:rFonts w:hint="eastAsia" w:ascii="宋体" w:hAnsi="宋体" w:cs="Arial"/>
          <w:szCs w:val="21"/>
        </w:rPr>
        <w:t>4</w:t>
      </w:r>
      <w:r>
        <w:rPr>
          <w:rFonts w:ascii="宋体" w:hAnsi="宋体" w:cs="Arial"/>
          <w:szCs w:val="21"/>
        </w:rPr>
        <w:t>.</w:t>
      </w:r>
      <w:r>
        <w:rPr>
          <w:rFonts w:hint="eastAsia" w:ascii="宋体" w:hAnsi="宋体" w:cs="Arial"/>
          <w:szCs w:val="21"/>
        </w:rPr>
        <w:t>可以从第三方渠道获取可靠数据的，基金托管人应当主要使用第三方数据进行会计核算。对仅依赖基金管理人所提供数据且无法从其他渠道获取可靠数据进行会计核算的，相关责任由基金管理人承担。</w:t>
      </w:r>
    </w:p>
    <w:p w14:paraId="782A1E9B">
      <w:pPr>
        <w:spacing w:line="360" w:lineRule="auto"/>
        <w:ind w:firstLine="420" w:firstLineChars="200"/>
        <w:rPr>
          <w:rFonts w:hint="eastAsia" w:cs="Arial"/>
          <w:szCs w:val="21"/>
        </w:rPr>
      </w:pPr>
      <w:r>
        <w:rPr>
          <w:rFonts w:hint="eastAsia" w:cs="Arial"/>
          <w:szCs w:val="21"/>
        </w:rPr>
        <w:t>（二）基金资产的估值</w:t>
      </w:r>
    </w:p>
    <w:p w14:paraId="44C3D6F9">
      <w:pPr>
        <w:snapToGrid w:val="0"/>
        <w:spacing w:line="360" w:lineRule="auto"/>
        <w:ind w:firstLine="420" w:firstLineChars="200"/>
        <w:rPr>
          <w:szCs w:val="21"/>
        </w:rPr>
      </w:pPr>
      <w:r>
        <w:rPr>
          <w:rFonts w:hint="eastAsia"/>
          <w:szCs w:val="21"/>
        </w:rPr>
        <w:t>鉴于本基金涉及销售服务费返还，该部分费用的会计核算及支付所需要的数据由管理人负责计算并按双方协商一致的方式提供给托管人，相关责任由管理人承担</w:t>
      </w:r>
      <w:r>
        <w:rPr>
          <w:rStyle w:val="71"/>
          <w:rFonts w:hint="eastAsia" w:ascii="宋体" w:hAnsi="宋体"/>
        </w:rPr>
        <w:t>，基金托管人不承担责任</w:t>
      </w:r>
      <w:r>
        <w:rPr>
          <w:rFonts w:hint="eastAsia"/>
          <w:szCs w:val="21"/>
        </w:rPr>
        <w:t>。基金管理人及基金托管人应当按照《基金合同》的约定进行估值。</w:t>
      </w:r>
    </w:p>
    <w:p w14:paraId="091488C8">
      <w:pPr>
        <w:spacing w:line="360" w:lineRule="auto"/>
        <w:ind w:firstLine="420" w:firstLineChars="200"/>
        <w:rPr>
          <w:rFonts w:hint="eastAsia" w:cs="Arial"/>
          <w:szCs w:val="21"/>
        </w:rPr>
      </w:pPr>
      <w:r>
        <w:rPr>
          <w:rFonts w:hint="eastAsia" w:cs="Arial"/>
          <w:szCs w:val="21"/>
        </w:rPr>
        <w:t>（三）基金份额净值错误的处理方式</w:t>
      </w:r>
    </w:p>
    <w:p w14:paraId="40443CAC">
      <w:pPr>
        <w:spacing w:line="360" w:lineRule="auto"/>
        <w:ind w:firstLine="420" w:firstLineChars="200"/>
        <w:rPr>
          <w:rFonts w:hint="eastAsia" w:cs="Arial"/>
          <w:szCs w:val="21"/>
        </w:rPr>
      </w:pPr>
      <w:r>
        <w:rPr>
          <w:rFonts w:hint="eastAsia" w:cs="Arial"/>
          <w:szCs w:val="21"/>
        </w:rPr>
        <w:t>基金管理人及基金托管人应当按照《基金合同》的约定处理份额净值错误。</w:t>
      </w:r>
    </w:p>
    <w:p w14:paraId="5F510BFE">
      <w:pPr>
        <w:spacing w:line="360" w:lineRule="auto"/>
        <w:ind w:firstLine="420" w:firstLineChars="200"/>
        <w:rPr>
          <w:rFonts w:hint="eastAsia" w:cs="Arial"/>
          <w:szCs w:val="21"/>
        </w:rPr>
      </w:pPr>
      <w:r>
        <w:rPr>
          <w:rFonts w:hint="eastAsia" w:cs="Arial"/>
          <w:szCs w:val="21"/>
        </w:rPr>
        <w:t>（四）基金会计制度</w:t>
      </w:r>
    </w:p>
    <w:p w14:paraId="2A791D90">
      <w:pPr>
        <w:spacing w:line="360" w:lineRule="auto"/>
        <w:ind w:firstLine="420" w:firstLineChars="200"/>
        <w:rPr>
          <w:rFonts w:hint="eastAsia" w:cs="Arial"/>
          <w:szCs w:val="21"/>
        </w:rPr>
      </w:pPr>
      <w:r>
        <w:rPr>
          <w:rFonts w:hint="eastAsia" w:cs="Arial"/>
          <w:szCs w:val="21"/>
        </w:rPr>
        <w:t>按国家有关部门规定的会计制度执行。</w:t>
      </w:r>
    </w:p>
    <w:p w14:paraId="58D71F7F">
      <w:pPr>
        <w:spacing w:line="360" w:lineRule="auto"/>
        <w:ind w:firstLine="420" w:firstLineChars="200"/>
        <w:rPr>
          <w:rFonts w:hint="eastAsia" w:cs="Arial"/>
          <w:szCs w:val="21"/>
        </w:rPr>
      </w:pPr>
      <w:r>
        <w:rPr>
          <w:rFonts w:hint="eastAsia" w:cs="Arial"/>
          <w:szCs w:val="21"/>
        </w:rPr>
        <w:t>（五）基金账册的建立</w:t>
      </w:r>
    </w:p>
    <w:p w14:paraId="093B30A5">
      <w:pPr>
        <w:spacing w:line="360" w:lineRule="auto"/>
        <w:ind w:firstLine="420" w:firstLineChars="200"/>
        <w:rPr>
          <w:rFonts w:hint="eastAsia" w:cs="Arial"/>
          <w:szCs w:val="21"/>
        </w:rPr>
      </w:pPr>
      <w:r>
        <w:rPr>
          <w:rFonts w:hint="eastAsia" w:cs="Arial"/>
          <w:szCs w:val="21"/>
        </w:rPr>
        <w:t>基金管理人和基金托管人在基金合同生效后，应按照双方约定的同一记账方法和会计处理原则，分别独立地设置、记录和保管本基金的全套账册，对相关各方各自的账册定期进行核对，互相监督，以保证基金资产的安全。若基金管理人和基金托管人对会计处理方法存在分歧，应以基金管理人的处理方法为准。</w:t>
      </w:r>
    </w:p>
    <w:p w14:paraId="53260190">
      <w:pPr>
        <w:spacing w:line="360" w:lineRule="auto"/>
        <w:ind w:firstLine="420" w:firstLineChars="200"/>
        <w:rPr>
          <w:rFonts w:hint="eastAsia" w:cs="Arial"/>
          <w:szCs w:val="21"/>
        </w:rPr>
      </w:pPr>
      <w:r>
        <w:rPr>
          <w:rFonts w:hint="eastAsia" w:cs="Arial"/>
          <w:szCs w:val="21"/>
        </w:rPr>
        <w:t>（六）基金财务报表与报告的编制和复核</w:t>
      </w:r>
    </w:p>
    <w:p w14:paraId="52095413">
      <w:pPr>
        <w:spacing w:line="360" w:lineRule="auto"/>
        <w:ind w:firstLine="420" w:firstLineChars="200"/>
        <w:rPr>
          <w:rFonts w:hint="eastAsia" w:cs="Arial"/>
          <w:szCs w:val="21"/>
        </w:rPr>
      </w:pPr>
      <w:r>
        <w:rPr>
          <w:rFonts w:hint="eastAsia" w:cs="Arial"/>
          <w:szCs w:val="21"/>
        </w:rPr>
        <w:t>1.财务报表的编制</w:t>
      </w:r>
    </w:p>
    <w:p w14:paraId="43AD15B7">
      <w:pPr>
        <w:spacing w:line="360" w:lineRule="auto"/>
        <w:ind w:firstLine="420" w:firstLineChars="200"/>
        <w:rPr>
          <w:rFonts w:hint="eastAsia" w:cs="Arial"/>
          <w:szCs w:val="21"/>
        </w:rPr>
      </w:pPr>
      <w:r>
        <w:rPr>
          <w:rFonts w:hint="eastAsia" w:cs="Arial"/>
          <w:szCs w:val="21"/>
        </w:rPr>
        <w:t>基金财务报表由基金管理人编制，基金托管人复核。</w:t>
      </w:r>
    </w:p>
    <w:p w14:paraId="15BEA411">
      <w:pPr>
        <w:spacing w:line="360" w:lineRule="auto"/>
        <w:ind w:firstLine="420" w:firstLineChars="200"/>
        <w:rPr>
          <w:rFonts w:hint="eastAsia" w:cs="Arial"/>
          <w:szCs w:val="21"/>
        </w:rPr>
      </w:pPr>
      <w:r>
        <w:rPr>
          <w:rFonts w:hint="eastAsia" w:cs="Arial"/>
          <w:szCs w:val="21"/>
        </w:rPr>
        <w:t>2.报表复核</w:t>
      </w:r>
    </w:p>
    <w:p w14:paraId="1782C4ED">
      <w:pPr>
        <w:spacing w:line="360" w:lineRule="auto"/>
        <w:ind w:firstLine="420" w:firstLineChars="200"/>
        <w:rPr>
          <w:rFonts w:hint="eastAsia" w:cs="Arial"/>
          <w:szCs w:val="21"/>
        </w:rPr>
      </w:pPr>
      <w:r>
        <w:rPr>
          <w:rFonts w:hint="eastAsia" w:cs="Arial"/>
          <w:szCs w:val="21"/>
        </w:rPr>
        <w:t>基金托管人在收到基金管理人编制的基金财务报表后，进行独立的复核。核对不符时，应及时通知基金管理人共同查出原因，进行调整，直至双方数据完全一致。</w:t>
      </w:r>
    </w:p>
    <w:p w14:paraId="17BF8BC5">
      <w:pPr>
        <w:spacing w:line="360" w:lineRule="auto"/>
        <w:ind w:firstLine="420" w:firstLineChars="200"/>
        <w:rPr>
          <w:rFonts w:hint="eastAsia" w:cs="Arial"/>
          <w:szCs w:val="21"/>
        </w:rPr>
      </w:pPr>
      <w:r>
        <w:rPr>
          <w:rFonts w:hint="eastAsia" w:cs="Arial"/>
          <w:szCs w:val="21"/>
        </w:rPr>
        <w:t>3.财务报表的编制与复核时间安排</w:t>
      </w:r>
    </w:p>
    <w:p w14:paraId="67B3DB38">
      <w:pPr>
        <w:snapToGrid w:val="0"/>
        <w:spacing w:line="360" w:lineRule="auto"/>
        <w:ind w:firstLine="420" w:firstLineChars="200"/>
        <w:rPr>
          <w:rFonts w:hint="eastAsia" w:cs="Arial"/>
          <w:szCs w:val="21"/>
        </w:rPr>
      </w:pPr>
      <w:r>
        <w:rPr>
          <w:rFonts w:hint="eastAsia" w:cs="Arial"/>
          <w:szCs w:val="21"/>
        </w:rPr>
        <w:t>基金管理人、基金托管人应当在每月结束后5个工作日内完成月度报表的编制及复核；在每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符合《证券法》规定的会计师事务所审计。基金合同生效不足两个月的，基金管理人可以不编制当期季度报告、中期报告或者年度报告。</w:t>
      </w:r>
    </w:p>
    <w:p w14:paraId="3EA52092">
      <w:pPr>
        <w:snapToGrid w:val="0"/>
        <w:spacing w:line="360" w:lineRule="auto"/>
        <w:ind w:firstLine="420" w:firstLineChars="200"/>
        <w:rPr>
          <w:rFonts w:hint="eastAsia" w:cs="Arial"/>
          <w:szCs w:val="21"/>
        </w:rPr>
      </w:pPr>
      <w:r>
        <w:rPr>
          <w:rFonts w:hint="eastAsia" w:ascii="宋体" w:hAnsi="宋体" w:cs="Arial"/>
          <w:szCs w:val="21"/>
        </w:rPr>
        <w:t>（七）在有需要时，基金管理人应每季度（但无义务）向基金托管人提供基金业绩比较基准的基础数据和编制结果。</w:t>
      </w:r>
    </w:p>
    <w:p w14:paraId="77587118">
      <w:pPr>
        <w:spacing w:line="360" w:lineRule="auto"/>
        <w:ind w:firstLine="422" w:firstLineChars="200"/>
        <w:rPr>
          <w:b/>
          <w:szCs w:val="21"/>
        </w:rPr>
      </w:pPr>
      <w:r>
        <w:rPr>
          <w:rFonts w:hint="eastAsia"/>
          <w:b/>
          <w:szCs w:val="21"/>
        </w:rPr>
        <w:t>六、基金份额持有人名册的保管</w:t>
      </w:r>
    </w:p>
    <w:p w14:paraId="7F60B788">
      <w:pPr>
        <w:spacing w:line="360" w:lineRule="auto"/>
        <w:ind w:firstLine="420" w:firstLineChars="200"/>
        <w:rPr>
          <w:rFonts w:hint="eastAsia" w:cs="Arial"/>
          <w:kern w:val="24"/>
          <w:szCs w:val="21"/>
        </w:rPr>
      </w:pPr>
      <w:r>
        <w:rPr>
          <w:rFonts w:hint="eastAsia" w:cs="Arial"/>
          <w:kern w:val="24"/>
          <w:szCs w:val="21"/>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期限。如不能妥善保管，则按相关法律法规承担责任。</w:t>
      </w:r>
    </w:p>
    <w:p w14:paraId="3EDDF223">
      <w:pPr>
        <w:spacing w:line="360" w:lineRule="auto"/>
        <w:ind w:firstLine="420" w:firstLineChars="200"/>
        <w:rPr>
          <w:rFonts w:hint="eastAsia"/>
          <w:b/>
          <w:szCs w:val="21"/>
        </w:rPr>
      </w:pPr>
      <w:r>
        <w:rPr>
          <w:rFonts w:hint="eastAsia" w:cs="Arial"/>
          <w:kern w:val="24"/>
          <w:szCs w:val="21"/>
        </w:rPr>
        <w:t>在基金托管人要求或编制中期报告和年度报告前，基金管理人应将有关资料送交基金托管人，不得无故拒绝或延误提供，并保证其的真实性、准确性和完整性。基金管理人和托管人不得将所保管的基金份额持有人名册用于基金托管业务以外的其他用途，并应遵守保密义务。</w:t>
      </w:r>
    </w:p>
    <w:p w14:paraId="7E69D940">
      <w:pPr>
        <w:spacing w:line="360" w:lineRule="auto"/>
        <w:ind w:firstLine="422" w:firstLineChars="200"/>
        <w:rPr>
          <w:b/>
          <w:szCs w:val="21"/>
        </w:rPr>
      </w:pPr>
      <w:r>
        <w:rPr>
          <w:rFonts w:hint="eastAsia"/>
          <w:b/>
          <w:szCs w:val="21"/>
        </w:rPr>
        <w:t>七、争议解决方式</w:t>
      </w:r>
    </w:p>
    <w:p w14:paraId="3C1633C8">
      <w:pPr>
        <w:spacing w:line="360" w:lineRule="auto"/>
        <w:ind w:firstLine="420" w:firstLineChars="200"/>
        <w:rPr>
          <w:rFonts w:hint="eastAsia"/>
        </w:rPr>
      </w:pPr>
      <w:r>
        <w:rPr>
          <w:rFonts w:hint="eastAsia"/>
        </w:rPr>
        <w:t>双方当事人同意，因本协议而产生的或与本协议有关的一切争议，如经友好协商、调解未能解决的，任何一方均有权将争议提交深圳国际仲裁院（深圳仲裁委员会），按照深圳国际仲裁院（深圳仲裁委员会）届时有效的仲裁规则进行仲裁。仲裁地点为深圳市。仲裁裁决是终局的，对双方当事人均有约束力，除裁决另有规定的，仲裁费用、律师费用由败诉方承担。</w:t>
      </w:r>
    </w:p>
    <w:p w14:paraId="1BF0B508">
      <w:pPr>
        <w:spacing w:line="360" w:lineRule="auto"/>
        <w:ind w:firstLine="420" w:firstLineChars="200"/>
        <w:rPr>
          <w:rFonts w:hint="eastAsia"/>
        </w:rPr>
      </w:pPr>
      <w:r>
        <w:rPr>
          <w:rFonts w:hint="eastAsia"/>
        </w:rPr>
        <w:t>争议处理期间，双方当事人应恪守基金管理人和基金托管人职责，各自继续忠实、勤勉、尽责地履行基金合同和本托管协议规定的义务，维护基金份额持有人的合法权益。</w:t>
      </w:r>
    </w:p>
    <w:p w14:paraId="35191343">
      <w:pPr>
        <w:spacing w:line="360" w:lineRule="auto"/>
        <w:ind w:firstLine="420" w:firstLineChars="200"/>
        <w:rPr>
          <w:rFonts w:hint="eastAsia"/>
          <w:b/>
          <w:szCs w:val="21"/>
        </w:rPr>
      </w:pPr>
      <w:r>
        <w:rPr>
          <w:rFonts w:hint="eastAsia"/>
        </w:rPr>
        <w:t>本协议受中华人民共和国法律（为托管协议之目的，在此不包括香港、澳门特别行政区法律和台湾地区的有关规定）管辖并从其解释。</w:t>
      </w:r>
    </w:p>
    <w:p w14:paraId="44FBAABB">
      <w:pPr>
        <w:spacing w:line="360" w:lineRule="auto"/>
        <w:ind w:firstLine="422" w:firstLineChars="200"/>
        <w:rPr>
          <w:b/>
          <w:szCs w:val="21"/>
        </w:rPr>
      </w:pPr>
      <w:r>
        <w:rPr>
          <w:rFonts w:hint="eastAsia"/>
          <w:b/>
          <w:szCs w:val="21"/>
        </w:rPr>
        <w:t>八、基金托管协议的变更、终止与基金财产的清算</w:t>
      </w:r>
    </w:p>
    <w:p w14:paraId="19122E43">
      <w:pPr>
        <w:spacing w:line="360" w:lineRule="auto"/>
        <w:ind w:firstLine="420" w:firstLineChars="200"/>
        <w:rPr>
          <w:rFonts w:hint="eastAsia"/>
        </w:rPr>
      </w:pPr>
      <w:r>
        <w:rPr>
          <w:rFonts w:hint="eastAsia"/>
        </w:rPr>
        <w:t>（一）托管协议的变更程序</w:t>
      </w:r>
    </w:p>
    <w:p w14:paraId="2C11B08A">
      <w:pPr>
        <w:spacing w:line="360" w:lineRule="auto"/>
        <w:ind w:firstLine="420" w:firstLineChars="200"/>
        <w:rPr>
          <w:rFonts w:hint="eastAsia"/>
        </w:rPr>
      </w:pPr>
      <w:r>
        <w:rPr>
          <w:rFonts w:hint="eastAsia"/>
        </w:rPr>
        <w:t>本协议双方当事人经协商一致并履行适当程序后，可以对协议进行修改。修改后的新协议，其内容不得与基金合同的规定有任何冲突。</w:t>
      </w:r>
    </w:p>
    <w:p w14:paraId="4B253246">
      <w:pPr>
        <w:spacing w:line="360" w:lineRule="auto"/>
        <w:ind w:firstLine="420" w:firstLineChars="200"/>
        <w:rPr>
          <w:rFonts w:hint="eastAsia"/>
        </w:rPr>
      </w:pPr>
      <w:r>
        <w:rPr>
          <w:rFonts w:hint="eastAsia"/>
        </w:rPr>
        <w:t>（二）基金托管协议终止的情形</w:t>
      </w:r>
    </w:p>
    <w:p w14:paraId="1CDEAB1C">
      <w:pPr>
        <w:spacing w:line="360" w:lineRule="auto"/>
        <w:ind w:firstLine="420" w:firstLineChars="200"/>
        <w:rPr>
          <w:rFonts w:hint="eastAsia"/>
        </w:rPr>
      </w:pPr>
      <w:r>
        <w:rPr>
          <w:rFonts w:hint="eastAsia"/>
        </w:rPr>
        <w:t>1、《基金合同》终止；</w:t>
      </w:r>
    </w:p>
    <w:p w14:paraId="021B031D">
      <w:pPr>
        <w:spacing w:line="360" w:lineRule="auto"/>
        <w:ind w:firstLine="420" w:firstLineChars="200"/>
        <w:rPr>
          <w:rFonts w:hint="eastAsia"/>
        </w:rPr>
      </w:pPr>
      <w:r>
        <w:rPr>
          <w:rFonts w:hint="eastAsia"/>
        </w:rPr>
        <w:t>2、基金托管人因解散、破产、撤销等事由，不能继续担任基金托管人的职务，而在6个月内无其他适当的托管机构承接其原有权利义务；</w:t>
      </w:r>
    </w:p>
    <w:p w14:paraId="2772CD1C">
      <w:pPr>
        <w:spacing w:line="360" w:lineRule="auto"/>
        <w:ind w:firstLine="420" w:firstLineChars="200"/>
        <w:rPr>
          <w:rFonts w:hint="eastAsia"/>
        </w:rPr>
      </w:pPr>
      <w:r>
        <w:rPr>
          <w:rFonts w:hint="eastAsia"/>
        </w:rPr>
        <w:t>3、基金管理人因解散、破产、撤销等事由，不能继续担任基金管理人的职务，而在6个月内无其他适当的基金管理公司承接其原有权利义务；</w:t>
      </w:r>
    </w:p>
    <w:p w14:paraId="7642F713">
      <w:pPr>
        <w:spacing w:line="360" w:lineRule="auto"/>
        <w:ind w:firstLine="420" w:firstLineChars="200"/>
        <w:rPr>
          <w:rFonts w:hint="eastAsia"/>
        </w:rPr>
      </w:pPr>
      <w:r>
        <w:rPr>
          <w:rFonts w:hint="eastAsia"/>
        </w:rPr>
        <w:t>4、发生法律法规、中国证监会或《基金合同》规定的其他终止事项。</w:t>
      </w:r>
    </w:p>
    <w:p w14:paraId="30B1275C">
      <w:pPr>
        <w:spacing w:line="360" w:lineRule="auto"/>
        <w:ind w:firstLine="420" w:firstLineChars="200"/>
        <w:rPr>
          <w:rFonts w:hint="eastAsia"/>
        </w:rPr>
      </w:pPr>
      <w:r>
        <w:rPr>
          <w:rFonts w:hint="eastAsia"/>
        </w:rPr>
        <w:t>（三）基金财产的清算</w:t>
      </w:r>
    </w:p>
    <w:p w14:paraId="1B7A2B56">
      <w:pPr>
        <w:spacing w:line="360" w:lineRule="auto"/>
        <w:ind w:firstLine="420" w:firstLineChars="200"/>
        <w:rPr>
          <w:rFonts w:hint="eastAsia"/>
        </w:rPr>
      </w:pPr>
      <w:r>
        <w:rPr>
          <w:rFonts w:hint="eastAsia"/>
        </w:rPr>
        <w:t>基金管理人与基金托管人按照《基金合同》的约定处理基金财产的清算。</w:t>
      </w:r>
      <w:bookmarkEnd w:id="55"/>
    </w:p>
    <w:p w14:paraId="619D1D9F">
      <w:pPr>
        <w:spacing w:line="360" w:lineRule="auto"/>
        <w:ind w:firstLine="420" w:firstLineChars="200"/>
        <w:rPr>
          <w:rFonts w:hint="eastAsia"/>
        </w:rPr>
      </w:pPr>
    </w:p>
    <w:p w14:paraId="68FE9D56">
      <w:pPr>
        <w:spacing w:line="360" w:lineRule="auto"/>
        <w:ind w:firstLine="420" w:firstLineChars="200"/>
        <w:sectPr>
          <w:footerReference r:id="rId26" w:type="default"/>
          <w:pgSz w:w="11906" w:h="16838"/>
          <w:pgMar w:top="1440" w:right="1797" w:bottom="1440" w:left="1797" w:header="851" w:footer="992" w:gutter="0"/>
          <w:pgNumType w:start="1"/>
          <w:cols w:space="720" w:num="1"/>
          <w:docGrid w:linePitch="312" w:charSpace="0"/>
        </w:sectPr>
      </w:pPr>
    </w:p>
    <w:p w14:paraId="47C53CE6">
      <w:pPr>
        <w:pStyle w:val="2"/>
        <w:spacing w:before="72" w:beforeLines="30" w:after="72" w:afterLines="30" w:line="360" w:lineRule="auto"/>
        <w:jc w:val="center"/>
        <w:rPr>
          <w:rFonts w:hint="eastAsia" w:cs="Tahoma"/>
          <w:szCs w:val="21"/>
        </w:rPr>
      </w:pPr>
      <w:bookmarkStart w:id="56" w:name="_Toc48231688"/>
      <w:r>
        <w:rPr>
          <w:rFonts w:hint="eastAsia" w:eastAsia="宋体"/>
          <w:b/>
          <w:sz w:val="28"/>
          <w:szCs w:val="24"/>
        </w:rPr>
        <w:t xml:space="preserve">第二十一部分 </w:t>
      </w:r>
      <w:r>
        <w:rPr>
          <w:rFonts w:eastAsia="宋体"/>
          <w:b/>
          <w:sz w:val="28"/>
          <w:szCs w:val="24"/>
        </w:rPr>
        <w:t>对基金份额持有人的服务</w:t>
      </w:r>
      <w:bookmarkEnd w:id="56"/>
    </w:p>
    <w:p w14:paraId="39C07FE0">
      <w:pPr>
        <w:spacing w:line="360" w:lineRule="auto"/>
        <w:ind w:firstLine="420" w:firstLineChars="200"/>
        <w:rPr>
          <w:rFonts w:cs="Tahoma"/>
          <w:szCs w:val="21"/>
        </w:rPr>
      </w:pPr>
      <w:r>
        <w:rPr>
          <w:rFonts w:cs="Tahoma"/>
          <w:szCs w:val="21"/>
        </w:rPr>
        <w:t>对本基金</w:t>
      </w:r>
      <w:r>
        <w:rPr>
          <w:rFonts w:hint="eastAsia" w:cs="Tahoma"/>
          <w:szCs w:val="21"/>
        </w:rPr>
        <w:t>基金</w:t>
      </w:r>
      <w:r>
        <w:rPr>
          <w:rFonts w:cs="Tahoma"/>
          <w:szCs w:val="21"/>
        </w:rPr>
        <w:t>份额持有人的服务主要由基金管理人、</w:t>
      </w:r>
      <w:r>
        <w:rPr>
          <w:rFonts w:hint="eastAsia" w:cs="Tahoma"/>
          <w:szCs w:val="21"/>
        </w:rPr>
        <w:t>基金销售机构</w:t>
      </w:r>
      <w:r>
        <w:rPr>
          <w:rFonts w:cs="Tahoma"/>
          <w:szCs w:val="21"/>
        </w:rPr>
        <w:t>提供。基金管理人承诺为基金份额持有人提供一系列的服务，根据基金份额持有人的需要和市场的变化，有权增加和修改服务项目。</w:t>
      </w:r>
      <w:r>
        <w:rPr>
          <w:rFonts w:hint="eastAsia" w:cs="Tahoma"/>
          <w:szCs w:val="21"/>
        </w:rPr>
        <w:t>主要</w:t>
      </w:r>
      <w:r>
        <w:rPr>
          <w:rFonts w:cs="Tahoma"/>
          <w:szCs w:val="21"/>
        </w:rPr>
        <w:t>服务内容如下：</w:t>
      </w:r>
    </w:p>
    <w:p w14:paraId="0AF25728">
      <w:pPr>
        <w:snapToGrid w:val="0"/>
        <w:spacing w:line="360" w:lineRule="auto"/>
        <w:ind w:firstLine="422" w:firstLineChars="200"/>
        <w:rPr>
          <w:rFonts w:cs="Arial"/>
          <w:b/>
          <w:bCs/>
          <w:szCs w:val="21"/>
        </w:rPr>
      </w:pPr>
      <w:r>
        <w:rPr>
          <w:rFonts w:hint="eastAsia" w:cs="Arial"/>
          <w:b/>
          <w:bCs/>
          <w:szCs w:val="21"/>
        </w:rPr>
        <w:t>一、基金份额</w:t>
      </w:r>
      <w:r>
        <w:rPr>
          <w:rFonts w:cs="Arial"/>
          <w:b/>
          <w:bCs/>
          <w:szCs w:val="21"/>
        </w:rPr>
        <w:t>持有人交易资料的寄送服务</w:t>
      </w:r>
    </w:p>
    <w:p w14:paraId="44AACFB5">
      <w:pPr>
        <w:spacing w:line="360" w:lineRule="auto"/>
        <w:ind w:firstLine="420" w:firstLineChars="200"/>
        <w:rPr>
          <w:rFonts w:hint="eastAsia" w:cs="Tahoma"/>
          <w:szCs w:val="21"/>
        </w:rPr>
      </w:pPr>
      <w:r>
        <w:rPr>
          <w:rFonts w:hint="eastAsia" w:cs="Tahoma"/>
          <w:szCs w:val="21"/>
        </w:rPr>
        <w:t>1、交易确认单</w:t>
      </w:r>
    </w:p>
    <w:p w14:paraId="0C330D77">
      <w:pPr>
        <w:spacing w:line="360" w:lineRule="auto"/>
        <w:ind w:firstLine="420" w:firstLineChars="200"/>
        <w:rPr>
          <w:rFonts w:hint="eastAsia" w:cs="Tahoma"/>
          <w:szCs w:val="21"/>
        </w:rPr>
      </w:pPr>
      <w:r>
        <w:rPr>
          <w:rFonts w:hint="eastAsia" w:cs="Tahoma"/>
          <w:szCs w:val="21"/>
        </w:rPr>
        <w:t>基金合同生效后正常开放期，每次交易结束后，投资者可在T+3个工作日后通过销售机构的网点柜台或以销售机构规定的其他方式查询和打印交易确认单，或在T+4日后(包括该日)个工作日后通过博时一线通电话、博时网站查询交易确认情况。基金管理人不向投资者寄送交易确认单。</w:t>
      </w:r>
    </w:p>
    <w:p w14:paraId="25F5FB54">
      <w:pPr>
        <w:spacing w:line="360" w:lineRule="auto"/>
        <w:ind w:firstLine="420" w:firstLineChars="200"/>
        <w:rPr>
          <w:rFonts w:hint="eastAsia" w:cs="Tahoma"/>
          <w:szCs w:val="21"/>
        </w:rPr>
      </w:pPr>
      <w:r>
        <w:rPr>
          <w:rFonts w:hint="eastAsia" w:cs="Tahoma"/>
          <w:szCs w:val="21"/>
        </w:rPr>
        <w:t>2、电子对账单</w:t>
      </w:r>
    </w:p>
    <w:p w14:paraId="2E6DE76C">
      <w:pPr>
        <w:spacing w:line="360" w:lineRule="auto"/>
        <w:ind w:firstLine="420" w:firstLineChars="200"/>
        <w:rPr>
          <w:rFonts w:hint="eastAsia" w:cs="Tahoma"/>
          <w:szCs w:val="21"/>
        </w:rPr>
      </w:pPr>
      <w:r>
        <w:rPr>
          <w:rFonts w:hint="eastAsia" w:cs="Tahoma"/>
          <w:szCs w:val="21"/>
        </w:rPr>
        <w:t>每月结束后，基金管理人向所有订阅电子邮件对账单的投资者发送电子邮件对账单。</w:t>
      </w:r>
    </w:p>
    <w:p w14:paraId="3451650E">
      <w:pPr>
        <w:spacing w:line="360" w:lineRule="auto"/>
        <w:ind w:firstLine="420" w:firstLineChars="200"/>
        <w:rPr>
          <w:rFonts w:hint="eastAsia" w:cs="Tahoma"/>
          <w:szCs w:val="21"/>
        </w:rPr>
      </w:pPr>
      <w:r>
        <w:rPr>
          <w:rFonts w:hint="eastAsia" w:cs="Tahoma"/>
          <w:szCs w:val="21"/>
        </w:rPr>
        <w:t>投资者可以登录基金管理人网站（https://www.bosera.com）自助订阅；或发送“订阅电子对账单”邮件到客服邮箱service@bosera.com；也可直接拨打博时一线通95105568（免长途话费）订阅。</w:t>
      </w:r>
    </w:p>
    <w:p w14:paraId="7209F0D4">
      <w:pPr>
        <w:spacing w:line="360" w:lineRule="auto"/>
        <w:ind w:firstLine="420" w:firstLineChars="200"/>
        <w:rPr>
          <w:rFonts w:cs="Tahoma"/>
          <w:szCs w:val="21"/>
        </w:rPr>
      </w:pPr>
      <w:r>
        <w:rPr>
          <w:rFonts w:hint="eastAsia" w:cs="Tahoma"/>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14:paraId="56598BB9">
      <w:pPr>
        <w:snapToGrid w:val="0"/>
        <w:spacing w:line="360" w:lineRule="auto"/>
        <w:ind w:firstLine="422" w:firstLineChars="200"/>
        <w:rPr>
          <w:rFonts w:cs="Arial"/>
          <w:b/>
          <w:bCs/>
          <w:szCs w:val="21"/>
        </w:rPr>
      </w:pPr>
      <w:r>
        <w:rPr>
          <w:rFonts w:hint="eastAsia" w:cs="Arial"/>
          <w:b/>
          <w:szCs w:val="21"/>
        </w:rPr>
        <w:t>二、</w:t>
      </w:r>
      <w:r>
        <w:rPr>
          <w:rFonts w:cs="Arial"/>
          <w:b/>
          <w:bCs/>
          <w:szCs w:val="21"/>
        </w:rPr>
        <w:t>网上</w:t>
      </w:r>
      <w:r>
        <w:rPr>
          <w:rFonts w:hint="eastAsia" w:cs="Arial"/>
          <w:b/>
          <w:bCs/>
          <w:szCs w:val="21"/>
        </w:rPr>
        <w:t>理财</w:t>
      </w:r>
      <w:r>
        <w:rPr>
          <w:rFonts w:cs="Arial"/>
          <w:b/>
          <w:bCs/>
          <w:szCs w:val="21"/>
        </w:rPr>
        <w:t>服务</w:t>
      </w:r>
    </w:p>
    <w:p w14:paraId="45A634A2">
      <w:pPr>
        <w:spacing w:line="360" w:lineRule="auto"/>
        <w:ind w:firstLine="420" w:firstLineChars="200"/>
        <w:rPr>
          <w:rFonts w:hint="eastAsia" w:cs="Tahoma"/>
          <w:szCs w:val="21"/>
        </w:rPr>
      </w:pPr>
      <w:r>
        <w:rPr>
          <w:rFonts w:hint="eastAsia" w:cs="Tahoma"/>
          <w:szCs w:val="21"/>
        </w:rPr>
        <w:t>通过基金管理人网站，投资者可获得如下服务：</w:t>
      </w:r>
    </w:p>
    <w:p w14:paraId="545ABE98">
      <w:pPr>
        <w:spacing w:line="360" w:lineRule="auto"/>
        <w:ind w:firstLine="420" w:firstLineChars="200"/>
        <w:rPr>
          <w:rFonts w:hint="eastAsia" w:cs="Tahoma"/>
          <w:szCs w:val="21"/>
        </w:rPr>
      </w:pPr>
      <w:r>
        <w:rPr>
          <w:rFonts w:hint="eastAsia" w:cs="Tahoma"/>
          <w:szCs w:val="21"/>
        </w:rPr>
        <w:t>1、自助开户交易</w:t>
      </w:r>
    </w:p>
    <w:p w14:paraId="24E5A68B">
      <w:pPr>
        <w:spacing w:line="360" w:lineRule="auto"/>
        <w:ind w:firstLine="420" w:firstLineChars="200"/>
        <w:rPr>
          <w:rFonts w:hint="eastAsia" w:cs="Tahoma"/>
          <w:szCs w:val="21"/>
        </w:rPr>
      </w:pPr>
      <w:r>
        <w:rPr>
          <w:rFonts w:hint="eastAsia" w:cs="Tahoma"/>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14:paraId="6D814E49">
      <w:pPr>
        <w:spacing w:line="360" w:lineRule="auto"/>
        <w:ind w:firstLine="420" w:firstLineChars="200"/>
        <w:rPr>
          <w:rFonts w:hint="eastAsia" w:cs="Tahoma"/>
          <w:szCs w:val="21"/>
        </w:rPr>
      </w:pPr>
      <w:r>
        <w:rPr>
          <w:rFonts w:hint="eastAsia" w:cs="Tahoma"/>
          <w:szCs w:val="21"/>
        </w:rPr>
        <w:t>2、查询服务</w:t>
      </w:r>
    </w:p>
    <w:p w14:paraId="0EAB2269">
      <w:pPr>
        <w:spacing w:line="360" w:lineRule="auto"/>
        <w:ind w:firstLine="420" w:firstLineChars="200"/>
        <w:rPr>
          <w:rFonts w:hint="eastAsia" w:cs="Tahoma"/>
          <w:szCs w:val="21"/>
        </w:rPr>
      </w:pPr>
      <w:r>
        <w:rPr>
          <w:rFonts w:hint="eastAsia" w:cs="Tahoma"/>
          <w:szCs w:val="21"/>
        </w:rPr>
        <w:t>投资者可以通过基金管理人网站查询所持有基金的基金份额、交易记录等信息，同时可以修改基金账户信息等基本资料。</w:t>
      </w:r>
    </w:p>
    <w:p w14:paraId="6CB08952">
      <w:pPr>
        <w:spacing w:line="360" w:lineRule="auto"/>
        <w:ind w:firstLine="420" w:firstLineChars="200"/>
        <w:rPr>
          <w:rFonts w:hint="eastAsia" w:cs="Tahoma"/>
          <w:szCs w:val="21"/>
        </w:rPr>
      </w:pPr>
      <w:r>
        <w:rPr>
          <w:rFonts w:hint="eastAsia" w:cs="Tahoma"/>
          <w:szCs w:val="21"/>
        </w:rPr>
        <w:t>3、信息资讯服务</w:t>
      </w:r>
    </w:p>
    <w:p w14:paraId="5405F755">
      <w:pPr>
        <w:spacing w:line="360" w:lineRule="auto"/>
        <w:ind w:firstLine="420" w:firstLineChars="200"/>
        <w:rPr>
          <w:rFonts w:hint="eastAsia" w:cs="Tahoma"/>
          <w:szCs w:val="21"/>
        </w:rPr>
      </w:pPr>
      <w:r>
        <w:rPr>
          <w:rFonts w:hint="eastAsia" w:cs="Tahoma"/>
          <w:szCs w:val="21"/>
        </w:rPr>
        <w:t>投资者可以利用基金管理人网站获取基金和基金管理人各类信息，包括基金法律文件、基金管理人最新动态、热点问题等。</w:t>
      </w:r>
    </w:p>
    <w:p w14:paraId="6068D22B">
      <w:pPr>
        <w:spacing w:line="360" w:lineRule="auto"/>
        <w:ind w:firstLine="420" w:firstLineChars="200"/>
        <w:rPr>
          <w:rFonts w:hint="eastAsia" w:cs="Tahoma"/>
          <w:szCs w:val="21"/>
        </w:rPr>
      </w:pPr>
      <w:r>
        <w:rPr>
          <w:rFonts w:hint="eastAsia" w:cs="Tahoma"/>
          <w:szCs w:val="21"/>
        </w:rPr>
        <w:t>4、在线客服</w:t>
      </w:r>
    </w:p>
    <w:p w14:paraId="28968750">
      <w:pPr>
        <w:spacing w:line="360" w:lineRule="auto"/>
        <w:ind w:firstLine="420" w:firstLineChars="200"/>
        <w:rPr>
          <w:rFonts w:cs="Tahoma"/>
          <w:szCs w:val="21"/>
        </w:rPr>
      </w:pPr>
      <w:r>
        <w:rPr>
          <w:rFonts w:hint="eastAsia" w:cs="Tahoma"/>
          <w:szCs w:val="21"/>
        </w:rPr>
        <w:t>投资者可以通过基金管理人网站首页“在线客服”功能进行在线咨询。也可以在“您问我答”栏目中，直接提出有关本基金的问题和建议。</w:t>
      </w:r>
    </w:p>
    <w:p w14:paraId="177ACA0C">
      <w:pPr>
        <w:snapToGrid w:val="0"/>
        <w:spacing w:line="360" w:lineRule="auto"/>
        <w:ind w:firstLine="422" w:firstLineChars="200"/>
        <w:rPr>
          <w:rFonts w:cs="Arial"/>
          <w:b/>
          <w:bCs/>
          <w:szCs w:val="21"/>
        </w:rPr>
      </w:pPr>
      <w:r>
        <w:rPr>
          <w:rFonts w:hint="eastAsia" w:cs="Arial"/>
          <w:b/>
          <w:bCs/>
          <w:szCs w:val="21"/>
        </w:rPr>
        <w:t>三、短信</w:t>
      </w:r>
      <w:r>
        <w:rPr>
          <w:rFonts w:cs="Arial"/>
          <w:b/>
          <w:bCs/>
          <w:szCs w:val="21"/>
        </w:rPr>
        <w:t>服务</w:t>
      </w:r>
    </w:p>
    <w:p w14:paraId="730C4CB1">
      <w:pPr>
        <w:snapToGrid w:val="0"/>
        <w:spacing w:line="360" w:lineRule="auto"/>
        <w:ind w:firstLine="420" w:firstLineChars="200"/>
        <w:rPr>
          <w:rFonts w:cs="Arial"/>
          <w:b/>
          <w:bCs/>
          <w:szCs w:val="21"/>
        </w:rPr>
      </w:pPr>
      <w:r>
        <w:rPr>
          <w:rFonts w:hint="eastAsia"/>
          <w:szCs w:val="21"/>
        </w:rPr>
        <w:t>基金管理人向订制短信服务的基金份额持有人提供相应短信服务。</w:t>
      </w:r>
    </w:p>
    <w:p w14:paraId="202D3BBC">
      <w:pPr>
        <w:snapToGrid w:val="0"/>
        <w:spacing w:line="360" w:lineRule="auto"/>
        <w:ind w:firstLine="422" w:firstLineChars="200"/>
        <w:rPr>
          <w:rFonts w:cs="Arial"/>
          <w:b/>
          <w:bCs/>
          <w:szCs w:val="21"/>
        </w:rPr>
      </w:pPr>
      <w:r>
        <w:rPr>
          <w:rFonts w:hint="eastAsia" w:cs="Arial"/>
          <w:b/>
          <w:bCs/>
          <w:szCs w:val="21"/>
        </w:rPr>
        <w:t>四、电子邮件</w:t>
      </w:r>
      <w:r>
        <w:rPr>
          <w:rFonts w:cs="Arial"/>
          <w:b/>
          <w:bCs/>
          <w:szCs w:val="21"/>
        </w:rPr>
        <w:t>服务</w:t>
      </w:r>
    </w:p>
    <w:p w14:paraId="15ACF691">
      <w:pPr>
        <w:spacing w:line="360" w:lineRule="auto"/>
        <w:ind w:firstLine="420" w:firstLineChars="200"/>
        <w:rPr>
          <w:rFonts w:cs="Tahoma"/>
          <w:szCs w:val="21"/>
        </w:rPr>
      </w:pPr>
      <w:r>
        <w:rPr>
          <w:rFonts w:hint="eastAsia" w:cs="Tahoma"/>
          <w:szCs w:val="21"/>
        </w:rPr>
        <w:t>基金管理人为投资者提供电子邮件方式的业务咨询、投诉受理、基金份额净值查询等服务。</w:t>
      </w:r>
    </w:p>
    <w:p w14:paraId="3BF435DE">
      <w:pPr>
        <w:snapToGrid w:val="0"/>
        <w:spacing w:line="360" w:lineRule="auto"/>
        <w:ind w:firstLine="422" w:firstLineChars="200"/>
        <w:rPr>
          <w:rFonts w:cs="Arial"/>
          <w:b/>
          <w:bCs/>
          <w:szCs w:val="21"/>
        </w:rPr>
      </w:pPr>
      <w:r>
        <w:rPr>
          <w:rFonts w:hint="eastAsia" w:cs="Arial"/>
          <w:b/>
          <w:bCs/>
          <w:szCs w:val="21"/>
        </w:rPr>
        <w:t>五、手机理财</w:t>
      </w:r>
      <w:r>
        <w:rPr>
          <w:rFonts w:cs="Arial"/>
          <w:b/>
          <w:bCs/>
          <w:szCs w:val="21"/>
        </w:rPr>
        <w:t>服务</w:t>
      </w:r>
    </w:p>
    <w:p w14:paraId="74419199">
      <w:pPr>
        <w:snapToGrid w:val="0"/>
        <w:spacing w:line="360" w:lineRule="auto"/>
        <w:ind w:firstLine="420" w:firstLineChars="200"/>
        <w:rPr>
          <w:rFonts w:hint="eastAsia" w:cs="Tahoma"/>
          <w:szCs w:val="21"/>
        </w:rPr>
      </w:pPr>
      <w:r>
        <w:rPr>
          <w:rFonts w:hint="eastAsia" w:cs="Tahoma"/>
          <w:szCs w:val="21"/>
        </w:rPr>
        <w:t>投资者通过手机博时移动版直销网上交易系统（https://www.bosera.com）和博时App版直销网上交易系统，可以使用基金理财所需的基金交易、理财查询、账户管理、信息资讯等功能和服务。</w:t>
      </w:r>
    </w:p>
    <w:p w14:paraId="3FDD40C9">
      <w:pPr>
        <w:snapToGrid w:val="0"/>
        <w:spacing w:line="360" w:lineRule="auto"/>
        <w:ind w:firstLine="422" w:firstLineChars="200"/>
        <w:rPr>
          <w:rFonts w:cs="Arial"/>
          <w:b/>
          <w:bCs/>
          <w:szCs w:val="21"/>
        </w:rPr>
      </w:pPr>
      <w:r>
        <w:rPr>
          <w:rFonts w:hint="eastAsia" w:cs="Arial"/>
          <w:b/>
          <w:bCs/>
          <w:szCs w:val="21"/>
        </w:rPr>
        <w:t>六、信息订阅</w:t>
      </w:r>
      <w:r>
        <w:rPr>
          <w:rFonts w:cs="Arial"/>
          <w:b/>
          <w:bCs/>
          <w:szCs w:val="21"/>
        </w:rPr>
        <w:t>服务</w:t>
      </w:r>
    </w:p>
    <w:p w14:paraId="049968D1">
      <w:pPr>
        <w:spacing w:line="360" w:lineRule="auto"/>
        <w:ind w:firstLine="420" w:firstLineChars="200"/>
        <w:rPr>
          <w:rFonts w:cs="Tahoma"/>
          <w:szCs w:val="21"/>
        </w:rPr>
      </w:pPr>
      <w:r>
        <w:rPr>
          <w:rFonts w:hint="eastAsia" w:cs="Tahoma"/>
          <w:szCs w:val="21"/>
        </w:rPr>
        <w:t>投资者可以通过</w:t>
      </w:r>
      <w:r>
        <w:rPr>
          <w:rFonts w:cs="Tahoma"/>
          <w:szCs w:val="21"/>
        </w:rPr>
        <w:t>基金管理人</w:t>
      </w:r>
      <w:r>
        <w:rPr>
          <w:rFonts w:hint="eastAsia" w:cs="Tahoma"/>
          <w:szCs w:val="21"/>
        </w:rPr>
        <w:t>网站、客服中心提交信息订制的申请，</w:t>
      </w:r>
      <w:r>
        <w:rPr>
          <w:rFonts w:cs="Tahoma"/>
          <w:szCs w:val="21"/>
        </w:rPr>
        <w:t>基金管理人</w:t>
      </w:r>
      <w:r>
        <w:rPr>
          <w:rFonts w:hint="eastAsia" w:cs="Tahoma"/>
          <w:szCs w:val="21"/>
        </w:rPr>
        <w:t>将以电子邮件、手机短信的形式定期为投资者发送所订制的信息。</w:t>
      </w:r>
    </w:p>
    <w:p w14:paraId="73D53D42">
      <w:pPr>
        <w:snapToGrid w:val="0"/>
        <w:spacing w:line="360" w:lineRule="auto"/>
        <w:ind w:firstLine="422" w:firstLineChars="200"/>
        <w:rPr>
          <w:rFonts w:cs="Arial"/>
          <w:b/>
          <w:bCs/>
          <w:szCs w:val="21"/>
        </w:rPr>
      </w:pPr>
      <w:r>
        <w:rPr>
          <w:rFonts w:hint="eastAsia" w:cs="Arial"/>
          <w:b/>
          <w:bCs/>
          <w:szCs w:val="21"/>
        </w:rPr>
        <w:t>七、电话理财</w:t>
      </w:r>
      <w:r>
        <w:rPr>
          <w:rFonts w:cs="Arial"/>
          <w:b/>
          <w:bCs/>
          <w:szCs w:val="21"/>
        </w:rPr>
        <w:t>服务</w:t>
      </w:r>
    </w:p>
    <w:p w14:paraId="6BCC68DD">
      <w:pPr>
        <w:spacing w:line="360" w:lineRule="auto"/>
        <w:ind w:firstLine="420" w:firstLineChars="200"/>
        <w:rPr>
          <w:rFonts w:hint="eastAsia" w:cs="Tahoma"/>
          <w:szCs w:val="21"/>
        </w:rPr>
      </w:pPr>
      <w:r>
        <w:rPr>
          <w:rFonts w:hint="eastAsia" w:cs="Tahoma"/>
          <w:szCs w:val="21"/>
        </w:rPr>
        <w:t>投资者拨打博时一线通：95105568（免长途话费）可享有投资理财交易的一站式综合服务：</w:t>
      </w:r>
    </w:p>
    <w:p w14:paraId="535146D3">
      <w:pPr>
        <w:spacing w:line="360" w:lineRule="auto"/>
        <w:ind w:firstLine="420" w:firstLineChars="200"/>
        <w:rPr>
          <w:rFonts w:hint="eastAsia" w:cs="Tahoma"/>
          <w:szCs w:val="21"/>
        </w:rPr>
      </w:pPr>
      <w:r>
        <w:rPr>
          <w:rFonts w:hint="eastAsia" w:cs="Tahoma"/>
          <w:szCs w:val="21"/>
        </w:rPr>
        <w:t>1、自助语音服务：基金管理人自助语音系统提供7×24小时的全天候服务，投资者可以自助查询账户余额、交易情况、基金净值等信息，也可以进行直销交易、密码修改、传真索取等操作。</w:t>
      </w:r>
    </w:p>
    <w:p w14:paraId="26D4B3ED">
      <w:pPr>
        <w:spacing w:line="360" w:lineRule="auto"/>
        <w:ind w:firstLine="420" w:firstLineChars="200"/>
        <w:rPr>
          <w:rFonts w:hint="eastAsia" w:cs="Tahoma"/>
          <w:szCs w:val="21"/>
        </w:rPr>
      </w:pPr>
      <w:r>
        <w:rPr>
          <w:rFonts w:hint="eastAsia" w:cs="Tahoma"/>
          <w:szCs w:val="21"/>
        </w:rPr>
        <w:t>2、电话交易服务：基金管理人直销投资者可通过博时一线通电话交易平台在线办理基金的赎回、变更分红方式、撤单等直销交易业务。</w:t>
      </w:r>
    </w:p>
    <w:p w14:paraId="24323912">
      <w:pPr>
        <w:spacing w:line="360" w:lineRule="auto"/>
        <w:ind w:firstLine="420" w:firstLineChars="200"/>
        <w:rPr>
          <w:rFonts w:hint="eastAsia" w:cs="Tahoma"/>
          <w:szCs w:val="21"/>
        </w:rPr>
      </w:pPr>
      <w:r>
        <w:rPr>
          <w:rFonts w:hint="eastAsia" w:cs="Tahoma"/>
          <w:szCs w:val="21"/>
        </w:rPr>
        <w:t>3、人工电话服务：投资者可以获得业务咨询、信息查询、资料修改、投诉受理、信息订制、账户诊断等服务。</w:t>
      </w:r>
    </w:p>
    <w:p w14:paraId="5AC014A2">
      <w:pPr>
        <w:snapToGrid w:val="0"/>
        <w:spacing w:line="360" w:lineRule="auto"/>
        <w:ind w:firstLine="420" w:firstLineChars="200"/>
        <w:rPr>
          <w:rFonts w:hint="eastAsia" w:cs="Tahoma"/>
          <w:szCs w:val="21"/>
        </w:rPr>
      </w:pPr>
      <w:r>
        <w:rPr>
          <w:rFonts w:hint="eastAsia" w:cs="Tahoma"/>
          <w:szCs w:val="21"/>
        </w:rPr>
        <w:t>4、电话留言服务：非人工服务时间或线路繁忙时，投资者可进行电话留言。</w:t>
      </w:r>
    </w:p>
    <w:p w14:paraId="6684A7B6">
      <w:pPr>
        <w:snapToGrid w:val="0"/>
        <w:spacing w:line="360" w:lineRule="auto"/>
        <w:ind w:firstLine="422" w:firstLineChars="200"/>
        <w:rPr>
          <w:rFonts w:hint="eastAsia"/>
          <w:b/>
          <w:szCs w:val="21"/>
        </w:rPr>
      </w:pPr>
      <w:r>
        <w:rPr>
          <w:rFonts w:hint="eastAsia"/>
          <w:b/>
          <w:szCs w:val="21"/>
        </w:rPr>
        <w:t>八、基金管理人联系方式</w:t>
      </w:r>
    </w:p>
    <w:p w14:paraId="187C860D">
      <w:pPr>
        <w:snapToGrid w:val="0"/>
        <w:spacing w:line="360" w:lineRule="auto"/>
        <w:ind w:firstLine="420" w:firstLineChars="200"/>
        <w:rPr>
          <w:rFonts w:hint="eastAsia"/>
          <w:szCs w:val="21"/>
        </w:rPr>
      </w:pPr>
      <w:r>
        <w:rPr>
          <w:rFonts w:hint="eastAsia"/>
          <w:szCs w:val="21"/>
        </w:rPr>
        <w:t xml:space="preserve">公司网址： www.bosera.com </w:t>
      </w:r>
    </w:p>
    <w:p w14:paraId="7CACA774">
      <w:pPr>
        <w:snapToGrid w:val="0"/>
        <w:spacing w:line="360" w:lineRule="auto"/>
        <w:ind w:firstLine="420" w:firstLineChars="200"/>
        <w:rPr>
          <w:rFonts w:hint="eastAsia"/>
          <w:szCs w:val="21"/>
        </w:rPr>
      </w:pPr>
      <w:r>
        <w:rPr>
          <w:rFonts w:hint="eastAsia"/>
          <w:szCs w:val="21"/>
        </w:rPr>
        <w:t>电子信箱：service@bosera.com</w:t>
      </w:r>
    </w:p>
    <w:p w14:paraId="1EAB9C25">
      <w:pPr>
        <w:snapToGrid w:val="0"/>
        <w:spacing w:line="360" w:lineRule="auto"/>
        <w:ind w:firstLine="420" w:firstLineChars="200"/>
        <w:rPr>
          <w:rFonts w:hint="eastAsia"/>
          <w:szCs w:val="21"/>
        </w:rPr>
      </w:pPr>
      <w:r>
        <w:rPr>
          <w:rFonts w:hint="eastAsia"/>
          <w:szCs w:val="21"/>
        </w:rPr>
        <w:t>博时一线通客服电话：95105568（免长途话费）</w:t>
      </w:r>
    </w:p>
    <w:p w14:paraId="36AA225B">
      <w:pPr>
        <w:snapToGrid w:val="0"/>
        <w:spacing w:line="360" w:lineRule="auto"/>
        <w:ind w:firstLine="422" w:firstLineChars="200"/>
        <w:rPr>
          <w:b/>
          <w:szCs w:val="21"/>
        </w:rPr>
        <w:sectPr>
          <w:footerReference r:id="rId27" w:type="default"/>
          <w:pgSz w:w="11906" w:h="16838"/>
          <w:pgMar w:top="1440" w:right="1797" w:bottom="1440" w:left="1797" w:header="851" w:footer="992" w:gutter="0"/>
          <w:pgNumType w:start="1"/>
          <w:cols w:space="720" w:num="1"/>
          <w:docGrid w:linePitch="312" w:charSpace="0"/>
        </w:sectPr>
      </w:pPr>
      <w:r>
        <w:rPr>
          <w:rFonts w:hint="eastAsia"/>
          <w:b/>
          <w:szCs w:val="21"/>
        </w:rPr>
        <w:t>九、如本招募说明书存在任何您</w:t>
      </w:r>
      <w:r>
        <w:rPr>
          <w:b/>
          <w:szCs w:val="21"/>
        </w:rPr>
        <w:t>/</w:t>
      </w:r>
      <w:r>
        <w:rPr>
          <w:rFonts w:hint="eastAsia"/>
          <w:b/>
          <w:szCs w:val="21"/>
        </w:rPr>
        <w:t>贵机构无法理解的内容，请通过上述方式联系基金管理人。请确保投资前，您</w:t>
      </w:r>
      <w:r>
        <w:rPr>
          <w:b/>
          <w:szCs w:val="21"/>
        </w:rPr>
        <w:t>/</w:t>
      </w:r>
      <w:r>
        <w:rPr>
          <w:rFonts w:hint="eastAsia"/>
          <w:b/>
          <w:szCs w:val="21"/>
        </w:rPr>
        <w:t>贵机构已经全面理解了本招募说明书。</w:t>
      </w:r>
    </w:p>
    <w:p w14:paraId="34C80A08">
      <w:pPr>
        <w:spacing w:line="360" w:lineRule="auto"/>
      </w:pPr>
    </w:p>
    <w:p w14:paraId="23DB04A4">
      <w:pPr>
        <w:pStyle w:val="2"/>
        <w:spacing w:before="72" w:beforeLines="30" w:after="72" w:afterLines="30" w:line="360" w:lineRule="auto"/>
        <w:rPr>
          <w:rFonts w:hint="eastAsia"/>
        </w:rPr>
      </w:pPr>
      <w:bookmarkStart w:id="57" w:name="_Toc80590592"/>
      <w:bookmarkStart w:id="58" w:name="_Toc48231690"/>
      <w:r>
        <w:rPr>
          <w:rFonts w:hint="eastAsia" w:eastAsia="宋体"/>
          <w:b/>
          <w:sz w:val="28"/>
          <w:szCs w:val="24"/>
        </w:rPr>
        <w:t xml:space="preserve">第二十二部分 </w:t>
      </w:r>
      <w:r>
        <w:rPr>
          <w:rFonts w:eastAsia="宋体"/>
          <w:b/>
          <w:sz w:val="28"/>
          <w:szCs w:val="24"/>
        </w:rPr>
        <w:t>招募说明书的存放及查</w:t>
      </w:r>
      <w:bookmarkEnd w:id="57"/>
      <w:r>
        <w:rPr>
          <w:rFonts w:eastAsia="宋体"/>
          <w:b/>
          <w:sz w:val="28"/>
          <w:szCs w:val="24"/>
        </w:rPr>
        <w:t>阅方式</w:t>
      </w:r>
      <w:bookmarkEnd w:id="58"/>
    </w:p>
    <w:p w14:paraId="35BA70E1">
      <w:pPr>
        <w:spacing w:line="360" w:lineRule="auto"/>
        <w:ind w:firstLine="420"/>
      </w:pPr>
      <w:r>
        <w:t>本招募说明书按相关法律法规，存放在基金管理人、基金销售机构</w:t>
      </w:r>
      <w:r>
        <w:rPr>
          <w:rFonts w:hint="eastAsia"/>
        </w:rPr>
        <w:t>的住所</w:t>
      </w:r>
      <w:r>
        <w:t>，投资人可在办公时间免费查阅；也可在支付工本费后在合理时间内获取本招募说明书复制件或复印件，但应以招募说明书正本为准。投资人也可以直接登录基金管理人的网站进行查阅。</w:t>
      </w:r>
    </w:p>
    <w:p w14:paraId="72BD6784">
      <w:pPr>
        <w:spacing w:line="360" w:lineRule="auto"/>
        <w:ind w:firstLine="420" w:firstLineChars="200"/>
        <w:rPr>
          <w:rFonts w:hint="eastAsia"/>
        </w:rPr>
        <w:sectPr>
          <w:footerReference r:id="rId28" w:type="default"/>
          <w:pgSz w:w="11906" w:h="16838"/>
          <w:pgMar w:top="1440" w:right="1797" w:bottom="1440" w:left="1797" w:header="851" w:footer="992" w:gutter="0"/>
          <w:pgNumType w:start="1"/>
          <w:cols w:space="720" w:num="1"/>
          <w:docGrid w:linePitch="312" w:charSpace="0"/>
        </w:sectPr>
      </w:pPr>
      <w:r>
        <w:t>基金管理人保证文本的内容与所公告的内容完全一致。</w:t>
      </w:r>
      <w:bookmarkStart w:id="59" w:name="_Toc80590593"/>
    </w:p>
    <w:p w14:paraId="59E25D95">
      <w:pPr>
        <w:pStyle w:val="2"/>
        <w:spacing w:before="72" w:beforeLines="30" w:after="72" w:afterLines="30" w:line="360" w:lineRule="auto"/>
        <w:rPr>
          <w:rFonts w:hint="eastAsia" w:ascii="Times New Roman" w:hAnsi="Times New Roman" w:eastAsia="宋体" w:cs="Times New Roman"/>
          <w:b/>
          <w:sz w:val="28"/>
          <w:szCs w:val="24"/>
        </w:rPr>
      </w:pPr>
      <w:bookmarkStart w:id="60" w:name="_Toc48231691"/>
      <w:r>
        <w:rPr>
          <w:rFonts w:hint="eastAsia" w:ascii="Times New Roman" w:hAnsi="Times New Roman" w:eastAsia="宋体" w:cs="Times New Roman"/>
          <w:b/>
          <w:sz w:val="28"/>
          <w:szCs w:val="24"/>
        </w:rPr>
        <w:t xml:space="preserve">第二十三部分 </w:t>
      </w:r>
      <w:r>
        <w:rPr>
          <w:rFonts w:ascii="Times New Roman" w:hAnsi="Times New Roman" w:eastAsia="宋体" w:cs="Times New Roman"/>
          <w:b/>
          <w:sz w:val="28"/>
          <w:szCs w:val="24"/>
        </w:rPr>
        <w:t>备查文</w:t>
      </w:r>
      <w:bookmarkEnd w:id="59"/>
      <w:r>
        <w:rPr>
          <w:rFonts w:ascii="Times New Roman" w:hAnsi="Times New Roman" w:eastAsia="宋体" w:cs="Times New Roman"/>
          <w:b/>
          <w:sz w:val="28"/>
          <w:szCs w:val="24"/>
        </w:rPr>
        <w:t>件</w:t>
      </w:r>
      <w:bookmarkEnd w:id="60"/>
    </w:p>
    <w:p w14:paraId="17E79D34">
      <w:pPr>
        <w:spacing w:line="360" w:lineRule="auto"/>
        <w:ind w:firstLine="420"/>
      </w:pPr>
      <w:r>
        <w:t>1、中国证监会</w:t>
      </w:r>
      <w:r>
        <w:rPr>
          <w:rFonts w:hint="eastAsia"/>
        </w:rPr>
        <w:t>准予博时安慧臻选3个月持有期混合型基金中基金（FOF）注册</w:t>
      </w:r>
      <w:r>
        <w:t>的</w:t>
      </w:r>
      <w:r>
        <w:rPr>
          <w:rFonts w:hint="eastAsia"/>
        </w:rPr>
        <w:t>批复</w:t>
      </w:r>
    </w:p>
    <w:p w14:paraId="3216044A">
      <w:pPr>
        <w:spacing w:line="360" w:lineRule="auto"/>
        <w:ind w:firstLine="420"/>
      </w:pPr>
      <w:r>
        <w:t>2、《</w:t>
      </w:r>
      <w:r>
        <w:rPr>
          <w:rFonts w:hint="eastAsia"/>
        </w:rPr>
        <w:t>博时安慧臻选3个月持有期混合型基金中基金（FOF）</w:t>
      </w:r>
      <w:r>
        <w:t>基金合同》</w:t>
      </w:r>
    </w:p>
    <w:p w14:paraId="1603C358">
      <w:pPr>
        <w:spacing w:line="360" w:lineRule="auto"/>
        <w:ind w:firstLine="420"/>
      </w:pPr>
      <w:r>
        <w:t>3、《</w:t>
      </w:r>
      <w:r>
        <w:rPr>
          <w:rFonts w:hint="eastAsia"/>
        </w:rPr>
        <w:t>博时安慧臻选3个月持有期混合型基金中基金（FOF）</w:t>
      </w:r>
      <w:r>
        <w:t>托管协议》</w:t>
      </w:r>
    </w:p>
    <w:p w14:paraId="1F4622E7">
      <w:pPr>
        <w:spacing w:line="360" w:lineRule="auto"/>
        <w:ind w:firstLine="420"/>
      </w:pPr>
      <w:r>
        <w:t>4、法律意见书</w:t>
      </w:r>
    </w:p>
    <w:p w14:paraId="02E69B38">
      <w:pPr>
        <w:spacing w:line="360" w:lineRule="auto"/>
        <w:ind w:firstLine="420"/>
      </w:pPr>
      <w:r>
        <w:t>5、基金管理人业务资格批件、营业执照</w:t>
      </w:r>
    </w:p>
    <w:p w14:paraId="493C53DD">
      <w:pPr>
        <w:spacing w:line="360" w:lineRule="auto"/>
        <w:ind w:firstLine="420"/>
      </w:pPr>
      <w:r>
        <w:t>6、基金托管人业务资格批件、营业执照</w:t>
      </w:r>
    </w:p>
    <w:p w14:paraId="7FEA184E">
      <w:pPr>
        <w:spacing w:line="360" w:lineRule="auto"/>
        <w:ind w:firstLine="420"/>
      </w:pPr>
      <w:r>
        <w:rPr>
          <w:rFonts w:hint="eastAsia"/>
        </w:rPr>
        <w:t>7、中国证监会要求的其他文件</w:t>
      </w:r>
    </w:p>
    <w:p w14:paraId="1AC602F6">
      <w:pPr>
        <w:autoSpaceDE w:val="0"/>
        <w:autoSpaceDN w:val="0"/>
        <w:spacing w:line="360" w:lineRule="auto"/>
        <w:ind w:firstLine="420"/>
        <w:jc w:val="left"/>
        <w:textAlignment w:val="auto"/>
        <w:rPr>
          <w:rFonts w:hint="eastAsia"/>
          <w:kern w:val="0"/>
        </w:rPr>
      </w:pPr>
      <w:r>
        <w:rPr>
          <w:rFonts w:hint="eastAsia"/>
          <w:b/>
          <w:kern w:val="0"/>
        </w:rPr>
        <w:t xml:space="preserve"> </w:t>
      </w:r>
    </w:p>
    <w:p w14:paraId="22AF5F08">
      <w:pPr>
        <w:autoSpaceDE w:val="0"/>
        <w:autoSpaceDN w:val="0"/>
        <w:spacing w:line="360" w:lineRule="auto"/>
        <w:ind w:firstLine="420"/>
        <w:jc w:val="left"/>
        <w:textAlignment w:val="auto"/>
        <w:rPr>
          <w:rFonts w:hint="eastAsia"/>
          <w:kern w:val="0"/>
        </w:rPr>
      </w:pPr>
    </w:p>
    <w:p w14:paraId="7C9FE177">
      <w:pPr>
        <w:autoSpaceDE w:val="0"/>
        <w:autoSpaceDN w:val="0"/>
        <w:spacing w:line="360" w:lineRule="auto"/>
        <w:ind w:firstLine="420"/>
        <w:jc w:val="left"/>
        <w:textAlignment w:val="auto"/>
        <w:rPr>
          <w:rFonts w:hint="eastAsia"/>
          <w:kern w:val="0"/>
        </w:rPr>
      </w:pPr>
    </w:p>
    <w:p w14:paraId="5A7B6145">
      <w:pPr>
        <w:autoSpaceDE w:val="0"/>
        <w:autoSpaceDN w:val="0"/>
        <w:spacing w:line="360" w:lineRule="auto"/>
        <w:ind w:firstLine="420"/>
        <w:jc w:val="left"/>
        <w:textAlignment w:val="auto"/>
        <w:rPr>
          <w:rFonts w:hint="eastAsia"/>
          <w:kern w:val="0"/>
        </w:rPr>
      </w:pPr>
    </w:p>
    <w:p w14:paraId="66802CA2">
      <w:pPr>
        <w:wordWrap w:val="0"/>
        <w:spacing w:before="72" w:beforeLines="30" w:after="72" w:afterLines="30" w:line="360" w:lineRule="auto"/>
        <w:jc w:val="right"/>
        <w:rPr>
          <w:szCs w:val="21"/>
        </w:rPr>
      </w:pPr>
    </w:p>
    <w:p w14:paraId="557D1DD5">
      <w:pPr>
        <w:wordWrap w:val="0"/>
        <w:spacing w:before="72" w:beforeLines="30" w:after="72" w:afterLines="30" w:line="360" w:lineRule="auto"/>
        <w:jc w:val="right"/>
        <w:rPr>
          <w:szCs w:val="21"/>
        </w:rPr>
      </w:pPr>
    </w:p>
    <w:p w14:paraId="51E30B1B">
      <w:pPr>
        <w:wordWrap w:val="0"/>
        <w:spacing w:before="72" w:beforeLines="30" w:after="72" w:afterLines="30" w:line="360" w:lineRule="auto"/>
        <w:jc w:val="right"/>
        <w:rPr>
          <w:szCs w:val="21"/>
        </w:rPr>
      </w:pPr>
    </w:p>
    <w:p w14:paraId="331D0D39">
      <w:pPr>
        <w:wordWrap w:val="0"/>
        <w:spacing w:before="72" w:beforeLines="30" w:after="72" w:afterLines="30" w:line="360" w:lineRule="auto"/>
        <w:jc w:val="right"/>
        <w:rPr>
          <w:szCs w:val="21"/>
        </w:rPr>
      </w:pPr>
    </w:p>
    <w:p w14:paraId="68770F60">
      <w:pPr>
        <w:wordWrap w:val="0"/>
        <w:spacing w:before="72" w:beforeLines="30" w:after="72" w:afterLines="30" w:line="360" w:lineRule="auto"/>
        <w:jc w:val="right"/>
        <w:rPr>
          <w:szCs w:val="21"/>
        </w:rPr>
      </w:pPr>
    </w:p>
    <w:p w14:paraId="52C24EB4">
      <w:pPr>
        <w:wordWrap w:val="0"/>
        <w:spacing w:before="72" w:beforeLines="30" w:after="72" w:afterLines="30" w:line="360" w:lineRule="auto"/>
        <w:jc w:val="right"/>
        <w:rPr>
          <w:szCs w:val="21"/>
        </w:rPr>
      </w:pPr>
    </w:p>
    <w:p w14:paraId="756FCC79">
      <w:pPr>
        <w:wordWrap/>
        <w:spacing w:before="72" w:beforeLines="30" w:after="72" w:afterLines="30" w:line="360" w:lineRule="auto"/>
        <w:jc w:val="right"/>
        <w:rPr>
          <w:szCs w:val="21"/>
        </w:rPr>
      </w:pPr>
    </w:p>
    <w:p w14:paraId="111E58E8">
      <w:pPr>
        <w:wordWrap/>
        <w:spacing w:before="72" w:beforeLines="30" w:after="72" w:afterLines="30" w:line="360" w:lineRule="auto"/>
        <w:jc w:val="right"/>
        <w:rPr>
          <w:szCs w:val="21"/>
        </w:rPr>
      </w:pPr>
    </w:p>
    <w:p w14:paraId="23C4590D">
      <w:pPr>
        <w:wordWrap/>
        <w:spacing w:before="72" w:beforeLines="30" w:after="72" w:afterLines="30" w:line="360" w:lineRule="auto"/>
        <w:jc w:val="right"/>
        <w:rPr>
          <w:szCs w:val="21"/>
        </w:rPr>
      </w:pPr>
    </w:p>
    <w:p w14:paraId="22907F84">
      <w:pPr>
        <w:wordWrap w:val="0"/>
        <w:spacing w:before="72" w:beforeLines="30" w:after="72" w:afterLines="30" w:line="360" w:lineRule="auto"/>
        <w:jc w:val="right"/>
        <w:rPr>
          <w:szCs w:val="21"/>
        </w:rPr>
      </w:pPr>
    </w:p>
    <w:p w14:paraId="6E0E6B42">
      <w:pPr>
        <w:wordWrap w:val="0"/>
        <w:spacing w:before="72" w:beforeLines="30" w:after="72" w:afterLines="30" w:line="360" w:lineRule="auto"/>
        <w:jc w:val="right"/>
        <w:rPr>
          <w:szCs w:val="21"/>
        </w:rPr>
      </w:pPr>
    </w:p>
    <w:p w14:paraId="7B5AE26C">
      <w:pPr>
        <w:wordWrap w:val="0"/>
        <w:spacing w:before="72" w:beforeLines="30" w:after="72" w:afterLines="30" w:line="360" w:lineRule="auto"/>
        <w:jc w:val="right"/>
        <w:rPr>
          <w:szCs w:val="21"/>
        </w:rPr>
      </w:pPr>
    </w:p>
    <w:p w14:paraId="657A91C2">
      <w:pPr>
        <w:wordWrap w:val="0"/>
        <w:spacing w:before="72" w:beforeLines="30" w:after="72" w:afterLines="30" w:line="360" w:lineRule="auto"/>
        <w:jc w:val="right"/>
        <w:rPr>
          <w:szCs w:val="21"/>
        </w:rPr>
      </w:pPr>
      <w:r>
        <w:rPr>
          <w:szCs w:val="21"/>
        </w:rPr>
        <w:t>博时基金管理有限公司</w:t>
      </w:r>
    </w:p>
    <w:p w14:paraId="4BB256CA">
      <w:pPr>
        <w:wordWrap w:val="0"/>
        <w:spacing w:before="72" w:beforeLines="30" w:after="72" w:afterLines="30" w:line="360" w:lineRule="auto"/>
        <w:ind w:right="105"/>
        <w:jc w:val="right"/>
        <w:rPr>
          <w:b/>
          <w:szCs w:val="21"/>
        </w:rPr>
      </w:pPr>
      <w:r>
        <w:rPr>
          <w:rFonts w:hint="eastAsia"/>
          <w:szCs w:val="21"/>
        </w:rPr>
        <w:t>2026年</w:t>
      </w:r>
      <w:r>
        <w:rPr>
          <w:rFonts w:hint="eastAsia"/>
          <w:szCs w:val="21"/>
          <w:lang w:val="en-US" w:eastAsia="zh-CN"/>
        </w:rPr>
        <w:t>9</w:t>
      </w:r>
      <w:r>
        <w:rPr>
          <w:szCs w:val="21"/>
        </w:rPr>
        <w:t>月</w:t>
      </w:r>
      <w:r>
        <w:rPr>
          <w:rFonts w:hint="eastAsia"/>
          <w:szCs w:val="21"/>
          <w:lang w:val="en-US" w:eastAsia="zh-CN"/>
        </w:rPr>
        <w:t>21</w:t>
      </w:r>
      <w:r>
        <w:rPr>
          <w:szCs w:val="21"/>
        </w:rPr>
        <w:t>日</w:t>
      </w:r>
    </w:p>
    <w:p w14:paraId="279EBB84">
      <w:pPr>
        <w:spacing w:before="72" w:beforeLines="30" w:after="72" w:afterLines="30" w:line="360" w:lineRule="auto"/>
        <w:rPr>
          <w:sz w:val="24"/>
        </w:rPr>
      </w:pPr>
    </w:p>
    <w:p w14:paraId="6DA9B35D">
      <w:pPr>
        <w:spacing w:before="72" w:beforeLines="30" w:after="72" w:afterLines="30" w:line="360" w:lineRule="auto"/>
      </w:pPr>
    </w:p>
    <w:p w14:paraId="209CA282">
      <w:pPr>
        <w:spacing w:before="72" w:beforeLines="30" w:after="72" w:afterLines="30" w:line="360" w:lineRule="auto"/>
      </w:pPr>
    </w:p>
    <w:p w14:paraId="4D3A3821">
      <w:pPr>
        <w:spacing w:before="72" w:beforeLines="30" w:after="72" w:afterLines="30" w:line="360" w:lineRule="auto"/>
      </w:pPr>
    </w:p>
    <w:p w14:paraId="55AA2A06">
      <w:pPr>
        <w:spacing w:line="360" w:lineRule="auto"/>
      </w:pPr>
    </w:p>
    <w:sectPr>
      <w:headerReference r:id="rId29" w:type="default"/>
      <w:footerReference r:id="rId30" w:type="default"/>
      <w:pgSz w:w="11906" w:h="16838"/>
      <w:pgMar w:top="1440" w:right="1797" w:bottom="1440" w:left="1797" w:header="851" w:footer="992"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00"/>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五">
    <w:altName w:val="黑体"/>
    <w:panose1 w:val="00000000000000000000"/>
    <w:charset w:val="00"/>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5E280">
    <w:pPr>
      <w:pStyle w:val="2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82287">
    <w:pPr>
      <w:pStyle w:val="20"/>
      <w:jc w:val="center"/>
    </w:pPr>
    <w:r>
      <w:rPr>
        <w:rFonts w:hint="eastAsia"/>
      </w:rPr>
      <w:t>1-</w:t>
    </w:r>
    <w:r>
      <w:fldChar w:fldCharType="begin"/>
    </w:r>
    <w:r>
      <w:instrText xml:space="preserve">PAGE   \* MERGEFORMAT</w:instrText>
    </w:r>
    <w:r>
      <w:fldChar w:fldCharType="separate"/>
    </w:r>
    <w:r>
      <w:rPr>
        <w:lang w:val="zh-CN"/>
      </w:rPr>
      <w:t>1</w:t>
    </w:r>
    <w:r>
      <w:fldChar w:fldCharType="end"/>
    </w:r>
  </w:p>
  <w:p w14:paraId="1F3E93FA">
    <w:pPr>
      <w:pStyle w:val="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509F3">
    <w:pPr>
      <w:pStyle w:val="20"/>
      <w:jc w:val="center"/>
    </w:pPr>
    <w:r>
      <w:rPr>
        <w:rFonts w:hint="eastAsia"/>
      </w:rPr>
      <w:t>2-</w:t>
    </w:r>
    <w:r>
      <w:fldChar w:fldCharType="begin"/>
    </w:r>
    <w:r>
      <w:instrText xml:space="preserve">PAGE   \* MERGEFORMAT</w:instrText>
    </w:r>
    <w:r>
      <w:fldChar w:fldCharType="separate"/>
    </w:r>
    <w:r>
      <w:rPr>
        <w:lang w:val="zh-CN"/>
      </w:rPr>
      <w:t>5</w:t>
    </w:r>
    <w:r>
      <w:fldChar w:fldCharType="end"/>
    </w:r>
  </w:p>
  <w:p w14:paraId="2C728795">
    <w:pPr>
      <w:pStyle w:val="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3C4D0">
    <w:pPr>
      <w:pStyle w:val="20"/>
      <w:jc w:val="center"/>
    </w:pPr>
    <w:r>
      <w:rPr>
        <w:rFonts w:hint="eastAsia"/>
      </w:rPr>
      <w:t>3-</w:t>
    </w:r>
    <w:r>
      <w:fldChar w:fldCharType="begin"/>
    </w:r>
    <w:r>
      <w:instrText xml:space="preserve">PAGE   \* MERGEFORMAT</w:instrText>
    </w:r>
    <w:r>
      <w:fldChar w:fldCharType="separate"/>
    </w:r>
    <w:r>
      <w:rPr>
        <w:lang w:val="zh-CN"/>
      </w:rPr>
      <w:t>1</w:t>
    </w:r>
    <w:r>
      <w:fldChar w:fldCharType="end"/>
    </w:r>
  </w:p>
  <w:p w14:paraId="29456F5B">
    <w:pPr>
      <w:pStyle w:val="2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63EFB">
    <w:pPr>
      <w:pStyle w:val="20"/>
      <w:jc w:val="center"/>
    </w:pPr>
    <w:r>
      <w:rPr>
        <w:rFonts w:hint="eastAsia"/>
      </w:rPr>
      <w:t>4-</w:t>
    </w:r>
    <w:r>
      <w:fldChar w:fldCharType="begin"/>
    </w:r>
    <w:r>
      <w:instrText xml:space="preserve">PAGE   \* MERGEFORMAT</w:instrText>
    </w:r>
    <w:r>
      <w:fldChar w:fldCharType="separate"/>
    </w:r>
    <w:r>
      <w:rPr>
        <w:lang w:val="zh-CN"/>
      </w:rPr>
      <w:t>1</w:t>
    </w:r>
    <w:r>
      <w:fldChar w:fldCharType="end"/>
    </w:r>
  </w:p>
  <w:p w14:paraId="012F9C9A">
    <w:pPr>
      <w:pStyle w:val="2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784B0">
    <w:pPr>
      <w:pStyle w:val="20"/>
      <w:jc w:val="center"/>
      <w:rPr>
        <w:sz w:val="16"/>
      </w:rPr>
    </w:pPr>
    <w:r>
      <w:rPr>
        <w:rFonts w:hint="eastAsia"/>
        <w:sz w:val="16"/>
      </w:rPr>
      <w:t>5-1</w:t>
    </w:r>
  </w:p>
  <w:p w14:paraId="4F066F23">
    <w:pPr>
      <w:pStyle w:val="2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957E6">
    <w:pPr>
      <w:pStyle w:val="20"/>
      <w:framePr w:wrap="around" w:vAnchor="text" w:hAnchor="margin" w:xAlign="center" w:yAlign="top"/>
      <w:pBdr>
        <w:between w:val="none" w:color="auto" w:sz="0" w:space="0"/>
      </w:pBdr>
    </w:pPr>
    <w:r>
      <w:rPr>
        <w:rFonts w:hint="eastAsia"/>
      </w:rPr>
      <w:t>6-</w:t>
    </w:r>
    <w:r>
      <w:fldChar w:fldCharType="begin"/>
    </w:r>
    <w:r>
      <w:instrText xml:space="preserve">PAGE   \* MERGEFORMAT</w:instrText>
    </w:r>
    <w:r>
      <w:fldChar w:fldCharType="separate"/>
    </w:r>
    <w:r>
      <w:rPr>
        <w:lang w:val="zh-CN"/>
      </w:rPr>
      <w:t>2</w:t>
    </w:r>
    <w:r>
      <w:fldChar w:fldCharType="end"/>
    </w:r>
  </w:p>
  <w:p w14:paraId="480377AB">
    <w:pPr>
      <w:pStyle w:val="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C8CD2">
    <w:pPr>
      <w:pStyle w:val="20"/>
      <w:framePr w:wrap="around" w:vAnchor="text" w:hAnchor="margin" w:xAlign="center" w:yAlign="top"/>
      <w:pBdr>
        <w:between w:val="none" w:color="auto" w:sz="0" w:space="0"/>
      </w:pBdr>
    </w:pPr>
    <w:r>
      <w:rPr>
        <w:rFonts w:hint="eastAsia"/>
      </w:rPr>
      <w:t>7-</w:t>
    </w:r>
    <w:r>
      <w:fldChar w:fldCharType="begin"/>
    </w:r>
    <w:r>
      <w:instrText xml:space="preserve">PAGE   \* MERGEFORMAT</w:instrText>
    </w:r>
    <w:r>
      <w:fldChar w:fldCharType="separate"/>
    </w:r>
    <w:r>
      <w:rPr>
        <w:lang w:val="zh-CN"/>
      </w:rPr>
      <w:t>1</w:t>
    </w:r>
    <w:r>
      <w:fldChar w:fldCharType="end"/>
    </w:r>
  </w:p>
  <w:p w14:paraId="5CB147EA">
    <w:pPr>
      <w:pStyle w:val="2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9954D">
    <w:pPr>
      <w:pStyle w:val="20"/>
      <w:jc w:val="center"/>
    </w:pPr>
    <w:r>
      <w:rPr>
        <w:rFonts w:hint="eastAsia"/>
      </w:rPr>
      <w:t>8-</w:t>
    </w:r>
    <w:r>
      <w:fldChar w:fldCharType="begin"/>
    </w:r>
    <w:r>
      <w:instrText xml:space="preserve">PAGE   \* MERGEFORMAT</w:instrText>
    </w:r>
    <w:r>
      <w:fldChar w:fldCharType="separate"/>
    </w:r>
    <w:r>
      <w:rPr>
        <w:lang w:val="zh-CN"/>
      </w:rPr>
      <w:t>10</w:t>
    </w:r>
    <w:r>
      <w:fldChar w:fldCharType="end"/>
    </w:r>
  </w:p>
  <w:p w14:paraId="338C7E2B">
    <w:pPr>
      <w:pStyle w:val="2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9C072">
    <w:pPr>
      <w:pStyle w:val="20"/>
      <w:jc w:val="center"/>
    </w:pPr>
    <w:r>
      <w:rPr>
        <w:rFonts w:hint="eastAsia"/>
      </w:rPr>
      <w:t>9-</w:t>
    </w:r>
    <w:r>
      <w:fldChar w:fldCharType="begin"/>
    </w:r>
    <w:r>
      <w:instrText xml:space="preserve">PAGE   \* MERGEFORMAT</w:instrText>
    </w:r>
    <w:r>
      <w:fldChar w:fldCharType="separate"/>
    </w:r>
    <w:r>
      <w:rPr>
        <w:lang w:val="zh-CN"/>
      </w:rPr>
      <w:t>8</w:t>
    </w:r>
    <w:r>
      <w:fldChar w:fldCharType="end"/>
    </w:r>
  </w:p>
  <w:p w14:paraId="378D0065">
    <w:pPr>
      <w:pStyle w:val="2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5D5F5">
    <w:pPr>
      <w:pStyle w:val="20"/>
      <w:jc w:val="center"/>
    </w:pPr>
    <w:r>
      <w:rPr>
        <w:rFonts w:hint="eastAsia"/>
      </w:rPr>
      <w:t>10-</w:t>
    </w:r>
    <w:r>
      <w:fldChar w:fldCharType="begin"/>
    </w:r>
    <w:r>
      <w:instrText xml:space="preserve">PAGE   \* MERGEFORMAT</w:instrText>
    </w:r>
    <w:r>
      <w:fldChar w:fldCharType="separate"/>
    </w:r>
    <w:r>
      <w:rPr>
        <w:lang w:val="zh-CN"/>
      </w:rPr>
      <w:t>1</w:t>
    </w:r>
    <w:r>
      <w:fldChar w:fldCharType="end"/>
    </w:r>
  </w:p>
  <w:p w14:paraId="0CFAEA87">
    <w:pPr>
      <w:pStyle w:val="2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9EA47">
    <w:pPr>
      <w:pStyle w:val="20"/>
      <w:jc w:val="center"/>
    </w:pPr>
    <w:r>
      <w:rPr>
        <w:rFonts w:hint="eastAsia"/>
      </w:rPr>
      <w:t>11-</w:t>
    </w:r>
    <w:r>
      <w:fldChar w:fldCharType="begin"/>
    </w:r>
    <w:r>
      <w:instrText xml:space="preserve">PAGE   \* MERGEFORMAT</w:instrText>
    </w:r>
    <w:r>
      <w:fldChar w:fldCharType="separate"/>
    </w:r>
    <w:r>
      <w:rPr>
        <w:lang w:val="zh-CN"/>
      </w:rPr>
      <w:t>2</w:t>
    </w:r>
    <w:r>
      <w:fldChar w:fldCharType="end"/>
    </w:r>
  </w:p>
  <w:p w14:paraId="4ACF01DB">
    <w:pPr>
      <w:pStyle w:val="2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A3EC7">
    <w:pPr>
      <w:pStyle w:val="20"/>
      <w:jc w:val="center"/>
    </w:pPr>
    <w:r>
      <w:rPr>
        <w:rFonts w:hint="eastAsia"/>
      </w:rPr>
      <w:t>12-</w:t>
    </w:r>
    <w:r>
      <w:fldChar w:fldCharType="begin"/>
    </w:r>
    <w:r>
      <w:instrText xml:space="preserve">PAGE   \* MERGEFORMAT</w:instrText>
    </w:r>
    <w:r>
      <w:fldChar w:fldCharType="separate"/>
    </w:r>
    <w:r>
      <w:rPr>
        <w:lang w:val="zh-CN"/>
      </w:rPr>
      <w:t>2</w:t>
    </w:r>
    <w:r>
      <w:fldChar w:fldCharType="end"/>
    </w:r>
  </w:p>
  <w:p w14:paraId="7852FE35">
    <w:pPr>
      <w:pStyle w:val="2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7F280">
    <w:pPr>
      <w:pStyle w:val="20"/>
      <w:jc w:val="center"/>
    </w:pPr>
    <w:r>
      <w:rPr>
        <w:rFonts w:hint="eastAsia"/>
      </w:rPr>
      <w:t>13-</w:t>
    </w:r>
    <w:r>
      <w:fldChar w:fldCharType="begin"/>
    </w:r>
    <w:r>
      <w:instrText xml:space="preserve">PAGE   \* MERGEFORMAT</w:instrText>
    </w:r>
    <w:r>
      <w:fldChar w:fldCharType="separate"/>
    </w:r>
    <w:r>
      <w:rPr>
        <w:lang w:val="zh-CN"/>
      </w:rPr>
      <w:t>3</w:t>
    </w:r>
    <w:r>
      <w:fldChar w:fldCharType="end"/>
    </w:r>
  </w:p>
  <w:p w14:paraId="799FB443">
    <w:pPr>
      <w:pStyle w:val="2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7A47A">
    <w:pPr>
      <w:pStyle w:val="20"/>
      <w:jc w:val="center"/>
    </w:pPr>
    <w:r>
      <w:rPr>
        <w:rFonts w:hint="eastAsia"/>
      </w:rPr>
      <w:t>14-</w:t>
    </w:r>
    <w:r>
      <w:fldChar w:fldCharType="begin"/>
    </w:r>
    <w:r>
      <w:instrText xml:space="preserve">PAGE   \* MERGEFORMAT</w:instrText>
    </w:r>
    <w:r>
      <w:fldChar w:fldCharType="separate"/>
    </w:r>
    <w:r>
      <w:rPr>
        <w:lang w:val="zh-CN"/>
      </w:rPr>
      <w:t>1</w:t>
    </w:r>
    <w:r>
      <w:fldChar w:fldCharType="end"/>
    </w:r>
  </w:p>
  <w:p w14:paraId="729D9328">
    <w:pPr>
      <w:pStyle w:val="2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ED26">
    <w:pPr>
      <w:pStyle w:val="20"/>
      <w:jc w:val="center"/>
    </w:pPr>
    <w:r>
      <w:rPr>
        <w:rFonts w:hint="eastAsia"/>
      </w:rPr>
      <w:t>15-</w:t>
    </w:r>
    <w:r>
      <w:fldChar w:fldCharType="begin"/>
    </w:r>
    <w:r>
      <w:instrText xml:space="preserve">PAGE   \* MERGEFORMAT</w:instrText>
    </w:r>
    <w:r>
      <w:fldChar w:fldCharType="separate"/>
    </w:r>
    <w:r>
      <w:rPr>
        <w:lang w:val="zh-CN"/>
      </w:rPr>
      <w:t>3</w:t>
    </w:r>
    <w:r>
      <w:fldChar w:fldCharType="end"/>
    </w:r>
  </w:p>
  <w:p w14:paraId="496077AA">
    <w:pPr>
      <w:pStyle w:val="2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DBC59">
    <w:pPr>
      <w:pStyle w:val="20"/>
      <w:jc w:val="center"/>
    </w:pPr>
    <w:r>
      <w:rPr>
        <w:rFonts w:hint="eastAsia"/>
      </w:rPr>
      <w:t>1</w:t>
    </w:r>
    <w:r>
      <w:t>6</w:t>
    </w:r>
    <w:r>
      <w:rPr>
        <w:rFonts w:hint="eastAsia"/>
      </w:rPr>
      <w:t>-</w:t>
    </w:r>
    <w:r>
      <w:fldChar w:fldCharType="begin"/>
    </w:r>
    <w:r>
      <w:instrText xml:space="preserve">PAGE   \* MERGEFORMAT</w:instrText>
    </w:r>
    <w:r>
      <w:fldChar w:fldCharType="separate"/>
    </w:r>
    <w:r>
      <w:rPr>
        <w:lang w:val="zh-CN"/>
      </w:rPr>
      <w:t>3</w:t>
    </w:r>
    <w:r>
      <w:fldChar w:fldCharType="end"/>
    </w:r>
  </w:p>
  <w:p w14:paraId="48107487">
    <w:pPr>
      <w:pStyle w:val="2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5025D">
    <w:pPr>
      <w:pStyle w:val="20"/>
      <w:jc w:val="center"/>
    </w:pPr>
    <w:r>
      <w:rPr>
        <w:rFonts w:hint="eastAsia"/>
      </w:rPr>
      <w:t>1</w:t>
    </w:r>
    <w:r>
      <w:t>7</w:t>
    </w:r>
    <w:r>
      <w:rPr>
        <w:rFonts w:hint="eastAsia"/>
      </w:rPr>
      <w:t>-</w:t>
    </w:r>
    <w:r>
      <w:fldChar w:fldCharType="begin"/>
    </w:r>
    <w:r>
      <w:instrText xml:space="preserve">PAGE   \* MERGEFORMAT</w:instrText>
    </w:r>
    <w:r>
      <w:fldChar w:fldCharType="separate"/>
    </w:r>
    <w:r>
      <w:rPr>
        <w:lang w:val="zh-CN"/>
      </w:rPr>
      <w:t>7</w:t>
    </w:r>
    <w:r>
      <w:fldChar w:fldCharType="end"/>
    </w:r>
  </w:p>
  <w:p w14:paraId="4DBF8721">
    <w:pPr>
      <w:pStyle w:val="2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E4FBF">
    <w:pPr>
      <w:pStyle w:val="20"/>
      <w:jc w:val="center"/>
    </w:pPr>
    <w:r>
      <w:rPr>
        <w:rFonts w:hint="eastAsia"/>
      </w:rPr>
      <w:t>1</w:t>
    </w:r>
    <w:r>
      <w:t>8</w:t>
    </w:r>
    <w:r>
      <w:rPr>
        <w:rFonts w:hint="eastAsia"/>
      </w:rPr>
      <w:t>-</w:t>
    </w:r>
    <w:r>
      <w:fldChar w:fldCharType="begin"/>
    </w:r>
    <w:r>
      <w:instrText xml:space="preserve">PAGE   \* MERGEFORMAT</w:instrText>
    </w:r>
    <w:r>
      <w:fldChar w:fldCharType="separate"/>
    </w:r>
    <w:r>
      <w:rPr>
        <w:lang w:val="zh-CN"/>
      </w:rPr>
      <w:t>2</w:t>
    </w:r>
    <w:r>
      <w:fldChar w:fldCharType="end"/>
    </w:r>
  </w:p>
  <w:p w14:paraId="3B6E802B">
    <w:pPr>
      <w:pStyle w:val="2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7989B">
    <w:pPr>
      <w:pStyle w:val="20"/>
      <w:jc w:val="center"/>
    </w:pPr>
    <w:r>
      <w:rPr>
        <w:rFonts w:hint="eastAsia"/>
      </w:rPr>
      <w:t>1</w:t>
    </w:r>
    <w:r>
      <w:t>9</w:t>
    </w:r>
    <w:r>
      <w:rPr>
        <w:rFonts w:hint="eastAsia"/>
      </w:rPr>
      <w:t>-</w:t>
    </w:r>
    <w:r>
      <w:fldChar w:fldCharType="begin"/>
    </w:r>
    <w:r>
      <w:instrText xml:space="preserve">PAGE   \* MERGEFORMAT</w:instrText>
    </w:r>
    <w:r>
      <w:fldChar w:fldCharType="separate"/>
    </w:r>
    <w:r>
      <w:rPr>
        <w:lang w:val="zh-CN"/>
      </w:rPr>
      <w:t>14</w:t>
    </w:r>
    <w:r>
      <w:fldChar w:fldCharType="end"/>
    </w:r>
  </w:p>
  <w:p w14:paraId="6572E97D">
    <w:pPr>
      <w:pStyle w:val="2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E3FDC">
    <w:pPr>
      <w:pStyle w:val="20"/>
      <w:jc w:val="center"/>
    </w:pPr>
    <w:r>
      <w:t>20</w:t>
    </w:r>
    <w:r>
      <w:rPr>
        <w:rFonts w:hint="eastAsia"/>
      </w:rPr>
      <w:t>-</w:t>
    </w:r>
    <w:r>
      <w:fldChar w:fldCharType="begin"/>
    </w:r>
    <w:r>
      <w:instrText xml:space="preserve">PAGE   \* MERGEFORMAT</w:instrText>
    </w:r>
    <w:r>
      <w:fldChar w:fldCharType="separate"/>
    </w:r>
    <w:r>
      <w:rPr>
        <w:lang w:val="zh-CN"/>
      </w:rPr>
      <w:t>1</w:t>
    </w:r>
    <w:r>
      <w:fldChar w:fldCharType="end"/>
    </w:r>
  </w:p>
  <w:p w14:paraId="1B464B60">
    <w:pPr>
      <w:pStyle w:val="20"/>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B888F">
    <w:pPr>
      <w:pStyle w:val="20"/>
      <w:jc w:val="center"/>
    </w:pPr>
    <w:r>
      <w:rPr>
        <w:rFonts w:hint="eastAsia"/>
      </w:rPr>
      <w:t>2</w:t>
    </w:r>
    <w:r>
      <w:t>1</w:t>
    </w:r>
    <w:r>
      <w:rPr>
        <w:rFonts w:hint="eastAsia"/>
      </w:rPr>
      <w:t>-</w:t>
    </w:r>
    <w:r>
      <w:fldChar w:fldCharType="begin"/>
    </w:r>
    <w:r>
      <w:instrText xml:space="preserve">PAGE   \* MERGEFORMAT</w:instrText>
    </w:r>
    <w:r>
      <w:fldChar w:fldCharType="separate"/>
    </w:r>
    <w:r>
      <w:rPr>
        <w:lang w:val="zh-CN"/>
      </w:rPr>
      <w:t>2</w:t>
    </w:r>
    <w:r>
      <w:fldChar w:fldCharType="end"/>
    </w:r>
  </w:p>
  <w:p w14:paraId="5115FA8E">
    <w:pPr>
      <w:pStyle w:val="20"/>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D4633">
    <w:pPr>
      <w:pStyle w:val="20"/>
      <w:jc w:val="center"/>
    </w:pPr>
    <w:r>
      <w:rPr>
        <w:rFonts w:hint="eastAsia"/>
      </w:rPr>
      <w:t>22-</w:t>
    </w:r>
    <w:r>
      <w:fldChar w:fldCharType="begin"/>
    </w:r>
    <w:r>
      <w:instrText xml:space="preserve">PAGE   \* MERGEFORMAT</w:instrText>
    </w:r>
    <w:r>
      <w:fldChar w:fldCharType="separate"/>
    </w:r>
    <w:r>
      <w:rPr>
        <w:lang w:val="zh-CN"/>
      </w:rPr>
      <w:t>1</w:t>
    </w:r>
    <w:r>
      <w:fldChar w:fldCharType="end"/>
    </w:r>
  </w:p>
  <w:p w14:paraId="78E803D9">
    <w:pPr>
      <w:pStyle w:val="20"/>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0273F">
    <w:pPr>
      <w:pStyle w:val="20"/>
      <w:jc w:val="center"/>
      <w:rPr>
        <w:rFonts w:hint="eastAsia"/>
      </w:rPr>
    </w:pPr>
    <w:r>
      <w:t>2</w:t>
    </w:r>
    <w:r>
      <w:rPr>
        <w:rFonts w:hint="eastAsia"/>
      </w:rPr>
      <w:t>3</w:t>
    </w:r>
    <w:r>
      <w:t>-</w:t>
    </w:r>
    <w:r>
      <w:fldChar w:fldCharType="begin"/>
    </w:r>
    <w:r>
      <w:instrText xml:space="preserve">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FFEB">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8CC0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5D028C"/>
    <w:multiLevelType w:val="singleLevel"/>
    <w:tmpl w:val="FD5D028C"/>
    <w:lvl w:ilvl="0" w:tentative="0">
      <w:start w:val="3"/>
      <w:numFmt w:val="decimal"/>
      <w:lvlText w:val="%1."/>
      <w:lvlJc w:val="left"/>
      <w:pPr>
        <w:tabs>
          <w:tab w:val="left" w:pos="312"/>
        </w:tabs>
      </w:pPr>
    </w:lvl>
  </w:abstractNum>
  <w:abstractNum w:abstractNumId="1">
    <w:nsid w:val="FFFFFFFB"/>
    <w:multiLevelType w:val="multilevel"/>
    <w:tmpl w:val="FFFFFFFB"/>
    <w:lvl w:ilvl="0" w:tentative="0">
      <w:start w:val="1"/>
      <w:numFmt w:val="none"/>
      <w:suff w:val="nothing"/>
      <w:lvlText w:val=""/>
      <w:lvlJc w:val="left"/>
      <w:pPr>
        <w:ind w:left="0" w:firstLine="0"/>
      </w:pPr>
    </w:lvl>
    <w:lvl w:ilvl="1" w:tentative="0">
      <w:start w:val="1"/>
      <w:numFmt w:val="upperLetter"/>
      <w:pStyle w:val="3"/>
      <w:lvlText w:val="%2."/>
      <w:legacy w:legacy="1" w:legacySpace="0" w:legacyIndent="425"/>
      <w:lvlJc w:val="left"/>
      <w:pPr>
        <w:ind w:left="425" w:hanging="425"/>
      </w:pPr>
    </w:lvl>
    <w:lvl w:ilvl="2" w:tentative="0">
      <w:start w:val="1"/>
      <w:numFmt w:val="decimal"/>
      <w:pStyle w:val="4"/>
      <w:lvlText w:val="%3."/>
      <w:legacy w:legacy="1" w:legacySpace="0" w:legacyIndent="425"/>
      <w:lvlJc w:val="left"/>
      <w:pPr>
        <w:ind w:left="850" w:hanging="425"/>
      </w:pPr>
    </w:lvl>
    <w:lvl w:ilvl="3" w:tentative="0">
      <w:start w:val="1"/>
      <w:numFmt w:val="lowerLetter"/>
      <w:pStyle w:val="5"/>
      <w:lvlText w:val="%4)"/>
      <w:legacy w:legacy="1" w:legacySpace="0" w:legacyIndent="425"/>
      <w:lvlJc w:val="left"/>
      <w:pPr>
        <w:ind w:left="1275" w:hanging="425"/>
      </w:pPr>
    </w:lvl>
    <w:lvl w:ilvl="4" w:tentative="0">
      <w:start w:val="1"/>
      <w:numFmt w:val="decimal"/>
      <w:pStyle w:val="6"/>
      <w:lvlText w:val="(%5)"/>
      <w:legacy w:legacy="1" w:legacySpace="0" w:legacyIndent="425"/>
      <w:lvlJc w:val="left"/>
      <w:pPr>
        <w:ind w:left="1700" w:hanging="425"/>
      </w:pPr>
    </w:lvl>
    <w:lvl w:ilvl="5" w:tentative="0">
      <w:start w:val="1"/>
      <w:numFmt w:val="lowerLetter"/>
      <w:pStyle w:val="7"/>
      <w:lvlText w:val="(%6)"/>
      <w:legacy w:legacy="1" w:legacySpace="0" w:legacyIndent="425"/>
      <w:lvlJc w:val="left"/>
      <w:pPr>
        <w:ind w:left="2125" w:hanging="425"/>
      </w:pPr>
    </w:lvl>
    <w:lvl w:ilvl="6" w:tentative="0">
      <w:start w:val="1"/>
      <w:numFmt w:val="lowerRoman"/>
      <w:pStyle w:val="8"/>
      <w:lvlText w:val="(%7)"/>
      <w:legacy w:legacy="1" w:legacySpace="0" w:legacyIndent="425"/>
      <w:lvlJc w:val="left"/>
      <w:pPr>
        <w:ind w:left="2550" w:hanging="425"/>
      </w:pPr>
    </w:lvl>
    <w:lvl w:ilvl="7" w:tentative="0">
      <w:start w:val="1"/>
      <w:numFmt w:val="chineseCounting"/>
      <w:pStyle w:val="9"/>
      <w:lvlText w:val="(%8)"/>
      <w:legacy w:legacy="1" w:legacySpace="0" w:legacyIndent="425"/>
      <w:lvlJc w:val="left"/>
      <w:pPr>
        <w:ind w:left="2975" w:hanging="425"/>
      </w:pPr>
    </w:lvl>
    <w:lvl w:ilvl="8" w:tentative="0">
      <w:start w:val="1"/>
      <w:numFmt w:val="chineseCounting"/>
      <w:pStyle w:val="10"/>
      <w:lvlText w:val="(%9)"/>
      <w:legacy w:legacy="1" w:legacySpace="0" w:legacyIndent="0"/>
      <w:lvlJc w:val="left"/>
      <w:pPr>
        <w:ind w:left="2975" w:firstLine="0"/>
      </w:pPr>
    </w:lvl>
  </w:abstractNum>
  <w:abstractNum w:abstractNumId="2">
    <w:nsid w:val="33143E80"/>
    <w:multiLevelType w:val="singleLevel"/>
    <w:tmpl w:val="33143E80"/>
    <w:lvl w:ilvl="0" w:tentative="0">
      <w:start w:val="1"/>
      <w:numFmt w:val="decimal"/>
      <w:pStyle w:val="79"/>
      <w:lvlText w:val="表%1："/>
      <w:lvlJc w:val="left"/>
      <w:pPr>
        <w:tabs>
          <w:tab w:val="left" w:pos="720"/>
        </w:tabs>
        <w:ind w:left="425" w:hanging="425"/>
      </w:pPr>
      <w:rPr>
        <w:rFonts w:hint="eastAsia" w:ascii="黑体" w:eastAsia="黑体"/>
        <w:sz w:val="24"/>
      </w:rPr>
    </w:lvl>
  </w:abstractNum>
  <w:abstractNum w:abstractNumId="3">
    <w:nsid w:val="5DC402BE"/>
    <w:multiLevelType w:val="multilevel"/>
    <w:tmpl w:val="5DC402BE"/>
    <w:lvl w:ilvl="0" w:tentative="0">
      <w:start w:val="1"/>
      <w:numFmt w:val="japaneseCounting"/>
      <w:lvlText w:val="%1、"/>
      <w:lvlJc w:val="left"/>
      <w:pPr>
        <w:tabs>
          <w:tab w:val="left" w:pos="962"/>
        </w:tabs>
        <w:ind w:left="962" w:hanging="480"/>
      </w:pPr>
      <w:rPr>
        <w:rFonts w:hint="default"/>
        <w:lang w:val="en-US"/>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4">
    <w:nsid w:val="69D41FE9"/>
    <w:multiLevelType w:val="singleLevel"/>
    <w:tmpl w:val="69D41FE9"/>
    <w:lvl w:ilvl="0" w:tentative="0">
      <w:start w:val="2"/>
      <w:numFmt w:val="decimal"/>
      <w:suff w:val="nothing"/>
      <w:lvlText w:val="%1、"/>
      <w:lvlJc w:val="left"/>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2NDU3MWY0YWY5OTA0OTBkN2FmZmM5ZjJiYTk5ZTQifQ=="/>
  </w:docVars>
  <w:rsids>
    <w:rsidRoot w:val="008A58FC"/>
    <w:rsid w:val="0000051D"/>
    <w:rsid w:val="0000141B"/>
    <w:rsid w:val="00001A4E"/>
    <w:rsid w:val="000036EB"/>
    <w:rsid w:val="0000389F"/>
    <w:rsid w:val="00003D76"/>
    <w:rsid w:val="00004B7F"/>
    <w:rsid w:val="00005926"/>
    <w:rsid w:val="00005E1B"/>
    <w:rsid w:val="00006288"/>
    <w:rsid w:val="000100A0"/>
    <w:rsid w:val="000104F0"/>
    <w:rsid w:val="0001165C"/>
    <w:rsid w:val="00011AE3"/>
    <w:rsid w:val="00012A14"/>
    <w:rsid w:val="00012E8E"/>
    <w:rsid w:val="00013C61"/>
    <w:rsid w:val="0001493C"/>
    <w:rsid w:val="00014D54"/>
    <w:rsid w:val="00016872"/>
    <w:rsid w:val="00017693"/>
    <w:rsid w:val="00020331"/>
    <w:rsid w:val="000209E2"/>
    <w:rsid w:val="0002293A"/>
    <w:rsid w:val="00022E03"/>
    <w:rsid w:val="00023355"/>
    <w:rsid w:val="00023592"/>
    <w:rsid w:val="00023CAB"/>
    <w:rsid w:val="000242F4"/>
    <w:rsid w:val="00025173"/>
    <w:rsid w:val="00025A36"/>
    <w:rsid w:val="00026CB8"/>
    <w:rsid w:val="00027077"/>
    <w:rsid w:val="000309C8"/>
    <w:rsid w:val="000316A6"/>
    <w:rsid w:val="00031BDD"/>
    <w:rsid w:val="00031F90"/>
    <w:rsid w:val="000327B5"/>
    <w:rsid w:val="0003391C"/>
    <w:rsid w:val="00033CEE"/>
    <w:rsid w:val="00034471"/>
    <w:rsid w:val="000348C6"/>
    <w:rsid w:val="00034BB1"/>
    <w:rsid w:val="0003514A"/>
    <w:rsid w:val="0003608F"/>
    <w:rsid w:val="000364DF"/>
    <w:rsid w:val="0003790A"/>
    <w:rsid w:val="00037C01"/>
    <w:rsid w:val="00037CF2"/>
    <w:rsid w:val="000400BD"/>
    <w:rsid w:val="00040DF0"/>
    <w:rsid w:val="000415E9"/>
    <w:rsid w:val="0004242E"/>
    <w:rsid w:val="00042643"/>
    <w:rsid w:val="00042AAC"/>
    <w:rsid w:val="00043697"/>
    <w:rsid w:val="000437B3"/>
    <w:rsid w:val="0004385A"/>
    <w:rsid w:val="000446C6"/>
    <w:rsid w:val="00045403"/>
    <w:rsid w:val="00046173"/>
    <w:rsid w:val="00046745"/>
    <w:rsid w:val="0004705F"/>
    <w:rsid w:val="00047634"/>
    <w:rsid w:val="000476EC"/>
    <w:rsid w:val="0005039F"/>
    <w:rsid w:val="00050E82"/>
    <w:rsid w:val="0005503E"/>
    <w:rsid w:val="000551D7"/>
    <w:rsid w:val="000553BB"/>
    <w:rsid w:val="000564C0"/>
    <w:rsid w:val="0005656E"/>
    <w:rsid w:val="0005731D"/>
    <w:rsid w:val="0005792B"/>
    <w:rsid w:val="00057FF0"/>
    <w:rsid w:val="000616ED"/>
    <w:rsid w:val="00062AD3"/>
    <w:rsid w:val="00062EFB"/>
    <w:rsid w:val="000644CF"/>
    <w:rsid w:val="000661C9"/>
    <w:rsid w:val="00066F5D"/>
    <w:rsid w:val="000670B1"/>
    <w:rsid w:val="00067CCC"/>
    <w:rsid w:val="00070E44"/>
    <w:rsid w:val="00070FF1"/>
    <w:rsid w:val="00071176"/>
    <w:rsid w:val="0007145A"/>
    <w:rsid w:val="00071DDF"/>
    <w:rsid w:val="00072EC1"/>
    <w:rsid w:val="00072F59"/>
    <w:rsid w:val="00073051"/>
    <w:rsid w:val="0007453E"/>
    <w:rsid w:val="00074E3B"/>
    <w:rsid w:val="0007618E"/>
    <w:rsid w:val="000765F0"/>
    <w:rsid w:val="00077940"/>
    <w:rsid w:val="00077DB1"/>
    <w:rsid w:val="000804B3"/>
    <w:rsid w:val="000822DD"/>
    <w:rsid w:val="00082A9C"/>
    <w:rsid w:val="00082EB1"/>
    <w:rsid w:val="0008488E"/>
    <w:rsid w:val="00084DCC"/>
    <w:rsid w:val="00084DEC"/>
    <w:rsid w:val="00085642"/>
    <w:rsid w:val="00085ACF"/>
    <w:rsid w:val="000871EA"/>
    <w:rsid w:val="000872BE"/>
    <w:rsid w:val="000902AF"/>
    <w:rsid w:val="00092B29"/>
    <w:rsid w:val="00093DB2"/>
    <w:rsid w:val="00093EBE"/>
    <w:rsid w:val="000950EC"/>
    <w:rsid w:val="000954DC"/>
    <w:rsid w:val="000958B1"/>
    <w:rsid w:val="000967E9"/>
    <w:rsid w:val="000968F1"/>
    <w:rsid w:val="00096E31"/>
    <w:rsid w:val="000971EB"/>
    <w:rsid w:val="000A0144"/>
    <w:rsid w:val="000A05A3"/>
    <w:rsid w:val="000A0762"/>
    <w:rsid w:val="000A0A0B"/>
    <w:rsid w:val="000A0A94"/>
    <w:rsid w:val="000A11B8"/>
    <w:rsid w:val="000A2B2A"/>
    <w:rsid w:val="000A34B1"/>
    <w:rsid w:val="000A34EC"/>
    <w:rsid w:val="000A35D3"/>
    <w:rsid w:val="000A5454"/>
    <w:rsid w:val="000A716E"/>
    <w:rsid w:val="000A76B6"/>
    <w:rsid w:val="000A79FB"/>
    <w:rsid w:val="000B0080"/>
    <w:rsid w:val="000B088A"/>
    <w:rsid w:val="000B08A7"/>
    <w:rsid w:val="000B157D"/>
    <w:rsid w:val="000B1689"/>
    <w:rsid w:val="000B29D0"/>
    <w:rsid w:val="000B48A7"/>
    <w:rsid w:val="000B4E8E"/>
    <w:rsid w:val="000B5AD9"/>
    <w:rsid w:val="000B6851"/>
    <w:rsid w:val="000B6E2F"/>
    <w:rsid w:val="000B7168"/>
    <w:rsid w:val="000C0105"/>
    <w:rsid w:val="000C01EB"/>
    <w:rsid w:val="000C0DED"/>
    <w:rsid w:val="000C0EA6"/>
    <w:rsid w:val="000C3E10"/>
    <w:rsid w:val="000C401D"/>
    <w:rsid w:val="000C517A"/>
    <w:rsid w:val="000C7CDA"/>
    <w:rsid w:val="000D0562"/>
    <w:rsid w:val="000D0A27"/>
    <w:rsid w:val="000D0C9A"/>
    <w:rsid w:val="000D140F"/>
    <w:rsid w:val="000D2E4B"/>
    <w:rsid w:val="000D301F"/>
    <w:rsid w:val="000D31B5"/>
    <w:rsid w:val="000D35B1"/>
    <w:rsid w:val="000D3745"/>
    <w:rsid w:val="000D5EC2"/>
    <w:rsid w:val="000D72B0"/>
    <w:rsid w:val="000E013D"/>
    <w:rsid w:val="000E0500"/>
    <w:rsid w:val="000E1FC1"/>
    <w:rsid w:val="000E1FF5"/>
    <w:rsid w:val="000E2DEE"/>
    <w:rsid w:val="000E3152"/>
    <w:rsid w:val="000E31BF"/>
    <w:rsid w:val="000E328D"/>
    <w:rsid w:val="000E33FE"/>
    <w:rsid w:val="000E4737"/>
    <w:rsid w:val="000E4BF7"/>
    <w:rsid w:val="000E6109"/>
    <w:rsid w:val="000E6873"/>
    <w:rsid w:val="000E7E13"/>
    <w:rsid w:val="000F0228"/>
    <w:rsid w:val="000F075E"/>
    <w:rsid w:val="000F0C01"/>
    <w:rsid w:val="000F16FF"/>
    <w:rsid w:val="000F1866"/>
    <w:rsid w:val="000F1C3F"/>
    <w:rsid w:val="000F1F68"/>
    <w:rsid w:val="000F2A18"/>
    <w:rsid w:val="000F4CAB"/>
    <w:rsid w:val="000F60C2"/>
    <w:rsid w:val="000F61B1"/>
    <w:rsid w:val="000F6C68"/>
    <w:rsid w:val="000F6EBB"/>
    <w:rsid w:val="000F7B4B"/>
    <w:rsid w:val="001005E1"/>
    <w:rsid w:val="00100C9A"/>
    <w:rsid w:val="0010246E"/>
    <w:rsid w:val="00102987"/>
    <w:rsid w:val="00103DCA"/>
    <w:rsid w:val="0010473F"/>
    <w:rsid w:val="00105374"/>
    <w:rsid w:val="00105877"/>
    <w:rsid w:val="00105AF6"/>
    <w:rsid w:val="00106C86"/>
    <w:rsid w:val="00107EB7"/>
    <w:rsid w:val="00110189"/>
    <w:rsid w:val="0011027E"/>
    <w:rsid w:val="00110A8F"/>
    <w:rsid w:val="00112556"/>
    <w:rsid w:val="00112B30"/>
    <w:rsid w:val="00112DAA"/>
    <w:rsid w:val="00113140"/>
    <w:rsid w:val="0011318C"/>
    <w:rsid w:val="001132DD"/>
    <w:rsid w:val="00113F06"/>
    <w:rsid w:val="00114694"/>
    <w:rsid w:val="001158CA"/>
    <w:rsid w:val="00115D8D"/>
    <w:rsid w:val="0011601B"/>
    <w:rsid w:val="0011609C"/>
    <w:rsid w:val="0011615A"/>
    <w:rsid w:val="00116C3A"/>
    <w:rsid w:val="00116E94"/>
    <w:rsid w:val="0012134D"/>
    <w:rsid w:val="00121FD0"/>
    <w:rsid w:val="00122EE0"/>
    <w:rsid w:val="00123D48"/>
    <w:rsid w:val="00123E1B"/>
    <w:rsid w:val="00123F9F"/>
    <w:rsid w:val="00124B73"/>
    <w:rsid w:val="00124D71"/>
    <w:rsid w:val="001251E1"/>
    <w:rsid w:val="00125EA5"/>
    <w:rsid w:val="0012662E"/>
    <w:rsid w:val="00127393"/>
    <w:rsid w:val="001309E9"/>
    <w:rsid w:val="00130C64"/>
    <w:rsid w:val="00130FFB"/>
    <w:rsid w:val="00131760"/>
    <w:rsid w:val="001320B3"/>
    <w:rsid w:val="00132C85"/>
    <w:rsid w:val="00133509"/>
    <w:rsid w:val="001335B8"/>
    <w:rsid w:val="001336DD"/>
    <w:rsid w:val="00133B57"/>
    <w:rsid w:val="00134713"/>
    <w:rsid w:val="00134F3D"/>
    <w:rsid w:val="00136A79"/>
    <w:rsid w:val="0013744F"/>
    <w:rsid w:val="00137B07"/>
    <w:rsid w:val="00141A81"/>
    <w:rsid w:val="00141CE1"/>
    <w:rsid w:val="00143936"/>
    <w:rsid w:val="001452FA"/>
    <w:rsid w:val="00146174"/>
    <w:rsid w:val="001469AE"/>
    <w:rsid w:val="001507BA"/>
    <w:rsid w:val="0015106E"/>
    <w:rsid w:val="001512B1"/>
    <w:rsid w:val="00151539"/>
    <w:rsid w:val="001516C8"/>
    <w:rsid w:val="00154217"/>
    <w:rsid w:val="00154AB9"/>
    <w:rsid w:val="00154C29"/>
    <w:rsid w:val="00155247"/>
    <w:rsid w:val="001557BD"/>
    <w:rsid w:val="00155B91"/>
    <w:rsid w:val="001561CE"/>
    <w:rsid w:val="001564EC"/>
    <w:rsid w:val="00156B9B"/>
    <w:rsid w:val="00157C30"/>
    <w:rsid w:val="00160231"/>
    <w:rsid w:val="0016026A"/>
    <w:rsid w:val="00161D2E"/>
    <w:rsid w:val="0016279B"/>
    <w:rsid w:val="00162C82"/>
    <w:rsid w:val="00163FC7"/>
    <w:rsid w:val="00164A23"/>
    <w:rsid w:val="001651BE"/>
    <w:rsid w:val="001654DC"/>
    <w:rsid w:val="001656D8"/>
    <w:rsid w:val="00166167"/>
    <w:rsid w:val="0016741A"/>
    <w:rsid w:val="00167A01"/>
    <w:rsid w:val="00167C16"/>
    <w:rsid w:val="00170149"/>
    <w:rsid w:val="00170CE8"/>
    <w:rsid w:val="00171B07"/>
    <w:rsid w:val="00172E13"/>
    <w:rsid w:val="00173BDF"/>
    <w:rsid w:val="00175096"/>
    <w:rsid w:val="00175D7E"/>
    <w:rsid w:val="001760D5"/>
    <w:rsid w:val="00176CBE"/>
    <w:rsid w:val="00180161"/>
    <w:rsid w:val="00180887"/>
    <w:rsid w:val="0018236C"/>
    <w:rsid w:val="00182686"/>
    <w:rsid w:val="00183424"/>
    <w:rsid w:val="001836AB"/>
    <w:rsid w:val="00183EFA"/>
    <w:rsid w:val="001845E5"/>
    <w:rsid w:val="0018686D"/>
    <w:rsid w:val="001874B7"/>
    <w:rsid w:val="00190174"/>
    <w:rsid w:val="00190486"/>
    <w:rsid w:val="00190653"/>
    <w:rsid w:val="001915EA"/>
    <w:rsid w:val="00192893"/>
    <w:rsid w:val="00192E3D"/>
    <w:rsid w:val="00192EAE"/>
    <w:rsid w:val="0019405E"/>
    <w:rsid w:val="00194F45"/>
    <w:rsid w:val="00196017"/>
    <w:rsid w:val="0019719A"/>
    <w:rsid w:val="001A3B49"/>
    <w:rsid w:val="001A4780"/>
    <w:rsid w:val="001A4861"/>
    <w:rsid w:val="001A4B8C"/>
    <w:rsid w:val="001A4FEB"/>
    <w:rsid w:val="001A5697"/>
    <w:rsid w:val="001A6CC8"/>
    <w:rsid w:val="001A6FE7"/>
    <w:rsid w:val="001A707E"/>
    <w:rsid w:val="001A7697"/>
    <w:rsid w:val="001A7B61"/>
    <w:rsid w:val="001B0869"/>
    <w:rsid w:val="001B239A"/>
    <w:rsid w:val="001B336A"/>
    <w:rsid w:val="001B36AD"/>
    <w:rsid w:val="001B43CC"/>
    <w:rsid w:val="001B51DF"/>
    <w:rsid w:val="001B58A4"/>
    <w:rsid w:val="001B708F"/>
    <w:rsid w:val="001B72B0"/>
    <w:rsid w:val="001B7C42"/>
    <w:rsid w:val="001C0042"/>
    <w:rsid w:val="001C020D"/>
    <w:rsid w:val="001C1729"/>
    <w:rsid w:val="001C20DE"/>
    <w:rsid w:val="001C2C9E"/>
    <w:rsid w:val="001C2D92"/>
    <w:rsid w:val="001C3475"/>
    <w:rsid w:val="001C36A8"/>
    <w:rsid w:val="001C3EF9"/>
    <w:rsid w:val="001C5955"/>
    <w:rsid w:val="001C5B52"/>
    <w:rsid w:val="001C6D39"/>
    <w:rsid w:val="001C6D6A"/>
    <w:rsid w:val="001C75AC"/>
    <w:rsid w:val="001D0154"/>
    <w:rsid w:val="001D0DD4"/>
    <w:rsid w:val="001D1B5B"/>
    <w:rsid w:val="001D24EF"/>
    <w:rsid w:val="001D3059"/>
    <w:rsid w:val="001D4523"/>
    <w:rsid w:val="001D53F4"/>
    <w:rsid w:val="001D6F7A"/>
    <w:rsid w:val="001E0266"/>
    <w:rsid w:val="001E1AFE"/>
    <w:rsid w:val="001E26CE"/>
    <w:rsid w:val="001E2C31"/>
    <w:rsid w:val="001E3C76"/>
    <w:rsid w:val="001E544E"/>
    <w:rsid w:val="001E588F"/>
    <w:rsid w:val="001E59F5"/>
    <w:rsid w:val="001E608C"/>
    <w:rsid w:val="001E6253"/>
    <w:rsid w:val="001E68F4"/>
    <w:rsid w:val="001E74D1"/>
    <w:rsid w:val="001F00B2"/>
    <w:rsid w:val="001F0454"/>
    <w:rsid w:val="001F11D1"/>
    <w:rsid w:val="001F323F"/>
    <w:rsid w:val="001F4901"/>
    <w:rsid w:val="001F4E7E"/>
    <w:rsid w:val="001F6D77"/>
    <w:rsid w:val="001F6EAC"/>
    <w:rsid w:val="002003E5"/>
    <w:rsid w:val="002006A9"/>
    <w:rsid w:val="002013AA"/>
    <w:rsid w:val="002017A8"/>
    <w:rsid w:val="00201C3A"/>
    <w:rsid w:val="00202075"/>
    <w:rsid w:val="0020296D"/>
    <w:rsid w:val="002031B3"/>
    <w:rsid w:val="00204BA3"/>
    <w:rsid w:val="00205B68"/>
    <w:rsid w:val="00206721"/>
    <w:rsid w:val="00207C08"/>
    <w:rsid w:val="00207D1F"/>
    <w:rsid w:val="002111FA"/>
    <w:rsid w:val="00213CC9"/>
    <w:rsid w:val="00213D9F"/>
    <w:rsid w:val="00213F87"/>
    <w:rsid w:val="002145C1"/>
    <w:rsid w:val="0021618A"/>
    <w:rsid w:val="002172F0"/>
    <w:rsid w:val="002179B7"/>
    <w:rsid w:val="002179DF"/>
    <w:rsid w:val="00217DE3"/>
    <w:rsid w:val="00220F15"/>
    <w:rsid w:val="002214D1"/>
    <w:rsid w:val="0022194B"/>
    <w:rsid w:val="00221DDF"/>
    <w:rsid w:val="002223D9"/>
    <w:rsid w:val="002227D0"/>
    <w:rsid w:val="00224DAB"/>
    <w:rsid w:val="002257FD"/>
    <w:rsid w:val="00225BE1"/>
    <w:rsid w:val="00225DBE"/>
    <w:rsid w:val="00226807"/>
    <w:rsid w:val="002272B9"/>
    <w:rsid w:val="0022781E"/>
    <w:rsid w:val="00227BE7"/>
    <w:rsid w:val="0023014C"/>
    <w:rsid w:val="00231D43"/>
    <w:rsid w:val="00232132"/>
    <w:rsid w:val="002321E8"/>
    <w:rsid w:val="00232227"/>
    <w:rsid w:val="00232FE7"/>
    <w:rsid w:val="002334B1"/>
    <w:rsid w:val="0023371B"/>
    <w:rsid w:val="00234105"/>
    <w:rsid w:val="002346A4"/>
    <w:rsid w:val="0023473E"/>
    <w:rsid w:val="00234753"/>
    <w:rsid w:val="00235A6C"/>
    <w:rsid w:val="00237531"/>
    <w:rsid w:val="0023784C"/>
    <w:rsid w:val="00237DC3"/>
    <w:rsid w:val="00237E87"/>
    <w:rsid w:val="002400DE"/>
    <w:rsid w:val="00241A30"/>
    <w:rsid w:val="002421AE"/>
    <w:rsid w:val="00243771"/>
    <w:rsid w:val="00243D90"/>
    <w:rsid w:val="002457B7"/>
    <w:rsid w:val="00246172"/>
    <w:rsid w:val="00246506"/>
    <w:rsid w:val="00246E11"/>
    <w:rsid w:val="002477A1"/>
    <w:rsid w:val="0024789A"/>
    <w:rsid w:val="00247E09"/>
    <w:rsid w:val="0025163C"/>
    <w:rsid w:val="0025269F"/>
    <w:rsid w:val="00252729"/>
    <w:rsid w:val="00252BA3"/>
    <w:rsid w:val="0025302B"/>
    <w:rsid w:val="00254422"/>
    <w:rsid w:val="00254521"/>
    <w:rsid w:val="00254EC2"/>
    <w:rsid w:val="002551D0"/>
    <w:rsid w:val="0025573F"/>
    <w:rsid w:val="002575D9"/>
    <w:rsid w:val="002579B5"/>
    <w:rsid w:val="002600EB"/>
    <w:rsid w:val="0026021C"/>
    <w:rsid w:val="00260C6E"/>
    <w:rsid w:val="0026110A"/>
    <w:rsid w:val="002625D1"/>
    <w:rsid w:val="00263910"/>
    <w:rsid w:val="00263B30"/>
    <w:rsid w:val="0026431C"/>
    <w:rsid w:val="00264622"/>
    <w:rsid w:val="0026525C"/>
    <w:rsid w:val="00265BE3"/>
    <w:rsid w:val="00265F92"/>
    <w:rsid w:val="002663F0"/>
    <w:rsid w:val="00266E07"/>
    <w:rsid w:val="002674DA"/>
    <w:rsid w:val="00267970"/>
    <w:rsid w:val="0027023E"/>
    <w:rsid w:val="002709C4"/>
    <w:rsid w:val="00271264"/>
    <w:rsid w:val="0027129B"/>
    <w:rsid w:val="0027234C"/>
    <w:rsid w:val="002746C8"/>
    <w:rsid w:val="00274E0B"/>
    <w:rsid w:val="0027610F"/>
    <w:rsid w:val="0027713D"/>
    <w:rsid w:val="00277CB9"/>
    <w:rsid w:val="00280453"/>
    <w:rsid w:val="00280B9B"/>
    <w:rsid w:val="002839D2"/>
    <w:rsid w:val="00283BCD"/>
    <w:rsid w:val="00283D79"/>
    <w:rsid w:val="00284DB6"/>
    <w:rsid w:val="00284FBF"/>
    <w:rsid w:val="00285587"/>
    <w:rsid w:val="002865B7"/>
    <w:rsid w:val="00286976"/>
    <w:rsid w:val="00286CE7"/>
    <w:rsid w:val="00287940"/>
    <w:rsid w:val="00290064"/>
    <w:rsid w:val="00290228"/>
    <w:rsid w:val="0029199F"/>
    <w:rsid w:val="00292756"/>
    <w:rsid w:val="002928FB"/>
    <w:rsid w:val="00293522"/>
    <w:rsid w:val="00293D98"/>
    <w:rsid w:val="00294502"/>
    <w:rsid w:val="00294852"/>
    <w:rsid w:val="00294C7B"/>
    <w:rsid w:val="00294DE1"/>
    <w:rsid w:val="00295306"/>
    <w:rsid w:val="002955C7"/>
    <w:rsid w:val="00295690"/>
    <w:rsid w:val="00297952"/>
    <w:rsid w:val="002A0010"/>
    <w:rsid w:val="002A06BF"/>
    <w:rsid w:val="002A088A"/>
    <w:rsid w:val="002A0F39"/>
    <w:rsid w:val="002A1D94"/>
    <w:rsid w:val="002A324D"/>
    <w:rsid w:val="002A45D5"/>
    <w:rsid w:val="002A48A3"/>
    <w:rsid w:val="002A4FF3"/>
    <w:rsid w:val="002A53DE"/>
    <w:rsid w:val="002A58D3"/>
    <w:rsid w:val="002A5D8D"/>
    <w:rsid w:val="002A6EB2"/>
    <w:rsid w:val="002A72F9"/>
    <w:rsid w:val="002B1410"/>
    <w:rsid w:val="002B144A"/>
    <w:rsid w:val="002B28A8"/>
    <w:rsid w:val="002B2BDD"/>
    <w:rsid w:val="002B4B99"/>
    <w:rsid w:val="002B4E42"/>
    <w:rsid w:val="002B53CA"/>
    <w:rsid w:val="002B5EC2"/>
    <w:rsid w:val="002B5F97"/>
    <w:rsid w:val="002B6B3E"/>
    <w:rsid w:val="002C1D89"/>
    <w:rsid w:val="002C1E5B"/>
    <w:rsid w:val="002C2239"/>
    <w:rsid w:val="002C26F5"/>
    <w:rsid w:val="002C2A9F"/>
    <w:rsid w:val="002C362F"/>
    <w:rsid w:val="002C4323"/>
    <w:rsid w:val="002C569B"/>
    <w:rsid w:val="002C73C8"/>
    <w:rsid w:val="002C7755"/>
    <w:rsid w:val="002D09D4"/>
    <w:rsid w:val="002D12FF"/>
    <w:rsid w:val="002D1931"/>
    <w:rsid w:val="002D262D"/>
    <w:rsid w:val="002D3587"/>
    <w:rsid w:val="002D3E97"/>
    <w:rsid w:val="002D42EC"/>
    <w:rsid w:val="002D5352"/>
    <w:rsid w:val="002D5C4E"/>
    <w:rsid w:val="002D7AE7"/>
    <w:rsid w:val="002D7DFF"/>
    <w:rsid w:val="002E0310"/>
    <w:rsid w:val="002E0D43"/>
    <w:rsid w:val="002E0EA8"/>
    <w:rsid w:val="002E1FDD"/>
    <w:rsid w:val="002E2CBC"/>
    <w:rsid w:val="002E34A6"/>
    <w:rsid w:val="002E4AE3"/>
    <w:rsid w:val="002E4B6B"/>
    <w:rsid w:val="002E61CB"/>
    <w:rsid w:val="002E728B"/>
    <w:rsid w:val="002E7377"/>
    <w:rsid w:val="002F11B2"/>
    <w:rsid w:val="002F142A"/>
    <w:rsid w:val="002F1B6A"/>
    <w:rsid w:val="002F2EFF"/>
    <w:rsid w:val="002F32E7"/>
    <w:rsid w:val="002F4067"/>
    <w:rsid w:val="002F4A45"/>
    <w:rsid w:val="002F4EE6"/>
    <w:rsid w:val="002F734C"/>
    <w:rsid w:val="00300BA0"/>
    <w:rsid w:val="00300FC7"/>
    <w:rsid w:val="003020BF"/>
    <w:rsid w:val="0030266B"/>
    <w:rsid w:val="00304243"/>
    <w:rsid w:val="003047A9"/>
    <w:rsid w:val="0030509B"/>
    <w:rsid w:val="00305D83"/>
    <w:rsid w:val="003072B8"/>
    <w:rsid w:val="003106C1"/>
    <w:rsid w:val="003107C7"/>
    <w:rsid w:val="00311397"/>
    <w:rsid w:val="00311DD6"/>
    <w:rsid w:val="00313BE9"/>
    <w:rsid w:val="00313DF7"/>
    <w:rsid w:val="00315DC7"/>
    <w:rsid w:val="00315F2F"/>
    <w:rsid w:val="00316DA3"/>
    <w:rsid w:val="00322023"/>
    <w:rsid w:val="00323152"/>
    <w:rsid w:val="00323914"/>
    <w:rsid w:val="003242E9"/>
    <w:rsid w:val="0032469F"/>
    <w:rsid w:val="003265D1"/>
    <w:rsid w:val="00326885"/>
    <w:rsid w:val="00326BC9"/>
    <w:rsid w:val="00326DBB"/>
    <w:rsid w:val="003312E5"/>
    <w:rsid w:val="003320E7"/>
    <w:rsid w:val="00332801"/>
    <w:rsid w:val="003335F3"/>
    <w:rsid w:val="0033474D"/>
    <w:rsid w:val="003347D7"/>
    <w:rsid w:val="003348D9"/>
    <w:rsid w:val="0033581C"/>
    <w:rsid w:val="00336E58"/>
    <w:rsid w:val="003371F1"/>
    <w:rsid w:val="00337493"/>
    <w:rsid w:val="003400DC"/>
    <w:rsid w:val="00340C27"/>
    <w:rsid w:val="00341082"/>
    <w:rsid w:val="00341822"/>
    <w:rsid w:val="003427C6"/>
    <w:rsid w:val="0034360D"/>
    <w:rsid w:val="00343783"/>
    <w:rsid w:val="00343CBD"/>
    <w:rsid w:val="0034440F"/>
    <w:rsid w:val="00344618"/>
    <w:rsid w:val="0034514E"/>
    <w:rsid w:val="003454CA"/>
    <w:rsid w:val="0034567B"/>
    <w:rsid w:val="0034575F"/>
    <w:rsid w:val="00345AA4"/>
    <w:rsid w:val="003473CB"/>
    <w:rsid w:val="00350467"/>
    <w:rsid w:val="003506C0"/>
    <w:rsid w:val="003508A9"/>
    <w:rsid w:val="00350D62"/>
    <w:rsid w:val="00351FCB"/>
    <w:rsid w:val="0035226E"/>
    <w:rsid w:val="00352AAA"/>
    <w:rsid w:val="00353E25"/>
    <w:rsid w:val="00354739"/>
    <w:rsid w:val="00355186"/>
    <w:rsid w:val="0035669D"/>
    <w:rsid w:val="00356F22"/>
    <w:rsid w:val="003571DE"/>
    <w:rsid w:val="0036120E"/>
    <w:rsid w:val="0036237A"/>
    <w:rsid w:val="00364020"/>
    <w:rsid w:val="003676FA"/>
    <w:rsid w:val="00367CE8"/>
    <w:rsid w:val="003715CD"/>
    <w:rsid w:val="00371951"/>
    <w:rsid w:val="0037299E"/>
    <w:rsid w:val="00372D1B"/>
    <w:rsid w:val="00372D73"/>
    <w:rsid w:val="00373A6D"/>
    <w:rsid w:val="00373D14"/>
    <w:rsid w:val="00373F5D"/>
    <w:rsid w:val="003759D2"/>
    <w:rsid w:val="00375CBC"/>
    <w:rsid w:val="00376086"/>
    <w:rsid w:val="00376165"/>
    <w:rsid w:val="0037623A"/>
    <w:rsid w:val="00377000"/>
    <w:rsid w:val="00377FC5"/>
    <w:rsid w:val="003805D8"/>
    <w:rsid w:val="00380C3D"/>
    <w:rsid w:val="00380E6A"/>
    <w:rsid w:val="00382132"/>
    <w:rsid w:val="0038339D"/>
    <w:rsid w:val="003844AD"/>
    <w:rsid w:val="00384934"/>
    <w:rsid w:val="00386E12"/>
    <w:rsid w:val="003876C2"/>
    <w:rsid w:val="0039185D"/>
    <w:rsid w:val="00391B6B"/>
    <w:rsid w:val="00392DDA"/>
    <w:rsid w:val="003935F9"/>
    <w:rsid w:val="0039381F"/>
    <w:rsid w:val="00393A9A"/>
    <w:rsid w:val="00394712"/>
    <w:rsid w:val="00395101"/>
    <w:rsid w:val="003A0F08"/>
    <w:rsid w:val="003A10B3"/>
    <w:rsid w:val="003A1C0B"/>
    <w:rsid w:val="003A4B0D"/>
    <w:rsid w:val="003A50D9"/>
    <w:rsid w:val="003A5155"/>
    <w:rsid w:val="003A6378"/>
    <w:rsid w:val="003A64AC"/>
    <w:rsid w:val="003A6C39"/>
    <w:rsid w:val="003A7118"/>
    <w:rsid w:val="003A7302"/>
    <w:rsid w:val="003B0131"/>
    <w:rsid w:val="003B09FC"/>
    <w:rsid w:val="003B0F89"/>
    <w:rsid w:val="003B2948"/>
    <w:rsid w:val="003B30FC"/>
    <w:rsid w:val="003B3AA8"/>
    <w:rsid w:val="003B42D9"/>
    <w:rsid w:val="003B460C"/>
    <w:rsid w:val="003B4E93"/>
    <w:rsid w:val="003B626F"/>
    <w:rsid w:val="003B6FE8"/>
    <w:rsid w:val="003B749C"/>
    <w:rsid w:val="003B7AB4"/>
    <w:rsid w:val="003B7EFA"/>
    <w:rsid w:val="003C199D"/>
    <w:rsid w:val="003C243A"/>
    <w:rsid w:val="003C31FD"/>
    <w:rsid w:val="003C3E50"/>
    <w:rsid w:val="003C4C33"/>
    <w:rsid w:val="003C4D8A"/>
    <w:rsid w:val="003C54A9"/>
    <w:rsid w:val="003C59D6"/>
    <w:rsid w:val="003C7AB9"/>
    <w:rsid w:val="003D0176"/>
    <w:rsid w:val="003D0AE6"/>
    <w:rsid w:val="003D1145"/>
    <w:rsid w:val="003D2869"/>
    <w:rsid w:val="003D40E2"/>
    <w:rsid w:val="003D4248"/>
    <w:rsid w:val="003D459E"/>
    <w:rsid w:val="003D6343"/>
    <w:rsid w:val="003D644F"/>
    <w:rsid w:val="003D7625"/>
    <w:rsid w:val="003E07B2"/>
    <w:rsid w:val="003E2DE3"/>
    <w:rsid w:val="003E3052"/>
    <w:rsid w:val="003E3775"/>
    <w:rsid w:val="003E3CAF"/>
    <w:rsid w:val="003E4051"/>
    <w:rsid w:val="003E4826"/>
    <w:rsid w:val="003E4F5B"/>
    <w:rsid w:val="003E7A3F"/>
    <w:rsid w:val="003E7DBD"/>
    <w:rsid w:val="003F0858"/>
    <w:rsid w:val="003F0F1A"/>
    <w:rsid w:val="003F30A9"/>
    <w:rsid w:val="003F3C41"/>
    <w:rsid w:val="003F3F1B"/>
    <w:rsid w:val="003F3F39"/>
    <w:rsid w:val="003F4AE9"/>
    <w:rsid w:val="003F5432"/>
    <w:rsid w:val="003F5BD0"/>
    <w:rsid w:val="003F60DE"/>
    <w:rsid w:val="003F6827"/>
    <w:rsid w:val="003F7283"/>
    <w:rsid w:val="00400143"/>
    <w:rsid w:val="00403012"/>
    <w:rsid w:val="00403D45"/>
    <w:rsid w:val="00404BA8"/>
    <w:rsid w:val="004053CF"/>
    <w:rsid w:val="004056B8"/>
    <w:rsid w:val="00405E98"/>
    <w:rsid w:val="0041026A"/>
    <w:rsid w:val="00411478"/>
    <w:rsid w:val="004125C6"/>
    <w:rsid w:val="00413E55"/>
    <w:rsid w:val="00415CE5"/>
    <w:rsid w:val="00415DD7"/>
    <w:rsid w:val="00415FC4"/>
    <w:rsid w:val="0041662E"/>
    <w:rsid w:val="004169EE"/>
    <w:rsid w:val="00420CE6"/>
    <w:rsid w:val="00420F01"/>
    <w:rsid w:val="00421830"/>
    <w:rsid w:val="00421998"/>
    <w:rsid w:val="00422253"/>
    <w:rsid w:val="004225EE"/>
    <w:rsid w:val="0042270A"/>
    <w:rsid w:val="00423642"/>
    <w:rsid w:val="004249B4"/>
    <w:rsid w:val="00425D3B"/>
    <w:rsid w:val="004265D1"/>
    <w:rsid w:val="004277AE"/>
    <w:rsid w:val="00427EF4"/>
    <w:rsid w:val="0043072E"/>
    <w:rsid w:val="00430913"/>
    <w:rsid w:val="00430E5C"/>
    <w:rsid w:val="004313A3"/>
    <w:rsid w:val="00431AF1"/>
    <w:rsid w:val="00432240"/>
    <w:rsid w:val="004329AD"/>
    <w:rsid w:val="00435A32"/>
    <w:rsid w:val="0043600D"/>
    <w:rsid w:val="004362F3"/>
    <w:rsid w:val="0043741B"/>
    <w:rsid w:val="004377E3"/>
    <w:rsid w:val="00437C78"/>
    <w:rsid w:val="0044057C"/>
    <w:rsid w:val="00440C55"/>
    <w:rsid w:val="004410B2"/>
    <w:rsid w:val="00442EDA"/>
    <w:rsid w:val="00443B42"/>
    <w:rsid w:val="0044437B"/>
    <w:rsid w:val="004450E8"/>
    <w:rsid w:val="00446A32"/>
    <w:rsid w:val="00446DA0"/>
    <w:rsid w:val="00446DA8"/>
    <w:rsid w:val="004479B2"/>
    <w:rsid w:val="00451C82"/>
    <w:rsid w:val="004522A2"/>
    <w:rsid w:val="004527EB"/>
    <w:rsid w:val="004528C1"/>
    <w:rsid w:val="004529D6"/>
    <w:rsid w:val="00454336"/>
    <w:rsid w:val="004554CB"/>
    <w:rsid w:val="00455502"/>
    <w:rsid w:val="00461C37"/>
    <w:rsid w:val="00462176"/>
    <w:rsid w:val="00463DAC"/>
    <w:rsid w:val="0046465D"/>
    <w:rsid w:val="00464FC5"/>
    <w:rsid w:val="00466F3A"/>
    <w:rsid w:val="00467221"/>
    <w:rsid w:val="00467AF1"/>
    <w:rsid w:val="00470198"/>
    <w:rsid w:val="00470453"/>
    <w:rsid w:val="00470695"/>
    <w:rsid w:val="00470A65"/>
    <w:rsid w:val="00471EDB"/>
    <w:rsid w:val="00472647"/>
    <w:rsid w:val="00472C39"/>
    <w:rsid w:val="004759B2"/>
    <w:rsid w:val="0047639A"/>
    <w:rsid w:val="0048198E"/>
    <w:rsid w:val="00481D97"/>
    <w:rsid w:val="004825DD"/>
    <w:rsid w:val="00483183"/>
    <w:rsid w:val="004848D1"/>
    <w:rsid w:val="00485AE5"/>
    <w:rsid w:val="00485F9B"/>
    <w:rsid w:val="00486D4D"/>
    <w:rsid w:val="0048703D"/>
    <w:rsid w:val="0048776F"/>
    <w:rsid w:val="00490232"/>
    <w:rsid w:val="00492251"/>
    <w:rsid w:val="00492B0C"/>
    <w:rsid w:val="00492B7C"/>
    <w:rsid w:val="00493361"/>
    <w:rsid w:val="00493D1D"/>
    <w:rsid w:val="00494BFA"/>
    <w:rsid w:val="00495901"/>
    <w:rsid w:val="00495EDD"/>
    <w:rsid w:val="00496459"/>
    <w:rsid w:val="00497B44"/>
    <w:rsid w:val="00497F32"/>
    <w:rsid w:val="004A037D"/>
    <w:rsid w:val="004A2C6E"/>
    <w:rsid w:val="004A2D64"/>
    <w:rsid w:val="004A34CE"/>
    <w:rsid w:val="004A435E"/>
    <w:rsid w:val="004A45BB"/>
    <w:rsid w:val="004A50A2"/>
    <w:rsid w:val="004A6617"/>
    <w:rsid w:val="004A66E6"/>
    <w:rsid w:val="004A7632"/>
    <w:rsid w:val="004B23F6"/>
    <w:rsid w:val="004B2AD8"/>
    <w:rsid w:val="004B485F"/>
    <w:rsid w:val="004B5B84"/>
    <w:rsid w:val="004B5E17"/>
    <w:rsid w:val="004B744F"/>
    <w:rsid w:val="004C27EB"/>
    <w:rsid w:val="004C2EA9"/>
    <w:rsid w:val="004C3136"/>
    <w:rsid w:val="004C4947"/>
    <w:rsid w:val="004C714A"/>
    <w:rsid w:val="004D01E9"/>
    <w:rsid w:val="004D14F6"/>
    <w:rsid w:val="004D2DD0"/>
    <w:rsid w:val="004D32D2"/>
    <w:rsid w:val="004D3AA2"/>
    <w:rsid w:val="004D3B43"/>
    <w:rsid w:val="004D5070"/>
    <w:rsid w:val="004D5B21"/>
    <w:rsid w:val="004D68B7"/>
    <w:rsid w:val="004D71EB"/>
    <w:rsid w:val="004D7A8B"/>
    <w:rsid w:val="004D7D9D"/>
    <w:rsid w:val="004E06F9"/>
    <w:rsid w:val="004E12AD"/>
    <w:rsid w:val="004E143B"/>
    <w:rsid w:val="004E1D7C"/>
    <w:rsid w:val="004E220D"/>
    <w:rsid w:val="004E2442"/>
    <w:rsid w:val="004E2A8A"/>
    <w:rsid w:val="004E3778"/>
    <w:rsid w:val="004E4435"/>
    <w:rsid w:val="004E485C"/>
    <w:rsid w:val="004E49BE"/>
    <w:rsid w:val="004E5E5F"/>
    <w:rsid w:val="004E6235"/>
    <w:rsid w:val="004E6263"/>
    <w:rsid w:val="004E701A"/>
    <w:rsid w:val="004F0409"/>
    <w:rsid w:val="004F0652"/>
    <w:rsid w:val="004F0DA1"/>
    <w:rsid w:val="004F1039"/>
    <w:rsid w:val="004F19A8"/>
    <w:rsid w:val="004F1D48"/>
    <w:rsid w:val="004F32B5"/>
    <w:rsid w:val="004F3493"/>
    <w:rsid w:val="004F3715"/>
    <w:rsid w:val="004F3CA8"/>
    <w:rsid w:val="004F4049"/>
    <w:rsid w:val="004F56B2"/>
    <w:rsid w:val="004F776A"/>
    <w:rsid w:val="00500947"/>
    <w:rsid w:val="00502885"/>
    <w:rsid w:val="00504229"/>
    <w:rsid w:val="005042CA"/>
    <w:rsid w:val="005050BE"/>
    <w:rsid w:val="00506586"/>
    <w:rsid w:val="00506C3D"/>
    <w:rsid w:val="005072C5"/>
    <w:rsid w:val="00510BF9"/>
    <w:rsid w:val="00510D87"/>
    <w:rsid w:val="00512D5A"/>
    <w:rsid w:val="005139B8"/>
    <w:rsid w:val="00515FC7"/>
    <w:rsid w:val="00516C8E"/>
    <w:rsid w:val="00516DC7"/>
    <w:rsid w:val="005170EA"/>
    <w:rsid w:val="00520708"/>
    <w:rsid w:val="0052087D"/>
    <w:rsid w:val="005211F9"/>
    <w:rsid w:val="0052348E"/>
    <w:rsid w:val="00523F17"/>
    <w:rsid w:val="005241C3"/>
    <w:rsid w:val="005243F3"/>
    <w:rsid w:val="00525957"/>
    <w:rsid w:val="00525BB4"/>
    <w:rsid w:val="00526B14"/>
    <w:rsid w:val="00526DE9"/>
    <w:rsid w:val="00530DD2"/>
    <w:rsid w:val="005319D0"/>
    <w:rsid w:val="00531B35"/>
    <w:rsid w:val="005322EB"/>
    <w:rsid w:val="005330CE"/>
    <w:rsid w:val="00533A48"/>
    <w:rsid w:val="00533BC4"/>
    <w:rsid w:val="00533D01"/>
    <w:rsid w:val="0053469F"/>
    <w:rsid w:val="005364C7"/>
    <w:rsid w:val="00536817"/>
    <w:rsid w:val="00536DE0"/>
    <w:rsid w:val="00537D3E"/>
    <w:rsid w:val="00540931"/>
    <w:rsid w:val="00540C60"/>
    <w:rsid w:val="0054129B"/>
    <w:rsid w:val="0054137E"/>
    <w:rsid w:val="00541483"/>
    <w:rsid w:val="00542959"/>
    <w:rsid w:val="00542AF0"/>
    <w:rsid w:val="005434D2"/>
    <w:rsid w:val="00543BDE"/>
    <w:rsid w:val="005462D3"/>
    <w:rsid w:val="00546E33"/>
    <w:rsid w:val="0054736B"/>
    <w:rsid w:val="00550FE7"/>
    <w:rsid w:val="00552489"/>
    <w:rsid w:val="00552D01"/>
    <w:rsid w:val="0055302E"/>
    <w:rsid w:val="005536B1"/>
    <w:rsid w:val="005553ED"/>
    <w:rsid w:val="00555959"/>
    <w:rsid w:val="00555F28"/>
    <w:rsid w:val="00556107"/>
    <w:rsid w:val="00557893"/>
    <w:rsid w:val="00560BE9"/>
    <w:rsid w:val="00560FF4"/>
    <w:rsid w:val="00561188"/>
    <w:rsid w:val="005612A1"/>
    <w:rsid w:val="00561480"/>
    <w:rsid w:val="00561ACC"/>
    <w:rsid w:val="0056386F"/>
    <w:rsid w:val="005643C7"/>
    <w:rsid w:val="00565427"/>
    <w:rsid w:val="00566E0C"/>
    <w:rsid w:val="00567722"/>
    <w:rsid w:val="005704E5"/>
    <w:rsid w:val="00570CAD"/>
    <w:rsid w:val="00571D18"/>
    <w:rsid w:val="00572DAE"/>
    <w:rsid w:val="005730FC"/>
    <w:rsid w:val="0057348A"/>
    <w:rsid w:val="00573EFA"/>
    <w:rsid w:val="00575221"/>
    <w:rsid w:val="005752D1"/>
    <w:rsid w:val="00576BD4"/>
    <w:rsid w:val="005772A2"/>
    <w:rsid w:val="00580814"/>
    <w:rsid w:val="005814B0"/>
    <w:rsid w:val="00581BCF"/>
    <w:rsid w:val="00582407"/>
    <w:rsid w:val="00583605"/>
    <w:rsid w:val="005854CC"/>
    <w:rsid w:val="0058685D"/>
    <w:rsid w:val="005869EC"/>
    <w:rsid w:val="005869FC"/>
    <w:rsid w:val="00586A4E"/>
    <w:rsid w:val="00587226"/>
    <w:rsid w:val="0058791C"/>
    <w:rsid w:val="005909EA"/>
    <w:rsid w:val="00592A42"/>
    <w:rsid w:val="00592DA8"/>
    <w:rsid w:val="005931D9"/>
    <w:rsid w:val="00593CA6"/>
    <w:rsid w:val="00593E97"/>
    <w:rsid w:val="005946F3"/>
    <w:rsid w:val="00595500"/>
    <w:rsid w:val="00595BF5"/>
    <w:rsid w:val="00595CAA"/>
    <w:rsid w:val="00596A0B"/>
    <w:rsid w:val="005978B9"/>
    <w:rsid w:val="00597B4A"/>
    <w:rsid w:val="005A0D50"/>
    <w:rsid w:val="005A1580"/>
    <w:rsid w:val="005A15F6"/>
    <w:rsid w:val="005A202B"/>
    <w:rsid w:val="005A254C"/>
    <w:rsid w:val="005A3470"/>
    <w:rsid w:val="005A4054"/>
    <w:rsid w:val="005A4C59"/>
    <w:rsid w:val="005A6431"/>
    <w:rsid w:val="005A73E4"/>
    <w:rsid w:val="005A7933"/>
    <w:rsid w:val="005A7A6D"/>
    <w:rsid w:val="005B05FF"/>
    <w:rsid w:val="005B166C"/>
    <w:rsid w:val="005B1BD4"/>
    <w:rsid w:val="005B2327"/>
    <w:rsid w:val="005B3092"/>
    <w:rsid w:val="005B3795"/>
    <w:rsid w:val="005B447B"/>
    <w:rsid w:val="005B4F0D"/>
    <w:rsid w:val="005B657C"/>
    <w:rsid w:val="005B6ED3"/>
    <w:rsid w:val="005C2695"/>
    <w:rsid w:val="005C5DEF"/>
    <w:rsid w:val="005C6116"/>
    <w:rsid w:val="005C66EB"/>
    <w:rsid w:val="005C6DFD"/>
    <w:rsid w:val="005C6F77"/>
    <w:rsid w:val="005C72BA"/>
    <w:rsid w:val="005C7CAC"/>
    <w:rsid w:val="005D131C"/>
    <w:rsid w:val="005D15B8"/>
    <w:rsid w:val="005D191B"/>
    <w:rsid w:val="005D22BB"/>
    <w:rsid w:val="005D2ADD"/>
    <w:rsid w:val="005D2E4B"/>
    <w:rsid w:val="005D51F3"/>
    <w:rsid w:val="005D6467"/>
    <w:rsid w:val="005D720A"/>
    <w:rsid w:val="005E0C8C"/>
    <w:rsid w:val="005E0D72"/>
    <w:rsid w:val="005E2E62"/>
    <w:rsid w:val="005E3018"/>
    <w:rsid w:val="005E4D69"/>
    <w:rsid w:val="005E508D"/>
    <w:rsid w:val="005E5193"/>
    <w:rsid w:val="005E6575"/>
    <w:rsid w:val="005F07C4"/>
    <w:rsid w:val="005F092C"/>
    <w:rsid w:val="005F0DFB"/>
    <w:rsid w:val="005F16E6"/>
    <w:rsid w:val="005F176D"/>
    <w:rsid w:val="005F2433"/>
    <w:rsid w:val="005F267B"/>
    <w:rsid w:val="005F2803"/>
    <w:rsid w:val="005F2FCC"/>
    <w:rsid w:val="005F3D72"/>
    <w:rsid w:val="005F3DC9"/>
    <w:rsid w:val="005F4577"/>
    <w:rsid w:val="005F4656"/>
    <w:rsid w:val="005F6F0D"/>
    <w:rsid w:val="005F7A8F"/>
    <w:rsid w:val="005F7F9A"/>
    <w:rsid w:val="00601AED"/>
    <w:rsid w:val="0060270F"/>
    <w:rsid w:val="0060312A"/>
    <w:rsid w:val="00603CD8"/>
    <w:rsid w:val="00604266"/>
    <w:rsid w:val="006046DC"/>
    <w:rsid w:val="00605817"/>
    <w:rsid w:val="0060598C"/>
    <w:rsid w:val="00605EA9"/>
    <w:rsid w:val="00606153"/>
    <w:rsid w:val="006078A7"/>
    <w:rsid w:val="00607E12"/>
    <w:rsid w:val="00607E47"/>
    <w:rsid w:val="00607ECD"/>
    <w:rsid w:val="0061066F"/>
    <w:rsid w:val="00610B39"/>
    <w:rsid w:val="00610D70"/>
    <w:rsid w:val="0061191C"/>
    <w:rsid w:val="00612D66"/>
    <w:rsid w:val="0061380E"/>
    <w:rsid w:val="00613E51"/>
    <w:rsid w:val="006140B2"/>
    <w:rsid w:val="00614366"/>
    <w:rsid w:val="00614D35"/>
    <w:rsid w:val="00614F75"/>
    <w:rsid w:val="00615ABF"/>
    <w:rsid w:val="00616539"/>
    <w:rsid w:val="0061689D"/>
    <w:rsid w:val="00616D8C"/>
    <w:rsid w:val="00620100"/>
    <w:rsid w:val="00620ED9"/>
    <w:rsid w:val="00620F7C"/>
    <w:rsid w:val="00621C1D"/>
    <w:rsid w:val="0062261F"/>
    <w:rsid w:val="00622E39"/>
    <w:rsid w:val="00623A6A"/>
    <w:rsid w:val="006251D5"/>
    <w:rsid w:val="006267A4"/>
    <w:rsid w:val="00627767"/>
    <w:rsid w:val="0063072C"/>
    <w:rsid w:val="00634543"/>
    <w:rsid w:val="00634A44"/>
    <w:rsid w:val="00634B43"/>
    <w:rsid w:val="00634FF3"/>
    <w:rsid w:val="0063602E"/>
    <w:rsid w:val="0063654A"/>
    <w:rsid w:val="00637928"/>
    <w:rsid w:val="00641158"/>
    <w:rsid w:val="0064169A"/>
    <w:rsid w:val="00642665"/>
    <w:rsid w:val="00642719"/>
    <w:rsid w:val="00643456"/>
    <w:rsid w:val="00643AA0"/>
    <w:rsid w:val="00643CCD"/>
    <w:rsid w:val="00643EB1"/>
    <w:rsid w:val="00643EF6"/>
    <w:rsid w:val="0064415C"/>
    <w:rsid w:val="00644381"/>
    <w:rsid w:val="00644D3D"/>
    <w:rsid w:val="00644D90"/>
    <w:rsid w:val="00645910"/>
    <w:rsid w:val="00647762"/>
    <w:rsid w:val="0065053A"/>
    <w:rsid w:val="00650850"/>
    <w:rsid w:val="00650DCE"/>
    <w:rsid w:val="00651DE0"/>
    <w:rsid w:val="00651F7F"/>
    <w:rsid w:val="00654CB3"/>
    <w:rsid w:val="00656BD2"/>
    <w:rsid w:val="00656D33"/>
    <w:rsid w:val="00656ED9"/>
    <w:rsid w:val="00656FD6"/>
    <w:rsid w:val="00657FCD"/>
    <w:rsid w:val="0066173A"/>
    <w:rsid w:val="00661B44"/>
    <w:rsid w:val="0066269C"/>
    <w:rsid w:val="006626E4"/>
    <w:rsid w:val="00662782"/>
    <w:rsid w:val="00663A3C"/>
    <w:rsid w:val="00665234"/>
    <w:rsid w:val="00666077"/>
    <w:rsid w:val="00666929"/>
    <w:rsid w:val="00666978"/>
    <w:rsid w:val="00666CC8"/>
    <w:rsid w:val="00666FA4"/>
    <w:rsid w:val="00670837"/>
    <w:rsid w:val="00670AF5"/>
    <w:rsid w:val="00670FDB"/>
    <w:rsid w:val="00672C46"/>
    <w:rsid w:val="00672F52"/>
    <w:rsid w:val="00673D04"/>
    <w:rsid w:val="00673DA4"/>
    <w:rsid w:val="00673EF1"/>
    <w:rsid w:val="006757E6"/>
    <w:rsid w:val="006767B5"/>
    <w:rsid w:val="00677450"/>
    <w:rsid w:val="00680114"/>
    <w:rsid w:val="00680D6D"/>
    <w:rsid w:val="0068137C"/>
    <w:rsid w:val="00681CB5"/>
    <w:rsid w:val="00682420"/>
    <w:rsid w:val="0068299D"/>
    <w:rsid w:val="00682BEF"/>
    <w:rsid w:val="00682EA3"/>
    <w:rsid w:val="006857CE"/>
    <w:rsid w:val="00686700"/>
    <w:rsid w:val="0069028B"/>
    <w:rsid w:val="00690887"/>
    <w:rsid w:val="00690E42"/>
    <w:rsid w:val="006914B1"/>
    <w:rsid w:val="00691DA8"/>
    <w:rsid w:val="00693779"/>
    <w:rsid w:val="00694639"/>
    <w:rsid w:val="006949AE"/>
    <w:rsid w:val="006A11C0"/>
    <w:rsid w:val="006A155C"/>
    <w:rsid w:val="006A181F"/>
    <w:rsid w:val="006A28D5"/>
    <w:rsid w:val="006A34B7"/>
    <w:rsid w:val="006A46DD"/>
    <w:rsid w:val="006A4981"/>
    <w:rsid w:val="006A5120"/>
    <w:rsid w:val="006A5676"/>
    <w:rsid w:val="006A62E0"/>
    <w:rsid w:val="006A7B39"/>
    <w:rsid w:val="006B29F7"/>
    <w:rsid w:val="006B2DCC"/>
    <w:rsid w:val="006B3CA3"/>
    <w:rsid w:val="006B3D2F"/>
    <w:rsid w:val="006B4B5E"/>
    <w:rsid w:val="006B4C6B"/>
    <w:rsid w:val="006B5961"/>
    <w:rsid w:val="006B6623"/>
    <w:rsid w:val="006B75DF"/>
    <w:rsid w:val="006C0883"/>
    <w:rsid w:val="006C107A"/>
    <w:rsid w:val="006C195F"/>
    <w:rsid w:val="006C2148"/>
    <w:rsid w:val="006C27A9"/>
    <w:rsid w:val="006C29BE"/>
    <w:rsid w:val="006C30EC"/>
    <w:rsid w:val="006C37FA"/>
    <w:rsid w:val="006C417E"/>
    <w:rsid w:val="006C4320"/>
    <w:rsid w:val="006C594E"/>
    <w:rsid w:val="006C6905"/>
    <w:rsid w:val="006D1A66"/>
    <w:rsid w:val="006D29D5"/>
    <w:rsid w:val="006D2A48"/>
    <w:rsid w:val="006D2DFF"/>
    <w:rsid w:val="006D33C1"/>
    <w:rsid w:val="006D3542"/>
    <w:rsid w:val="006D38EA"/>
    <w:rsid w:val="006D43CE"/>
    <w:rsid w:val="006D4730"/>
    <w:rsid w:val="006D4E3D"/>
    <w:rsid w:val="006D52F4"/>
    <w:rsid w:val="006D53DC"/>
    <w:rsid w:val="006D573C"/>
    <w:rsid w:val="006D5FC4"/>
    <w:rsid w:val="006D658C"/>
    <w:rsid w:val="006D7163"/>
    <w:rsid w:val="006D7F52"/>
    <w:rsid w:val="006E00EC"/>
    <w:rsid w:val="006E153A"/>
    <w:rsid w:val="006E2103"/>
    <w:rsid w:val="006E25F3"/>
    <w:rsid w:val="006E3D92"/>
    <w:rsid w:val="006E44F8"/>
    <w:rsid w:val="006E5113"/>
    <w:rsid w:val="006E6675"/>
    <w:rsid w:val="006E7B7E"/>
    <w:rsid w:val="006E7CB0"/>
    <w:rsid w:val="006E7DAC"/>
    <w:rsid w:val="006F1176"/>
    <w:rsid w:val="006F148F"/>
    <w:rsid w:val="006F2230"/>
    <w:rsid w:val="006F2454"/>
    <w:rsid w:val="006F357A"/>
    <w:rsid w:val="006F4225"/>
    <w:rsid w:val="006F45DD"/>
    <w:rsid w:val="006F49A7"/>
    <w:rsid w:val="006F52F8"/>
    <w:rsid w:val="006F57F3"/>
    <w:rsid w:val="006F7AB2"/>
    <w:rsid w:val="0070014D"/>
    <w:rsid w:val="00701CB7"/>
    <w:rsid w:val="0070247B"/>
    <w:rsid w:val="00702767"/>
    <w:rsid w:val="00702D11"/>
    <w:rsid w:val="00703B20"/>
    <w:rsid w:val="00704314"/>
    <w:rsid w:val="007048EE"/>
    <w:rsid w:val="00704922"/>
    <w:rsid w:val="00705C5D"/>
    <w:rsid w:val="0070674F"/>
    <w:rsid w:val="00710DC6"/>
    <w:rsid w:val="0071163C"/>
    <w:rsid w:val="00711FD7"/>
    <w:rsid w:val="0071289A"/>
    <w:rsid w:val="00712BA0"/>
    <w:rsid w:val="00713B63"/>
    <w:rsid w:val="00713BBA"/>
    <w:rsid w:val="0071422D"/>
    <w:rsid w:val="0071435E"/>
    <w:rsid w:val="0071446B"/>
    <w:rsid w:val="00714911"/>
    <w:rsid w:val="007159A8"/>
    <w:rsid w:val="007159E3"/>
    <w:rsid w:val="00716B6F"/>
    <w:rsid w:val="00720E79"/>
    <w:rsid w:val="00721DE5"/>
    <w:rsid w:val="0072217E"/>
    <w:rsid w:val="007222A7"/>
    <w:rsid w:val="007222DC"/>
    <w:rsid w:val="00722744"/>
    <w:rsid w:val="00723079"/>
    <w:rsid w:val="00724E07"/>
    <w:rsid w:val="007251CF"/>
    <w:rsid w:val="007258C0"/>
    <w:rsid w:val="0072654D"/>
    <w:rsid w:val="007308D5"/>
    <w:rsid w:val="00732EB8"/>
    <w:rsid w:val="00733504"/>
    <w:rsid w:val="00733A7C"/>
    <w:rsid w:val="00733C1C"/>
    <w:rsid w:val="00734435"/>
    <w:rsid w:val="007351E3"/>
    <w:rsid w:val="00735864"/>
    <w:rsid w:val="00736C1D"/>
    <w:rsid w:val="00740071"/>
    <w:rsid w:val="0074037D"/>
    <w:rsid w:val="00741A2A"/>
    <w:rsid w:val="00742533"/>
    <w:rsid w:val="0074364C"/>
    <w:rsid w:val="00743A06"/>
    <w:rsid w:val="00743FC7"/>
    <w:rsid w:val="00744142"/>
    <w:rsid w:val="0074437C"/>
    <w:rsid w:val="0074638D"/>
    <w:rsid w:val="00746408"/>
    <w:rsid w:val="00747ADA"/>
    <w:rsid w:val="00750205"/>
    <w:rsid w:val="00750958"/>
    <w:rsid w:val="00751423"/>
    <w:rsid w:val="007525BB"/>
    <w:rsid w:val="00752A61"/>
    <w:rsid w:val="00752D4B"/>
    <w:rsid w:val="00754184"/>
    <w:rsid w:val="007541C4"/>
    <w:rsid w:val="007543D4"/>
    <w:rsid w:val="007544CF"/>
    <w:rsid w:val="00754605"/>
    <w:rsid w:val="00754649"/>
    <w:rsid w:val="0075474D"/>
    <w:rsid w:val="00754D24"/>
    <w:rsid w:val="00756238"/>
    <w:rsid w:val="00760AE7"/>
    <w:rsid w:val="0076111A"/>
    <w:rsid w:val="007611BF"/>
    <w:rsid w:val="00763417"/>
    <w:rsid w:val="00763960"/>
    <w:rsid w:val="0076426D"/>
    <w:rsid w:val="00764B9A"/>
    <w:rsid w:val="00766040"/>
    <w:rsid w:val="00767E05"/>
    <w:rsid w:val="00770094"/>
    <w:rsid w:val="007712C3"/>
    <w:rsid w:val="007718A6"/>
    <w:rsid w:val="00775022"/>
    <w:rsid w:val="00775AB8"/>
    <w:rsid w:val="00775D0D"/>
    <w:rsid w:val="00775FD4"/>
    <w:rsid w:val="007774EA"/>
    <w:rsid w:val="00780072"/>
    <w:rsid w:val="007809B9"/>
    <w:rsid w:val="00780FFA"/>
    <w:rsid w:val="00781550"/>
    <w:rsid w:val="007816DC"/>
    <w:rsid w:val="00781901"/>
    <w:rsid w:val="0078380E"/>
    <w:rsid w:val="00783CAF"/>
    <w:rsid w:val="00783E23"/>
    <w:rsid w:val="00783EB1"/>
    <w:rsid w:val="0078708F"/>
    <w:rsid w:val="007874FB"/>
    <w:rsid w:val="00787912"/>
    <w:rsid w:val="00790717"/>
    <w:rsid w:val="00790A42"/>
    <w:rsid w:val="00790D4F"/>
    <w:rsid w:val="007910CA"/>
    <w:rsid w:val="00791B32"/>
    <w:rsid w:val="00793DF0"/>
    <w:rsid w:val="00795499"/>
    <w:rsid w:val="007963BA"/>
    <w:rsid w:val="00796424"/>
    <w:rsid w:val="00797782"/>
    <w:rsid w:val="00797E7E"/>
    <w:rsid w:val="007A0373"/>
    <w:rsid w:val="007A0C71"/>
    <w:rsid w:val="007A1C9E"/>
    <w:rsid w:val="007A3D43"/>
    <w:rsid w:val="007A418C"/>
    <w:rsid w:val="007A4F7C"/>
    <w:rsid w:val="007A52F6"/>
    <w:rsid w:val="007A5A5A"/>
    <w:rsid w:val="007A5DD0"/>
    <w:rsid w:val="007B0E1B"/>
    <w:rsid w:val="007B2350"/>
    <w:rsid w:val="007B3096"/>
    <w:rsid w:val="007B377C"/>
    <w:rsid w:val="007B392B"/>
    <w:rsid w:val="007B451A"/>
    <w:rsid w:val="007B585C"/>
    <w:rsid w:val="007B5EF5"/>
    <w:rsid w:val="007B6A7A"/>
    <w:rsid w:val="007B6BAF"/>
    <w:rsid w:val="007C13E4"/>
    <w:rsid w:val="007C216C"/>
    <w:rsid w:val="007C23C8"/>
    <w:rsid w:val="007C3B6D"/>
    <w:rsid w:val="007C4B9E"/>
    <w:rsid w:val="007C589A"/>
    <w:rsid w:val="007C58CF"/>
    <w:rsid w:val="007C5D20"/>
    <w:rsid w:val="007C6079"/>
    <w:rsid w:val="007C6436"/>
    <w:rsid w:val="007C7137"/>
    <w:rsid w:val="007D060E"/>
    <w:rsid w:val="007D29B5"/>
    <w:rsid w:val="007D3ED2"/>
    <w:rsid w:val="007D41B6"/>
    <w:rsid w:val="007D437A"/>
    <w:rsid w:val="007D5F90"/>
    <w:rsid w:val="007D7699"/>
    <w:rsid w:val="007D7F99"/>
    <w:rsid w:val="007E14F4"/>
    <w:rsid w:val="007E1AF7"/>
    <w:rsid w:val="007E42B0"/>
    <w:rsid w:val="007E4838"/>
    <w:rsid w:val="007E57DD"/>
    <w:rsid w:val="007E5887"/>
    <w:rsid w:val="007E6862"/>
    <w:rsid w:val="007E6CD7"/>
    <w:rsid w:val="007F1BF2"/>
    <w:rsid w:val="007F2066"/>
    <w:rsid w:val="007F3062"/>
    <w:rsid w:val="007F32C2"/>
    <w:rsid w:val="007F3474"/>
    <w:rsid w:val="007F4B77"/>
    <w:rsid w:val="007F5F6F"/>
    <w:rsid w:val="00800370"/>
    <w:rsid w:val="00800820"/>
    <w:rsid w:val="00800845"/>
    <w:rsid w:val="00800CE1"/>
    <w:rsid w:val="008010D6"/>
    <w:rsid w:val="0080141D"/>
    <w:rsid w:val="008025D2"/>
    <w:rsid w:val="00802BAE"/>
    <w:rsid w:val="008032CF"/>
    <w:rsid w:val="00804430"/>
    <w:rsid w:val="00804A4C"/>
    <w:rsid w:val="00805087"/>
    <w:rsid w:val="00805F20"/>
    <w:rsid w:val="00806413"/>
    <w:rsid w:val="00807687"/>
    <w:rsid w:val="00807F98"/>
    <w:rsid w:val="00810391"/>
    <w:rsid w:val="008116E0"/>
    <w:rsid w:val="008118C4"/>
    <w:rsid w:val="00811A29"/>
    <w:rsid w:val="008123C0"/>
    <w:rsid w:val="00812E59"/>
    <w:rsid w:val="00813EF2"/>
    <w:rsid w:val="0081464F"/>
    <w:rsid w:val="00814C78"/>
    <w:rsid w:val="00815688"/>
    <w:rsid w:val="00815FE5"/>
    <w:rsid w:val="00816B1E"/>
    <w:rsid w:val="00816C72"/>
    <w:rsid w:val="008175E3"/>
    <w:rsid w:val="008204DF"/>
    <w:rsid w:val="008207B6"/>
    <w:rsid w:val="00820D61"/>
    <w:rsid w:val="0082132D"/>
    <w:rsid w:val="00821427"/>
    <w:rsid w:val="00825DF5"/>
    <w:rsid w:val="00830A85"/>
    <w:rsid w:val="008310CF"/>
    <w:rsid w:val="008311A6"/>
    <w:rsid w:val="008315F7"/>
    <w:rsid w:val="00832A34"/>
    <w:rsid w:val="0083437F"/>
    <w:rsid w:val="00834B2C"/>
    <w:rsid w:val="00834B93"/>
    <w:rsid w:val="00834C39"/>
    <w:rsid w:val="00836AC9"/>
    <w:rsid w:val="008373BD"/>
    <w:rsid w:val="008414A2"/>
    <w:rsid w:val="008419AC"/>
    <w:rsid w:val="00841A73"/>
    <w:rsid w:val="00842657"/>
    <w:rsid w:val="00844FD7"/>
    <w:rsid w:val="008464BD"/>
    <w:rsid w:val="00846E7B"/>
    <w:rsid w:val="00846FF8"/>
    <w:rsid w:val="00850414"/>
    <w:rsid w:val="0085110C"/>
    <w:rsid w:val="00852F62"/>
    <w:rsid w:val="00853965"/>
    <w:rsid w:val="0085456D"/>
    <w:rsid w:val="00854C61"/>
    <w:rsid w:val="00855578"/>
    <w:rsid w:val="00860772"/>
    <w:rsid w:val="008609C0"/>
    <w:rsid w:val="00860A4F"/>
    <w:rsid w:val="00862872"/>
    <w:rsid w:val="00862AA6"/>
    <w:rsid w:val="00863A8C"/>
    <w:rsid w:val="00863FAD"/>
    <w:rsid w:val="0086494A"/>
    <w:rsid w:val="00865760"/>
    <w:rsid w:val="00865C41"/>
    <w:rsid w:val="00865D00"/>
    <w:rsid w:val="00865F68"/>
    <w:rsid w:val="00867A9F"/>
    <w:rsid w:val="00867D90"/>
    <w:rsid w:val="0087009B"/>
    <w:rsid w:val="008732B9"/>
    <w:rsid w:val="0087331D"/>
    <w:rsid w:val="008737B6"/>
    <w:rsid w:val="00873D25"/>
    <w:rsid w:val="00873F17"/>
    <w:rsid w:val="008740DA"/>
    <w:rsid w:val="008742B6"/>
    <w:rsid w:val="00875311"/>
    <w:rsid w:val="00875785"/>
    <w:rsid w:val="00880339"/>
    <w:rsid w:val="00882978"/>
    <w:rsid w:val="00884E73"/>
    <w:rsid w:val="00885475"/>
    <w:rsid w:val="00886860"/>
    <w:rsid w:val="00890B16"/>
    <w:rsid w:val="00890FFC"/>
    <w:rsid w:val="00892E73"/>
    <w:rsid w:val="0089367A"/>
    <w:rsid w:val="008937AA"/>
    <w:rsid w:val="0089380F"/>
    <w:rsid w:val="00894909"/>
    <w:rsid w:val="00894C41"/>
    <w:rsid w:val="00894CF0"/>
    <w:rsid w:val="00894D24"/>
    <w:rsid w:val="00894E0E"/>
    <w:rsid w:val="008962AC"/>
    <w:rsid w:val="00896557"/>
    <w:rsid w:val="00896A6F"/>
    <w:rsid w:val="00897284"/>
    <w:rsid w:val="00897D6F"/>
    <w:rsid w:val="008A1CDA"/>
    <w:rsid w:val="008A298D"/>
    <w:rsid w:val="008A4BCA"/>
    <w:rsid w:val="008A58FC"/>
    <w:rsid w:val="008A5A4A"/>
    <w:rsid w:val="008A6D58"/>
    <w:rsid w:val="008A7369"/>
    <w:rsid w:val="008B0C98"/>
    <w:rsid w:val="008B0DF6"/>
    <w:rsid w:val="008B2D19"/>
    <w:rsid w:val="008B3273"/>
    <w:rsid w:val="008B387F"/>
    <w:rsid w:val="008B3BFA"/>
    <w:rsid w:val="008B5A3C"/>
    <w:rsid w:val="008B5E6A"/>
    <w:rsid w:val="008B5FC3"/>
    <w:rsid w:val="008B65C0"/>
    <w:rsid w:val="008B6F9B"/>
    <w:rsid w:val="008B7121"/>
    <w:rsid w:val="008B7757"/>
    <w:rsid w:val="008B79DF"/>
    <w:rsid w:val="008C076B"/>
    <w:rsid w:val="008C1C2A"/>
    <w:rsid w:val="008C2169"/>
    <w:rsid w:val="008C27C3"/>
    <w:rsid w:val="008C3114"/>
    <w:rsid w:val="008C355F"/>
    <w:rsid w:val="008C388D"/>
    <w:rsid w:val="008C3A5D"/>
    <w:rsid w:val="008C406A"/>
    <w:rsid w:val="008C46CA"/>
    <w:rsid w:val="008C5823"/>
    <w:rsid w:val="008C5DA5"/>
    <w:rsid w:val="008C6F8D"/>
    <w:rsid w:val="008C70F6"/>
    <w:rsid w:val="008D00DF"/>
    <w:rsid w:val="008D0B96"/>
    <w:rsid w:val="008D179F"/>
    <w:rsid w:val="008D1C26"/>
    <w:rsid w:val="008D2847"/>
    <w:rsid w:val="008D319E"/>
    <w:rsid w:val="008D4B5C"/>
    <w:rsid w:val="008D5514"/>
    <w:rsid w:val="008D62DB"/>
    <w:rsid w:val="008D6681"/>
    <w:rsid w:val="008E047D"/>
    <w:rsid w:val="008E054D"/>
    <w:rsid w:val="008E091A"/>
    <w:rsid w:val="008E1F6E"/>
    <w:rsid w:val="008E2556"/>
    <w:rsid w:val="008E36A1"/>
    <w:rsid w:val="008E49D5"/>
    <w:rsid w:val="008E50DF"/>
    <w:rsid w:val="008E52E6"/>
    <w:rsid w:val="008E5354"/>
    <w:rsid w:val="008E57CC"/>
    <w:rsid w:val="008E5A5F"/>
    <w:rsid w:val="008E5BDF"/>
    <w:rsid w:val="008E6C32"/>
    <w:rsid w:val="008E6D06"/>
    <w:rsid w:val="008E6DD8"/>
    <w:rsid w:val="008E7396"/>
    <w:rsid w:val="008E76E9"/>
    <w:rsid w:val="008E7E9A"/>
    <w:rsid w:val="008F0EA2"/>
    <w:rsid w:val="008F189D"/>
    <w:rsid w:val="008F1B35"/>
    <w:rsid w:val="008F1D68"/>
    <w:rsid w:val="008F1D8A"/>
    <w:rsid w:val="008F1D95"/>
    <w:rsid w:val="008F1E3C"/>
    <w:rsid w:val="008F32EE"/>
    <w:rsid w:val="008F407F"/>
    <w:rsid w:val="008F5658"/>
    <w:rsid w:val="008F5A3B"/>
    <w:rsid w:val="008F5BCF"/>
    <w:rsid w:val="008F6853"/>
    <w:rsid w:val="008F7706"/>
    <w:rsid w:val="008F7B4C"/>
    <w:rsid w:val="00900700"/>
    <w:rsid w:val="009029E8"/>
    <w:rsid w:val="0090398A"/>
    <w:rsid w:val="00904D7C"/>
    <w:rsid w:val="00905015"/>
    <w:rsid w:val="00905D16"/>
    <w:rsid w:val="00905FB4"/>
    <w:rsid w:val="0090608A"/>
    <w:rsid w:val="00907858"/>
    <w:rsid w:val="009101A4"/>
    <w:rsid w:val="009107DC"/>
    <w:rsid w:val="00911A51"/>
    <w:rsid w:val="00911D8A"/>
    <w:rsid w:val="00911EB5"/>
    <w:rsid w:val="009121B8"/>
    <w:rsid w:val="00913831"/>
    <w:rsid w:val="00913F00"/>
    <w:rsid w:val="009145C2"/>
    <w:rsid w:val="00915BB8"/>
    <w:rsid w:val="0091750F"/>
    <w:rsid w:val="009203F0"/>
    <w:rsid w:val="009204C2"/>
    <w:rsid w:val="009209B3"/>
    <w:rsid w:val="00922239"/>
    <w:rsid w:val="00922CEF"/>
    <w:rsid w:val="009235AA"/>
    <w:rsid w:val="00926BCA"/>
    <w:rsid w:val="00926FAD"/>
    <w:rsid w:val="00927A12"/>
    <w:rsid w:val="009302A7"/>
    <w:rsid w:val="00930652"/>
    <w:rsid w:val="00930778"/>
    <w:rsid w:val="00930D24"/>
    <w:rsid w:val="009312F2"/>
    <w:rsid w:val="00931D6C"/>
    <w:rsid w:val="0093299B"/>
    <w:rsid w:val="009329DA"/>
    <w:rsid w:val="009329EB"/>
    <w:rsid w:val="00933E47"/>
    <w:rsid w:val="009340A5"/>
    <w:rsid w:val="009341A6"/>
    <w:rsid w:val="00934586"/>
    <w:rsid w:val="00934BAD"/>
    <w:rsid w:val="00935042"/>
    <w:rsid w:val="00936016"/>
    <w:rsid w:val="00936ABE"/>
    <w:rsid w:val="0094006B"/>
    <w:rsid w:val="00940156"/>
    <w:rsid w:val="00941E2B"/>
    <w:rsid w:val="0094292B"/>
    <w:rsid w:val="009429D9"/>
    <w:rsid w:val="00942EA1"/>
    <w:rsid w:val="009441D2"/>
    <w:rsid w:val="00944858"/>
    <w:rsid w:val="00945FB1"/>
    <w:rsid w:val="0094614B"/>
    <w:rsid w:val="00946C45"/>
    <w:rsid w:val="00946E0F"/>
    <w:rsid w:val="0094703E"/>
    <w:rsid w:val="00950952"/>
    <w:rsid w:val="00950E70"/>
    <w:rsid w:val="0095162F"/>
    <w:rsid w:val="009527E2"/>
    <w:rsid w:val="009541C9"/>
    <w:rsid w:val="0095483D"/>
    <w:rsid w:val="0095624F"/>
    <w:rsid w:val="00956BFA"/>
    <w:rsid w:val="00956E34"/>
    <w:rsid w:val="009600D8"/>
    <w:rsid w:val="00961355"/>
    <w:rsid w:val="0096311B"/>
    <w:rsid w:val="00963301"/>
    <w:rsid w:val="009639C4"/>
    <w:rsid w:val="00963CA4"/>
    <w:rsid w:val="009653AE"/>
    <w:rsid w:val="00966A2D"/>
    <w:rsid w:val="00967A36"/>
    <w:rsid w:val="009701B1"/>
    <w:rsid w:val="00970B49"/>
    <w:rsid w:val="0097308C"/>
    <w:rsid w:val="009735E8"/>
    <w:rsid w:val="00974DC1"/>
    <w:rsid w:val="00975B55"/>
    <w:rsid w:val="00975BA1"/>
    <w:rsid w:val="00976748"/>
    <w:rsid w:val="00976846"/>
    <w:rsid w:val="00976859"/>
    <w:rsid w:val="00976A91"/>
    <w:rsid w:val="00976AA9"/>
    <w:rsid w:val="00976B05"/>
    <w:rsid w:val="00977036"/>
    <w:rsid w:val="009771D6"/>
    <w:rsid w:val="009771FD"/>
    <w:rsid w:val="0097734A"/>
    <w:rsid w:val="0098061B"/>
    <w:rsid w:val="00981F59"/>
    <w:rsid w:val="00983151"/>
    <w:rsid w:val="0098370E"/>
    <w:rsid w:val="009863DE"/>
    <w:rsid w:val="00986B35"/>
    <w:rsid w:val="00987B27"/>
    <w:rsid w:val="00990BC1"/>
    <w:rsid w:val="009914AA"/>
    <w:rsid w:val="00992AD4"/>
    <w:rsid w:val="00992C31"/>
    <w:rsid w:val="00994A26"/>
    <w:rsid w:val="00995977"/>
    <w:rsid w:val="009965BC"/>
    <w:rsid w:val="00997C95"/>
    <w:rsid w:val="00997DFA"/>
    <w:rsid w:val="009A07F5"/>
    <w:rsid w:val="009A15E9"/>
    <w:rsid w:val="009A1940"/>
    <w:rsid w:val="009A2840"/>
    <w:rsid w:val="009A4919"/>
    <w:rsid w:val="009A5286"/>
    <w:rsid w:val="009A6444"/>
    <w:rsid w:val="009A6582"/>
    <w:rsid w:val="009A72B8"/>
    <w:rsid w:val="009B0188"/>
    <w:rsid w:val="009B0229"/>
    <w:rsid w:val="009B0EEE"/>
    <w:rsid w:val="009B103D"/>
    <w:rsid w:val="009B1D28"/>
    <w:rsid w:val="009B2824"/>
    <w:rsid w:val="009B2ADB"/>
    <w:rsid w:val="009B2AE2"/>
    <w:rsid w:val="009B356D"/>
    <w:rsid w:val="009B35D7"/>
    <w:rsid w:val="009B4128"/>
    <w:rsid w:val="009B5E71"/>
    <w:rsid w:val="009B73B6"/>
    <w:rsid w:val="009B7819"/>
    <w:rsid w:val="009B7CBD"/>
    <w:rsid w:val="009C0DF2"/>
    <w:rsid w:val="009C2035"/>
    <w:rsid w:val="009C2837"/>
    <w:rsid w:val="009C2B4E"/>
    <w:rsid w:val="009C36E8"/>
    <w:rsid w:val="009C3BC3"/>
    <w:rsid w:val="009C408C"/>
    <w:rsid w:val="009C4095"/>
    <w:rsid w:val="009C4A9C"/>
    <w:rsid w:val="009C4E59"/>
    <w:rsid w:val="009C53F7"/>
    <w:rsid w:val="009C5719"/>
    <w:rsid w:val="009C7479"/>
    <w:rsid w:val="009D0360"/>
    <w:rsid w:val="009D218A"/>
    <w:rsid w:val="009D26FE"/>
    <w:rsid w:val="009D35AC"/>
    <w:rsid w:val="009D4002"/>
    <w:rsid w:val="009D517A"/>
    <w:rsid w:val="009D52EF"/>
    <w:rsid w:val="009D61E5"/>
    <w:rsid w:val="009D75FC"/>
    <w:rsid w:val="009E0219"/>
    <w:rsid w:val="009E03F3"/>
    <w:rsid w:val="009E0A4F"/>
    <w:rsid w:val="009E0E9B"/>
    <w:rsid w:val="009E178A"/>
    <w:rsid w:val="009E39FC"/>
    <w:rsid w:val="009E3B92"/>
    <w:rsid w:val="009E46EF"/>
    <w:rsid w:val="009E50A8"/>
    <w:rsid w:val="009E5C33"/>
    <w:rsid w:val="009E5E2B"/>
    <w:rsid w:val="009E5E75"/>
    <w:rsid w:val="009E60D3"/>
    <w:rsid w:val="009E66C2"/>
    <w:rsid w:val="009E6734"/>
    <w:rsid w:val="009E685A"/>
    <w:rsid w:val="009E743D"/>
    <w:rsid w:val="009E7BDA"/>
    <w:rsid w:val="009F05CE"/>
    <w:rsid w:val="009F06B6"/>
    <w:rsid w:val="009F221C"/>
    <w:rsid w:val="009F296B"/>
    <w:rsid w:val="009F31EC"/>
    <w:rsid w:val="009F3DC2"/>
    <w:rsid w:val="009F683D"/>
    <w:rsid w:val="009F6F4D"/>
    <w:rsid w:val="009F77FD"/>
    <w:rsid w:val="009F7C0E"/>
    <w:rsid w:val="00A00EA9"/>
    <w:rsid w:val="00A01B11"/>
    <w:rsid w:val="00A02800"/>
    <w:rsid w:val="00A02AE7"/>
    <w:rsid w:val="00A02E0A"/>
    <w:rsid w:val="00A03317"/>
    <w:rsid w:val="00A0358A"/>
    <w:rsid w:val="00A03678"/>
    <w:rsid w:val="00A060A0"/>
    <w:rsid w:val="00A06615"/>
    <w:rsid w:val="00A067EA"/>
    <w:rsid w:val="00A070AA"/>
    <w:rsid w:val="00A0779D"/>
    <w:rsid w:val="00A07C9E"/>
    <w:rsid w:val="00A11E45"/>
    <w:rsid w:val="00A12DA2"/>
    <w:rsid w:val="00A13326"/>
    <w:rsid w:val="00A134AE"/>
    <w:rsid w:val="00A138E4"/>
    <w:rsid w:val="00A13B1C"/>
    <w:rsid w:val="00A15C27"/>
    <w:rsid w:val="00A1607F"/>
    <w:rsid w:val="00A16DDD"/>
    <w:rsid w:val="00A16E74"/>
    <w:rsid w:val="00A17D2F"/>
    <w:rsid w:val="00A2104C"/>
    <w:rsid w:val="00A21644"/>
    <w:rsid w:val="00A22C39"/>
    <w:rsid w:val="00A23558"/>
    <w:rsid w:val="00A2535D"/>
    <w:rsid w:val="00A25522"/>
    <w:rsid w:val="00A304E9"/>
    <w:rsid w:val="00A30EB7"/>
    <w:rsid w:val="00A31DEE"/>
    <w:rsid w:val="00A31E1E"/>
    <w:rsid w:val="00A32187"/>
    <w:rsid w:val="00A32C45"/>
    <w:rsid w:val="00A337A6"/>
    <w:rsid w:val="00A340CB"/>
    <w:rsid w:val="00A346CD"/>
    <w:rsid w:val="00A36A69"/>
    <w:rsid w:val="00A36D50"/>
    <w:rsid w:val="00A373DB"/>
    <w:rsid w:val="00A44EAC"/>
    <w:rsid w:val="00A44EEE"/>
    <w:rsid w:val="00A45265"/>
    <w:rsid w:val="00A46290"/>
    <w:rsid w:val="00A4664D"/>
    <w:rsid w:val="00A46834"/>
    <w:rsid w:val="00A46E91"/>
    <w:rsid w:val="00A4720D"/>
    <w:rsid w:val="00A478BB"/>
    <w:rsid w:val="00A479E5"/>
    <w:rsid w:val="00A506FC"/>
    <w:rsid w:val="00A5113B"/>
    <w:rsid w:val="00A52C85"/>
    <w:rsid w:val="00A53345"/>
    <w:rsid w:val="00A53903"/>
    <w:rsid w:val="00A53B76"/>
    <w:rsid w:val="00A568F7"/>
    <w:rsid w:val="00A56B5A"/>
    <w:rsid w:val="00A57274"/>
    <w:rsid w:val="00A57892"/>
    <w:rsid w:val="00A6218B"/>
    <w:rsid w:val="00A645BF"/>
    <w:rsid w:val="00A65062"/>
    <w:rsid w:val="00A652A6"/>
    <w:rsid w:val="00A65C9C"/>
    <w:rsid w:val="00A66091"/>
    <w:rsid w:val="00A66E7A"/>
    <w:rsid w:val="00A679E3"/>
    <w:rsid w:val="00A70018"/>
    <w:rsid w:val="00A70489"/>
    <w:rsid w:val="00A70788"/>
    <w:rsid w:val="00A7084F"/>
    <w:rsid w:val="00A713EB"/>
    <w:rsid w:val="00A7154C"/>
    <w:rsid w:val="00A72586"/>
    <w:rsid w:val="00A72F77"/>
    <w:rsid w:val="00A734DB"/>
    <w:rsid w:val="00A735E4"/>
    <w:rsid w:val="00A74925"/>
    <w:rsid w:val="00A75669"/>
    <w:rsid w:val="00A7636F"/>
    <w:rsid w:val="00A7691E"/>
    <w:rsid w:val="00A77952"/>
    <w:rsid w:val="00A80A8E"/>
    <w:rsid w:val="00A80C19"/>
    <w:rsid w:val="00A80DA2"/>
    <w:rsid w:val="00A81A9A"/>
    <w:rsid w:val="00A81B3C"/>
    <w:rsid w:val="00A820A3"/>
    <w:rsid w:val="00A82898"/>
    <w:rsid w:val="00A83A4F"/>
    <w:rsid w:val="00A83F20"/>
    <w:rsid w:val="00A844BD"/>
    <w:rsid w:val="00A850C6"/>
    <w:rsid w:val="00A85297"/>
    <w:rsid w:val="00A87B39"/>
    <w:rsid w:val="00A91376"/>
    <w:rsid w:val="00A913BD"/>
    <w:rsid w:val="00A91CAC"/>
    <w:rsid w:val="00A9354E"/>
    <w:rsid w:val="00A95229"/>
    <w:rsid w:val="00A95620"/>
    <w:rsid w:val="00A95715"/>
    <w:rsid w:val="00A95A47"/>
    <w:rsid w:val="00A96B3E"/>
    <w:rsid w:val="00A979ED"/>
    <w:rsid w:val="00AA2DB6"/>
    <w:rsid w:val="00AA34FB"/>
    <w:rsid w:val="00AA42C1"/>
    <w:rsid w:val="00AA52C9"/>
    <w:rsid w:val="00AA598D"/>
    <w:rsid w:val="00AA74D0"/>
    <w:rsid w:val="00AB072E"/>
    <w:rsid w:val="00AB0972"/>
    <w:rsid w:val="00AB1023"/>
    <w:rsid w:val="00AB13FA"/>
    <w:rsid w:val="00AB2048"/>
    <w:rsid w:val="00AB2691"/>
    <w:rsid w:val="00AB275B"/>
    <w:rsid w:val="00AB3EEA"/>
    <w:rsid w:val="00AB4137"/>
    <w:rsid w:val="00AB51F2"/>
    <w:rsid w:val="00AB5283"/>
    <w:rsid w:val="00AB6175"/>
    <w:rsid w:val="00AB685B"/>
    <w:rsid w:val="00AB6EE1"/>
    <w:rsid w:val="00AB7B77"/>
    <w:rsid w:val="00AB7BCC"/>
    <w:rsid w:val="00AC00F4"/>
    <w:rsid w:val="00AC03ED"/>
    <w:rsid w:val="00AC03FC"/>
    <w:rsid w:val="00AC069F"/>
    <w:rsid w:val="00AC0DE2"/>
    <w:rsid w:val="00AC12A3"/>
    <w:rsid w:val="00AC193F"/>
    <w:rsid w:val="00AC1A6E"/>
    <w:rsid w:val="00AC1B8F"/>
    <w:rsid w:val="00AC4073"/>
    <w:rsid w:val="00AC453B"/>
    <w:rsid w:val="00AC56D6"/>
    <w:rsid w:val="00AC65FD"/>
    <w:rsid w:val="00AC6A89"/>
    <w:rsid w:val="00AC769C"/>
    <w:rsid w:val="00AD009D"/>
    <w:rsid w:val="00AD057A"/>
    <w:rsid w:val="00AD07B4"/>
    <w:rsid w:val="00AD1355"/>
    <w:rsid w:val="00AD18D1"/>
    <w:rsid w:val="00AD2FA9"/>
    <w:rsid w:val="00AD4852"/>
    <w:rsid w:val="00AD5440"/>
    <w:rsid w:val="00AD664D"/>
    <w:rsid w:val="00AD7CDB"/>
    <w:rsid w:val="00AE072C"/>
    <w:rsid w:val="00AE1300"/>
    <w:rsid w:val="00AE16D6"/>
    <w:rsid w:val="00AE394E"/>
    <w:rsid w:val="00AE5AE9"/>
    <w:rsid w:val="00AE60CC"/>
    <w:rsid w:val="00AE76DB"/>
    <w:rsid w:val="00AF1164"/>
    <w:rsid w:val="00AF19B8"/>
    <w:rsid w:val="00AF34C3"/>
    <w:rsid w:val="00AF5D72"/>
    <w:rsid w:val="00AF6935"/>
    <w:rsid w:val="00AF73EC"/>
    <w:rsid w:val="00AF7ABF"/>
    <w:rsid w:val="00B0127C"/>
    <w:rsid w:val="00B01501"/>
    <w:rsid w:val="00B02E00"/>
    <w:rsid w:val="00B03441"/>
    <w:rsid w:val="00B035BF"/>
    <w:rsid w:val="00B069D7"/>
    <w:rsid w:val="00B07C7E"/>
    <w:rsid w:val="00B10751"/>
    <w:rsid w:val="00B10AFD"/>
    <w:rsid w:val="00B10E64"/>
    <w:rsid w:val="00B11B61"/>
    <w:rsid w:val="00B11EAA"/>
    <w:rsid w:val="00B11F37"/>
    <w:rsid w:val="00B1245F"/>
    <w:rsid w:val="00B12B01"/>
    <w:rsid w:val="00B13C56"/>
    <w:rsid w:val="00B14653"/>
    <w:rsid w:val="00B15FAC"/>
    <w:rsid w:val="00B16751"/>
    <w:rsid w:val="00B16857"/>
    <w:rsid w:val="00B16C45"/>
    <w:rsid w:val="00B16D71"/>
    <w:rsid w:val="00B1793F"/>
    <w:rsid w:val="00B213A9"/>
    <w:rsid w:val="00B2190A"/>
    <w:rsid w:val="00B22ED1"/>
    <w:rsid w:val="00B23459"/>
    <w:rsid w:val="00B238BF"/>
    <w:rsid w:val="00B23A5F"/>
    <w:rsid w:val="00B248C2"/>
    <w:rsid w:val="00B2496D"/>
    <w:rsid w:val="00B24D08"/>
    <w:rsid w:val="00B25353"/>
    <w:rsid w:val="00B2541A"/>
    <w:rsid w:val="00B26B3C"/>
    <w:rsid w:val="00B27BF5"/>
    <w:rsid w:val="00B30127"/>
    <w:rsid w:val="00B302E7"/>
    <w:rsid w:val="00B31012"/>
    <w:rsid w:val="00B322E4"/>
    <w:rsid w:val="00B3300D"/>
    <w:rsid w:val="00B33276"/>
    <w:rsid w:val="00B3359C"/>
    <w:rsid w:val="00B33C7C"/>
    <w:rsid w:val="00B34818"/>
    <w:rsid w:val="00B34DBE"/>
    <w:rsid w:val="00B3500E"/>
    <w:rsid w:val="00B35244"/>
    <w:rsid w:val="00B35AEB"/>
    <w:rsid w:val="00B35F83"/>
    <w:rsid w:val="00B35F94"/>
    <w:rsid w:val="00B36309"/>
    <w:rsid w:val="00B37550"/>
    <w:rsid w:val="00B37F21"/>
    <w:rsid w:val="00B40E12"/>
    <w:rsid w:val="00B412DF"/>
    <w:rsid w:val="00B42D61"/>
    <w:rsid w:val="00B42EDD"/>
    <w:rsid w:val="00B431A9"/>
    <w:rsid w:val="00B45663"/>
    <w:rsid w:val="00B46BFE"/>
    <w:rsid w:val="00B46E21"/>
    <w:rsid w:val="00B47648"/>
    <w:rsid w:val="00B47B73"/>
    <w:rsid w:val="00B510ED"/>
    <w:rsid w:val="00B515BC"/>
    <w:rsid w:val="00B51C2B"/>
    <w:rsid w:val="00B52161"/>
    <w:rsid w:val="00B52394"/>
    <w:rsid w:val="00B53145"/>
    <w:rsid w:val="00B53F2B"/>
    <w:rsid w:val="00B541C0"/>
    <w:rsid w:val="00B56897"/>
    <w:rsid w:val="00B56CD1"/>
    <w:rsid w:val="00B572AF"/>
    <w:rsid w:val="00B60892"/>
    <w:rsid w:val="00B613ED"/>
    <w:rsid w:val="00B626F8"/>
    <w:rsid w:val="00B6310C"/>
    <w:rsid w:val="00B63680"/>
    <w:rsid w:val="00B65038"/>
    <w:rsid w:val="00B657E1"/>
    <w:rsid w:val="00B67CF2"/>
    <w:rsid w:val="00B67ECC"/>
    <w:rsid w:val="00B7000D"/>
    <w:rsid w:val="00B7043F"/>
    <w:rsid w:val="00B70642"/>
    <w:rsid w:val="00B706B0"/>
    <w:rsid w:val="00B706DB"/>
    <w:rsid w:val="00B716D6"/>
    <w:rsid w:val="00B728C0"/>
    <w:rsid w:val="00B72CD5"/>
    <w:rsid w:val="00B730B0"/>
    <w:rsid w:val="00B730B7"/>
    <w:rsid w:val="00B73656"/>
    <w:rsid w:val="00B73A16"/>
    <w:rsid w:val="00B743E4"/>
    <w:rsid w:val="00B74895"/>
    <w:rsid w:val="00B749BB"/>
    <w:rsid w:val="00B74B66"/>
    <w:rsid w:val="00B76212"/>
    <w:rsid w:val="00B7706E"/>
    <w:rsid w:val="00B77D98"/>
    <w:rsid w:val="00B81FF0"/>
    <w:rsid w:val="00B8257E"/>
    <w:rsid w:val="00B82795"/>
    <w:rsid w:val="00B82AE1"/>
    <w:rsid w:val="00B82CE6"/>
    <w:rsid w:val="00B830F8"/>
    <w:rsid w:val="00B834CD"/>
    <w:rsid w:val="00B842A6"/>
    <w:rsid w:val="00B84AFC"/>
    <w:rsid w:val="00B86BAA"/>
    <w:rsid w:val="00B87214"/>
    <w:rsid w:val="00B90DE6"/>
    <w:rsid w:val="00B91518"/>
    <w:rsid w:val="00B91590"/>
    <w:rsid w:val="00B9162C"/>
    <w:rsid w:val="00B925AC"/>
    <w:rsid w:val="00B93072"/>
    <w:rsid w:val="00B934D4"/>
    <w:rsid w:val="00B9368B"/>
    <w:rsid w:val="00B939FF"/>
    <w:rsid w:val="00B9452D"/>
    <w:rsid w:val="00B95238"/>
    <w:rsid w:val="00B95954"/>
    <w:rsid w:val="00B959EC"/>
    <w:rsid w:val="00B95BA9"/>
    <w:rsid w:val="00B962F3"/>
    <w:rsid w:val="00B96B74"/>
    <w:rsid w:val="00B9703A"/>
    <w:rsid w:val="00BA040D"/>
    <w:rsid w:val="00BA1917"/>
    <w:rsid w:val="00BA1EB9"/>
    <w:rsid w:val="00BA2C15"/>
    <w:rsid w:val="00BA41BA"/>
    <w:rsid w:val="00BA67DB"/>
    <w:rsid w:val="00BA6EA1"/>
    <w:rsid w:val="00BA7064"/>
    <w:rsid w:val="00BB0285"/>
    <w:rsid w:val="00BB206E"/>
    <w:rsid w:val="00BB2D52"/>
    <w:rsid w:val="00BB413A"/>
    <w:rsid w:val="00BB59D7"/>
    <w:rsid w:val="00BB6577"/>
    <w:rsid w:val="00BC0C36"/>
    <w:rsid w:val="00BC0F85"/>
    <w:rsid w:val="00BC1D76"/>
    <w:rsid w:val="00BC1E5D"/>
    <w:rsid w:val="00BC20FF"/>
    <w:rsid w:val="00BC2242"/>
    <w:rsid w:val="00BC28E5"/>
    <w:rsid w:val="00BC296C"/>
    <w:rsid w:val="00BC31DB"/>
    <w:rsid w:val="00BC6713"/>
    <w:rsid w:val="00BC70FF"/>
    <w:rsid w:val="00BC7D2B"/>
    <w:rsid w:val="00BD103E"/>
    <w:rsid w:val="00BD11E4"/>
    <w:rsid w:val="00BD19D4"/>
    <w:rsid w:val="00BD2F04"/>
    <w:rsid w:val="00BD35F8"/>
    <w:rsid w:val="00BD6672"/>
    <w:rsid w:val="00BD6791"/>
    <w:rsid w:val="00BD75E9"/>
    <w:rsid w:val="00BE001F"/>
    <w:rsid w:val="00BE06AE"/>
    <w:rsid w:val="00BE0BED"/>
    <w:rsid w:val="00BE2351"/>
    <w:rsid w:val="00BE2755"/>
    <w:rsid w:val="00BE28FF"/>
    <w:rsid w:val="00BE2A14"/>
    <w:rsid w:val="00BE2BCD"/>
    <w:rsid w:val="00BE33C1"/>
    <w:rsid w:val="00BE4604"/>
    <w:rsid w:val="00BE462D"/>
    <w:rsid w:val="00BE4714"/>
    <w:rsid w:val="00BE4DFF"/>
    <w:rsid w:val="00BE50B4"/>
    <w:rsid w:val="00BE5868"/>
    <w:rsid w:val="00BE7E10"/>
    <w:rsid w:val="00BE7FC2"/>
    <w:rsid w:val="00BF18D7"/>
    <w:rsid w:val="00BF2697"/>
    <w:rsid w:val="00BF32F7"/>
    <w:rsid w:val="00BF37A6"/>
    <w:rsid w:val="00BF4AF9"/>
    <w:rsid w:val="00BF5447"/>
    <w:rsid w:val="00BF69B4"/>
    <w:rsid w:val="00BF7701"/>
    <w:rsid w:val="00BF777D"/>
    <w:rsid w:val="00BF7E4F"/>
    <w:rsid w:val="00C018B5"/>
    <w:rsid w:val="00C01C38"/>
    <w:rsid w:val="00C01DFC"/>
    <w:rsid w:val="00C02BC3"/>
    <w:rsid w:val="00C03064"/>
    <w:rsid w:val="00C03341"/>
    <w:rsid w:val="00C03F8C"/>
    <w:rsid w:val="00C046C6"/>
    <w:rsid w:val="00C04FAE"/>
    <w:rsid w:val="00C059F2"/>
    <w:rsid w:val="00C059F8"/>
    <w:rsid w:val="00C06B83"/>
    <w:rsid w:val="00C06E1C"/>
    <w:rsid w:val="00C06EB4"/>
    <w:rsid w:val="00C0796A"/>
    <w:rsid w:val="00C07ADC"/>
    <w:rsid w:val="00C1181A"/>
    <w:rsid w:val="00C11E9C"/>
    <w:rsid w:val="00C1253E"/>
    <w:rsid w:val="00C125D9"/>
    <w:rsid w:val="00C12651"/>
    <w:rsid w:val="00C14A34"/>
    <w:rsid w:val="00C15842"/>
    <w:rsid w:val="00C16084"/>
    <w:rsid w:val="00C1646F"/>
    <w:rsid w:val="00C16AFF"/>
    <w:rsid w:val="00C175DF"/>
    <w:rsid w:val="00C20DA7"/>
    <w:rsid w:val="00C2185A"/>
    <w:rsid w:val="00C24180"/>
    <w:rsid w:val="00C24488"/>
    <w:rsid w:val="00C24BFC"/>
    <w:rsid w:val="00C26364"/>
    <w:rsid w:val="00C26A7E"/>
    <w:rsid w:val="00C2782F"/>
    <w:rsid w:val="00C30008"/>
    <w:rsid w:val="00C31097"/>
    <w:rsid w:val="00C31CF5"/>
    <w:rsid w:val="00C32C0F"/>
    <w:rsid w:val="00C33028"/>
    <w:rsid w:val="00C33873"/>
    <w:rsid w:val="00C34E8E"/>
    <w:rsid w:val="00C41BE1"/>
    <w:rsid w:val="00C41C25"/>
    <w:rsid w:val="00C41E26"/>
    <w:rsid w:val="00C41FC6"/>
    <w:rsid w:val="00C44C8C"/>
    <w:rsid w:val="00C4520A"/>
    <w:rsid w:val="00C458EB"/>
    <w:rsid w:val="00C464AF"/>
    <w:rsid w:val="00C46F48"/>
    <w:rsid w:val="00C46FBD"/>
    <w:rsid w:val="00C47A6C"/>
    <w:rsid w:val="00C47BE2"/>
    <w:rsid w:val="00C50784"/>
    <w:rsid w:val="00C5093C"/>
    <w:rsid w:val="00C530D9"/>
    <w:rsid w:val="00C53C61"/>
    <w:rsid w:val="00C55D2F"/>
    <w:rsid w:val="00C56D7E"/>
    <w:rsid w:val="00C576A8"/>
    <w:rsid w:val="00C60487"/>
    <w:rsid w:val="00C60C9A"/>
    <w:rsid w:val="00C61076"/>
    <w:rsid w:val="00C6149B"/>
    <w:rsid w:val="00C61DCB"/>
    <w:rsid w:val="00C625E1"/>
    <w:rsid w:val="00C634F6"/>
    <w:rsid w:val="00C63858"/>
    <w:rsid w:val="00C63A22"/>
    <w:rsid w:val="00C655F9"/>
    <w:rsid w:val="00C65A64"/>
    <w:rsid w:val="00C6629B"/>
    <w:rsid w:val="00C6642D"/>
    <w:rsid w:val="00C66851"/>
    <w:rsid w:val="00C66E9C"/>
    <w:rsid w:val="00C676F4"/>
    <w:rsid w:val="00C70CF6"/>
    <w:rsid w:val="00C7141A"/>
    <w:rsid w:val="00C718CC"/>
    <w:rsid w:val="00C7289D"/>
    <w:rsid w:val="00C7342B"/>
    <w:rsid w:val="00C74F35"/>
    <w:rsid w:val="00C75F30"/>
    <w:rsid w:val="00C76884"/>
    <w:rsid w:val="00C8283B"/>
    <w:rsid w:val="00C82C0B"/>
    <w:rsid w:val="00C830B2"/>
    <w:rsid w:val="00C83AE9"/>
    <w:rsid w:val="00C83CFE"/>
    <w:rsid w:val="00C86B8E"/>
    <w:rsid w:val="00C86F84"/>
    <w:rsid w:val="00C90CB9"/>
    <w:rsid w:val="00C912D6"/>
    <w:rsid w:val="00C91574"/>
    <w:rsid w:val="00C92EB6"/>
    <w:rsid w:val="00C93020"/>
    <w:rsid w:val="00C94AAA"/>
    <w:rsid w:val="00C95614"/>
    <w:rsid w:val="00C95F18"/>
    <w:rsid w:val="00C969F4"/>
    <w:rsid w:val="00C96F1F"/>
    <w:rsid w:val="00CA01AB"/>
    <w:rsid w:val="00CA094E"/>
    <w:rsid w:val="00CA1AC7"/>
    <w:rsid w:val="00CA1CD7"/>
    <w:rsid w:val="00CA29C8"/>
    <w:rsid w:val="00CA332F"/>
    <w:rsid w:val="00CA353E"/>
    <w:rsid w:val="00CA4CE7"/>
    <w:rsid w:val="00CA5006"/>
    <w:rsid w:val="00CA55FA"/>
    <w:rsid w:val="00CA5B91"/>
    <w:rsid w:val="00CB08FE"/>
    <w:rsid w:val="00CB14B6"/>
    <w:rsid w:val="00CB1A3E"/>
    <w:rsid w:val="00CB359C"/>
    <w:rsid w:val="00CB3801"/>
    <w:rsid w:val="00CB4B2D"/>
    <w:rsid w:val="00CB7F7D"/>
    <w:rsid w:val="00CC0415"/>
    <w:rsid w:val="00CC16DC"/>
    <w:rsid w:val="00CC2C99"/>
    <w:rsid w:val="00CC57C2"/>
    <w:rsid w:val="00CC5E32"/>
    <w:rsid w:val="00CC5FA6"/>
    <w:rsid w:val="00CC6A48"/>
    <w:rsid w:val="00CD1EAA"/>
    <w:rsid w:val="00CD2E0B"/>
    <w:rsid w:val="00CD39B8"/>
    <w:rsid w:val="00CD3D57"/>
    <w:rsid w:val="00CD43BA"/>
    <w:rsid w:val="00CD43F1"/>
    <w:rsid w:val="00CD681F"/>
    <w:rsid w:val="00CD6C17"/>
    <w:rsid w:val="00CE06E0"/>
    <w:rsid w:val="00CE129A"/>
    <w:rsid w:val="00CE1ED5"/>
    <w:rsid w:val="00CE3A2E"/>
    <w:rsid w:val="00CE46E6"/>
    <w:rsid w:val="00CE4FD4"/>
    <w:rsid w:val="00CE5745"/>
    <w:rsid w:val="00CE597A"/>
    <w:rsid w:val="00CE6F8C"/>
    <w:rsid w:val="00CE737C"/>
    <w:rsid w:val="00CE763D"/>
    <w:rsid w:val="00CF0415"/>
    <w:rsid w:val="00CF0DA9"/>
    <w:rsid w:val="00CF11D3"/>
    <w:rsid w:val="00CF237A"/>
    <w:rsid w:val="00CF2631"/>
    <w:rsid w:val="00CF2ABA"/>
    <w:rsid w:val="00CF3659"/>
    <w:rsid w:val="00CF3D61"/>
    <w:rsid w:val="00CF4631"/>
    <w:rsid w:val="00CF6787"/>
    <w:rsid w:val="00CF681E"/>
    <w:rsid w:val="00CF6F0A"/>
    <w:rsid w:val="00CF7503"/>
    <w:rsid w:val="00CF77DD"/>
    <w:rsid w:val="00D005B6"/>
    <w:rsid w:val="00D005BF"/>
    <w:rsid w:val="00D00AFC"/>
    <w:rsid w:val="00D00DE8"/>
    <w:rsid w:val="00D010AC"/>
    <w:rsid w:val="00D01D99"/>
    <w:rsid w:val="00D01FE4"/>
    <w:rsid w:val="00D02AE7"/>
    <w:rsid w:val="00D036C7"/>
    <w:rsid w:val="00D0407B"/>
    <w:rsid w:val="00D04822"/>
    <w:rsid w:val="00D060A0"/>
    <w:rsid w:val="00D06BAA"/>
    <w:rsid w:val="00D102C6"/>
    <w:rsid w:val="00D12697"/>
    <w:rsid w:val="00D137B6"/>
    <w:rsid w:val="00D14776"/>
    <w:rsid w:val="00D14E44"/>
    <w:rsid w:val="00D203B4"/>
    <w:rsid w:val="00D2157A"/>
    <w:rsid w:val="00D22518"/>
    <w:rsid w:val="00D22CF9"/>
    <w:rsid w:val="00D22D76"/>
    <w:rsid w:val="00D22E55"/>
    <w:rsid w:val="00D23140"/>
    <w:rsid w:val="00D23FE1"/>
    <w:rsid w:val="00D25236"/>
    <w:rsid w:val="00D25E65"/>
    <w:rsid w:val="00D262D7"/>
    <w:rsid w:val="00D31130"/>
    <w:rsid w:val="00D31E7F"/>
    <w:rsid w:val="00D328AA"/>
    <w:rsid w:val="00D32E2E"/>
    <w:rsid w:val="00D34B42"/>
    <w:rsid w:val="00D35451"/>
    <w:rsid w:val="00D357C0"/>
    <w:rsid w:val="00D35A0F"/>
    <w:rsid w:val="00D412B5"/>
    <w:rsid w:val="00D413CD"/>
    <w:rsid w:val="00D41E55"/>
    <w:rsid w:val="00D41F9A"/>
    <w:rsid w:val="00D43517"/>
    <w:rsid w:val="00D44235"/>
    <w:rsid w:val="00D4545C"/>
    <w:rsid w:val="00D45837"/>
    <w:rsid w:val="00D45C33"/>
    <w:rsid w:val="00D4731A"/>
    <w:rsid w:val="00D52D9C"/>
    <w:rsid w:val="00D53205"/>
    <w:rsid w:val="00D53569"/>
    <w:rsid w:val="00D53995"/>
    <w:rsid w:val="00D545D9"/>
    <w:rsid w:val="00D56684"/>
    <w:rsid w:val="00D5750D"/>
    <w:rsid w:val="00D57AD9"/>
    <w:rsid w:val="00D57E97"/>
    <w:rsid w:val="00D61DC9"/>
    <w:rsid w:val="00D61E99"/>
    <w:rsid w:val="00D63B4B"/>
    <w:rsid w:val="00D64046"/>
    <w:rsid w:val="00D6472B"/>
    <w:rsid w:val="00D64827"/>
    <w:rsid w:val="00D64C93"/>
    <w:rsid w:val="00D66183"/>
    <w:rsid w:val="00D70147"/>
    <w:rsid w:val="00D70BD1"/>
    <w:rsid w:val="00D71928"/>
    <w:rsid w:val="00D74F9C"/>
    <w:rsid w:val="00D75CC5"/>
    <w:rsid w:val="00D760BE"/>
    <w:rsid w:val="00D7686E"/>
    <w:rsid w:val="00D81A27"/>
    <w:rsid w:val="00D822F6"/>
    <w:rsid w:val="00D82B72"/>
    <w:rsid w:val="00D83A4A"/>
    <w:rsid w:val="00D84065"/>
    <w:rsid w:val="00D84125"/>
    <w:rsid w:val="00D85C0D"/>
    <w:rsid w:val="00D86F89"/>
    <w:rsid w:val="00D8768B"/>
    <w:rsid w:val="00D878FF"/>
    <w:rsid w:val="00D903BD"/>
    <w:rsid w:val="00D90897"/>
    <w:rsid w:val="00D92B0B"/>
    <w:rsid w:val="00D93B26"/>
    <w:rsid w:val="00D93D68"/>
    <w:rsid w:val="00D942D2"/>
    <w:rsid w:val="00D953B5"/>
    <w:rsid w:val="00D96DF0"/>
    <w:rsid w:val="00D97493"/>
    <w:rsid w:val="00D9786D"/>
    <w:rsid w:val="00DA01AC"/>
    <w:rsid w:val="00DA0299"/>
    <w:rsid w:val="00DA0CE5"/>
    <w:rsid w:val="00DA0EFC"/>
    <w:rsid w:val="00DA2009"/>
    <w:rsid w:val="00DA286A"/>
    <w:rsid w:val="00DA2E70"/>
    <w:rsid w:val="00DA2E88"/>
    <w:rsid w:val="00DA38F5"/>
    <w:rsid w:val="00DA3AFC"/>
    <w:rsid w:val="00DA4198"/>
    <w:rsid w:val="00DA5B8E"/>
    <w:rsid w:val="00DA7B73"/>
    <w:rsid w:val="00DB011E"/>
    <w:rsid w:val="00DB0512"/>
    <w:rsid w:val="00DB2D6F"/>
    <w:rsid w:val="00DB3FAF"/>
    <w:rsid w:val="00DB4653"/>
    <w:rsid w:val="00DB4764"/>
    <w:rsid w:val="00DB5EDE"/>
    <w:rsid w:val="00DB65FE"/>
    <w:rsid w:val="00DB6FE9"/>
    <w:rsid w:val="00DC0B03"/>
    <w:rsid w:val="00DC1263"/>
    <w:rsid w:val="00DC1656"/>
    <w:rsid w:val="00DC1A4A"/>
    <w:rsid w:val="00DC2A4F"/>
    <w:rsid w:val="00DC32D6"/>
    <w:rsid w:val="00DC33FF"/>
    <w:rsid w:val="00DC3BB6"/>
    <w:rsid w:val="00DC7C56"/>
    <w:rsid w:val="00DD0A5D"/>
    <w:rsid w:val="00DD1A46"/>
    <w:rsid w:val="00DD1D64"/>
    <w:rsid w:val="00DD34E5"/>
    <w:rsid w:val="00DD3759"/>
    <w:rsid w:val="00DD6BC0"/>
    <w:rsid w:val="00DD6CBE"/>
    <w:rsid w:val="00DD6EBA"/>
    <w:rsid w:val="00DD72DB"/>
    <w:rsid w:val="00DD7589"/>
    <w:rsid w:val="00DD7FBE"/>
    <w:rsid w:val="00DE0388"/>
    <w:rsid w:val="00DE109E"/>
    <w:rsid w:val="00DE1AF6"/>
    <w:rsid w:val="00DE2D0D"/>
    <w:rsid w:val="00DE37E5"/>
    <w:rsid w:val="00DE4CAF"/>
    <w:rsid w:val="00DE5261"/>
    <w:rsid w:val="00DE5F6B"/>
    <w:rsid w:val="00DE6281"/>
    <w:rsid w:val="00DE675C"/>
    <w:rsid w:val="00DE7AEB"/>
    <w:rsid w:val="00DE7FEA"/>
    <w:rsid w:val="00DF1BBA"/>
    <w:rsid w:val="00DF1C23"/>
    <w:rsid w:val="00DF2302"/>
    <w:rsid w:val="00DF24D5"/>
    <w:rsid w:val="00DF28F8"/>
    <w:rsid w:val="00DF3C1C"/>
    <w:rsid w:val="00DF4982"/>
    <w:rsid w:val="00DF5159"/>
    <w:rsid w:val="00DF5368"/>
    <w:rsid w:val="00DF666E"/>
    <w:rsid w:val="00E00190"/>
    <w:rsid w:val="00E008CC"/>
    <w:rsid w:val="00E01C67"/>
    <w:rsid w:val="00E01DAC"/>
    <w:rsid w:val="00E027AB"/>
    <w:rsid w:val="00E0361E"/>
    <w:rsid w:val="00E0410C"/>
    <w:rsid w:val="00E04409"/>
    <w:rsid w:val="00E049AC"/>
    <w:rsid w:val="00E04E6C"/>
    <w:rsid w:val="00E06F5A"/>
    <w:rsid w:val="00E07AFA"/>
    <w:rsid w:val="00E07CE0"/>
    <w:rsid w:val="00E10B70"/>
    <w:rsid w:val="00E10C1D"/>
    <w:rsid w:val="00E11899"/>
    <w:rsid w:val="00E134BD"/>
    <w:rsid w:val="00E1532D"/>
    <w:rsid w:val="00E16DE5"/>
    <w:rsid w:val="00E17F70"/>
    <w:rsid w:val="00E2001D"/>
    <w:rsid w:val="00E230D6"/>
    <w:rsid w:val="00E23788"/>
    <w:rsid w:val="00E2379F"/>
    <w:rsid w:val="00E23E2A"/>
    <w:rsid w:val="00E241CF"/>
    <w:rsid w:val="00E24D67"/>
    <w:rsid w:val="00E25380"/>
    <w:rsid w:val="00E26C1E"/>
    <w:rsid w:val="00E27AD3"/>
    <w:rsid w:val="00E30711"/>
    <w:rsid w:val="00E3297D"/>
    <w:rsid w:val="00E32FC4"/>
    <w:rsid w:val="00E331EC"/>
    <w:rsid w:val="00E33298"/>
    <w:rsid w:val="00E33713"/>
    <w:rsid w:val="00E3377A"/>
    <w:rsid w:val="00E33953"/>
    <w:rsid w:val="00E340FD"/>
    <w:rsid w:val="00E34202"/>
    <w:rsid w:val="00E34915"/>
    <w:rsid w:val="00E358D3"/>
    <w:rsid w:val="00E367E5"/>
    <w:rsid w:val="00E36837"/>
    <w:rsid w:val="00E409A5"/>
    <w:rsid w:val="00E40D58"/>
    <w:rsid w:val="00E420E7"/>
    <w:rsid w:val="00E42152"/>
    <w:rsid w:val="00E42736"/>
    <w:rsid w:val="00E43106"/>
    <w:rsid w:val="00E456B7"/>
    <w:rsid w:val="00E468F3"/>
    <w:rsid w:val="00E471BF"/>
    <w:rsid w:val="00E475DD"/>
    <w:rsid w:val="00E47990"/>
    <w:rsid w:val="00E50348"/>
    <w:rsid w:val="00E51874"/>
    <w:rsid w:val="00E52696"/>
    <w:rsid w:val="00E53F2D"/>
    <w:rsid w:val="00E5422F"/>
    <w:rsid w:val="00E5475A"/>
    <w:rsid w:val="00E5505A"/>
    <w:rsid w:val="00E577C2"/>
    <w:rsid w:val="00E57932"/>
    <w:rsid w:val="00E57B72"/>
    <w:rsid w:val="00E610AE"/>
    <w:rsid w:val="00E624F1"/>
    <w:rsid w:val="00E62A62"/>
    <w:rsid w:val="00E639CE"/>
    <w:rsid w:val="00E63B63"/>
    <w:rsid w:val="00E65207"/>
    <w:rsid w:val="00E67020"/>
    <w:rsid w:val="00E67511"/>
    <w:rsid w:val="00E67CFD"/>
    <w:rsid w:val="00E7161E"/>
    <w:rsid w:val="00E721DF"/>
    <w:rsid w:val="00E75BC9"/>
    <w:rsid w:val="00E75FE5"/>
    <w:rsid w:val="00E76432"/>
    <w:rsid w:val="00E76702"/>
    <w:rsid w:val="00E77A7D"/>
    <w:rsid w:val="00E77CEA"/>
    <w:rsid w:val="00E8076B"/>
    <w:rsid w:val="00E80864"/>
    <w:rsid w:val="00E813E8"/>
    <w:rsid w:val="00E814B3"/>
    <w:rsid w:val="00E81FCC"/>
    <w:rsid w:val="00E829AD"/>
    <w:rsid w:val="00E82EE7"/>
    <w:rsid w:val="00E82F37"/>
    <w:rsid w:val="00E832CF"/>
    <w:rsid w:val="00E8383B"/>
    <w:rsid w:val="00E83BAD"/>
    <w:rsid w:val="00E83BD4"/>
    <w:rsid w:val="00E83F2A"/>
    <w:rsid w:val="00E840F2"/>
    <w:rsid w:val="00E84304"/>
    <w:rsid w:val="00E8569D"/>
    <w:rsid w:val="00E86C9E"/>
    <w:rsid w:val="00E90485"/>
    <w:rsid w:val="00E9162B"/>
    <w:rsid w:val="00E92277"/>
    <w:rsid w:val="00E92984"/>
    <w:rsid w:val="00E92B08"/>
    <w:rsid w:val="00E92D3E"/>
    <w:rsid w:val="00E93DB1"/>
    <w:rsid w:val="00E941BC"/>
    <w:rsid w:val="00E94EBD"/>
    <w:rsid w:val="00E95447"/>
    <w:rsid w:val="00E96082"/>
    <w:rsid w:val="00E976EB"/>
    <w:rsid w:val="00E97BC3"/>
    <w:rsid w:val="00E97BE3"/>
    <w:rsid w:val="00E97C9E"/>
    <w:rsid w:val="00EA16C5"/>
    <w:rsid w:val="00EA3132"/>
    <w:rsid w:val="00EA3A2F"/>
    <w:rsid w:val="00EA427E"/>
    <w:rsid w:val="00EA428D"/>
    <w:rsid w:val="00EA43BD"/>
    <w:rsid w:val="00EA50D8"/>
    <w:rsid w:val="00EA52DB"/>
    <w:rsid w:val="00EA582C"/>
    <w:rsid w:val="00EA652D"/>
    <w:rsid w:val="00EA69D2"/>
    <w:rsid w:val="00EA7FC2"/>
    <w:rsid w:val="00EB0065"/>
    <w:rsid w:val="00EB0260"/>
    <w:rsid w:val="00EB1671"/>
    <w:rsid w:val="00EB221F"/>
    <w:rsid w:val="00EB2B32"/>
    <w:rsid w:val="00EB2F6C"/>
    <w:rsid w:val="00EB3F17"/>
    <w:rsid w:val="00EB624C"/>
    <w:rsid w:val="00EB668F"/>
    <w:rsid w:val="00EB6705"/>
    <w:rsid w:val="00EB6CE8"/>
    <w:rsid w:val="00EB7764"/>
    <w:rsid w:val="00EB7F34"/>
    <w:rsid w:val="00EC03C7"/>
    <w:rsid w:val="00EC0CC9"/>
    <w:rsid w:val="00EC0ECB"/>
    <w:rsid w:val="00EC10A0"/>
    <w:rsid w:val="00EC13C1"/>
    <w:rsid w:val="00EC161B"/>
    <w:rsid w:val="00EC2A52"/>
    <w:rsid w:val="00EC44A1"/>
    <w:rsid w:val="00EC456A"/>
    <w:rsid w:val="00EC534F"/>
    <w:rsid w:val="00EC54A2"/>
    <w:rsid w:val="00EC6468"/>
    <w:rsid w:val="00EC68F0"/>
    <w:rsid w:val="00EC6D04"/>
    <w:rsid w:val="00EC72C2"/>
    <w:rsid w:val="00EC7380"/>
    <w:rsid w:val="00EC76C4"/>
    <w:rsid w:val="00EC7C32"/>
    <w:rsid w:val="00ED106D"/>
    <w:rsid w:val="00ED28C1"/>
    <w:rsid w:val="00ED2FA2"/>
    <w:rsid w:val="00ED3214"/>
    <w:rsid w:val="00ED5264"/>
    <w:rsid w:val="00ED5321"/>
    <w:rsid w:val="00ED6DAA"/>
    <w:rsid w:val="00ED7681"/>
    <w:rsid w:val="00EE0265"/>
    <w:rsid w:val="00EE08BF"/>
    <w:rsid w:val="00EE097F"/>
    <w:rsid w:val="00EE0CEC"/>
    <w:rsid w:val="00EE249D"/>
    <w:rsid w:val="00EE2A6B"/>
    <w:rsid w:val="00EE3CCA"/>
    <w:rsid w:val="00EE3FC0"/>
    <w:rsid w:val="00EE430A"/>
    <w:rsid w:val="00EE432D"/>
    <w:rsid w:val="00EE5044"/>
    <w:rsid w:val="00EE549C"/>
    <w:rsid w:val="00EE5E79"/>
    <w:rsid w:val="00EE610E"/>
    <w:rsid w:val="00EE630E"/>
    <w:rsid w:val="00EE770B"/>
    <w:rsid w:val="00EE79F0"/>
    <w:rsid w:val="00EF0EDB"/>
    <w:rsid w:val="00EF2209"/>
    <w:rsid w:val="00EF25EE"/>
    <w:rsid w:val="00EF2CB8"/>
    <w:rsid w:val="00EF3184"/>
    <w:rsid w:val="00EF337D"/>
    <w:rsid w:val="00EF3500"/>
    <w:rsid w:val="00EF453B"/>
    <w:rsid w:val="00EF4AD3"/>
    <w:rsid w:val="00EF4D08"/>
    <w:rsid w:val="00EF5F7A"/>
    <w:rsid w:val="00EF7285"/>
    <w:rsid w:val="00EF7291"/>
    <w:rsid w:val="00F00973"/>
    <w:rsid w:val="00F01C20"/>
    <w:rsid w:val="00F01F91"/>
    <w:rsid w:val="00F03177"/>
    <w:rsid w:val="00F03D2E"/>
    <w:rsid w:val="00F03D6B"/>
    <w:rsid w:val="00F04680"/>
    <w:rsid w:val="00F04B0C"/>
    <w:rsid w:val="00F05081"/>
    <w:rsid w:val="00F0529F"/>
    <w:rsid w:val="00F052A0"/>
    <w:rsid w:val="00F061CE"/>
    <w:rsid w:val="00F062F2"/>
    <w:rsid w:val="00F06BE5"/>
    <w:rsid w:val="00F077E3"/>
    <w:rsid w:val="00F07D54"/>
    <w:rsid w:val="00F10384"/>
    <w:rsid w:val="00F10FDC"/>
    <w:rsid w:val="00F15379"/>
    <w:rsid w:val="00F1597B"/>
    <w:rsid w:val="00F15B64"/>
    <w:rsid w:val="00F15E56"/>
    <w:rsid w:val="00F16275"/>
    <w:rsid w:val="00F163B4"/>
    <w:rsid w:val="00F16E46"/>
    <w:rsid w:val="00F17784"/>
    <w:rsid w:val="00F17F63"/>
    <w:rsid w:val="00F201A2"/>
    <w:rsid w:val="00F20A70"/>
    <w:rsid w:val="00F22B83"/>
    <w:rsid w:val="00F248B5"/>
    <w:rsid w:val="00F25510"/>
    <w:rsid w:val="00F26506"/>
    <w:rsid w:val="00F2650B"/>
    <w:rsid w:val="00F26A81"/>
    <w:rsid w:val="00F27422"/>
    <w:rsid w:val="00F27D37"/>
    <w:rsid w:val="00F30119"/>
    <w:rsid w:val="00F3050B"/>
    <w:rsid w:val="00F30DDF"/>
    <w:rsid w:val="00F30EC6"/>
    <w:rsid w:val="00F3194D"/>
    <w:rsid w:val="00F31AD4"/>
    <w:rsid w:val="00F31C6C"/>
    <w:rsid w:val="00F327DB"/>
    <w:rsid w:val="00F32854"/>
    <w:rsid w:val="00F32914"/>
    <w:rsid w:val="00F336C6"/>
    <w:rsid w:val="00F33716"/>
    <w:rsid w:val="00F340F5"/>
    <w:rsid w:val="00F3497C"/>
    <w:rsid w:val="00F354FD"/>
    <w:rsid w:val="00F358BC"/>
    <w:rsid w:val="00F35A35"/>
    <w:rsid w:val="00F35B76"/>
    <w:rsid w:val="00F37023"/>
    <w:rsid w:val="00F40711"/>
    <w:rsid w:val="00F40DEC"/>
    <w:rsid w:val="00F4143A"/>
    <w:rsid w:val="00F416E5"/>
    <w:rsid w:val="00F4246D"/>
    <w:rsid w:val="00F42AB2"/>
    <w:rsid w:val="00F43679"/>
    <w:rsid w:val="00F442B6"/>
    <w:rsid w:val="00F46958"/>
    <w:rsid w:val="00F46D0F"/>
    <w:rsid w:val="00F46FA2"/>
    <w:rsid w:val="00F472A7"/>
    <w:rsid w:val="00F4788B"/>
    <w:rsid w:val="00F47898"/>
    <w:rsid w:val="00F478B0"/>
    <w:rsid w:val="00F50CB8"/>
    <w:rsid w:val="00F50D6A"/>
    <w:rsid w:val="00F51ED8"/>
    <w:rsid w:val="00F520CD"/>
    <w:rsid w:val="00F534E4"/>
    <w:rsid w:val="00F53DA8"/>
    <w:rsid w:val="00F5488E"/>
    <w:rsid w:val="00F55296"/>
    <w:rsid w:val="00F553C9"/>
    <w:rsid w:val="00F55830"/>
    <w:rsid w:val="00F55868"/>
    <w:rsid w:val="00F56272"/>
    <w:rsid w:val="00F57904"/>
    <w:rsid w:val="00F603E5"/>
    <w:rsid w:val="00F628BC"/>
    <w:rsid w:val="00F63EE1"/>
    <w:rsid w:val="00F63F89"/>
    <w:rsid w:val="00F64027"/>
    <w:rsid w:val="00F6447B"/>
    <w:rsid w:val="00F64AA5"/>
    <w:rsid w:val="00F656F6"/>
    <w:rsid w:val="00F65B4C"/>
    <w:rsid w:val="00F66182"/>
    <w:rsid w:val="00F66FAB"/>
    <w:rsid w:val="00F677EA"/>
    <w:rsid w:val="00F71EC6"/>
    <w:rsid w:val="00F72136"/>
    <w:rsid w:val="00F7349A"/>
    <w:rsid w:val="00F74C78"/>
    <w:rsid w:val="00F74FD5"/>
    <w:rsid w:val="00F75E2C"/>
    <w:rsid w:val="00F75FEE"/>
    <w:rsid w:val="00F7615D"/>
    <w:rsid w:val="00F763D2"/>
    <w:rsid w:val="00F77667"/>
    <w:rsid w:val="00F807A5"/>
    <w:rsid w:val="00F83D78"/>
    <w:rsid w:val="00F83E94"/>
    <w:rsid w:val="00F844F5"/>
    <w:rsid w:val="00F845F8"/>
    <w:rsid w:val="00F84B5F"/>
    <w:rsid w:val="00F85700"/>
    <w:rsid w:val="00F857F3"/>
    <w:rsid w:val="00F87392"/>
    <w:rsid w:val="00F87624"/>
    <w:rsid w:val="00F87B83"/>
    <w:rsid w:val="00F90667"/>
    <w:rsid w:val="00F92AC2"/>
    <w:rsid w:val="00F931D2"/>
    <w:rsid w:val="00F94804"/>
    <w:rsid w:val="00F94975"/>
    <w:rsid w:val="00F96CF3"/>
    <w:rsid w:val="00F96EA5"/>
    <w:rsid w:val="00F96EF0"/>
    <w:rsid w:val="00F97388"/>
    <w:rsid w:val="00F979BB"/>
    <w:rsid w:val="00FA04C9"/>
    <w:rsid w:val="00FA0B86"/>
    <w:rsid w:val="00FA2B95"/>
    <w:rsid w:val="00FA300D"/>
    <w:rsid w:val="00FA36CC"/>
    <w:rsid w:val="00FA37E5"/>
    <w:rsid w:val="00FA3A08"/>
    <w:rsid w:val="00FA59F9"/>
    <w:rsid w:val="00FA6BEC"/>
    <w:rsid w:val="00FA706F"/>
    <w:rsid w:val="00FB10F0"/>
    <w:rsid w:val="00FB11A8"/>
    <w:rsid w:val="00FB1C34"/>
    <w:rsid w:val="00FB26AF"/>
    <w:rsid w:val="00FB286B"/>
    <w:rsid w:val="00FB36B4"/>
    <w:rsid w:val="00FB473B"/>
    <w:rsid w:val="00FB4DE7"/>
    <w:rsid w:val="00FB523C"/>
    <w:rsid w:val="00FB73E1"/>
    <w:rsid w:val="00FC0D5F"/>
    <w:rsid w:val="00FC2350"/>
    <w:rsid w:val="00FC23E8"/>
    <w:rsid w:val="00FC2914"/>
    <w:rsid w:val="00FC68D3"/>
    <w:rsid w:val="00FC77C6"/>
    <w:rsid w:val="00FD2029"/>
    <w:rsid w:val="00FD4042"/>
    <w:rsid w:val="00FD44A6"/>
    <w:rsid w:val="00FD545F"/>
    <w:rsid w:val="00FD563E"/>
    <w:rsid w:val="00FD5830"/>
    <w:rsid w:val="00FD5A7D"/>
    <w:rsid w:val="00FD6271"/>
    <w:rsid w:val="00FD7ABB"/>
    <w:rsid w:val="00FE019A"/>
    <w:rsid w:val="00FE1A7D"/>
    <w:rsid w:val="00FE2CEA"/>
    <w:rsid w:val="00FE3BDC"/>
    <w:rsid w:val="00FE4CFB"/>
    <w:rsid w:val="00FE5800"/>
    <w:rsid w:val="00FE5894"/>
    <w:rsid w:val="00FE6EEA"/>
    <w:rsid w:val="00FE7A2B"/>
    <w:rsid w:val="00FF0132"/>
    <w:rsid w:val="00FF14D3"/>
    <w:rsid w:val="00FF2381"/>
    <w:rsid w:val="00FF2767"/>
    <w:rsid w:val="00FF2A3C"/>
    <w:rsid w:val="00FF3291"/>
    <w:rsid w:val="00FF33A8"/>
    <w:rsid w:val="00FF3B32"/>
    <w:rsid w:val="00FF3CC4"/>
    <w:rsid w:val="00FF44C1"/>
    <w:rsid w:val="00FF4811"/>
    <w:rsid w:val="00FF4DC3"/>
    <w:rsid w:val="00FF5A78"/>
    <w:rsid w:val="00FF5FC1"/>
    <w:rsid w:val="00FF6351"/>
    <w:rsid w:val="00FF669E"/>
    <w:rsid w:val="00FF6C44"/>
    <w:rsid w:val="00FF6D5C"/>
    <w:rsid w:val="00FF752B"/>
    <w:rsid w:val="00FF755A"/>
    <w:rsid w:val="018E48B7"/>
    <w:rsid w:val="02024DE4"/>
    <w:rsid w:val="03982302"/>
    <w:rsid w:val="044F54B1"/>
    <w:rsid w:val="04AB5538"/>
    <w:rsid w:val="05326B36"/>
    <w:rsid w:val="053D44DC"/>
    <w:rsid w:val="059568C8"/>
    <w:rsid w:val="065E25C5"/>
    <w:rsid w:val="06A10851"/>
    <w:rsid w:val="06B73451"/>
    <w:rsid w:val="07D53D49"/>
    <w:rsid w:val="07D912E7"/>
    <w:rsid w:val="08506633"/>
    <w:rsid w:val="086D3439"/>
    <w:rsid w:val="08790779"/>
    <w:rsid w:val="09020DF5"/>
    <w:rsid w:val="09220588"/>
    <w:rsid w:val="092B0AE6"/>
    <w:rsid w:val="09613161"/>
    <w:rsid w:val="0A590128"/>
    <w:rsid w:val="0A6765EC"/>
    <w:rsid w:val="0AA80E38"/>
    <w:rsid w:val="0ABD2198"/>
    <w:rsid w:val="0AEC766C"/>
    <w:rsid w:val="0B756522"/>
    <w:rsid w:val="0B835480"/>
    <w:rsid w:val="0B884677"/>
    <w:rsid w:val="0BE30031"/>
    <w:rsid w:val="0C0637B5"/>
    <w:rsid w:val="0D2D2032"/>
    <w:rsid w:val="0D8C423F"/>
    <w:rsid w:val="0DCB5F51"/>
    <w:rsid w:val="0E4D4E48"/>
    <w:rsid w:val="0FCC709B"/>
    <w:rsid w:val="1038221C"/>
    <w:rsid w:val="10AA10FE"/>
    <w:rsid w:val="10CC71F0"/>
    <w:rsid w:val="10E7779E"/>
    <w:rsid w:val="11265DB1"/>
    <w:rsid w:val="114F017A"/>
    <w:rsid w:val="119D32FA"/>
    <w:rsid w:val="11A614AA"/>
    <w:rsid w:val="11F72160"/>
    <w:rsid w:val="12142211"/>
    <w:rsid w:val="12B9541B"/>
    <w:rsid w:val="12CF0215"/>
    <w:rsid w:val="131343A7"/>
    <w:rsid w:val="13173713"/>
    <w:rsid w:val="133C671E"/>
    <w:rsid w:val="134B448D"/>
    <w:rsid w:val="138A0765"/>
    <w:rsid w:val="15FA64F3"/>
    <w:rsid w:val="165B59CC"/>
    <w:rsid w:val="16E90720"/>
    <w:rsid w:val="17357EB4"/>
    <w:rsid w:val="17E068F7"/>
    <w:rsid w:val="18530768"/>
    <w:rsid w:val="18BD7AA6"/>
    <w:rsid w:val="19C25316"/>
    <w:rsid w:val="1A1E56DA"/>
    <w:rsid w:val="1AEB5635"/>
    <w:rsid w:val="1B7C7013"/>
    <w:rsid w:val="1BF41A81"/>
    <w:rsid w:val="1C56258B"/>
    <w:rsid w:val="1CD92024"/>
    <w:rsid w:val="1D427DBD"/>
    <w:rsid w:val="1D761DFF"/>
    <w:rsid w:val="1D8E7F18"/>
    <w:rsid w:val="1DED151D"/>
    <w:rsid w:val="1EAD77E1"/>
    <w:rsid w:val="1F5237DC"/>
    <w:rsid w:val="1FB321C4"/>
    <w:rsid w:val="1FD95D30"/>
    <w:rsid w:val="2050158C"/>
    <w:rsid w:val="21175867"/>
    <w:rsid w:val="214931D4"/>
    <w:rsid w:val="215643B6"/>
    <w:rsid w:val="21985842"/>
    <w:rsid w:val="22D50A56"/>
    <w:rsid w:val="23284A6B"/>
    <w:rsid w:val="23917295"/>
    <w:rsid w:val="239C0D5D"/>
    <w:rsid w:val="23C566BC"/>
    <w:rsid w:val="23D9633E"/>
    <w:rsid w:val="23EB4FCC"/>
    <w:rsid w:val="245E2BA6"/>
    <w:rsid w:val="24E27CDC"/>
    <w:rsid w:val="2506697C"/>
    <w:rsid w:val="250F17A2"/>
    <w:rsid w:val="251E7FD8"/>
    <w:rsid w:val="251F4F9D"/>
    <w:rsid w:val="260F6CA5"/>
    <w:rsid w:val="268C18CF"/>
    <w:rsid w:val="27CE2A4D"/>
    <w:rsid w:val="28154F9C"/>
    <w:rsid w:val="28726B28"/>
    <w:rsid w:val="28BF1EF4"/>
    <w:rsid w:val="28EE0CBE"/>
    <w:rsid w:val="28F61FDE"/>
    <w:rsid w:val="29BE1E14"/>
    <w:rsid w:val="2A732C17"/>
    <w:rsid w:val="2AB13597"/>
    <w:rsid w:val="2B0D64B7"/>
    <w:rsid w:val="2B2D593D"/>
    <w:rsid w:val="2B813053"/>
    <w:rsid w:val="2C2A7679"/>
    <w:rsid w:val="2DA07CD8"/>
    <w:rsid w:val="2FD7025A"/>
    <w:rsid w:val="30061CC9"/>
    <w:rsid w:val="30336396"/>
    <w:rsid w:val="30CB69E2"/>
    <w:rsid w:val="313266DD"/>
    <w:rsid w:val="31AE51F1"/>
    <w:rsid w:val="31C1478C"/>
    <w:rsid w:val="320A2CEC"/>
    <w:rsid w:val="32341167"/>
    <w:rsid w:val="327F1BCF"/>
    <w:rsid w:val="33233BF1"/>
    <w:rsid w:val="33330CBA"/>
    <w:rsid w:val="33895A19"/>
    <w:rsid w:val="33A35D04"/>
    <w:rsid w:val="34761FE2"/>
    <w:rsid w:val="351B0829"/>
    <w:rsid w:val="3528549E"/>
    <w:rsid w:val="35C81F08"/>
    <w:rsid w:val="366F3A3F"/>
    <w:rsid w:val="36BC0C7A"/>
    <w:rsid w:val="3705580B"/>
    <w:rsid w:val="378B43BF"/>
    <w:rsid w:val="38697999"/>
    <w:rsid w:val="3878149F"/>
    <w:rsid w:val="388D4C06"/>
    <w:rsid w:val="39241962"/>
    <w:rsid w:val="397C21E0"/>
    <w:rsid w:val="3A5938D1"/>
    <w:rsid w:val="3A9B502A"/>
    <w:rsid w:val="3B1F6D1F"/>
    <w:rsid w:val="3B6A65BF"/>
    <w:rsid w:val="3B8C3207"/>
    <w:rsid w:val="3BE36BDB"/>
    <w:rsid w:val="3C206973"/>
    <w:rsid w:val="3C4A0094"/>
    <w:rsid w:val="3D3656F5"/>
    <w:rsid w:val="3DE27716"/>
    <w:rsid w:val="3DF60302"/>
    <w:rsid w:val="3E341317"/>
    <w:rsid w:val="3E532717"/>
    <w:rsid w:val="3E761D9B"/>
    <w:rsid w:val="3EC354D5"/>
    <w:rsid w:val="3F3C5449"/>
    <w:rsid w:val="3F823B90"/>
    <w:rsid w:val="3FDFC4C7"/>
    <w:rsid w:val="40937C21"/>
    <w:rsid w:val="40E81D6D"/>
    <w:rsid w:val="419362CF"/>
    <w:rsid w:val="41A02BC3"/>
    <w:rsid w:val="41DD7784"/>
    <w:rsid w:val="421466FF"/>
    <w:rsid w:val="421D4628"/>
    <w:rsid w:val="423B2880"/>
    <w:rsid w:val="425E0F94"/>
    <w:rsid w:val="429B3B10"/>
    <w:rsid w:val="42BB1712"/>
    <w:rsid w:val="42E071FF"/>
    <w:rsid w:val="42E859C9"/>
    <w:rsid w:val="435B576F"/>
    <w:rsid w:val="4363474E"/>
    <w:rsid w:val="43D4365A"/>
    <w:rsid w:val="44247A8F"/>
    <w:rsid w:val="44467815"/>
    <w:rsid w:val="44EA4B1F"/>
    <w:rsid w:val="44FF68C0"/>
    <w:rsid w:val="45570552"/>
    <w:rsid w:val="46061882"/>
    <w:rsid w:val="465F387D"/>
    <w:rsid w:val="46900650"/>
    <w:rsid w:val="469475E7"/>
    <w:rsid w:val="46C60A71"/>
    <w:rsid w:val="47302ECB"/>
    <w:rsid w:val="475D3423"/>
    <w:rsid w:val="47821F54"/>
    <w:rsid w:val="47BC543D"/>
    <w:rsid w:val="489104A2"/>
    <w:rsid w:val="48CE47EC"/>
    <w:rsid w:val="49102C9B"/>
    <w:rsid w:val="49A007EA"/>
    <w:rsid w:val="49D97104"/>
    <w:rsid w:val="4A0F34F6"/>
    <w:rsid w:val="4B047147"/>
    <w:rsid w:val="4B236D42"/>
    <w:rsid w:val="4BD15FF1"/>
    <w:rsid w:val="4C437907"/>
    <w:rsid w:val="4C6B0E4D"/>
    <w:rsid w:val="4CB252E8"/>
    <w:rsid w:val="4D5535C0"/>
    <w:rsid w:val="4D5E5B2E"/>
    <w:rsid w:val="4DC77136"/>
    <w:rsid w:val="4E82248E"/>
    <w:rsid w:val="4EA36BF1"/>
    <w:rsid w:val="4FA95B00"/>
    <w:rsid w:val="4FCC4C0E"/>
    <w:rsid w:val="502E0974"/>
    <w:rsid w:val="50F83081"/>
    <w:rsid w:val="514C342B"/>
    <w:rsid w:val="52D67DD6"/>
    <w:rsid w:val="52FE1815"/>
    <w:rsid w:val="53B76FBC"/>
    <w:rsid w:val="53DA7F49"/>
    <w:rsid w:val="53E917BB"/>
    <w:rsid w:val="540E7D9B"/>
    <w:rsid w:val="55F074A0"/>
    <w:rsid w:val="55F7467F"/>
    <w:rsid w:val="560E07A5"/>
    <w:rsid w:val="566BB305"/>
    <w:rsid w:val="567874B1"/>
    <w:rsid w:val="56AF3EA3"/>
    <w:rsid w:val="56C00E6E"/>
    <w:rsid w:val="57E8646D"/>
    <w:rsid w:val="57FDF92D"/>
    <w:rsid w:val="58131A3C"/>
    <w:rsid w:val="582C7B75"/>
    <w:rsid w:val="58DE514D"/>
    <w:rsid w:val="58E5396B"/>
    <w:rsid w:val="5906188E"/>
    <w:rsid w:val="5940706A"/>
    <w:rsid w:val="59AE0550"/>
    <w:rsid w:val="5A442024"/>
    <w:rsid w:val="5AB44A70"/>
    <w:rsid w:val="5B3740D0"/>
    <w:rsid w:val="5BFE4078"/>
    <w:rsid w:val="5C603F70"/>
    <w:rsid w:val="5CC8728A"/>
    <w:rsid w:val="5D5FC7CF"/>
    <w:rsid w:val="5DA61ADD"/>
    <w:rsid w:val="5E8B339A"/>
    <w:rsid w:val="5F184135"/>
    <w:rsid w:val="5F6076D0"/>
    <w:rsid w:val="5FEF5182"/>
    <w:rsid w:val="60A27A0B"/>
    <w:rsid w:val="60AB5F4D"/>
    <w:rsid w:val="60E32FE1"/>
    <w:rsid w:val="612109D2"/>
    <w:rsid w:val="61663F50"/>
    <w:rsid w:val="61BC748E"/>
    <w:rsid w:val="62397F10"/>
    <w:rsid w:val="62775BDB"/>
    <w:rsid w:val="629826F9"/>
    <w:rsid w:val="62CD533F"/>
    <w:rsid w:val="631625BB"/>
    <w:rsid w:val="63CF3BB5"/>
    <w:rsid w:val="63E86959"/>
    <w:rsid w:val="63FA2610"/>
    <w:rsid w:val="644A7004"/>
    <w:rsid w:val="64647E68"/>
    <w:rsid w:val="64680F92"/>
    <w:rsid w:val="64A7712A"/>
    <w:rsid w:val="64FF2EEB"/>
    <w:rsid w:val="6523149B"/>
    <w:rsid w:val="6547213B"/>
    <w:rsid w:val="659F6A49"/>
    <w:rsid w:val="65AD7C8D"/>
    <w:rsid w:val="682C3EE5"/>
    <w:rsid w:val="688C7357"/>
    <w:rsid w:val="68D74881"/>
    <w:rsid w:val="68DC59D6"/>
    <w:rsid w:val="6A1C1994"/>
    <w:rsid w:val="6AB92883"/>
    <w:rsid w:val="6B4D66F1"/>
    <w:rsid w:val="6B6E3289"/>
    <w:rsid w:val="6BAB4AA6"/>
    <w:rsid w:val="6BB7774E"/>
    <w:rsid w:val="6BDB3000"/>
    <w:rsid w:val="6C071624"/>
    <w:rsid w:val="6C1A6F30"/>
    <w:rsid w:val="6C2938D9"/>
    <w:rsid w:val="6C5B4A2F"/>
    <w:rsid w:val="6CC03FB5"/>
    <w:rsid w:val="6CE004A6"/>
    <w:rsid w:val="6D77E063"/>
    <w:rsid w:val="6D7B7046"/>
    <w:rsid w:val="6DB955A6"/>
    <w:rsid w:val="6DDFFE17"/>
    <w:rsid w:val="6DEE234C"/>
    <w:rsid w:val="6E0F5307"/>
    <w:rsid w:val="6E4D0E00"/>
    <w:rsid w:val="6EFC4C19"/>
    <w:rsid w:val="6EFD771D"/>
    <w:rsid w:val="6FEAAB69"/>
    <w:rsid w:val="70631EE6"/>
    <w:rsid w:val="709B7698"/>
    <w:rsid w:val="713524C7"/>
    <w:rsid w:val="713F3FA9"/>
    <w:rsid w:val="71CC59D9"/>
    <w:rsid w:val="71E261EB"/>
    <w:rsid w:val="72152DC9"/>
    <w:rsid w:val="72A40791"/>
    <w:rsid w:val="72F371E6"/>
    <w:rsid w:val="73C853E3"/>
    <w:rsid w:val="73E7728C"/>
    <w:rsid w:val="743470C4"/>
    <w:rsid w:val="74517FEE"/>
    <w:rsid w:val="748F5032"/>
    <w:rsid w:val="75DC7F15"/>
    <w:rsid w:val="76965993"/>
    <w:rsid w:val="78075AB4"/>
    <w:rsid w:val="78E60622"/>
    <w:rsid w:val="79421EC7"/>
    <w:rsid w:val="7B2B0CA7"/>
    <w:rsid w:val="7B870B41"/>
    <w:rsid w:val="7B9D535A"/>
    <w:rsid w:val="7BBFC4F6"/>
    <w:rsid w:val="7BD648EE"/>
    <w:rsid w:val="7BE500EF"/>
    <w:rsid w:val="7BFFC955"/>
    <w:rsid w:val="7C365BF7"/>
    <w:rsid w:val="7D087620"/>
    <w:rsid w:val="7DB44E5D"/>
    <w:rsid w:val="7E7726CD"/>
    <w:rsid w:val="7EB41F70"/>
    <w:rsid w:val="7F24672C"/>
    <w:rsid w:val="7F266C81"/>
    <w:rsid w:val="7F7FFF77"/>
    <w:rsid w:val="7FB00E53"/>
    <w:rsid w:val="7FC90C11"/>
    <w:rsid w:val="7FCC36F4"/>
    <w:rsid w:val="7FFAD6BC"/>
    <w:rsid w:val="A76F182E"/>
    <w:rsid w:val="BBEA07B8"/>
    <w:rsid w:val="BBFFE658"/>
    <w:rsid w:val="C3FB513F"/>
    <w:rsid w:val="D9D400E8"/>
    <w:rsid w:val="DBEFC4E9"/>
    <w:rsid w:val="DF7FC948"/>
    <w:rsid w:val="E6C7687E"/>
    <w:rsid w:val="ED3FC43A"/>
    <w:rsid w:val="ED5FDB80"/>
    <w:rsid w:val="F3DEA45F"/>
    <w:rsid w:val="F5AF883D"/>
    <w:rsid w:val="F9BE4CB7"/>
    <w:rsid w:val="FA89BE4D"/>
    <w:rsid w:val="FB3F4004"/>
    <w:rsid w:val="FE0FBA76"/>
    <w:rsid w:val="FEFD777E"/>
    <w:rsid w:val="FFE998A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spacing w:before="360" w:after="240"/>
      <w:jc w:val="center"/>
      <w:outlineLvl w:val="0"/>
    </w:pPr>
    <w:rPr>
      <w:rFonts w:eastAsia="黑体"/>
      <w:kern w:val="44"/>
      <w:sz w:val="32"/>
      <w:szCs w:val="20"/>
    </w:rPr>
  </w:style>
  <w:style w:type="paragraph" w:styleId="3">
    <w:name w:val="heading 2"/>
    <w:basedOn w:val="1"/>
    <w:next w:val="1"/>
    <w:link w:val="37"/>
    <w:qFormat/>
    <w:uiPriority w:val="0"/>
    <w:pPr>
      <w:keepNext/>
      <w:keepLines/>
      <w:numPr>
        <w:ilvl w:val="1"/>
        <w:numId w:val="1"/>
      </w:numPr>
      <w:autoSpaceDE w:val="0"/>
      <w:autoSpaceDN w:val="0"/>
      <w:spacing w:before="240" w:after="240" w:line="360" w:lineRule="auto"/>
      <w:jc w:val="left"/>
      <w:outlineLvl w:val="1"/>
    </w:pPr>
    <w:rPr>
      <w:rFonts w:ascii="Arial" w:hAnsi="Arial" w:eastAsia="黑体"/>
      <w:b/>
      <w:kern w:val="0"/>
      <w:sz w:val="32"/>
      <w:szCs w:val="20"/>
    </w:rPr>
  </w:style>
  <w:style w:type="paragraph" w:styleId="4">
    <w:name w:val="heading 3"/>
    <w:basedOn w:val="1"/>
    <w:next w:val="1"/>
    <w:link w:val="38"/>
    <w:qFormat/>
    <w:uiPriority w:val="0"/>
    <w:pPr>
      <w:keepNext/>
      <w:keepLines/>
      <w:numPr>
        <w:ilvl w:val="2"/>
        <w:numId w:val="1"/>
      </w:numPr>
      <w:autoSpaceDE w:val="0"/>
      <w:autoSpaceDN w:val="0"/>
      <w:spacing w:before="260" w:after="260" w:line="416" w:lineRule="auto"/>
      <w:outlineLvl w:val="2"/>
    </w:pPr>
    <w:rPr>
      <w:rFonts w:ascii="宋体"/>
      <w:b/>
      <w:kern w:val="0"/>
      <w:sz w:val="32"/>
      <w:szCs w:val="20"/>
    </w:rPr>
  </w:style>
  <w:style w:type="paragraph" w:styleId="5">
    <w:name w:val="heading 4"/>
    <w:basedOn w:val="1"/>
    <w:next w:val="1"/>
    <w:link w:val="39"/>
    <w:qFormat/>
    <w:uiPriority w:val="0"/>
    <w:pPr>
      <w:keepNext/>
      <w:keepLines/>
      <w:numPr>
        <w:ilvl w:val="3"/>
        <w:numId w:val="1"/>
      </w:numPr>
      <w:autoSpaceDE w:val="0"/>
      <w:autoSpaceDN w:val="0"/>
      <w:spacing w:before="280" w:after="290" w:line="376" w:lineRule="auto"/>
      <w:outlineLvl w:val="3"/>
    </w:pPr>
    <w:rPr>
      <w:rFonts w:ascii="Arial" w:hAnsi="Arial" w:eastAsia="黑体"/>
      <w:b/>
      <w:kern w:val="0"/>
      <w:sz w:val="28"/>
      <w:szCs w:val="20"/>
    </w:rPr>
  </w:style>
  <w:style w:type="paragraph" w:styleId="6">
    <w:name w:val="heading 5"/>
    <w:basedOn w:val="1"/>
    <w:next w:val="1"/>
    <w:link w:val="40"/>
    <w:qFormat/>
    <w:uiPriority w:val="0"/>
    <w:pPr>
      <w:keepNext/>
      <w:keepLines/>
      <w:numPr>
        <w:ilvl w:val="4"/>
        <w:numId w:val="1"/>
      </w:numPr>
      <w:autoSpaceDE w:val="0"/>
      <w:autoSpaceDN w:val="0"/>
      <w:spacing w:before="280" w:after="290" w:line="376" w:lineRule="auto"/>
      <w:outlineLvl w:val="4"/>
    </w:pPr>
    <w:rPr>
      <w:rFonts w:ascii="宋体"/>
      <w:b/>
      <w:kern w:val="0"/>
      <w:sz w:val="28"/>
      <w:szCs w:val="20"/>
    </w:rPr>
  </w:style>
  <w:style w:type="paragraph" w:styleId="7">
    <w:name w:val="heading 6"/>
    <w:basedOn w:val="1"/>
    <w:next w:val="1"/>
    <w:link w:val="41"/>
    <w:qFormat/>
    <w:uiPriority w:val="0"/>
    <w:pPr>
      <w:keepNext/>
      <w:keepLines/>
      <w:numPr>
        <w:ilvl w:val="5"/>
        <w:numId w:val="1"/>
      </w:numPr>
      <w:autoSpaceDE w:val="0"/>
      <w:autoSpaceDN w:val="0"/>
      <w:spacing w:before="240" w:after="64" w:line="320" w:lineRule="auto"/>
      <w:outlineLvl w:val="5"/>
    </w:pPr>
    <w:rPr>
      <w:rFonts w:ascii="Arial" w:hAnsi="Arial" w:eastAsia="黑体"/>
      <w:b/>
      <w:kern w:val="0"/>
      <w:sz w:val="24"/>
      <w:szCs w:val="20"/>
    </w:rPr>
  </w:style>
  <w:style w:type="paragraph" w:styleId="8">
    <w:name w:val="heading 7"/>
    <w:basedOn w:val="1"/>
    <w:next w:val="1"/>
    <w:link w:val="42"/>
    <w:qFormat/>
    <w:uiPriority w:val="0"/>
    <w:pPr>
      <w:keepNext/>
      <w:keepLines/>
      <w:numPr>
        <w:ilvl w:val="6"/>
        <w:numId w:val="1"/>
      </w:numPr>
      <w:autoSpaceDE w:val="0"/>
      <w:autoSpaceDN w:val="0"/>
      <w:spacing w:before="240" w:after="64" w:line="320" w:lineRule="auto"/>
      <w:outlineLvl w:val="6"/>
    </w:pPr>
    <w:rPr>
      <w:rFonts w:ascii="宋体"/>
      <w:b/>
      <w:kern w:val="0"/>
      <w:sz w:val="24"/>
      <w:szCs w:val="20"/>
    </w:rPr>
  </w:style>
  <w:style w:type="paragraph" w:styleId="9">
    <w:name w:val="heading 8"/>
    <w:basedOn w:val="1"/>
    <w:next w:val="1"/>
    <w:link w:val="43"/>
    <w:qFormat/>
    <w:uiPriority w:val="0"/>
    <w:pPr>
      <w:keepNext/>
      <w:keepLines/>
      <w:numPr>
        <w:ilvl w:val="7"/>
        <w:numId w:val="1"/>
      </w:numPr>
      <w:autoSpaceDE w:val="0"/>
      <w:autoSpaceDN w:val="0"/>
      <w:spacing w:before="240" w:after="64" w:line="320" w:lineRule="auto"/>
      <w:outlineLvl w:val="7"/>
    </w:pPr>
    <w:rPr>
      <w:rFonts w:ascii="Arial" w:hAnsi="Arial" w:eastAsia="黑体"/>
      <w:kern w:val="0"/>
      <w:sz w:val="24"/>
      <w:szCs w:val="20"/>
    </w:rPr>
  </w:style>
  <w:style w:type="paragraph" w:styleId="10">
    <w:name w:val="heading 9"/>
    <w:basedOn w:val="1"/>
    <w:next w:val="1"/>
    <w:link w:val="44"/>
    <w:qFormat/>
    <w:uiPriority w:val="0"/>
    <w:pPr>
      <w:keepNext/>
      <w:keepLines/>
      <w:numPr>
        <w:ilvl w:val="8"/>
        <w:numId w:val="1"/>
      </w:numPr>
      <w:autoSpaceDE w:val="0"/>
      <w:autoSpaceDN w:val="0"/>
      <w:spacing w:before="240" w:after="64" w:line="320" w:lineRule="auto"/>
      <w:outlineLvl w:val="8"/>
    </w:pPr>
    <w:rPr>
      <w:rFonts w:ascii="Arial" w:hAnsi="Arial" w:eastAsia="黑体"/>
      <w:kern w:val="0"/>
      <w:szCs w:val="20"/>
    </w:rPr>
  </w:style>
  <w:style w:type="character" w:default="1" w:styleId="31">
    <w:name w:val="Default Paragraph Font"/>
    <w:unhideWhenUsed/>
    <w:qFormat/>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styleId="11">
    <w:name w:val="Normal Indent"/>
    <w:basedOn w:val="1"/>
    <w:qFormat/>
    <w:uiPriority w:val="0"/>
    <w:pPr>
      <w:snapToGrid w:val="0"/>
      <w:spacing w:before="20" w:after="20" w:line="420" w:lineRule="exact"/>
      <w:ind w:firstLine="482"/>
      <w:textAlignment w:val="center"/>
    </w:pPr>
    <w:rPr>
      <w:kern w:val="24"/>
      <w:sz w:val="24"/>
      <w:szCs w:val="20"/>
    </w:rPr>
  </w:style>
  <w:style w:type="paragraph" w:styleId="12">
    <w:name w:val="Document Map"/>
    <w:basedOn w:val="1"/>
    <w:link w:val="45"/>
    <w:unhideWhenUsed/>
    <w:qFormat/>
    <w:uiPriority w:val="99"/>
    <w:rPr>
      <w:rFonts w:ascii="宋体"/>
      <w:sz w:val="18"/>
      <w:szCs w:val="18"/>
    </w:rPr>
  </w:style>
  <w:style w:type="paragraph" w:styleId="13">
    <w:name w:val="annotation text"/>
    <w:basedOn w:val="1"/>
    <w:link w:val="46"/>
    <w:qFormat/>
    <w:uiPriority w:val="99"/>
    <w:pPr>
      <w:jc w:val="left"/>
    </w:pPr>
  </w:style>
  <w:style w:type="paragraph" w:styleId="14">
    <w:name w:val="Body Text 3"/>
    <w:basedOn w:val="1"/>
    <w:link w:val="47"/>
    <w:qFormat/>
    <w:uiPriority w:val="0"/>
    <w:pPr>
      <w:autoSpaceDE w:val="0"/>
      <w:autoSpaceDN w:val="0"/>
      <w:spacing w:after="120" w:line="360" w:lineRule="auto"/>
    </w:pPr>
    <w:rPr>
      <w:kern w:val="0"/>
      <w:sz w:val="24"/>
      <w:szCs w:val="20"/>
      <w:u w:val="single"/>
    </w:rPr>
  </w:style>
  <w:style w:type="paragraph" w:styleId="15">
    <w:name w:val="Body Text"/>
    <w:basedOn w:val="1"/>
    <w:link w:val="48"/>
    <w:qFormat/>
    <w:uiPriority w:val="0"/>
    <w:pPr>
      <w:spacing w:after="120"/>
    </w:pPr>
  </w:style>
  <w:style w:type="paragraph" w:styleId="16">
    <w:name w:val="Body Text Indent"/>
    <w:basedOn w:val="1"/>
    <w:link w:val="49"/>
    <w:qFormat/>
    <w:uiPriority w:val="0"/>
    <w:pPr>
      <w:ind w:left="1200"/>
    </w:pPr>
    <w:rPr>
      <w:sz w:val="24"/>
    </w:rPr>
  </w:style>
  <w:style w:type="paragraph" w:styleId="17">
    <w:name w:val="Plain Text"/>
    <w:basedOn w:val="1"/>
    <w:link w:val="50"/>
    <w:qFormat/>
    <w:uiPriority w:val="0"/>
    <w:rPr>
      <w:rFonts w:ascii="宋体" w:hAnsi="Courier New"/>
      <w:szCs w:val="20"/>
    </w:rPr>
  </w:style>
  <w:style w:type="paragraph" w:styleId="18">
    <w:name w:val="Body Text Indent 2"/>
    <w:basedOn w:val="1"/>
    <w:link w:val="51"/>
    <w:qFormat/>
    <w:uiPriority w:val="0"/>
    <w:pPr>
      <w:spacing w:after="120" w:line="480" w:lineRule="auto"/>
      <w:ind w:left="420" w:leftChars="200"/>
    </w:pPr>
  </w:style>
  <w:style w:type="paragraph" w:styleId="19">
    <w:name w:val="Balloon Text"/>
    <w:basedOn w:val="1"/>
    <w:link w:val="52"/>
    <w:semiHidden/>
    <w:qFormat/>
    <w:uiPriority w:val="0"/>
    <w:rPr>
      <w:sz w:val="18"/>
      <w:szCs w:val="18"/>
    </w:rPr>
  </w:style>
  <w:style w:type="paragraph" w:styleId="20">
    <w:name w:val="footer"/>
    <w:basedOn w:val="1"/>
    <w:link w:val="53"/>
    <w:unhideWhenUsed/>
    <w:qFormat/>
    <w:uiPriority w:val="99"/>
    <w:pPr>
      <w:tabs>
        <w:tab w:val="center" w:pos="4153"/>
        <w:tab w:val="right" w:pos="8306"/>
      </w:tabs>
      <w:snapToGrid w:val="0"/>
      <w:jc w:val="left"/>
    </w:pPr>
    <w:rPr>
      <w:sz w:val="18"/>
      <w:szCs w:val="18"/>
    </w:rPr>
  </w:style>
  <w:style w:type="paragraph" w:styleId="21">
    <w:name w:val="header"/>
    <w:basedOn w:val="1"/>
    <w:link w:val="54"/>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tabs>
        <w:tab w:val="left" w:pos="0"/>
        <w:tab w:val="right" w:leader="dot" w:pos="8295"/>
      </w:tabs>
      <w:spacing w:after="120" w:line="240" w:lineRule="auto"/>
      <w:ind w:right="6"/>
    </w:pPr>
    <w:rPr>
      <w:rFonts w:ascii="宋体" w:hAnsi="宋体"/>
      <w:b/>
      <w:kern w:val="0"/>
      <w:szCs w:val="21"/>
    </w:rPr>
  </w:style>
  <w:style w:type="paragraph" w:styleId="23">
    <w:name w:val="Body Text Indent 3"/>
    <w:basedOn w:val="1"/>
    <w:link w:val="55"/>
    <w:qFormat/>
    <w:uiPriority w:val="0"/>
    <w:pPr>
      <w:spacing w:after="120"/>
      <w:ind w:left="420" w:leftChars="200"/>
    </w:pPr>
    <w:rPr>
      <w:sz w:val="16"/>
      <w:szCs w:val="16"/>
    </w:rPr>
  </w:style>
  <w:style w:type="paragraph" w:styleId="24">
    <w:name w:val="Body Text 2"/>
    <w:basedOn w:val="1"/>
    <w:link w:val="56"/>
    <w:qFormat/>
    <w:uiPriority w:val="0"/>
    <w:pPr>
      <w:spacing w:after="120" w:line="480" w:lineRule="auto"/>
    </w:pPr>
  </w:style>
  <w:style w:type="paragraph" w:styleId="25">
    <w:name w:val="Normal (Web)"/>
    <w:basedOn w:val="1"/>
    <w:qFormat/>
    <w:uiPriority w:val="0"/>
    <w:pPr>
      <w:widowControl/>
      <w:adjustRightInd/>
      <w:spacing w:before="100" w:beforeAutospacing="1" w:after="100" w:afterAutospacing="1" w:line="240" w:lineRule="auto"/>
      <w:jc w:val="left"/>
      <w:textAlignment w:val="auto"/>
    </w:pPr>
    <w:rPr>
      <w:rFonts w:ascii="宋体" w:hAnsi="宋体" w:cs="宋体"/>
      <w:color w:val="000000"/>
      <w:kern w:val="0"/>
      <w:sz w:val="24"/>
    </w:rPr>
  </w:style>
  <w:style w:type="paragraph" w:styleId="26">
    <w:name w:val="Title"/>
    <w:basedOn w:val="1"/>
    <w:next w:val="1"/>
    <w:link w:val="57"/>
    <w:qFormat/>
    <w:uiPriority w:val="0"/>
    <w:pPr>
      <w:spacing w:before="240" w:after="60"/>
      <w:jc w:val="center"/>
      <w:outlineLvl w:val="0"/>
    </w:pPr>
    <w:rPr>
      <w:rFonts w:ascii="Cambria" w:hAnsi="Cambria"/>
      <w:b/>
      <w:bCs/>
      <w:sz w:val="32"/>
      <w:szCs w:val="32"/>
    </w:rPr>
  </w:style>
  <w:style w:type="paragraph" w:styleId="27">
    <w:name w:val="annotation subject"/>
    <w:basedOn w:val="13"/>
    <w:next w:val="13"/>
    <w:link w:val="58"/>
    <w:semiHidden/>
    <w:qFormat/>
    <w:uiPriority w:val="0"/>
    <w:rPr>
      <w:b/>
      <w:bCs/>
    </w:rPr>
  </w:style>
  <w:style w:type="paragraph" w:styleId="28">
    <w:name w:val="Body Text First Indent 2"/>
    <w:basedOn w:val="16"/>
    <w:link w:val="59"/>
    <w:qFormat/>
    <w:uiPriority w:val="0"/>
    <w:pPr>
      <w:spacing w:after="120"/>
      <w:ind w:left="420" w:leftChars="200" w:firstLine="420" w:firstLineChars="200"/>
    </w:pPr>
    <w:rPr>
      <w:sz w:val="21"/>
    </w:rPr>
  </w:style>
  <w:style w:type="table" w:styleId="30">
    <w:name w:val="Table Grid"/>
    <w:basedOn w:val="2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b/>
      <w:bCs/>
    </w:rPr>
  </w:style>
  <w:style w:type="character" w:styleId="33">
    <w:name w:val="page number"/>
    <w:qFormat/>
    <w:uiPriority w:val="0"/>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标题 1 字符"/>
    <w:link w:val="2"/>
    <w:qFormat/>
    <w:uiPriority w:val="0"/>
    <w:rPr>
      <w:rFonts w:ascii="Times New Roman" w:hAnsi="Times New Roman" w:eastAsia="黑体" w:cs="Times New Roman"/>
      <w:kern w:val="44"/>
      <w:sz w:val="32"/>
      <w:szCs w:val="20"/>
    </w:rPr>
  </w:style>
  <w:style w:type="character" w:customStyle="1" w:styleId="37">
    <w:name w:val="标题 2 字符"/>
    <w:link w:val="3"/>
    <w:qFormat/>
    <w:uiPriority w:val="0"/>
    <w:rPr>
      <w:rFonts w:ascii="Arial" w:hAnsi="Arial" w:eastAsia="黑体" w:cs="Times New Roman"/>
      <w:b/>
      <w:kern w:val="0"/>
      <w:sz w:val="32"/>
      <w:szCs w:val="20"/>
    </w:rPr>
  </w:style>
  <w:style w:type="character" w:customStyle="1" w:styleId="38">
    <w:name w:val="标题 3 字符"/>
    <w:link w:val="4"/>
    <w:qFormat/>
    <w:uiPriority w:val="0"/>
    <w:rPr>
      <w:rFonts w:ascii="宋体" w:hAnsi="Times New Roman" w:eastAsia="宋体" w:cs="Times New Roman"/>
      <w:b/>
      <w:kern w:val="0"/>
      <w:sz w:val="32"/>
      <w:szCs w:val="20"/>
    </w:rPr>
  </w:style>
  <w:style w:type="character" w:customStyle="1" w:styleId="39">
    <w:name w:val="标题 4 字符"/>
    <w:link w:val="5"/>
    <w:qFormat/>
    <w:uiPriority w:val="0"/>
    <w:rPr>
      <w:rFonts w:ascii="Arial" w:hAnsi="Arial" w:eastAsia="黑体" w:cs="Times New Roman"/>
      <w:b/>
      <w:kern w:val="0"/>
      <w:sz w:val="28"/>
      <w:szCs w:val="20"/>
    </w:rPr>
  </w:style>
  <w:style w:type="character" w:customStyle="1" w:styleId="40">
    <w:name w:val="标题 5 字符"/>
    <w:link w:val="6"/>
    <w:qFormat/>
    <w:uiPriority w:val="0"/>
    <w:rPr>
      <w:rFonts w:ascii="宋体" w:hAnsi="Times New Roman" w:eastAsia="宋体" w:cs="Times New Roman"/>
      <w:b/>
      <w:kern w:val="0"/>
      <w:sz w:val="28"/>
      <w:szCs w:val="20"/>
    </w:rPr>
  </w:style>
  <w:style w:type="character" w:customStyle="1" w:styleId="41">
    <w:name w:val="标题 6 字符"/>
    <w:link w:val="7"/>
    <w:qFormat/>
    <w:uiPriority w:val="0"/>
    <w:rPr>
      <w:rFonts w:ascii="Arial" w:hAnsi="Arial" w:eastAsia="黑体" w:cs="Times New Roman"/>
      <w:b/>
      <w:kern w:val="0"/>
      <w:sz w:val="24"/>
      <w:szCs w:val="20"/>
    </w:rPr>
  </w:style>
  <w:style w:type="character" w:customStyle="1" w:styleId="42">
    <w:name w:val="标题 7 字符"/>
    <w:link w:val="8"/>
    <w:qFormat/>
    <w:uiPriority w:val="0"/>
    <w:rPr>
      <w:rFonts w:ascii="宋体" w:hAnsi="Times New Roman" w:eastAsia="宋体" w:cs="Times New Roman"/>
      <w:b/>
      <w:kern w:val="0"/>
      <w:sz w:val="24"/>
      <w:szCs w:val="20"/>
    </w:rPr>
  </w:style>
  <w:style w:type="character" w:customStyle="1" w:styleId="43">
    <w:name w:val="标题 8 字符"/>
    <w:link w:val="9"/>
    <w:qFormat/>
    <w:uiPriority w:val="0"/>
    <w:rPr>
      <w:rFonts w:ascii="Arial" w:hAnsi="Arial" w:eastAsia="黑体" w:cs="Times New Roman"/>
      <w:kern w:val="0"/>
      <w:sz w:val="24"/>
      <w:szCs w:val="20"/>
    </w:rPr>
  </w:style>
  <w:style w:type="character" w:customStyle="1" w:styleId="44">
    <w:name w:val="标题 9 字符"/>
    <w:link w:val="10"/>
    <w:qFormat/>
    <w:uiPriority w:val="0"/>
    <w:rPr>
      <w:rFonts w:ascii="Arial" w:hAnsi="Arial" w:eastAsia="黑体" w:cs="Times New Roman"/>
      <w:kern w:val="0"/>
      <w:szCs w:val="20"/>
    </w:rPr>
  </w:style>
  <w:style w:type="character" w:customStyle="1" w:styleId="45">
    <w:name w:val="文档结构图 字符"/>
    <w:link w:val="12"/>
    <w:semiHidden/>
    <w:qFormat/>
    <w:uiPriority w:val="99"/>
    <w:rPr>
      <w:rFonts w:ascii="宋体" w:hAnsi="Times New Roman" w:eastAsia="宋体" w:cs="Times New Roman"/>
      <w:sz w:val="18"/>
      <w:szCs w:val="18"/>
    </w:rPr>
  </w:style>
  <w:style w:type="character" w:customStyle="1" w:styleId="46">
    <w:name w:val="批注文字 字符"/>
    <w:link w:val="13"/>
    <w:qFormat/>
    <w:uiPriority w:val="99"/>
    <w:rPr>
      <w:rFonts w:ascii="Times New Roman" w:hAnsi="Times New Roman" w:eastAsia="宋体" w:cs="Times New Roman"/>
      <w:szCs w:val="24"/>
    </w:rPr>
  </w:style>
  <w:style w:type="character" w:customStyle="1" w:styleId="47">
    <w:name w:val="正文文本 3 字符"/>
    <w:link w:val="14"/>
    <w:qFormat/>
    <w:uiPriority w:val="0"/>
    <w:rPr>
      <w:rFonts w:ascii="Times New Roman" w:hAnsi="Times New Roman" w:eastAsia="宋体" w:cs="Times New Roman"/>
      <w:kern w:val="0"/>
      <w:sz w:val="24"/>
      <w:szCs w:val="20"/>
      <w:u w:val="single"/>
    </w:rPr>
  </w:style>
  <w:style w:type="character" w:customStyle="1" w:styleId="48">
    <w:name w:val="正文文本 字符"/>
    <w:link w:val="15"/>
    <w:qFormat/>
    <w:uiPriority w:val="0"/>
    <w:rPr>
      <w:rFonts w:ascii="Times New Roman" w:hAnsi="Times New Roman" w:eastAsia="宋体" w:cs="Times New Roman"/>
      <w:szCs w:val="24"/>
    </w:rPr>
  </w:style>
  <w:style w:type="character" w:customStyle="1" w:styleId="49">
    <w:name w:val="正文文本缩进 字符"/>
    <w:link w:val="16"/>
    <w:qFormat/>
    <w:uiPriority w:val="0"/>
    <w:rPr>
      <w:rFonts w:ascii="Times New Roman" w:hAnsi="Times New Roman" w:eastAsia="宋体" w:cs="Times New Roman"/>
      <w:sz w:val="24"/>
      <w:szCs w:val="24"/>
    </w:rPr>
  </w:style>
  <w:style w:type="character" w:customStyle="1" w:styleId="50">
    <w:name w:val="纯文本 字符"/>
    <w:link w:val="17"/>
    <w:qFormat/>
    <w:uiPriority w:val="0"/>
    <w:rPr>
      <w:rFonts w:ascii="宋体" w:hAnsi="Courier New" w:eastAsia="宋体" w:cs="Times New Roman"/>
      <w:szCs w:val="20"/>
    </w:rPr>
  </w:style>
  <w:style w:type="character" w:customStyle="1" w:styleId="51">
    <w:name w:val="正文文本缩进 2 字符"/>
    <w:link w:val="18"/>
    <w:qFormat/>
    <w:uiPriority w:val="0"/>
    <w:rPr>
      <w:rFonts w:ascii="Times New Roman" w:hAnsi="Times New Roman" w:eastAsia="宋体" w:cs="Times New Roman"/>
      <w:szCs w:val="24"/>
    </w:rPr>
  </w:style>
  <w:style w:type="character" w:customStyle="1" w:styleId="52">
    <w:name w:val="批注框文本 字符"/>
    <w:link w:val="19"/>
    <w:semiHidden/>
    <w:qFormat/>
    <w:uiPriority w:val="0"/>
    <w:rPr>
      <w:rFonts w:ascii="Times New Roman" w:hAnsi="Times New Roman" w:eastAsia="宋体" w:cs="Times New Roman"/>
      <w:sz w:val="18"/>
      <w:szCs w:val="18"/>
    </w:rPr>
  </w:style>
  <w:style w:type="character" w:customStyle="1" w:styleId="53">
    <w:name w:val="页脚 字符1"/>
    <w:link w:val="20"/>
    <w:qFormat/>
    <w:uiPriority w:val="99"/>
    <w:rPr>
      <w:sz w:val="18"/>
      <w:szCs w:val="18"/>
    </w:rPr>
  </w:style>
  <w:style w:type="character" w:customStyle="1" w:styleId="54">
    <w:name w:val="页眉 字符"/>
    <w:link w:val="21"/>
    <w:qFormat/>
    <w:uiPriority w:val="99"/>
    <w:rPr>
      <w:sz w:val="18"/>
      <w:szCs w:val="18"/>
    </w:rPr>
  </w:style>
  <w:style w:type="character" w:customStyle="1" w:styleId="55">
    <w:name w:val="正文文本缩进 3 字符"/>
    <w:link w:val="23"/>
    <w:qFormat/>
    <w:uiPriority w:val="0"/>
    <w:rPr>
      <w:rFonts w:ascii="Times New Roman" w:hAnsi="Times New Roman" w:eastAsia="宋体" w:cs="Times New Roman"/>
      <w:sz w:val="16"/>
      <w:szCs w:val="16"/>
    </w:rPr>
  </w:style>
  <w:style w:type="character" w:customStyle="1" w:styleId="56">
    <w:name w:val="正文文本 2 字符"/>
    <w:link w:val="24"/>
    <w:qFormat/>
    <w:uiPriority w:val="0"/>
    <w:rPr>
      <w:rFonts w:ascii="Times New Roman" w:hAnsi="Times New Roman" w:eastAsia="宋体" w:cs="Times New Roman"/>
      <w:szCs w:val="24"/>
    </w:rPr>
  </w:style>
  <w:style w:type="character" w:customStyle="1" w:styleId="57">
    <w:name w:val="标题 字符"/>
    <w:link w:val="26"/>
    <w:qFormat/>
    <w:uiPriority w:val="0"/>
    <w:rPr>
      <w:rFonts w:ascii="Cambria" w:hAnsi="Cambria" w:eastAsia="宋体" w:cs="Times New Roman"/>
      <w:b/>
      <w:bCs/>
      <w:sz w:val="32"/>
      <w:szCs w:val="32"/>
    </w:rPr>
  </w:style>
  <w:style w:type="character" w:customStyle="1" w:styleId="58">
    <w:name w:val="批注主题 字符"/>
    <w:link w:val="27"/>
    <w:semiHidden/>
    <w:qFormat/>
    <w:uiPriority w:val="0"/>
    <w:rPr>
      <w:rFonts w:ascii="Times New Roman" w:hAnsi="Times New Roman" w:eastAsia="宋体" w:cs="Times New Roman"/>
      <w:b/>
      <w:bCs/>
      <w:szCs w:val="24"/>
    </w:rPr>
  </w:style>
  <w:style w:type="character" w:customStyle="1" w:styleId="59">
    <w:name w:val="正文文本首行缩进 2 字符"/>
    <w:link w:val="28"/>
    <w:qFormat/>
    <w:uiPriority w:val="0"/>
    <w:rPr>
      <w:rFonts w:ascii="Times New Roman" w:hAnsi="Times New Roman" w:eastAsia="宋体" w:cs="Times New Roman"/>
      <w:sz w:val="24"/>
      <w:szCs w:val="24"/>
    </w:rPr>
  </w:style>
  <w:style w:type="character" w:customStyle="1" w:styleId="60">
    <w:name w:val="tt11"/>
    <w:qFormat/>
    <w:uiPriority w:val="0"/>
    <w:rPr>
      <w:spacing w:val="400"/>
      <w:sz w:val="22"/>
      <w:szCs w:val="22"/>
    </w:rPr>
  </w:style>
  <w:style w:type="character" w:customStyle="1" w:styleId="61">
    <w:name w:val="特点 Char"/>
    <w:qFormat/>
    <w:uiPriority w:val="0"/>
    <w:rPr>
      <w:rFonts w:eastAsia="宋体"/>
      <w:kern w:val="24"/>
      <w:sz w:val="24"/>
      <w:lang w:val="en-US" w:eastAsia="zh-CN" w:bidi="ar-SA"/>
    </w:rPr>
  </w:style>
  <w:style w:type="character" w:customStyle="1" w:styleId="62">
    <w:name w:val="有疑问的文字"/>
    <w:qFormat/>
    <w:uiPriority w:val="0"/>
    <w:rPr>
      <w:rFonts w:ascii="宋体" w:hAnsi="宋体"/>
      <w:color w:val="FF0000"/>
      <w:kern w:val="0"/>
      <w:sz w:val="18"/>
    </w:rPr>
  </w:style>
  <w:style w:type="character" w:customStyle="1" w:styleId="63">
    <w:name w:val="Char Char Char"/>
    <w:qFormat/>
    <w:uiPriority w:val="0"/>
    <w:rPr>
      <w:rFonts w:ascii="宋体" w:hAnsi="宋体" w:eastAsia="宋体"/>
      <w:bCs/>
      <w:color w:val="000000"/>
      <w:kern w:val="2"/>
      <w:sz w:val="21"/>
      <w:szCs w:val="21"/>
      <w:lang w:val="en-US" w:eastAsia="zh-CN" w:bidi="ar-SA"/>
    </w:rPr>
  </w:style>
  <w:style w:type="character" w:customStyle="1" w:styleId="64">
    <w:name w:val="样式二级标题 Char"/>
    <w:qFormat/>
    <w:uiPriority w:val="0"/>
    <w:rPr>
      <w:rFonts w:hAnsi="宋体" w:eastAsia="宋体" w:cs="宋体"/>
      <w:b/>
      <w:bCs/>
      <w:sz w:val="21"/>
      <w:szCs w:val="21"/>
      <w:lang w:val="en-US" w:eastAsia="zh-CN" w:bidi="ar-SA"/>
    </w:rPr>
  </w:style>
  <w:style w:type="character" w:customStyle="1" w:styleId="65">
    <w:name w:val="正文样式 Char Char1 Char"/>
    <w:qFormat/>
    <w:uiPriority w:val="0"/>
    <w:rPr>
      <w:rFonts w:ascii="宋体" w:hAnsi="宋体" w:eastAsia="宋体"/>
      <w:sz w:val="21"/>
      <w:szCs w:val="21"/>
      <w:lang w:val="en-US" w:eastAsia="zh-CN" w:bidi="ar-SA"/>
    </w:rPr>
  </w:style>
  <w:style w:type="character" w:customStyle="1" w:styleId="66">
    <w:name w:val="正文样式 Char Char"/>
    <w:qFormat/>
    <w:uiPriority w:val="0"/>
    <w:rPr>
      <w:rFonts w:ascii="宋体" w:hAnsi="宋体" w:eastAsia="宋体"/>
      <w:b/>
      <w:bCs/>
      <w:sz w:val="21"/>
      <w:szCs w:val="21"/>
      <w:lang w:val="en-US" w:eastAsia="zh-CN" w:bidi="ar-SA"/>
    </w:rPr>
  </w:style>
  <w:style w:type="character" w:customStyle="1" w:styleId="67">
    <w:name w:val="Char Char"/>
    <w:qFormat/>
    <w:uiPriority w:val="0"/>
    <w:rPr>
      <w:rFonts w:ascii="宋体" w:hAnsi="宋体" w:eastAsia="宋体"/>
      <w:bCs/>
      <w:sz w:val="21"/>
      <w:szCs w:val="21"/>
      <w:lang w:val="en-US" w:eastAsia="zh-CN" w:bidi="ar-SA"/>
    </w:rPr>
  </w:style>
  <w:style w:type="character" w:customStyle="1" w:styleId="68">
    <w:name w:val="样式 正文样式 + 字距调整1.5 磅1 Char"/>
    <w:qFormat/>
    <w:uiPriority w:val="0"/>
    <w:rPr>
      <w:rFonts w:ascii="宋体" w:hAnsi="宋体" w:eastAsia="宋体"/>
      <w:sz w:val="21"/>
      <w:szCs w:val="21"/>
      <w:lang w:val="en-US" w:eastAsia="zh-CN" w:bidi="ar-SA"/>
    </w:rPr>
  </w:style>
  <w:style w:type="character" w:customStyle="1" w:styleId="69">
    <w:name w:val="样式二级标题 Char Char"/>
    <w:qFormat/>
    <w:uiPriority w:val="0"/>
    <w:rPr>
      <w:rFonts w:ascii="宋体" w:eastAsia="宋体" w:cs="宋体"/>
      <w:b/>
      <w:bCs/>
      <w:kern w:val="3"/>
      <w:sz w:val="21"/>
      <w:szCs w:val="24"/>
      <w:lang w:val="en-US" w:eastAsia="zh-CN" w:bidi="ar-SA"/>
    </w:rPr>
  </w:style>
  <w:style w:type="character" w:customStyle="1" w:styleId="70">
    <w:name w:val="unnamed11"/>
    <w:qFormat/>
    <w:uiPriority w:val="0"/>
    <w:rPr>
      <w:rFonts w:hint="eastAsia" w:ascii="宋体" w:hAnsi="宋体" w:eastAsia="宋体"/>
      <w:sz w:val="18"/>
      <w:szCs w:val="18"/>
    </w:rPr>
  </w:style>
  <w:style w:type="character" w:customStyle="1" w:styleId="71">
    <w:name w:val="read"/>
    <w:qFormat/>
    <w:uiPriority w:val="0"/>
  </w:style>
  <w:style w:type="character" w:customStyle="1" w:styleId="72">
    <w:name w:val="正文样式 Char Char Char"/>
    <w:qFormat/>
    <w:uiPriority w:val="0"/>
    <w:rPr>
      <w:rFonts w:ascii="宋体" w:hAnsi="宋体" w:eastAsia="宋体"/>
      <w:sz w:val="21"/>
      <w:szCs w:val="21"/>
      <w:lang w:val="en-US" w:eastAsia="zh-CN" w:bidi="ar-SA"/>
    </w:rPr>
  </w:style>
  <w:style w:type="character" w:customStyle="1" w:styleId="73">
    <w:name w:val="列表段落 字符"/>
    <w:link w:val="74"/>
    <w:qFormat/>
    <w:uiPriority w:val="34"/>
    <w:rPr>
      <w:rFonts w:ascii="Times New Roman" w:hAnsi="Times New Roman"/>
      <w:kern w:val="2"/>
      <w:sz w:val="21"/>
      <w:szCs w:val="24"/>
    </w:rPr>
  </w:style>
  <w:style w:type="paragraph" w:styleId="74">
    <w:name w:val="List Paragraph"/>
    <w:basedOn w:val="1"/>
    <w:link w:val="73"/>
    <w:qFormat/>
    <w:uiPriority w:val="34"/>
    <w:pPr>
      <w:ind w:firstLine="420" w:firstLineChars="200"/>
    </w:pPr>
  </w:style>
  <w:style w:type="character" w:customStyle="1" w:styleId="75">
    <w:name w:val="页脚 字符"/>
    <w:qFormat/>
    <w:uiPriority w:val="99"/>
  </w:style>
  <w:style w:type="paragraph" w:customStyle="1" w:styleId="76">
    <w:name w:val="正文样式 Char"/>
    <w:basedOn w:val="1"/>
    <w:qFormat/>
    <w:uiPriority w:val="0"/>
    <w:pPr>
      <w:adjustRightInd/>
      <w:spacing w:line="360" w:lineRule="auto"/>
      <w:ind w:firstLine="420"/>
      <w:jc w:val="left"/>
      <w:textAlignment w:val="auto"/>
    </w:pPr>
    <w:rPr>
      <w:rFonts w:ascii="宋体" w:hAnsi="宋体"/>
      <w:b/>
      <w:bCs/>
      <w:kern w:val="0"/>
      <w:szCs w:val="21"/>
    </w:rPr>
  </w:style>
  <w:style w:type="paragraph" w:customStyle="1" w:styleId="77">
    <w:name w:val="样式 正文样式"/>
    <w:basedOn w:val="1"/>
    <w:qFormat/>
    <w:uiPriority w:val="0"/>
    <w:pPr>
      <w:spacing w:line="360" w:lineRule="auto"/>
      <w:ind w:firstLine="420"/>
      <w:jc w:val="left"/>
    </w:pPr>
    <w:rPr>
      <w:szCs w:val="21"/>
    </w:rPr>
  </w:style>
  <w:style w:type="paragraph" w:customStyle="1" w:styleId="78">
    <w:name w:val="正文加粗"/>
    <w:basedOn w:val="11"/>
    <w:qFormat/>
    <w:uiPriority w:val="0"/>
    <w:pPr>
      <w:widowControl/>
      <w:snapToGrid/>
      <w:spacing w:before="0" w:after="0" w:line="360" w:lineRule="auto"/>
      <w:ind w:firstLine="422" w:firstLineChars="200"/>
      <w:jc w:val="left"/>
      <w:textAlignment w:val="baseline"/>
    </w:pPr>
    <w:rPr>
      <w:rFonts w:cs="宋体"/>
      <w:b/>
      <w:bCs/>
      <w:kern w:val="0"/>
      <w:sz w:val="21"/>
      <w:szCs w:val="21"/>
    </w:rPr>
  </w:style>
  <w:style w:type="paragraph" w:customStyle="1" w:styleId="79">
    <w:name w:val="4"/>
    <w:basedOn w:val="1"/>
    <w:next w:val="17"/>
    <w:qFormat/>
    <w:uiPriority w:val="0"/>
    <w:pPr>
      <w:numPr>
        <w:ilvl w:val="0"/>
        <w:numId w:val="2"/>
      </w:numPr>
      <w:tabs>
        <w:tab w:val="clear" w:pos="720"/>
      </w:tabs>
      <w:ind w:left="0" w:firstLine="0"/>
    </w:pPr>
    <w:rPr>
      <w:rFonts w:ascii="宋体" w:hAnsi="Courier New"/>
      <w:szCs w:val="20"/>
    </w:rPr>
  </w:style>
  <w:style w:type="paragraph" w:customStyle="1" w:styleId="80">
    <w:name w:val=".."/>
    <w:basedOn w:val="81"/>
    <w:next w:val="81"/>
    <w:qFormat/>
    <w:uiPriority w:val="0"/>
    <w:rPr>
      <w:rFonts w:ascii="黑体" w:eastAsia="黑体" w:cs="Times New Roman"/>
      <w:color w:val="auto"/>
    </w:rPr>
  </w:style>
  <w:style w:type="paragraph" w:customStyle="1" w:styleId="8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2">
    <w:name w:val="Char Char Char Char Char Char Char Char Char Char Char Char Char Char Char"/>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83">
    <w:name w:val="正文所"/>
    <w:basedOn w:val="1"/>
    <w:qFormat/>
    <w:uiPriority w:val="0"/>
    <w:pPr>
      <w:adjustRightInd/>
      <w:spacing w:line="360" w:lineRule="auto"/>
      <w:ind w:firstLine="420" w:firstLineChars="200"/>
      <w:textAlignment w:val="auto"/>
    </w:pPr>
    <w:rPr>
      <w:rFonts w:ascii="宋体"/>
      <w:szCs w:val="20"/>
    </w:rPr>
  </w:style>
  <w:style w:type="paragraph" w:customStyle="1" w:styleId="84">
    <w:name w:val="样式 正文样式 Char"/>
    <w:basedOn w:val="1"/>
    <w:qFormat/>
    <w:uiPriority w:val="0"/>
    <w:pPr>
      <w:adjustRightInd/>
      <w:spacing w:line="360" w:lineRule="auto"/>
      <w:ind w:firstLine="200" w:firstLineChars="200"/>
      <w:jc w:val="left"/>
      <w:textAlignment w:val="auto"/>
    </w:pPr>
    <w:rPr>
      <w:caps/>
      <w:kern w:val="0"/>
      <w:szCs w:val="21"/>
    </w:rPr>
  </w:style>
  <w:style w:type="paragraph" w:customStyle="1" w:styleId="85">
    <w:name w:val="正文样式 Char Char1"/>
    <w:basedOn w:val="1"/>
    <w:qFormat/>
    <w:uiPriority w:val="0"/>
    <w:pPr>
      <w:tabs>
        <w:tab w:val="left" w:pos="6359"/>
      </w:tabs>
      <w:spacing w:line="360" w:lineRule="auto"/>
      <w:ind w:firstLine="420" w:firstLineChars="200"/>
      <w:textAlignment w:val="auto"/>
    </w:pPr>
    <w:rPr>
      <w:rFonts w:ascii="宋体" w:hAnsi="宋体"/>
      <w:kern w:val="0"/>
      <w:szCs w:val="21"/>
    </w:rPr>
  </w:style>
  <w:style w:type="paragraph" w:customStyle="1" w:styleId="86">
    <w:name w:val="Char Char Char Char Char Char Char Char Char"/>
    <w:basedOn w:val="1"/>
    <w:qFormat/>
    <w:uiPriority w:val="0"/>
    <w:pPr>
      <w:adjustRightInd/>
      <w:spacing w:line="240" w:lineRule="auto"/>
      <w:textAlignment w:val="auto"/>
    </w:pPr>
    <w:rPr>
      <w:sz w:val="24"/>
    </w:rPr>
  </w:style>
  <w:style w:type="paragraph" w:customStyle="1" w:styleId="87">
    <w:name w:val="封面logo"/>
    <w:basedOn w:val="1"/>
    <w:qFormat/>
    <w:uiPriority w:val="0"/>
    <w:pPr>
      <w:adjustRightInd/>
      <w:spacing w:line="360" w:lineRule="auto"/>
      <w:ind w:left="8880" w:hanging="8880" w:hangingChars="3700"/>
      <w:textAlignment w:val="auto"/>
    </w:pPr>
    <w:rPr>
      <w:rFonts w:ascii="宋体" w:hAnsi="宋体" w:cs="宋体"/>
      <w:sz w:val="24"/>
      <w:szCs w:val="20"/>
    </w:rPr>
  </w:style>
  <w:style w:type="paragraph" w:customStyle="1" w:styleId="88">
    <w:name w:val="正文样式"/>
    <w:basedOn w:val="1"/>
    <w:qFormat/>
    <w:uiPriority w:val="0"/>
    <w:pPr>
      <w:spacing w:line="360" w:lineRule="auto"/>
      <w:jc w:val="left"/>
      <w:textAlignment w:val="auto"/>
    </w:pPr>
    <w:rPr>
      <w:rFonts w:ascii="宋体" w:hAnsi="宋体"/>
      <w:kern w:val="0"/>
      <w:szCs w:val="21"/>
    </w:rPr>
  </w:style>
  <w:style w:type="paragraph" w:customStyle="1" w:styleId="89">
    <w:name w:val="样式 标题 1"/>
    <w:basedOn w:val="2"/>
    <w:qFormat/>
    <w:uiPriority w:val="0"/>
    <w:pPr>
      <w:tabs>
        <w:tab w:val="left" w:pos="432"/>
      </w:tabs>
      <w:spacing w:before="480" w:after="480" w:line="360" w:lineRule="auto"/>
      <w:ind w:left="432" w:hanging="432"/>
    </w:pPr>
    <w:rPr>
      <w:rFonts w:ascii="宋体" w:hAnsi="宋体" w:eastAsia="宋体"/>
      <w:b/>
      <w:bCs/>
      <w:sz w:val="24"/>
      <w:szCs w:val="24"/>
    </w:rPr>
  </w:style>
  <w:style w:type="paragraph" w:customStyle="1" w:styleId="90">
    <w:name w:val="样式二级标题"/>
    <w:basedOn w:val="1"/>
    <w:qFormat/>
    <w:uiPriority w:val="0"/>
    <w:pPr>
      <w:adjustRightInd/>
      <w:spacing w:line="360" w:lineRule="auto"/>
      <w:ind w:firstLine="422" w:firstLineChars="200"/>
      <w:textAlignment w:val="auto"/>
    </w:pPr>
    <w:rPr>
      <w:rFonts w:hAnsi="宋体" w:cs="宋体"/>
      <w:b/>
      <w:bCs/>
      <w:kern w:val="0"/>
      <w:szCs w:val="21"/>
    </w:rPr>
  </w:style>
  <w:style w:type="paragraph" w:customStyle="1" w:styleId="91">
    <w:name w:val="a"/>
    <w:basedOn w:val="1"/>
    <w:qFormat/>
    <w:uiPriority w:val="0"/>
    <w:pPr>
      <w:widowControl/>
      <w:adjustRightInd/>
      <w:spacing w:before="100" w:beforeAutospacing="1" w:after="100" w:afterAutospacing="1" w:line="240" w:lineRule="auto"/>
      <w:jc w:val="left"/>
      <w:textAlignment w:val="auto"/>
    </w:pPr>
    <w:rPr>
      <w:rFonts w:ascii="宋体" w:hAnsi="宋体" w:cs="宋体"/>
      <w:kern w:val="0"/>
      <w:sz w:val="24"/>
    </w:rPr>
  </w:style>
  <w:style w:type="paragraph" w:customStyle="1" w:styleId="92">
    <w:name w:val="Char Char Char Char Char Char Char Char Char Char Char Char Char"/>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93">
    <w:name w:val="表格"/>
    <w:basedOn w:val="77"/>
    <w:qFormat/>
    <w:uiPriority w:val="0"/>
    <w:pPr>
      <w:adjustRightInd/>
      <w:spacing w:line="240" w:lineRule="auto"/>
      <w:ind w:firstLine="0"/>
      <w:textAlignment w:val="auto"/>
    </w:pPr>
    <w:rPr>
      <w:caps/>
      <w:kern w:val="0"/>
    </w:rPr>
  </w:style>
  <w:style w:type="paragraph" w:customStyle="1" w:styleId="94">
    <w:name w:val="样式正文"/>
    <w:basedOn w:val="1"/>
    <w:qFormat/>
    <w:uiPriority w:val="0"/>
    <w:pPr>
      <w:spacing w:line="360" w:lineRule="auto"/>
      <w:ind w:firstLine="420" w:firstLineChars="200"/>
      <w:jc w:val="left"/>
    </w:pPr>
    <w:rPr>
      <w:szCs w:val="21"/>
    </w:rPr>
  </w:style>
  <w:style w:type="paragraph" w:customStyle="1" w:styleId="95">
    <w:name w:val="Char Char Char1 Char Char Char Char Char Char Char Char Char"/>
    <w:basedOn w:val="1"/>
    <w:qFormat/>
    <w:uiPriority w:val="0"/>
    <w:pPr>
      <w:adjustRightInd/>
      <w:spacing w:line="240" w:lineRule="auto"/>
      <w:textAlignment w:val="auto"/>
    </w:pPr>
    <w:rPr>
      <w:sz w:val="24"/>
    </w:rPr>
  </w:style>
  <w:style w:type="paragraph" w:customStyle="1" w:styleId="96">
    <w:name w:val="Char Char Char Char Char Char"/>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97">
    <w:name w:val="unnamed1"/>
    <w:basedOn w:val="1"/>
    <w:qFormat/>
    <w:uiPriority w:val="0"/>
    <w:pPr>
      <w:widowControl/>
      <w:adjustRightInd/>
      <w:spacing w:before="60" w:after="60" w:line="240" w:lineRule="auto"/>
      <w:ind w:left="15" w:right="15"/>
      <w:jc w:val="left"/>
      <w:textAlignment w:val="auto"/>
    </w:pPr>
    <w:rPr>
      <w:rFonts w:hint="eastAsia" w:ascii="宋体" w:hAnsi="宋体"/>
      <w:color w:val="000000"/>
      <w:kern w:val="0"/>
      <w:sz w:val="18"/>
      <w:szCs w:val="18"/>
    </w:rPr>
  </w:style>
  <w:style w:type="paragraph" w:customStyle="1" w:styleId="98">
    <w:name w:val="释义"/>
    <w:basedOn w:val="1"/>
    <w:qFormat/>
    <w:uiPriority w:val="0"/>
    <w:pPr>
      <w:spacing w:line="360" w:lineRule="auto"/>
      <w:ind w:left="2339" w:hanging="2339" w:hangingChars="1114"/>
      <w:jc w:val="left"/>
      <w:textAlignment w:val="auto"/>
    </w:pPr>
    <w:rPr>
      <w:rFonts w:ascii="宋体" w:hAnsi="宋体" w:cs="宋体"/>
      <w:szCs w:val="20"/>
    </w:rPr>
  </w:style>
  <w:style w:type="paragraph" w:customStyle="1" w:styleId="99">
    <w:name w:val="Char Char Char Char Char Char Char Char Char Char Char Char Char1"/>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100">
    <w:name w:val="Char2"/>
    <w:basedOn w:val="1"/>
    <w:qFormat/>
    <w:uiPriority w:val="0"/>
    <w:pPr>
      <w:adjustRightInd/>
      <w:spacing w:line="240" w:lineRule="auto"/>
      <w:textAlignment w:val="auto"/>
    </w:pPr>
  </w:style>
  <w:style w:type="paragraph" w:customStyle="1" w:styleId="101">
    <w:name w:val="Char Char Char1 Char Char Char Char Char Char Char"/>
    <w:basedOn w:val="1"/>
    <w:qFormat/>
    <w:uiPriority w:val="0"/>
    <w:pPr>
      <w:adjustRightInd/>
      <w:spacing w:line="240" w:lineRule="auto"/>
      <w:textAlignment w:val="auto"/>
    </w:pPr>
    <w:rPr>
      <w:sz w:val="24"/>
    </w:rPr>
  </w:style>
  <w:style w:type="paragraph" w:customStyle="1" w:styleId="102">
    <w:name w:val="样式1"/>
    <w:basedOn w:val="1"/>
    <w:qFormat/>
    <w:uiPriority w:val="0"/>
    <w:pPr>
      <w:adjustRightInd/>
      <w:spacing w:line="360" w:lineRule="auto"/>
      <w:ind w:firstLine="422" w:firstLineChars="200"/>
      <w:textAlignment w:val="auto"/>
    </w:pPr>
  </w:style>
  <w:style w:type="paragraph" w:customStyle="1" w:styleId="103">
    <w:name w:val="样式 正文样式 + 字距调整1.5 磅1"/>
    <w:basedOn w:val="1"/>
    <w:qFormat/>
    <w:uiPriority w:val="0"/>
  </w:style>
  <w:style w:type="paragraph" w:customStyle="1" w:styleId="104">
    <w:name w:val="Char Char Char Char Char Char Char Char Char Char Char Char Char Char Char Carattere Carattere Char Char Carattere Carattere Char Char Char Char Char Char Carattere Carattere Char Char Char Char Char Char"/>
    <w:basedOn w:val="1"/>
    <w:qFormat/>
    <w:uiPriority w:val="0"/>
    <w:pPr>
      <w:adjustRightInd/>
      <w:spacing w:line="240" w:lineRule="auto"/>
      <w:textAlignment w:val="auto"/>
    </w:pPr>
    <w:rPr>
      <w:sz w:val="24"/>
    </w:rPr>
  </w:style>
  <w:style w:type="paragraph" w:customStyle="1" w:styleId="105">
    <w:name w:val="招募说明书正文"/>
    <w:basedOn w:val="28"/>
    <w:next w:val="28"/>
    <w:qFormat/>
    <w:uiPriority w:val="0"/>
    <w:pPr>
      <w:adjustRightInd/>
      <w:spacing w:after="0" w:line="360" w:lineRule="auto"/>
      <w:ind w:left="0" w:leftChars="0" w:firstLine="200"/>
      <w:textAlignment w:val="auto"/>
    </w:pPr>
    <w:rPr>
      <w:rFonts w:cs="宋体"/>
      <w:kern w:val="0"/>
      <w:szCs w:val="21"/>
    </w:rPr>
  </w:style>
  <w:style w:type="paragraph" w:customStyle="1" w:styleId="106">
    <w:name w:val="Char Char Char Char Char Char Char"/>
    <w:basedOn w:val="1"/>
    <w:qFormat/>
    <w:uiPriority w:val="0"/>
    <w:pPr>
      <w:tabs>
        <w:tab w:val="left" w:pos="360"/>
      </w:tabs>
      <w:adjustRightInd/>
      <w:spacing w:line="240" w:lineRule="auto"/>
      <w:ind w:firstLine="422"/>
      <w:textAlignment w:val="auto"/>
    </w:pPr>
    <w:rPr>
      <w:rFonts w:ascii="仿宋_GB2312" w:hAnsi="宋体" w:eastAsia="仿宋_GB2312"/>
      <w:b/>
      <w:kern w:val="0"/>
      <w:sz w:val="24"/>
    </w:rPr>
  </w:style>
  <w:style w:type="paragraph" w:customStyle="1" w:styleId="107">
    <w:name w:val="Char Char Char1"/>
    <w:basedOn w:val="1"/>
    <w:qFormat/>
    <w:uiPriority w:val="0"/>
    <w:pPr>
      <w:adjustRightInd/>
      <w:spacing w:line="240" w:lineRule="auto"/>
      <w:textAlignment w:val="auto"/>
    </w:pPr>
    <w:rPr>
      <w:sz w:val="24"/>
    </w:rPr>
  </w:style>
  <w:style w:type="paragraph" w:customStyle="1" w:styleId="108">
    <w:name w:val="default"/>
    <w:basedOn w:val="1"/>
    <w:qFormat/>
    <w:uiPriority w:val="0"/>
    <w:pPr>
      <w:widowControl/>
      <w:adjustRightInd/>
      <w:spacing w:before="100" w:beforeAutospacing="1" w:after="100" w:afterAutospacing="1" w:line="240" w:lineRule="auto"/>
      <w:jc w:val="left"/>
      <w:textAlignment w:val="auto"/>
    </w:pPr>
    <w:rPr>
      <w:rFonts w:ascii="宋体" w:hAnsi="宋体" w:cs="宋体"/>
      <w:kern w:val="0"/>
      <w:sz w:val="24"/>
    </w:rPr>
  </w:style>
  <w:style w:type="paragraph" w:customStyle="1" w:styleId="109">
    <w:name w:val="_Style 108"/>
    <w:semiHidden/>
    <w:qFormat/>
    <w:uiPriority w:val="99"/>
    <w:rPr>
      <w:rFonts w:ascii="Times New Roman" w:hAnsi="Times New Roman" w:eastAsia="宋体" w:cs="Times New Roman"/>
      <w:kern w:val="2"/>
      <w:sz w:val="21"/>
      <w:szCs w:val="24"/>
      <w:lang w:val="en-US" w:eastAsia="zh-CN" w:bidi="ar-SA"/>
    </w:rPr>
  </w:style>
  <w:style w:type="paragraph" w:customStyle="1" w:styleId="110">
    <w:name w:val="Char Char Char Char Char Char Char Char Char Char Char Char Char Char Char Carattere Carattere Char Char Carattere Carattere Char Char Char Char Char Char"/>
    <w:basedOn w:val="1"/>
    <w:qFormat/>
    <w:uiPriority w:val="0"/>
    <w:pPr>
      <w:adjustRightInd/>
      <w:spacing w:line="240" w:lineRule="auto"/>
      <w:textAlignment w:val="auto"/>
    </w:pPr>
    <w:rPr>
      <w:sz w:val="24"/>
    </w:rPr>
  </w:style>
  <w:style w:type="paragraph" w:customStyle="1" w:styleId="111">
    <w:name w:val="默认段落字体 Para Char Char Char Char Char Char Char"/>
    <w:basedOn w:val="1"/>
    <w:qFormat/>
    <w:uiPriority w:val="0"/>
    <w:pPr>
      <w:widowControl/>
      <w:adjustRightInd/>
      <w:spacing w:line="240" w:lineRule="auto"/>
      <w:jc w:val="left"/>
      <w:textAlignment w:val="auto"/>
    </w:pPr>
    <w:rPr>
      <w:rFonts w:ascii="Tahoma" w:hAnsi="Tahoma"/>
      <w:color w:val="000000"/>
      <w:kern w:val="0"/>
      <w:sz w:val="24"/>
      <w:szCs w:val="20"/>
    </w:rPr>
  </w:style>
  <w:style w:type="paragraph" w:customStyle="1" w:styleId="112">
    <w:name w:val="c_"/>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13">
    <w:name w:val="Normal_0a6eed05-0d19-45a3-9796-18ddb745b9ff"/>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header" Target="header2.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118</Pages>
  <Words>98461</Words>
  <Characters>100860</Characters>
  <Lines>2026</Lines>
  <Paragraphs>1613</Paragraphs>
  <TotalTime>0</TotalTime>
  <ScaleCrop>false</ScaleCrop>
  <LinksUpToDate>false</LinksUpToDate>
  <CharactersWithSpaces>101094</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2022-08-17T23:27:00Z</dcterms:created>
  <dc:creator>陈亮羽</dc:creator>
  <cp:lastModifiedBy>chenjy814</cp:lastModifiedBy>
  <cp:lastPrinted>2020-08-16T01:22:00Z</cp:lastPrinted>
  <dcterms:modified xsi:type="dcterms:W3CDTF">2026-09-18T16:09:16Z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DD4A230981D04D65B428F500CD39160C</vt:lpwstr>
  </property>
</Properties>
</file>