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B2B6C">
      <w:pPr>
        <w:widowControl/>
        <w:jc w:val="center"/>
        <w:rPr>
          <w:rFonts w:cs="宋体" w:asciiTheme="minorEastAsia" w:hAnsiTheme="minorEastAsia" w:eastAsiaTheme="minorEastAsia"/>
          <w:b/>
          <w:kern w:val="0"/>
          <w:sz w:val="30"/>
          <w:szCs w:val="30"/>
        </w:rPr>
      </w:pPr>
      <w:r>
        <w:rPr>
          <w:rFonts w:hint="eastAsia" w:cs="宋体" w:asciiTheme="minorEastAsia" w:hAnsiTheme="minorEastAsia" w:eastAsiaTheme="minorEastAsia"/>
          <w:b/>
          <w:kern w:val="0"/>
          <w:sz w:val="30"/>
          <w:szCs w:val="30"/>
          <w:lang w:eastAsia="zh-CN"/>
        </w:rPr>
        <w:t>博时中证机器人交易型开放式指数证券投资基金开放日常申购、赎回业务的公告</w:t>
      </w:r>
    </w:p>
    <w:p w14:paraId="23E7A819">
      <w:pPr>
        <w:spacing w:line="560" w:lineRule="exact"/>
        <w:jc w:val="center"/>
        <w:rPr>
          <w:rFonts w:hint="eastAsia" w:asciiTheme="minorEastAsia" w:hAnsiTheme="minorEastAsia" w:eastAsiaTheme="minorEastAsia"/>
          <w:color w:val="000000"/>
          <w:sz w:val="24"/>
          <w:szCs w:val="24"/>
          <w:highlight w:val="yellow"/>
          <w:lang w:eastAsia="zh-CN"/>
        </w:rPr>
      </w:pPr>
      <w:r>
        <w:rPr>
          <w:rFonts w:asciiTheme="minorEastAsia" w:hAnsiTheme="minorEastAsia" w:eastAsiaTheme="minorEastAsia"/>
          <w:color w:val="000000"/>
          <w:sz w:val="24"/>
          <w:szCs w:val="24"/>
        </w:rPr>
        <w:t>公告送出日期：2026年10月12日</w:t>
      </w:r>
    </w:p>
    <w:p w14:paraId="26024B98">
      <w:pPr>
        <w:pStyle w:val="2"/>
        <w:spacing w:line="560" w:lineRule="exact"/>
        <w:rPr>
          <w:rFonts w:asciiTheme="minorEastAsia" w:hAnsiTheme="minorEastAsia" w:eastAsiaTheme="minorEastAsia"/>
          <w:bCs w:val="0"/>
          <w:color w:val="000000"/>
          <w:sz w:val="24"/>
          <w:szCs w:val="24"/>
        </w:rPr>
      </w:pPr>
      <w:bookmarkStart w:id="0" w:name="_Toc275961395"/>
      <w:r>
        <w:rPr>
          <w:rFonts w:asciiTheme="minorEastAsia" w:hAnsiTheme="minorEastAsia" w:eastAsiaTheme="minorEastAsia"/>
          <w:bCs w:val="0"/>
          <w:color w:val="000000"/>
          <w:sz w:val="24"/>
          <w:szCs w:val="24"/>
        </w:rPr>
        <w:t>1 公告基本信息</w:t>
      </w:r>
      <w:bookmarkEnd w:id="0"/>
    </w:p>
    <w:tbl>
      <w:tblPr>
        <w:tblStyle w:val="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2"/>
        <w:gridCol w:w="6137"/>
      </w:tblGrid>
      <w:tr w14:paraId="06542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343E7EAF">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基金名称</w:t>
            </w:r>
          </w:p>
        </w:tc>
        <w:tc>
          <w:tcPr>
            <w:tcW w:w="6137" w:type="dxa"/>
            <w:vAlign w:val="center"/>
          </w:tcPr>
          <w:p w14:paraId="7B0E142A">
            <w:pPr>
              <w:spacing w:line="360" w:lineRule="auto"/>
              <w:rPr>
                <w:rFonts w:hint="default" w:asciiTheme="minorEastAsia" w:hAnsiTheme="minorEastAsia" w:eastAsiaTheme="minorEastAsia"/>
                <w:sz w:val="24"/>
                <w:szCs w:val="24"/>
                <w:lang w:eastAsia="zh-CN"/>
              </w:rPr>
            </w:pPr>
            <w:r>
              <w:rPr>
                <w:rFonts w:hint="default" w:asciiTheme="minorEastAsia" w:hAnsiTheme="minorEastAsia" w:eastAsiaTheme="minorEastAsia"/>
                <w:sz w:val="24"/>
                <w:szCs w:val="24"/>
              </w:rPr>
              <w:t>博时中证机器人交易型开放式指数证券投资基金</w:t>
            </w:r>
          </w:p>
        </w:tc>
      </w:tr>
      <w:tr w14:paraId="0160D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122ED448">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基金简称</w:t>
            </w:r>
          </w:p>
        </w:tc>
        <w:tc>
          <w:tcPr>
            <w:tcW w:w="6137" w:type="dxa"/>
            <w:vAlign w:val="center"/>
          </w:tcPr>
          <w:p w14:paraId="4DD749F8">
            <w:pPr>
              <w:spacing w:line="360" w:lineRule="auto"/>
              <w:rPr>
                <w:rFonts w:hint="default" w:asciiTheme="minorEastAsia" w:hAnsiTheme="minorEastAsia" w:eastAsiaTheme="minorEastAsia"/>
                <w:sz w:val="24"/>
                <w:szCs w:val="24"/>
                <w:lang w:eastAsia="zh-CN"/>
              </w:rPr>
            </w:pPr>
            <w:r>
              <w:rPr>
                <w:rFonts w:hint="default" w:asciiTheme="minorEastAsia" w:hAnsiTheme="minorEastAsia" w:eastAsiaTheme="minorEastAsia"/>
                <w:sz w:val="24"/>
                <w:szCs w:val="24"/>
              </w:rPr>
              <w:t>博时中证机器人ETF</w:t>
            </w:r>
          </w:p>
        </w:tc>
      </w:tr>
      <w:tr w14:paraId="78EC3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5BD58D07">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基金主代码</w:t>
            </w:r>
          </w:p>
        </w:tc>
        <w:tc>
          <w:tcPr>
            <w:tcW w:w="6137" w:type="dxa"/>
            <w:vAlign w:val="center"/>
          </w:tcPr>
          <w:p w14:paraId="74C431BE">
            <w:pPr>
              <w:spacing w:line="360" w:lineRule="auto"/>
              <w:rPr>
                <w:rFonts w:hint="default" w:asciiTheme="minorEastAsia" w:hAnsiTheme="minorEastAsia" w:eastAsiaTheme="minorEastAsia"/>
                <w:sz w:val="24"/>
                <w:szCs w:val="24"/>
                <w:lang w:val="en-US" w:eastAsia="zh-CN"/>
              </w:rPr>
            </w:pPr>
            <w:r>
              <w:rPr>
                <w:rFonts w:asciiTheme="minorEastAsia" w:hAnsiTheme="minorEastAsia" w:eastAsiaTheme="minorEastAsia"/>
                <w:sz w:val="24"/>
                <w:szCs w:val="24"/>
              </w:rPr>
              <w:t>158037</w:t>
            </w:r>
          </w:p>
        </w:tc>
      </w:tr>
      <w:tr w14:paraId="1F5BA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6E12564A">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基金运作方式</w:t>
            </w:r>
          </w:p>
        </w:tc>
        <w:tc>
          <w:tcPr>
            <w:tcW w:w="6137" w:type="dxa"/>
            <w:vAlign w:val="center"/>
          </w:tcPr>
          <w:p w14:paraId="46D2D9FC">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交易型开放式</w:t>
            </w:r>
          </w:p>
        </w:tc>
      </w:tr>
      <w:tr w14:paraId="212A1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5877EDE1">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基金合同生效日</w:t>
            </w:r>
          </w:p>
        </w:tc>
        <w:tc>
          <w:tcPr>
            <w:tcW w:w="6137" w:type="dxa"/>
            <w:vAlign w:val="center"/>
          </w:tcPr>
          <w:p w14:paraId="1A42EDBE">
            <w:pPr>
              <w:spacing w:line="360" w:lineRule="auto"/>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2026年9月30日</w:t>
            </w:r>
          </w:p>
        </w:tc>
      </w:tr>
      <w:tr w14:paraId="5024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4F4B7A2F">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基金管理人名称</w:t>
            </w:r>
          </w:p>
        </w:tc>
        <w:tc>
          <w:tcPr>
            <w:tcW w:w="6137" w:type="dxa"/>
            <w:vAlign w:val="center"/>
          </w:tcPr>
          <w:p w14:paraId="5B2CFE8D">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博时基金管理有限公司</w:t>
            </w:r>
          </w:p>
        </w:tc>
      </w:tr>
      <w:tr w14:paraId="49CAF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1B36C3DF">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基金托管人名称</w:t>
            </w:r>
          </w:p>
        </w:tc>
        <w:tc>
          <w:tcPr>
            <w:tcW w:w="6137" w:type="dxa"/>
            <w:vAlign w:val="center"/>
          </w:tcPr>
          <w:p w14:paraId="663AF91E">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宁波银行股份有限公司</w:t>
            </w:r>
          </w:p>
        </w:tc>
      </w:tr>
      <w:tr w14:paraId="3FAE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0CC82EC7">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基金注册登记机构名称</w:t>
            </w:r>
          </w:p>
        </w:tc>
        <w:tc>
          <w:tcPr>
            <w:tcW w:w="6137" w:type="dxa"/>
            <w:vAlign w:val="center"/>
          </w:tcPr>
          <w:p w14:paraId="2646407F">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中国证券登记结算有限责任公司</w:t>
            </w:r>
          </w:p>
        </w:tc>
      </w:tr>
      <w:tr w14:paraId="520E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3502" w:type="dxa"/>
            <w:vAlign w:val="center"/>
          </w:tcPr>
          <w:p w14:paraId="7FEF6A24">
            <w:pPr>
              <w:spacing w:line="360" w:lineRule="auto"/>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公告依据</w:t>
            </w:r>
          </w:p>
        </w:tc>
        <w:tc>
          <w:tcPr>
            <w:tcW w:w="6137" w:type="dxa"/>
            <w:vAlign w:val="center"/>
          </w:tcPr>
          <w:p w14:paraId="1F66C19D">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《博时中证机器人交易型开放式指数证券投资基金基金合同》、《博时中证机器人交易型开放式指数证券投资基金招募说明书》等</w:t>
            </w:r>
          </w:p>
        </w:tc>
      </w:tr>
      <w:tr w14:paraId="46288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26E83AF1">
            <w:pPr>
              <w:spacing w:line="360" w:lineRule="auto"/>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t>申购起始日</w:t>
            </w:r>
          </w:p>
        </w:tc>
        <w:tc>
          <w:tcPr>
            <w:tcW w:w="6137" w:type="dxa"/>
            <w:vAlign w:val="center"/>
          </w:tcPr>
          <w:p w14:paraId="350C768C">
            <w:pPr>
              <w:spacing w:line="360" w:lineRule="auto"/>
              <w:rPr>
                <w:rFonts w:hint="eastAsia" w:asciiTheme="minorEastAsia" w:hAnsiTheme="minorEastAsia" w:eastAsiaTheme="minorEastAsia"/>
                <w:sz w:val="24"/>
                <w:szCs w:val="24"/>
                <w:highlight w:val="none"/>
                <w:lang w:eastAsia="zh-CN"/>
              </w:rPr>
            </w:pPr>
            <w:r>
              <w:rPr>
                <w:rFonts w:hint="eastAsia" w:asciiTheme="minorEastAsia" w:hAnsiTheme="minorEastAsia" w:eastAsiaTheme="minorEastAsia"/>
                <w:sz w:val="24"/>
                <w:szCs w:val="24"/>
                <w:highlight w:val="none"/>
                <w:lang w:eastAsia="zh-CN"/>
              </w:rPr>
              <w:t>2026年10月15日</w:t>
            </w:r>
          </w:p>
        </w:tc>
      </w:tr>
      <w:tr w14:paraId="589D2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02" w:type="dxa"/>
            <w:vAlign w:val="center"/>
          </w:tcPr>
          <w:p w14:paraId="2DA46AC9">
            <w:pPr>
              <w:spacing w:line="360" w:lineRule="auto"/>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highlight w:val="none"/>
              </w:rPr>
              <w:t>赎回起始日</w:t>
            </w:r>
          </w:p>
        </w:tc>
        <w:tc>
          <w:tcPr>
            <w:tcW w:w="6137" w:type="dxa"/>
            <w:vAlign w:val="center"/>
          </w:tcPr>
          <w:p w14:paraId="70638C92">
            <w:pPr>
              <w:spacing w:line="360" w:lineRule="auto"/>
              <w:rPr>
                <w:rFonts w:hint="default" w:asciiTheme="minorEastAsia" w:hAnsiTheme="minorEastAsia" w:eastAsiaTheme="minorEastAsia"/>
                <w:sz w:val="24"/>
                <w:szCs w:val="24"/>
                <w:highlight w:val="none"/>
                <w:lang w:val="en-US" w:eastAsia="zh-CN"/>
              </w:rPr>
            </w:pPr>
            <w:r>
              <w:rPr>
                <w:rFonts w:hint="eastAsia" w:asciiTheme="minorEastAsia" w:hAnsiTheme="minorEastAsia" w:eastAsiaTheme="minorEastAsia"/>
                <w:sz w:val="24"/>
                <w:szCs w:val="24"/>
                <w:highlight w:val="none"/>
                <w:lang w:eastAsia="zh-CN"/>
              </w:rPr>
              <w:t>2026年10月15日</w:t>
            </w:r>
          </w:p>
        </w:tc>
      </w:tr>
    </w:tbl>
    <w:p w14:paraId="0E5D8FD5">
      <w:pPr>
        <w:spacing w:line="360" w:lineRule="auto"/>
        <w:rPr>
          <w:rFonts w:asciiTheme="minorEastAsia" w:hAnsiTheme="minorEastAsia" w:eastAsiaTheme="minorEastAsia"/>
          <w:color w:val="000000"/>
          <w:sz w:val="24"/>
          <w:szCs w:val="24"/>
          <w:highlight w:val="none"/>
        </w:rPr>
      </w:pPr>
      <w:r>
        <w:rPr>
          <w:rFonts w:asciiTheme="minorEastAsia" w:hAnsiTheme="minorEastAsia" w:eastAsiaTheme="minorEastAsia"/>
          <w:color w:val="000000"/>
          <w:kern w:val="0"/>
          <w:sz w:val="24"/>
          <w:szCs w:val="24"/>
          <w:highlight w:val="none"/>
        </w:rPr>
        <w:t>注：本基金场内简称为“机器人ETF博时”。本基金将自2026年10月15日起在深圳证券交易所上市交易。</w:t>
      </w:r>
    </w:p>
    <w:p w14:paraId="3C9B645F">
      <w:pPr>
        <w:pStyle w:val="2"/>
        <w:spacing w:line="560" w:lineRule="exact"/>
        <w:rPr>
          <w:rFonts w:asciiTheme="minorEastAsia" w:hAnsiTheme="minorEastAsia" w:eastAsiaTheme="minorEastAsia"/>
          <w:bCs w:val="0"/>
          <w:color w:val="000000"/>
          <w:sz w:val="24"/>
          <w:szCs w:val="24"/>
        </w:rPr>
      </w:pPr>
      <w:bookmarkStart w:id="1" w:name="_Toc275961396"/>
      <w:r>
        <w:rPr>
          <w:rFonts w:asciiTheme="minorEastAsia" w:hAnsiTheme="minorEastAsia" w:eastAsiaTheme="minorEastAsia"/>
          <w:bCs w:val="0"/>
          <w:color w:val="000000"/>
          <w:sz w:val="24"/>
          <w:szCs w:val="24"/>
        </w:rPr>
        <w:t>2 日常申购、赎回业务的办理时间</w:t>
      </w:r>
      <w:bookmarkEnd w:id="1"/>
    </w:p>
    <w:p w14:paraId="58204F2F">
      <w:pPr>
        <w:spacing w:line="360" w:lineRule="auto"/>
        <w:ind w:firstLine="480" w:firstLineChars="200"/>
        <w:rPr>
          <w:rFonts w:hint="eastAsia" w:cs="Times New Roman" w:asciiTheme="minorEastAsia" w:hAnsiTheme="minorEastAsia" w:eastAsiaTheme="minorEastAsia"/>
          <w:color w:val="000000"/>
          <w:sz w:val="24"/>
          <w:szCs w:val="24"/>
        </w:rPr>
      </w:pPr>
      <w:bookmarkStart w:id="2" w:name="_Toc275961397"/>
      <w:r>
        <w:rPr>
          <w:rFonts w:hint="eastAsia" w:cs="Times New Roman" w:asciiTheme="minorEastAsia" w:hAnsiTheme="minorEastAsia" w:eastAsiaTheme="minorEastAsia"/>
          <w:color w:val="000000"/>
          <w:sz w:val="24"/>
          <w:szCs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78D0A28C">
      <w:pPr>
        <w:spacing w:line="360" w:lineRule="auto"/>
        <w:ind w:firstLine="480" w:firstLineChars="200"/>
        <w:rPr>
          <w:rFonts w:hint="eastAsia" w:cs="Times New Roman" w:asciiTheme="minorEastAsia" w:hAnsiTheme="minorEastAsia" w:eastAsiaTheme="minorEastAsia"/>
          <w:color w:val="000000"/>
          <w:sz w:val="24"/>
          <w:szCs w:val="24"/>
        </w:rPr>
      </w:pPr>
      <w:r>
        <w:rPr>
          <w:rFonts w:hint="eastAsia" w:cs="Times New Roman" w:asciiTheme="minorEastAsia" w:hAnsiTheme="minorEastAsia" w:eastAsiaTheme="minorEastAsia"/>
          <w:color w:val="000000"/>
          <w:sz w:val="24"/>
          <w:szCs w:val="24"/>
        </w:rPr>
        <w:t>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w:t>
      </w:r>
      <w:r>
        <w:rPr>
          <w:rFonts w:hint="eastAsia" w:cs="Times New Roman" w:asciiTheme="minorEastAsia" w:hAnsiTheme="minorEastAsia" w:eastAsiaTheme="minorEastAsia"/>
          <w:color w:val="000000"/>
          <w:sz w:val="24"/>
          <w:szCs w:val="24"/>
          <w:lang w:eastAsia="zh-CN"/>
        </w:rPr>
        <w:t>（</w:t>
      </w:r>
      <w:r>
        <w:rPr>
          <w:rFonts w:hint="eastAsia" w:cs="Times New Roman" w:asciiTheme="minorEastAsia" w:hAnsiTheme="minorEastAsia" w:eastAsiaTheme="minorEastAsia"/>
          <w:color w:val="000000"/>
          <w:sz w:val="24"/>
          <w:szCs w:val="24"/>
          <w:lang w:val="en-US" w:eastAsia="zh-CN"/>
        </w:rPr>
        <w:t>以下简称“</w:t>
      </w:r>
      <w:r>
        <w:rPr>
          <w:rFonts w:hint="eastAsia" w:cs="Times New Roman" w:asciiTheme="minorEastAsia" w:hAnsiTheme="minorEastAsia" w:eastAsiaTheme="minorEastAsia"/>
          <w:color w:val="000000"/>
          <w:sz w:val="24"/>
          <w:szCs w:val="24"/>
        </w:rPr>
        <w:t>《信息披露办法》</w:t>
      </w:r>
      <w:r>
        <w:rPr>
          <w:rFonts w:hint="eastAsia" w:cs="Times New Roman" w:asciiTheme="minorEastAsia" w:hAnsiTheme="minorEastAsia" w:eastAsiaTheme="minorEastAsia"/>
          <w:color w:val="000000"/>
          <w:sz w:val="24"/>
          <w:szCs w:val="24"/>
          <w:lang w:val="en-US" w:eastAsia="zh-CN"/>
        </w:rPr>
        <w:t>”</w:t>
      </w:r>
      <w:r>
        <w:rPr>
          <w:rFonts w:hint="eastAsia" w:cs="Times New Roman" w:asciiTheme="minorEastAsia" w:hAnsiTheme="minorEastAsia" w:eastAsiaTheme="minorEastAsia"/>
          <w:color w:val="000000"/>
          <w:sz w:val="24"/>
          <w:szCs w:val="24"/>
          <w:lang w:eastAsia="zh-CN"/>
        </w:rPr>
        <w:t>）</w:t>
      </w:r>
      <w:r>
        <w:rPr>
          <w:rFonts w:hint="eastAsia" w:cs="Times New Roman" w:asciiTheme="minorEastAsia" w:hAnsiTheme="minorEastAsia" w:eastAsiaTheme="minorEastAsia"/>
          <w:color w:val="000000"/>
          <w:sz w:val="24"/>
          <w:szCs w:val="24"/>
        </w:rPr>
        <w:t>的有关规定在规定媒介上公告。</w:t>
      </w:r>
    </w:p>
    <w:p w14:paraId="3863D884">
      <w:pPr>
        <w:pStyle w:val="2"/>
        <w:spacing w:line="560" w:lineRule="exact"/>
        <w:rPr>
          <w:rFonts w:asciiTheme="minorEastAsia" w:hAnsiTheme="minorEastAsia" w:eastAsiaTheme="minorEastAsia"/>
          <w:bCs w:val="0"/>
          <w:color w:val="000000"/>
          <w:sz w:val="24"/>
          <w:szCs w:val="24"/>
        </w:rPr>
      </w:pPr>
      <w:r>
        <w:rPr>
          <w:rFonts w:asciiTheme="minorEastAsia" w:hAnsiTheme="minorEastAsia" w:eastAsiaTheme="minorEastAsia"/>
          <w:bCs w:val="0"/>
          <w:color w:val="000000"/>
          <w:sz w:val="24"/>
          <w:szCs w:val="24"/>
        </w:rPr>
        <w:t>3 日常申购业务</w:t>
      </w:r>
      <w:bookmarkEnd w:id="2"/>
    </w:p>
    <w:p w14:paraId="6AAECC02">
      <w:pPr>
        <w:spacing w:line="560" w:lineRule="exact"/>
        <w:rPr>
          <w:rFonts w:asciiTheme="minorEastAsia" w:hAnsiTheme="minorEastAsia" w:eastAsiaTheme="minorEastAsia"/>
          <w:b/>
          <w:color w:val="000000"/>
          <w:sz w:val="24"/>
          <w:szCs w:val="24"/>
        </w:rPr>
      </w:pPr>
      <w:r>
        <w:rPr>
          <w:rFonts w:asciiTheme="minorEastAsia" w:hAnsiTheme="minorEastAsia" w:eastAsiaTheme="minorEastAsia"/>
          <w:b/>
          <w:color w:val="000000"/>
          <w:sz w:val="24"/>
          <w:szCs w:val="24"/>
        </w:rPr>
        <w:t>3.1 申购</w:t>
      </w:r>
      <w:r>
        <w:rPr>
          <w:rFonts w:hint="eastAsia" w:asciiTheme="minorEastAsia" w:hAnsiTheme="minorEastAsia" w:eastAsiaTheme="minorEastAsia"/>
          <w:b/>
          <w:color w:val="000000"/>
          <w:sz w:val="24"/>
          <w:szCs w:val="24"/>
        </w:rPr>
        <w:t>份额</w:t>
      </w:r>
      <w:r>
        <w:rPr>
          <w:rFonts w:asciiTheme="minorEastAsia" w:hAnsiTheme="minorEastAsia" w:eastAsiaTheme="minorEastAsia"/>
          <w:b/>
          <w:color w:val="000000"/>
          <w:sz w:val="24"/>
          <w:szCs w:val="24"/>
        </w:rPr>
        <w:t>限制</w:t>
      </w:r>
    </w:p>
    <w:p w14:paraId="535709E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（1）投资者申购的基金份额需为最小申购单位的整数倍。</w:t>
      </w:r>
    </w:p>
    <w:p w14:paraId="0C00F6AC">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本基金的最小申购单位为150万份。基金管理人可根据基金运作情况、市场变化以及投资者需求等因素对基金的最小申购单位进行调整，并在调整实施前依照《信息披露办法》的有关规定在规定媒介公告。</w:t>
      </w:r>
    </w:p>
    <w:p w14:paraId="35582228">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（2）除非证券交易所另有规定，本基金场内申购暂不设置当日申购份额上限、交易账户最低基金份额余额、单个投资人累计持有的基金份额上限。具体规定详见申购赎回清单。</w:t>
      </w:r>
    </w:p>
    <w:p w14:paraId="00034141">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lang w:eastAsia="zh-CN"/>
        </w:rPr>
        <w:t>）当接受申购申请对存量基金份额持有人利益构成潜在重大不利影响时，基金管理人应当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051D8ED2">
      <w:pPr>
        <w:spacing w:line="360" w:lineRule="auto"/>
        <w:ind w:firstLine="480" w:firstLineChars="200"/>
        <w:rPr>
          <w:rFonts w:hint="eastAsia" w:asciiTheme="minorEastAsia" w:hAnsiTheme="minorEastAsia" w:eastAsiaTheme="minorEastAsia"/>
          <w:b w:val="0"/>
          <w:color w:val="000000"/>
          <w:sz w:val="24"/>
          <w:szCs w:val="24"/>
        </w:rPr>
      </w:pPr>
      <w:r>
        <w:rPr>
          <w:rFonts w:hint="eastAsia" w:asciiTheme="minorEastAsia" w:hAnsiTheme="minorEastAsia" w:eastAsiaTheme="minorEastAsia"/>
          <w:color w:val="000000"/>
          <w:sz w:val="24"/>
          <w:szCs w:val="24"/>
          <w:lang w:eastAsia="zh-CN"/>
        </w:rPr>
        <w:t>（4）基金管理人可根据市场情况，在不违反法律法规规定的情况下，调整上述规定数量或比例等限制。基金管理人必须在调整实施前依照《信息披露办法》的有关规定在规定媒介上公告（其中上述第2条可由基金管理人于前一交易日设定并在当日基金申购赎回清单上公布，而不必在规定媒介上公告也无需报中国证监会备案）。</w:t>
      </w:r>
    </w:p>
    <w:p w14:paraId="36CA6E23">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3</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2</w:t>
      </w:r>
      <w:r>
        <w:rPr>
          <w:rFonts w:asciiTheme="minorEastAsia" w:hAnsiTheme="minorEastAsia" w:eastAsiaTheme="minorEastAsia"/>
          <w:b/>
          <w:color w:val="000000"/>
          <w:sz w:val="24"/>
          <w:szCs w:val="24"/>
        </w:rPr>
        <w:t xml:space="preserve"> 申购费率</w:t>
      </w:r>
    </w:p>
    <w:p w14:paraId="4A745675">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（1）申购对价根据申购赎回清单和投资人申购的基金份额数额确定。申购对价是指投资人申购基金份额时应交付的组合证券、现金替代、现金差额和/或其他对价。</w:t>
      </w:r>
    </w:p>
    <w:p w14:paraId="71205744">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（2）投资人在申购基金份额时，申购赎回代理券商可按照不超过0.</w:t>
      </w:r>
      <w:r>
        <w:rPr>
          <w:rFonts w:hint="eastAsia" w:asciiTheme="minorEastAsia" w:hAnsiTheme="minorEastAsia" w:eastAsiaTheme="minorEastAsia"/>
          <w:color w:val="000000"/>
          <w:sz w:val="24"/>
          <w:szCs w:val="24"/>
          <w:lang w:val="en-US" w:eastAsia="zh-CN"/>
        </w:rPr>
        <w:t>3</w:t>
      </w:r>
      <w:r>
        <w:rPr>
          <w:rFonts w:hint="eastAsia" w:asciiTheme="minorEastAsia" w:hAnsiTheme="minorEastAsia" w:eastAsiaTheme="minorEastAsia"/>
          <w:color w:val="000000"/>
          <w:sz w:val="24"/>
          <w:szCs w:val="24"/>
        </w:rPr>
        <w:t>%的标准收取佣金，其中包含证券交易所、登记机构等收取的相关费用。</w:t>
      </w:r>
    </w:p>
    <w:p w14:paraId="14B4554A">
      <w:pPr>
        <w:pStyle w:val="2"/>
        <w:spacing w:line="560" w:lineRule="exact"/>
        <w:rPr>
          <w:rFonts w:asciiTheme="minorEastAsia" w:hAnsiTheme="minorEastAsia" w:eastAsiaTheme="minorEastAsia"/>
          <w:bCs w:val="0"/>
          <w:color w:val="000000"/>
          <w:sz w:val="24"/>
          <w:szCs w:val="24"/>
        </w:rPr>
      </w:pPr>
      <w:bookmarkStart w:id="3" w:name="_Toc275961398"/>
      <w:r>
        <w:rPr>
          <w:rFonts w:hint="eastAsia" w:asciiTheme="minorEastAsia" w:hAnsiTheme="minorEastAsia" w:eastAsiaTheme="minorEastAsia"/>
          <w:bCs w:val="0"/>
          <w:color w:val="000000"/>
          <w:sz w:val="24"/>
          <w:szCs w:val="24"/>
        </w:rPr>
        <w:t>4</w:t>
      </w:r>
      <w:r>
        <w:rPr>
          <w:rFonts w:asciiTheme="minorEastAsia" w:hAnsiTheme="minorEastAsia" w:eastAsiaTheme="minorEastAsia"/>
          <w:bCs w:val="0"/>
          <w:color w:val="000000"/>
          <w:sz w:val="24"/>
          <w:szCs w:val="24"/>
        </w:rPr>
        <w:t xml:space="preserve"> 日常赎回业务</w:t>
      </w:r>
      <w:bookmarkEnd w:id="3"/>
    </w:p>
    <w:p w14:paraId="5B699137">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1</w:t>
      </w:r>
      <w:r>
        <w:rPr>
          <w:rFonts w:asciiTheme="minorEastAsia" w:hAnsiTheme="minorEastAsia" w:eastAsiaTheme="minorEastAsia"/>
          <w:b/>
          <w:color w:val="000000"/>
          <w:sz w:val="24"/>
          <w:szCs w:val="24"/>
        </w:rPr>
        <w:t xml:space="preserve"> 赎回份额限制</w:t>
      </w:r>
    </w:p>
    <w:p w14:paraId="311E7655">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（1）投资者赎回的基金份额需为最小赎回单位的整数倍。</w:t>
      </w:r>
    </w:p>
    <w:p w14:paraId="414481D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本基金的最小赎回单位为150万份。基金管理人可根据基金运作情况、市场变化以及投资者需求等因素对基金的最小赎回单位进行调整，并在调整实施前依照《信息披露办法》的有关规定在规定媒介公告。</w:t>
      </w:r>
    </w:p>
    <w:p w14:paraId="5755C27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（2）除非证券交易所另有规定，本基金场内赎回暂不设置当日赎回份额上限、交易账户最低基金份额余额、单个投资人累计持有的基金份额上限。具体规定详见申购赎回清单。</w:t>
      </w:r>
    </w:p>
    <w:p w14:paraId="2452F8C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lang w:eastAsia="zh-CN"/>
        </w:rPr>
        <w:t>（3）基金管理人可根据市场情况，在不违反法律法规规定的情况下，调整上述规定数量或比例等限制。基金管理人必须在调整实施前依照《信息披露办法》的有关规定在规定媒介上公告（其中上述第2条可由基金管理人于前一交易日设定并在当日基金申购赎回清单上公布，而不必在规定媒介上公告也无需报中国证监会备案）。</w:t>
      </w:r>
    </w:p>
    <w:p w14:paraId="618C6AE7">
      <w:pPr>
        <w:spacing w:line="560" w:lineRule="exact"/>
        <w:ind w:firstLine="0" w:firstLineChars="0"/>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4</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2</w:t>
      </w:r>
      <w:r>
        <w:rPr>
          <w:rFonts w:asciiTheme="minorEastAsia" w:hAnsiTheme="minorEastAsia" w:eastAsiaTheme="minorEastAsia"/>
          <w:b/>
          <w:color w:val="000000"/>
          <w:sz w:val="24"/>
          <w:szCs w:val="24"/>
        </w:rPr>
        <w:t xml:space="preserve"> 赎回费率</w:t>
      </w:r>
    </w:p>
    <w:p w14:paraId="1CDAFD7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（1）赎回对价根据申购赎回清单和投资人赎回的基金份额数额确定。</w:t>
      </w:r>
      <w:r>
        <w:rPr>
          <w:rFonts w:hint="eastAsia" w:asciiTheme="minorEastAsia" w:hAnsiTheme="minorEastAsia" w:eastAsiaTheme="minorEastAsia"/>
          <w:color w:val="000000"/>
          <w:sz w:val="24"/>
          <w:szCs w:val="24"/>
        </w:rPr>
        <w:t>赎回对价是指投资人赎回基金份额时，基金管理人应交付给投资人的组合证券、现金替代、现金差额和/或其他对价。</w:t>
      </w:r>
    </w:p>
    <w:p w14:paraId="4A9921CA">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（2）投资人在赎回基金份额时，申购赎回代理券商可按照不超过0.5%的标准收取佣金，其中包含证券交易所、登记机构等收取的相关费用。</w:t>
      </w:r>
    </w:p>
    <w:p w14:paraId="0D2EED21">
      <w:pPr>
        <w:pStyle w:val="2"/>
        <w:spacing w:line="560" w:lineRule="exact"/>
        <w:rPr>
          <w:rFonts w:asciiTheme="minorEastAsia" w:hAnsiTheme="minorEastAsia" w:eastAsiaTheme="minorEastAsia"/>
          <w:bCs w:val="0"/>
          <w:color w:val="000000"/>
          <w:sz w:val="24"/>
          <w:szCs w:val="24"/>
        </w:rPr>
      </w:pPr>
      <w:r>
        <w:rPr>
          <w:rFonts w:hint="eastAsia" w:asciiTheme="minorEastAsia" w:hAnsiTheme="minorEastAsia" w:eastAsiaTheme="minorEastAsia"/>
          <w:bCs w:val="0"/>
          <w:color w:val="000000"/>
          <w:sz w:val="24"/>
          <w:szCs w:val="24"/>
        </w:rPr>
        <w:t>5</w:t>
      </w:r>
      <w:r>
        <w:rPr>
          <w:rFonts w:asciiTheme="minorEastAsia" w:hAnsiTheme="minorEastAsia" w:eastAsiaTheme="minorEastAsia"/>
          <w:bCs w:val="0"/>
          <w:color w:val="000000"/>
          <w:sz w:val="24"/>
          <w:szCs w:val="24"/>
        </w:rPr>
        <w:t xml:space="preserve"> 基金销售机构</w:t>
      </w:r>
    </w:p>
    <w:p w14:paraId="53FDAFDD">
      <w:pPr>
        <w:spacing w:line="560" w:lineRule="exact"/>
        <w:rPr>
          <w:rFonts w:asciiTheme="minorEastAsia" w:hAnsiTheme="minorEastAsia" w:eastAsiaTheme="minorEastAsia"/>
          <w:b/>
          <w:color w:val="000000"/>
          <w:sz w:val="24"/>
          <w:szCs w:val="24"/>
        </w:rPr>
      </w:pPr>
      <w:r>
        <w:rPr>
          <w:rFonts w:hint="eastAsia" w:asciiTheme="minorEastAsia" w:hAnsiTheme="minorEastAsia" w:eastAsiaTheme="minorEastAsia"/>
          <w:b/>
          <w:color w:val="000000"/>
          <w:sz w:val="24"/>
          <w:szCs w:val="24"/>
        </w:rPr>
        <w:t>5</w:t>
      </w:r>
      <w:r>
        <w:rPr>
          <w:rFonts w:asciiTheme="minorEastAsia" w:hAnsiTheme="minorEastAsia" w:eastAsiaTheme="minorEastAsia"/>
          <w:b/>
          <w:color w:val="000000"/>
          <w:sz w:val="24"/>
          <w:szCs w:val="24"/>
        </w:rPr>
        <w:t>.</w:t>
      </w:r>
      <w:r>
        <w:rPr>
          <w:rFonts w:hint="eastAsia" w:asciiTheme="minorEastAsia" w:hAnsiTheme="minorEastAsia" w:eastAsiaTheme="minorEastAsia"/>
          <w:b/>
          <w:color w:val="000000"/>
          <w:sz w:val="24"/>
          <w:szCs w:val="24"/>
        </w:rPr>
        <w:t>1</w:t>
      </w:r>
      <w:r>
        <w:rPr>
          <w:rFonts w:asciiTheme="minorEastAsia" w:hAnsiTheme="minorEastAsia" w:eastAsiaTheme="minorEastAsia"/>
          <w:b/>
          <w:color w:val="000000"/>
          <w:sz w:val="24"/>
          <w:szCs w:val="24"/>
        </w:rPr>
        <w:t xml:space="preserve"> 场内销售机构</w:t>
      </w:r>
    </w:p>
    <w:p w14:paraId="0C0E68E4">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申购赎回代办券商：</w:t>
      </w:r>
    </w:p>
    <w:p w14:paraId="6F58EA89">
      <w:pPr>
        <w:spacing w:line="360" w:lineRule="auto"/>
        <w:ind w:firstLine="480" w:firstLineChars="200"/>
        <w:rPr>
          <w:rFonts w:hint="eastAsia"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rPr>
        <w:t>财达证券股份有限公司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长城证券股份有限公司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德邦证券股份有限公司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东方财富证券股份有限公司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东莞证券股份有限公司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东海证券股份有限公司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东吴证券股份有限公司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东兴证券股份有限公司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方正证券股份有限公司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广发证券股份有限公司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国海证券股份有限公司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国金证券股份有限公司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国盛证券股份有限公司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国泰海通证券股份有限公司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国投证券股份有限公司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国信证券股份有限公司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华宝证券股份有限公司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华创证券有限责任公司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华福证券股份有限公司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华西证券股份有限公司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华鑫证券有限责任公司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江海证券有限公司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联储证券股份有限公司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瑞银证券有限责任公司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山西证券股份有限公司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申万宏源西部证券有限公司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申万宏源证券有限公司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世纪证券有限责任公司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万和证券股份有限公司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西部证券股份有限公司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西南证券股份有限公司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湘财证券股份有限公司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兴业证券股份有限公司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招商证券股份有限公司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浙商证券股份有限公司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中国国际金融股份有限公司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中国银河证券股份有限公司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中国中金财富证券有限公司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中泰证券股份有限公司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中信建投证券股份有限公司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中信证券（山东）有限责任公司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中信证券股份有限公司</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中信证券华南股份有限公司</w:t>
      </w:r>
      <w:r>
        <w:rPr>
          <w:rFonts w:hint="eastAsia" w:asciiTheme="minorEastAsia" w:hAnsiTheme="minorEastAsia" w:eastAsiaTheme="minorEastAsia"/>
          <w:color w:val="000000"/>
          <w:sz w:val="24"/>
          <w:szCs w:val="24"/>
          <w:lang w:eastAsia="zh-CN"/>
        </w:rPr>
        <w:t>。</w:t>
      </w:r>
    </w:p>
    <w:p w14:paraId="3C879E1D">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本基金管理人可根据情况变更或增减基金申购赎回代办券商，并予以公告。</w:t>
      </w:r>
    </w:p>
    <w:p w14:paraId="6D9FA1A9">
      <w:pPr>
        <w:pStyle w:val="2"/>
        <w:spacing w:line="560" w:lineRule="exact"/>
        <w:rPr>
          <w:rStyle w:val="13"/>
          <w:rFonts w:asciiTheme="minorEastAsia" w:hAnsiTheme="minorEastAsia" w:eastAsiaTheme="minorEastAsia"/>
          <w:color w:val="000000"/>
          <w:sz w:val="24"/>
          <w:szCs w:val="24"/>
        </w:rPr>
      </w:pPr>
      <w:bookmarkStart w:id="4" w:name="_Toc275961402"/>
      <w:r>
        <w:rPr>
          <w:rFonts w:hint="eastAsia" w:asciiTheme="minorEastAsia" w:hAnsiTheme="minorEastAsia" w:eastAsiaTheme="minorEastAsia"/>
          <w:bCs w:val="0"/>
          <w:color w:val="000000"/>
          <w:sz w:val="24"/>
          <w:szCs w:val="24"/>
        </w:rPr>
        <w:t>6</w:t>
      </w:r>
      <w:r>
        <w:rPr>
          <w:rFonts w:asciiTheme="minorEastAsia" w:hAnsiTheme="minorEastAsia" w:eastAsiaTheme="minorEastAsia"/>
          <w:bCs w:val="0"/>
          <w:color w:val="000000"/>
          <w:sz w:val="24"/>
          <w:szCs w:val="24"/>
        </w:rPr>
        <w:t xml:space="preserve"> 基金份额净值公告/基金收益公告的披露安排</w:t>
      </w:r>
      <w:bookmarkEnd w:id="4"/>
    </w:p>
    <w:p w14:paraId="73F243A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《基金合同》生效后，在基金份额上市交易或者开始办理基金份额申购或者赎回前，基金管理人应当至少每周在规定网站披露一次基金份额净值和基金份额累计净值。</w:t>
      </w:r>
    </w:p>
    <w:p w14:paraId="6F61622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614ED54D">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基金管理人应当在不晚于半年度和年度最后一日的次日，在规定网站披露半年度和年度最后一日的基金份额净值和基金份额累计净值。</w:t>
      </w:r>
    </w:p>
    <w:p w14:paraId="4188D9EC">
      <w:pPr>
        <w:pStyle w:val="2"/>
        <w:spacing w:line="560" w:lineRule="exact"/>
        <w:rPr>
          <w:rFonts w:asciiTheme="minorEastAsia" w:hAnsiTheme="minorEastAsia" w:eastAsiaTheme="minorEastAsia"/>
          <w:bCs w:val="0"/>
          <w:color w:val="000000"/>
          <w:sz w:val="24"/>
          <w:szCs w:val="24"/>
        </w:rPr>
      </w:pPr>
      <w:bookmarkStart w:id="5" w:name="_Toc275961403"/>
      <w:r>
        <w:rPr>
          <w:rFonts w:hint="eastAsia" w:asciiTheme="minorEastAsia" w:hAnsiTheme="minorEastAsia" w:eastAsiaTheme="minorEastAsia"/>
          <w:bCs w:val="0"/>
          <w:color w:val="000000"/>
          <w:sz w:val="24"/>
          <w:szCs w:val="24"/>
        </w:rPr>
        <w:t>7</w:t>
      </w:r>
      <w:r>
        <w:rPr>
          <w:rFonts w:asciiTheme="minorEastAsia" w:hAnsiTheme="minorEastAsia" w:eastAsiaTheme="minorEastAsia"/>
          <w:bCs w:val="0"/>
          <w:color w:val="000000"/>
          <w:sz w:val="24"/>
          <w:szCs w:val="24"/>
        </w:rPr>
        <w:t xml:space="preserve"> 其他需要提示的事项</w:t>
      </w:r>
      <w:bookmarkEnd w:id="5"/>
    </w:p>
    <w:p w14:paraId="5CE7EB12">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（1）申购与赎回的原则</w:t>
      </w:r>
    </w:p>
    <w:p w14:paraId="5B1FA4A8">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“份额申购、份额赎回”原则，即申购、赎回均以份额申请；</w:t>
      </w:r>
    </w:p>
    <w:p w14:paraId="6342EEBF">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本基金的申购对价、赎回对价包括组合证券、现金替代、现金差额和/或其他对价；</w:t>
      </w:r>
    </w:p>
    <w:p w14:paraId="5FEFDBE6">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申购、赎回申请提交后不得撤销；</w:t>
      </w:r>
    </w:p>
    <w:p w14:paraId="556D541A">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4</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申购、赎回应遵守业务规则及其他相关规定；</w:t>
      </w:r>
    </w:p>
    <w:p w14:paraId="4CB4B21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5</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办理申购、赎回业务时，应当遵循基金份额持有人利益优先原则，确保投资者的合法权益不受损害并得到公平对待。</w:t>
      </w:r>
    </w:p>
    <w:p w14:paraId="3226C8A5">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基金管理人可在不违反法律法规规定的情况下，对上述原则进行调整。基金管理人必须在新原则开始实施前依照《信息披露办法》的有关规定在规定媒介上公告。</w:t>
      </w:r>
    </w:p>
    <w:p w14:paraId="7068F6AF">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（2）申购与赎回的程序</w:t>
      </w:r>
    </w:p>
    <w:p w14:paraId="1C0B7A73">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1</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申购和赎回的申请方式</w:t>
      </w:r>
    </w:p>
    <w:p w14:paraId="7CAC5C57">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投资人必须根据申购、赎回代理券商或基金管理人规定的程序，在开放日的具体业务办理时间内提出申购或赎回的申请。</w:t>
      </w:r>
    </w:p>
    <w:p w14:paraId="76391FF2">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22809C4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2</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rPr>
        <w:t>申购和赎回申请的确认</w:t>
      </w:r>
    </w:p>
    <w:p w14:paraId="514BEB94">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7CD22E2B">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w:t>
      </w:r>
    </w:p>
    <w:p w14:paraId="0EED5D29">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在目前规则下，基金投资人申购的基金份额当日可竞价卖出，次一交易日可赎回；投资人赎回获得的股票当日可竞价卖出，次一交易日可以用于申购ETF份额。基金投资人申购的基金份额和赎回获得的股票次一交易日可通过大宗交易卖出。</w:t>
      </w:r>
    </w:p>
    <w:p w14:paraId="29252FD4">
      <w:pPr>
        <w:spacing w:line="360" w:lineRule="auto"/>
        <w:ind w:firstLine="480" w:firstLineChars="200"/>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3）申购和赎回的清算交收与登记</w:t>
      </w:r>
    </w:p>
    <w:p w14:paraId="6B8C7AF4">
      <w:pPr>
        <w:spacing w:line="360" w:lineRule="auto"/>
        <w:ind w:firstLine="480" w:firstLineChars="200"/>
        <w:rPr>
          <w:rFonts w:hint="eastAsia" w:asciiTheme="minorEastAsia" w:hAnsiTheme="minorEastAsia" w:eastAsiaTheme="minorEastAsia"/>
          <w:color w:val="000000"/>
          <w:sz w:val="24"/>
          <w:szCs w:val="24"/>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的申购和赎回的清算交收与登记规则详见招募说明书规定。本基金获批后，若深圳证券交易所和中国证券登记结算有限责任公司针对跨市场交易型开放式指数证券投资基金推出新的清算交收与登记模式并引入新的申购、赎回方式，在履行适当程序后，本基金管理人将根据新的业务规则新增或调整申购和赎回申请的确认方式，届时将发布公告予以披露并对本基金的招募说明书予以更新，无需召开基金份额持有人大会审议。</w:t>
      </w:r>
    </w:p>
    <w:p w14:paraId="35D8BF01">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（3）投资者欲了解本基金的详细情况，请致电博时一线通95105568（免长途话费）或登录本公司网站</w:t>
      </w:r>
      <w:r>
        <w:rPr>
          <w:rFonts w:hint="eastAsia" w:asciiTheme="minorEastAsia" w:hAnsiTheme="minorEastAsia" w:eastAsiaTheme="minorEastAsia"/>
          <w:color w:val="000000"/>
          <w:sz w:val="24"/>
          <w:szCs w:val="24"/>
        </w:rPr>
        <w:t>https://www.bosera.com</w:t>
      </w:r>
      <w:r>
        <w:rPr>
          <w:rFonts w:asciiTheme="minorEastAsia" w:hAnsiTheme="minorEastAsia" w:eastAsiaTheme="minorEastAsia"/>
          <w:color w:val="000000"/>
          <w:sz w:val="24"/>
          <w:szCs w:val="24"/>
        </w:rPr>
        <w:t>查阅本基金基金合同及招募说明书。</w:t>
      </w:r>
    </w:p>
    <w:p w14:paraId="11D14CDF">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（4）本基金将自2026年10月15日起在深圳证券交易所上市交易，投资者可通过本公司网站查阅本公司于2026年10月12日发布的《博时中证机器人交易型开放式指数证券投资基金上市交易公告书》了解相关信息。</w:t>
      </w:r>
    </w:p>
    <w:p w14:paraId="61164E29">
      <w:pPr>
        <w:spacing w:line="360" w:lineRule="auto"/>
        <w:ind w:firstLine="480" w:firstLineChars="200"/>
        <w:rPr>
          <w:rFonts w:asciiTheme="minorEastAsia" w:hAnsiTheme="minorEastAsia" w:eastAsiaTheme="minorEastAsia"/>
          <w:color w:val="000000"/>
          <w:sz w:val="24"/>
          <w:szCs w:val="24"/>
        </w:rPr>
      </w:pPr>
    </w:p>
    <w:p w14:paraId="5AC0D2D6">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风险提示：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w:t>
      </w:r>
      <w:r>
        <w:rPr>
          <w:rFonts w:hint="default" w:asciiTheme="minorEastAsia" w:hAnsiTheme="minorEastAsia" w:eastAsiaTheme="minorEastAsia"/>
          <w:color w:val="000000"/>
          <w:sz w:val="24"/>
          <w:szCs w:val="24"/>
        </w:rPr>
        <w:t>投资有</w:t>
      </w:r>
      <w:bookmarkStart w:id="6" w:name="_GoBack"/>
      <w:bookmarkEnd w:id="6"/>
      <w:r>
        <w:rPr>
          <w:rFonts w:hint="default" w:asciiTheme="minorEastAsia" w:hAnsiTheme="minorEastAsia" w:eastAsiaTheme="minorEastAsia"/>
          <w:color w:val="000000"/>
          <w:sz w:val="24"/>
          <w:szCs w:val="24"/>
        </w:rPr>
        <w:t>风险，敬请投资人认真阅读基金的《基金合同》、《招募说明书》和《产品资料概要》</w:t>
      </w:r>
      <w:r>
        <w:rPr>
          <w:rFonts w:hint="default" w:asciiTheme="minorEastAsia" w:hAnsiTheme="minorEastAsia" w:eastAsiaTheme="minorEastAsia"/>
          <w:color w:val="000000"/>
          <w:sz w:val="24"/>
          <w:szCs w:val="24"/>
          <w:lang w:eastAsia="zh-CN"/>
        </w:rPr>
        <w:t>等</w:t>
      </w:r>
      <w:r>
        <w:rPr>
          <w:rFonts w:asciiTheme="minorEastAsia" w:hAnsiTheme="minorEastAsia" w:eastAsiaTheme="minorEastAsia"/>
          <w:color w:val="000000"/>
          <w:kern w:val="2"/>
          <w:sz w:val="24"/>
          <w:szCs w:val="24"/>
        </w:rPr>
        <w:t>相关法律文件</w:t>
      </w:r>
      <w:r>
        <w:rPr>
          <w:rFonts w:hint="default" w:asciiTheme="minorEastAsia" w:hAnsiTheme="minorEastAsia" w:eastAsiaTheme="minorEastAsia"/>
          <w:color w:val="000000"/>
          <w:sz w:val="24"/>
          <w:szCs w:val="24"/>
        </w:rPr>
        <w:t>，并选择适合自身风险承受能力的投资品种进行投资</w:t>
      </w:r>
      <w:r>
        <w:rPr>
          <w:rFonts w:hint="default" w:asciiTheme="minorEastAsia" w:hAnsiTheme="minorEastAsia" w:eastAsiaTheme="minorEastAsia"/>
          <w:color w:val="000000"/>
          <w:sz w:val="24"/>
          <w:szCs w:val="24"/>
          <w:lang w:eastAsia="zh-CN"/>
        </w:rPr>
        <w:t>。</w:t>
      </w:r>
      <w:r>
        <w:rPr>
          <w:rFonts w:asciiTheme="minorEastAsia" w:hAnsiTheme="minorEastAsia" w:eastAsiaTheme="minorEastAsia"/>
          <w:color w:val="000000"/>
          <w:sz w:val="24"/>
          <w:szCs w:val="24"/>
        </w:rPr>
        <w:t>基金管理人提醒投资人基金投资的“买者自负”原则，在做出投资决策后，基金运营状况与基金净值变化引致的投资风险，由投资人自行负担。</w:t>
      </w:r>
    </w:p>
    <w:p w14:paraId="7FD8365E">
      <w:pPr>
        <w:spacing w:line="360" w:lineRule="auto"/>
        <w:ind w:firstLine="480" w:firstLineChars="200"/>
        <w:rPr>
          <w:rFonts w:asciiTheme="minorEastAsia" w:hAnsiTheme="minorEastAsia" w:eastAsiaTheme="minorEastAsia"/>
          <w:color w:val="000000"/>
          <w:sz w:val="24"/>
          <w:szCs w:val="24"/>
        </w:rPr>
      </w:pPr>
    </w:p>
    <w:p w14:paraId="2E356049">
      <w:pPr>
        <w:spacing w:line="360" w:lineRule="auto"/>
        <w:ind w:firstLine="480" w:firstLineChars="200"/>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t>特此公告。</w:t>
      </w:r>
    </w:p>
    <w:p w14:paraId="1AA7B3AB">
      <w:pPr>
        <w:spacing w:line="360" w:lineRule="auto"/>
        <w:ind w:firstLine="480" w:firstLineChars="200"/>
        <w:rPr>
          <w:rFonts w:asciiTheme="minorEastAsia" w:hAnsiTheme="minorEastAsia" w:eastAsiaTheme="minorEastAsia"/>
          <w:color w:val="000000"/>
          <w:sz w:val="24"/>
          <w:szCs w:val="24"/>
        </w:rPr>
      </w:pPr>
    </w:p>
    <w:p w14:paraId="39CDE8C6">
      <w:pPr>
        <w:spacing w:line="360" w:lineRule="auto"/>
        <w:jc w:val="right"/>
        <w:rPr>
          <w:rFonts w:asciiTheme="minorEastAsia" w:hAnsiTheme="minorEastAsia" w:eastAsiaTheme="minorEastAsia"/>
          <w:color w:val="000000"/>
          <w:sz w:val="24"/>
          <w:szCs w:val="24"/>
          <w:highlight w:val="none"/>
        </w:rPr>
      </w:pPr>
      <w:r>
        <w:rPr>
          <w:rFonts w:asciiTheme="minorEastAsia" w:hAnsiTheme="minorEastAsia" w:eastAsiaTheme="minorEastAsia"/>
          <w:color w:val="000000"/>
          <w:sz w:val="24"/>
          <w:szCs w:val="24"/>
        </w:rPr>
        <w:t>博</w:t>
      </w:r>
      <w:r>
        <w:rPr>
          <w:rFonts w:asciiTheme="minorEastAsia" w:hAnsiTheme="minorEastAsia" w:eastAsiaTheme="minorEastAsia"/>
          <w:color w:val="000000"/>
          <w:sz w:val="24"/>
          <w:szCs w:val="24"/>
          <w:highlight w:val="none"/>
        </w:rPr>
        <w:t>时基金管理有限公司</w:t>
      </w:r>
    </w:p>
    <w:p w14:paraId="06BB4C3A">
      <w:pPr>
        <w:spacing w:line="360" w:lineRule="auto"/>
        <w:jc w:val="right"/>
        <w:rPr>
          <w:rFonts w:hint="eastAsia" w:asciiTheme="minorEastAsia" w:hAnsiTheme="minorEastAsia" w:eastAsiaTheme="minorEastAsia"/>
          <w:color w:val="000000"/>
          <w:sz w:val="24"/>
          <w:szCs w:val="24"/>
          <w:highlight w:val="none"/>
          <w:lang w:eastAsia="zh-CN"/>
        </w:rPr>
      </w:pPr>
      <w:r>
        <w:rPr>
          <w:rFonts w:hint="eastAsia" w:asciiTheme="minorEastAsia" w:hAnsiTheme="minorEastAsia" w:eastAsiaTheme="minorEastAsia"/>
          <w:color w:val="000000"/>
          <w:sz w:val="24"/>
          <w:szCs w:val="24"/>
          <w:highlight w:val="none"/>
          <w:lang w:eastAsia="zh-CN"/>
        </w:rPr>
        <w:t>2026年10月12日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A9C"/>
    <w:rsid w:val="00010464"/>
    <w:rsid w:val="00011C60"/>
    <w:rsid w:val="00022693"/>
    <w:rsid w:val="00032098"/>
    <w:rsid w:val="00041353"/>
    <w:rsid w:val="00071294"/>
    <w:rsid w:val="00075A96"/>
    <w:rsid w:val="000A3A8C"/>
    <w:rsid w:val="000B693A"/>
    <w:rsid w:val="000F2BA6"/>
    <w:rsid w:val="00113281"/>
    <w:rsid w:val="00122706"/>
    <w:rsid w:val="0017629D"/>
    <w:rsid w:val="0019121A"/>
    <w:rsid w:val="001A4FEC"/>
    <w:rsid w:val="001B589C"/>
    <w:rsid w:val="001D24D4"/>
    <w:rsid w:val="001E12CF"/>
    <w:rsid w:val="001F380C"/>
    <w:rsid w:val="00205AF1"/>
    <w:rsid w:val="00215C39"/>
    <w:rsid w:val="00224357"/>
    <w:rsid w:val="002356CC"/>
    <w:rsid w:val="002509E8"/>
    <w:rsid w:val="002520E1"/>
    <w:rsid w:val="00267A58"/>
    <w:rsid w:val="0029245D"/>
    <w:rsid w:val="002B6AB6"/>
    <w:rsid w:val="002C6F5F"/>
    <w:rsid w:val="002D4E4E"/>
    <w:rsid w:val="002E376A"/>
    <w:rsid w:val="00305E28"/>
    <w:rsid w:val="00321CE4"/>
    <w:rsid w:val="00337F2E"/>
    <w:rsid w:val="00347C5C"/>
    <w:rsid w:val="00376C12"/>
    <w:rsid w:val="003902C4"/>
    <w:rsid w:val="003D4B88"/>
    <w:rsid w:val="00412DE1"/>
    <w:rsid w:val="00415A69"/>
    <w:rsid w:val="004420A0"/>
    <w:rsid w:val="004557FA"/>
    <w:rsid w:val="0045717D"/>
    <w:rsid w:val="00462584"/>
    <w:rsid w:val="004662BA"/>
    <w:rsid w:val="004966BA"/>
    <w:rsid w:val="004C0682"/>
    <w:rsid w:val="004D290A"/>
    <w:rsid w:val="004D6B0A"/>
    <w:rsid w:val="004E2F24"/>
    <w:rsid w:val="004E493E"/>
    <w:rsid w:val="004F517A"/>
    <w:rsid w:val="0050074D"/>
    <w:rsid w:val="00501F30"/>
    <w:rsid w:val="00503919"/>
    <w:rsid w:val="005231A0"/>
    <w:rsid w:val="00543DB7"/>
    <w:rsid w:val="0054597D"/>
    <w:rsid w:val="00570D54"/>
    <w:rsid w:val="005879F4"/>
    <w:rsid w:val="00591340"/>
    <w:rsid w:val="00592D79"/>
    <w:rsid w:val="0059628C"/>
    <w:rsid w:val="005A0BA2"/>
    <w:rsid w:val="005B4979"/>
    <w:rsid w:val="005C2730"/>
    <w:rsid w:val="005C7221"/>
    <w:rsid w:val="005D68AD"/>
    <w:rsid w:val="005E21DB"/>
    <w:rsid w:val="005E7139"/>
    <w:rsid w:val="005F10BB"/>
    <w:rsid w:val="005F6FE2"/>
    <w:rsid w:val="00622A72"/>
    <w:rsid w:val="006279F3"/>
    <w:rsid w:val="00674C14"/>
    <w:rsid w:val="006B6F63"/>
    <w:rsid w:val="006C4DEA"/>
    <w:rsid w:val="006F2E2E"/>
    <w:rsid w:val="006F64CB"/>
    <w:rsid w:val="0071564C"/>
    <w:rsid w:val="007276E0"/>
    <w:rsid w:val="00730DEB"/>
    <w:rsid w:val="0074415C"/>
    <w:rsid w:val="00752A9C"/>
    <w:rsid w:val="007759B5"/>
    <w:rsid w:val="007D0009"/>
    <w:rsid w:val="007D10CA"/>
    <w:rsid w:val="007E5C6A"/>
    <w:rsid w:val="007F2C6D"/>
    <w:rsid w:val="00803786"/>
    <w:rsid w:val="0082483B"/>
    <w:rsid w:val="0084744B"/>
    <w:rsid w:val="0088405F"/>
    <w:rsid w:val="00885086"/>
    <w:rsid w:val="00895CA3"/>
    <w:rsid w:val="008E1998"/>
    <w:rsid w:val="008E273C"/>
    <w:rsid w:val="00913B2A"/>
    <w:rsid w:val="00923E00"/>
    <w:rsid w:val="00956B0F"/>
    <w:rsid w:val="009826E1"/>
    <w:rsid w:val="00994773"/>
    <w:rsid w:val="009C627C"/>
    <w:rsid w:val="009D195A"/>
    <w:rsid w:val="009D7194"/>
    <w:rsid w:val="00A0551E"/>
    <w:rsid w:val="00A257D6"/>
    <w:rsid w:val="00A25D90"/>
    <w:rsid w:val="00A62667"/>
    <w:rsid w:val="00A62BEE"/>
    <w:rsid w:val="00A74A10"/>
    <w:rsid w:val="00A97CEA"/>
    <w:rsid w:val="00AA05EF"/>
    <w:rsid w:val="00AC5EB0"/>
    <w:rsid w:val="00AC6E8D"/>
    <w:rsid w:val="00AD513A"/>
    <w:rsid w:val="00B31FAB"/>
    <w:rsid w:val="00B65A51"/>
    <w:rsid w:val="00B70220"/>
    <w:rsid w:val="00B90CAE"/>
    <w:rsid w:val="00B91E8A"/>
    <w:rsid w:val="00B94893"/>
    <w:rsid w:val="00B955E4"/>
    <w:rsid w:val="00C11C49"/>
    <w:rsid w:val="00C65765"/>
    <w:rsid w:val="00C733C1"/>
    <w:rsid w:val="00CF4036"/>
    <w:rsid w:val="00D036D1"/>
    <w:rsid w:val="00D33A12"/>
    <w:rsid w:val="00D57B65"/>
    <w:rsid w:val="00D76587"/>
    <w:rsid w:val="00D836DB"/>
    <w:rsid w:val="00D9373C"/>
    <w:rsid w:val="00DA79B5"/>
    <w:rsid w:val="00DB16CB"/>
    <w:rsid w:val="00DC6552"/>
    <w:rsid w:val="00DD5329"/>
    <w:rsid w:val="00DD777B"/>
    <w:rsid w:val="00E038BD"/>
    <w:rsid w:val="00E50FC6"/>
    <w:rsid w:val="00E57E24"/>
    <w:rsid w:val="00E62B8E"/>
    <w:rsid w:val="00E77012"/>
    <w:rsid w:val="00E97374"/>
    <w:rsid w:val="00EB0C3F"/>
    <w:rsid w:val="00EC031E"/>
    <w:rsid w:val="00EC2196"/>
    <w:rsid w:val="00EE4694"/>
    <w:rsid w:val="00EE5969"/>
    <w:rsid w:val="00EF147F"/>
    <w:rsid w:val="00F1586E"/>
    <w:rsid w:val="00FB14E7"/>
    <w:rsid w:val="00FB565D"/>
    <w:rsid w:val="00FC2989"/>
    <w:rsid w:val="00FC3720"/>
    <w:rsid w:val="00FF7430"/>
    <w:rsid w:val="00FF7AA4"/>
    <w:rsid w:val="02713539"/>
    <w:rsid w:val="02A074A6"/>
    <w:rsid w:val="039659F0"/>
    <w:rsid w:val="05656043"/>
    <w:rsid w:val="0CBB296F"/>
    <w:rsid w:val="135935CC"/>
    <w:rsid w:val="17EA4F80"/>
    <w:rsid w:val="19554472"/>
    <w:rsid w:val="1C3040B1"/>
    <w:rsid w:val="1D543A45"/>
    <w:rsid w:val="1E2D32E2"/>
    <w:rsid w:val="1ED20F29"/>
    <w:rsid w:val="1FA4037A"/>
    <w:rsid w:val="220C20F0"/>
    <w:rsid w:val="225C3C9D"/>
    <w:rsid w:val="233258F9"/>
    <w:rsid w:val="23590A74"/>
    <w:rsid w:val="274C4CE7"/>
    <w:rsid w:val="2EEE2811"/>
    <w:rsid w:val="30F361F7"/>
    <w:rsid w:val="33697F88"/>
    <w:rsid w:val="3610013D"/>
    <w:rsid w:val="39473E07"/>
    <w:rsid w:val="3A2E2404"/>
    <w:rsid w:val="3AD324A2"/>
    <w:rsid w:val="3B64607D"/>
    <w:rsid w:val="3C206FC3"/>
    <w:rsid w:val="41213B46"/>
    <w:rsid w:val="41851F89"/>
    <w:rsid w:val="419053BC"/>
    <w:rsid w:val="424C6431"/>
    <w:rsid w:val="479422A0"/>
    <w:rsid w:val="498971B0"/>
    <w:rsid w:val="49A4503C"/>
    <w:rsid w:val="49F97E07"/>
    <w:rsid w:val="4B15344A"/>
    <w:rsid w:val="4B300453"/>
    <w:rsid w:val="52056AA5"/>
    <w:rsid w:val="52872E7C"/>
    <w:rsid w:val="52C16515"/>
    <w:rsid w:val="539372F3"/>
    <w:rsid w:val="546C7D39"/>
    <w:rsid w:val="5583219F"/>
    <w:rsid w:val="5B9E1BC3"/>
    <w:rsid w:val="5CE977B9"/>
    <w:rsid w:val="5DE765F3"/>
    <w:rsid w:val="5FAF7CE6"/>
    <w:rsid w:val="6183733B"/>
    <w:rsid w:val="661F1CF3"/>
    <w:rsid w:val="66EE262C"/>
    <w:rsid w:val="68D27231"/>
    <w:rsid w:val="6AF04982"/>
    <w:rsid w:val="6B9943E7"/>
    <w:rsid w:val="6BB61FE5"/>
    <w:rsid w:val="6F990156"/>
    <w:rsid w:val="713E51E1"/>
    <w:rsid w:val="71AF629C"/>
    <w:rsid w:val="71E568EB"/>
    <w:rsid w:val="793B1C09"/>
    <w:rsid w:val="7CCF7B43"/>
    <w:rsid w:val="7D20704E"/>
    <w:rsid w:val="7FAF33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简体" w:cs="Times New Roman"/>
      <w:kern w:val="2"/>
      <w:sz w:val="32"/>
      <w:szCs w:val="20"/>
      <w:lang w:val="en-US" w:eastAsia="zh-CN" w:bidi="ar-SA"/>
    </w:rPr>
  </w:style>
  <w:style w:type="paragraph" w:styleId="2">
    <w:name w:val="heading 2"/>
    <w:basedOn w:val="1"/>
    <w:next w:val="1"/>
    <w:link w:val="14"/>
    <w:qFormat/>
    <w:uiPriority w:val="0"/>
    <w:pPr>
      <w:keepNext/>
      <w:keepLines/>
      <w:spacing w:before="260" w:after="260" w:line="416" w:lineRule="auto"/>
      <w:outlineLvl w:val="1"/>
    </w:pPr>
    <w:rPr>
      <w:rFonts w:ascii="Arial" w:hAnsi="Arial" w:eastAsia="黑体"/>
      <w:b/>
      <w:bCs/>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9"/>
    <w:semiHidden/>
    <w:unhideWhenUsed/>
    <w:qFormat/>
    <w:uiPriority w:val="99"/>
    <w:pPr>
      <w:jc w:val="left"/>
    </w:pPr>
  </w:style>
  <w:style w:type="paragraph" w:styleId="4">
    <w:name w:val="Balloon Text"/>
    <w:basedOn w:val="1"/>
    <w:link w:val="16"/>
    <w:semiHidden/>
    <w:unhideWhenUsed/>
    <w:qFormat/>
    <w:uiPriority w:val="99"/>
    <w:rPr>
      <w:sz w:val="18"/>
      <w:szCs w:val="18"/>
    </w:rPr>
  </w:style>
  <w:style w:type="paragraph" w:styleId="5">
    <w:name w:val="footer"/>
    <w:basedOn w:val="1"/>
    <w:link w:val="18"/>
    <w:unhideWhenUsed/>
    <w:qFormat/>
    <w:uiPriority w:val="99"/>
    <w:pPr>
      <w:tabs>
        <w:tab w:val="center" w:pos="4153"/>
        <w:tab w:val="right" w:pos="8306"/>
      </w:tabs>
      <w:snapToGrid w:val="0"/>
      <w:jc w:val="left"/>
    </w:pPr>
    <w:rPr>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5"/>
    <w:qFormat/>
    <w:uiPriority w:val="0"/>
    <w:pPr>
      <w:snapToGrid w:val="0"/>
      <w:jc w:val="left"/>
    </w:pPr>
    <w:rPr>
      <w:rFonts w:eastAsia="宋体"/>
      <w:sz w:val="18"/>
    </w:rPr>
  </w:style>
  <w:style w:type="paragraph" w:styleId="8">
    <w:name w:val="annotation subject"/>
    <w:basedOn w:val="3"/>
    <w:next w:val="3"/>
    <w:link w:val="20"/>
    <w:semiHidden/>
    <w:unhideWhenUsed/>
    <w:qFormat/>
    <w:uiPriority w:val="99"/>
    <w:rPr>
      <w:b/>
      <w:b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basedOn w:val="11"/>
    <w:semiHidden/>
    <w:unhideWhenUsed/>
    <w:qFormat/>
    <w:uiPriority w:val="99"/>
    <w:rPr>
      <w:sz w:val="21"/>
      <w:szCs w:val="21"/>
    </w:rPr>
  </w:style>
  <w:style w:type="character" w:styleId="13">
    <w:name w:val="footnote reference"/>
    <w:basedOn w:val="11"/>
    <w:qFormat/>
    <w:uiPriority w:val="0"/>
    <w:rPr>
      <w:vertAlign w:val="superscript"/>
    </w:rPr>
  </w:style>
  <w:style w:type="character" w:customStyle="1" w:styleId="14">
    <w:name w:val="标题 2 字符"/>
    <w:basedOn w:val="11"/>
    <w:link w:val="2"/>
    <w:qFormat/>
    <w:uiPriority w:val="0"/>
    <w:rPr>
      <w:rFonts w:ascii="Arial" w:hAnsi="Arial" w:eastAsia="黑体" w:cs="Times New Roman"/>
      <w:b/>
      <w:bCs/>
      <w:sz w:val="32"/>
      <w:szCs w:val="32"/>
    </w:rPr>
  </w:style>
  <w:style w:type="character" w:customStyle="1" w:styleId="15">
    <w:name w:val="脚注文本 字符"/>
    <w:basedOn w:val="11"/>
    <w:link w:val="7"/>
    <w:qFormat/>
    <w:uiPriority w:val="0"/>
    <w:rPr>
      <w:rFonts w:ascii="Times New Roman" w:hAnsi="Times New Roman" w:eastAsia="宋体" w:cs="Times New Roman"/>
      <w:sz w:val="18"/>
      <w:szCs w:val="20"/>
    </w:rPr>
  </w:style>
  <w:style w:type="character" w:customStyle="1" w:styleId="16">
    <w:name w:val="批注框文本 字符"/>
    <w:basedOn w:val="11"/>
    <w:link w:val="4"/>
    <w:semiHidden/>
    <w:qFormat/>
    <w:uiPriority w:val="99"/>
    <w:rPr>
      <w:rFonts w:ascii="Times New Roman" w:hAnsi="Times New Roman" w:eastAsia="方正仿宋简体" w:cs="Times New Roman"/>
      <w:sz w:val="18"/>
      <w:szCs w:val="18"/>
    </w:rPr>
  </w:style>
  <w:style w:type="character" w:customStyle="1" w:styleId="17">
    <w:name w:val="页眉 字符"/>
    <w:basedOn w:val="11"/>
    <w:link w:val="6"/>
    <w:qFormat/>
    <w:uiPriority w:val="99"/>
    <w:rPr>
      <w:rFonts w:ascii="Times New Roman" w:hAnsi="Times New Roman" w:eastAsia="方正仿宋简体" w:cs="Times New Roman"/>
      <w:sz w:val="18"/>
      <w:szCs w:val="18"/>
    </w:rPr>
  </w:style>
  <w:style w:type="character" w:customStyle="1" w:styleId="18">
    <w:name w:val="页脚 字符"/>
    <w:basedOn w:val="11"/>
    <w:link w:val="5"/>
    <w:qFormat/>
    <w:uiPriority w:val="99"/>
    <w:rPr>
      <w:rFonts w:ascii="Times New Roman" w:hAnsi="Times New Roman" w:eastAsia="方正仿宋简体" w:cs="Times New Roman"/>
      <w:sz w:val="18"/>
      <w:szCs w:val="18"/>
    </w:rPr>
  </w:style>
  <w:style w:type="character" w:customStyle="1" w:styleId="19">
    <w:name w:val="批注文字 字符"/>
    <w:basedOn w:val="11"/>
    <w:link w:val="3"/>
    <w:semiHidden/>
    <w:qFormat/>
    <w:uiPriority w:val="99"/>
    <w:rPr>
      <w:rFonts w:ascii="Times New Roman" w:hAnsi="Times New Roman" w:eastAsia="方正仿宋简体" w:cs="Times New Roman"/>
      <w:sz w:val="32"/>
      <w:szCs w:val="20"/>
    </w:rPr>
  </w:style>
  <w:style w:type="character" w:customStyle="1" w:styleId="20">
    <w:name w:val="批注主题 字符"/>
    <w:basedOn w:val="19"/>
    <w:link w:val="8"/>
    <w:semiHidden/>
    <w:qFormat/>
    <w:uiPriority w:val="99"/>
    <w:rPr>
      <w:rFonts w:ascii="Times New Roman" w:hAnsi="Times New Roman" w:eastAsia="方正仿宋简体" w:cs="Times New Roman"/>
      <w:b/>
      <w:bCs/>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163FC-1D8B-4051-BFB0-AB7C8986D489}">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647</Words>
  <Characters>3694</Characters>
  <Lines>30</Lines>
  <Paragraphs>8</Paragraphs>
  <TotalTime>34</TotalTime>
  <ScaleCrop>false</ScaleCrop>
  <LinksUpToDate>false</LinksUpToDate>
  <CharactersWithSpaces>4333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2013-07-19T01:40:00Z</dcterms:created>
  <dc:creator>User</dc:creator>
  <cp:lastModifiedBy>liwen</cp:lastModifiedBy>
  <cp:lastPrinted>2026-07-30T05:15:00Z</cp:lastPrinted>
  <dcterms:modified xsi:type="dcterms:W3CDTF">2026-10-09T04:50:21Z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724C386F9B3C4C6D9A4BD87824FAB766_13</vt:lpwstr>
  </property>
</Properties>
</file>