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60B89">
      <w:pPr>
        <w:spacing w:line="360" w:lineRule="auto"/>
        <w:jc w:val="center"/>
        <w:rPr>
          <w:rFonts w:hint="eastAsia" w:asciiTheme="minorEastAsia" w:hAnsiTheme="minorEastAsia" w:eastAsiaTheme="minorEastAsia"/>
          <w:b/>
          <w:sz w:val="32"/>
          <w:szCs w:val="32"/>
          <w:lang w:eastAsia="zh-CN"/>
        </w:rPr>
      </w:pPr>
      <w:r>
        <w:rPr>
          <w:rFonts w:hint="eastAsia" w:asciiTheme="minorEastAsia" w:hAnsiTheme="minorEastAsia" w:eastAsiaTheme="minorEastAsia"/>
          <w:b/>
          <w:sz w:val="32"/>
          <w:szCs w:val="32"/>
          <w:lang w:eastAsia="zh-CN"/>
        </w:rPr>
        <w:t>博时中证全指红利质量交易型开放式指数证券投资基金</w:t>
      </w:r>
    </w:p>
    <w:p w14:paraId="6510FC84">
      <w:pPr>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上市交易提示性公告</w:t>
      </w:r>
    </w:p>
    <w:p w14:paraId="6B477134">
      <w:pPr>
        <w:spacing w:line="360" w:lineRule="auto"/>
        <w:rPr>
          <w:rFonts w:ascii="宋体" w:hAnsi="宋体"/>
        </w:rPr>
      </w:pPr>
    </w:p>
    <w:p w14:paraId="1E32E0BA">
      <w:pPr>
        <w:spacing w:line="360" w:lineRule="auto"/>
        <w:ind w:firstLine="480"/>
        <w:rPr>
          <w:rFonts w:ascii="宋体" w:hAnsi="宋体" w:cstheme="minorBidi"/>
          <w:kern w:val="2"/>
          <w:sz w:val="24"/>
          <w:szCs w:val="24"/>
        </w:rPr>
      </w:pPr>
      <w:r>
        <w:rPr>
          <w:rFonts w:hint="eastAsia" w:ascii="宋体" w:hAnsi="宋体" w:cstheme="minorBidi"/>
          <w:kern w:val="2"/>
          <w:sz w:val="24"/>
          <w:szCs w:val="24"/>
          <w:lang w:eastAsia="zh-CN"/>
        </w:rPr>
        <w:t>博时中证全指红利质量交易型开放式指数证券投资基金</w:t>
      </w:r>
      <w:r>
        <w:rPr>
          <w:rFonts w:hint="eastAsia" w:ascii="宋体" w:hAnsi="宋体" w:cstheme="minorBidi"/>
          <w:kern w:val="2"/>
          <w:sz w:val="24"/>
          <w:szCs w:val="24"/>
        </w:rPr>
        <w:t>（以下简称“本基金”）定于</w:t>
      </w:r>
      <w:r>
        <w:rPr>
          <w:rFonts w:hint="eastAsia" w:ascii="宋体" w:hAnsi="宋体" w:cstheme="minorBidi"/>
          <w:kern w:val="2"/>
          <w:sz w:val="24"/>
          <w:szCs w:val="24"/>
          <w:lang w:eastAsia="zh-CN"/>
        </w:rPr>
        <w:t>2026年</w:t>
      </w:r>
      <w:r>
        <w:rPr>
          <w:rFonts w:hint="eastAsia" w:ascii="宋体" w:hAnsi="宋体" w:cstheme="minorBidi"/>
          <w:kern w:val="2"/>
          <w:sz w:val="24"/>
          <w:szCs w:val="24"/>
          <w:lang w:val="en-US" w:eastAsia="zh-CN"/>
        </w:rPr>
        <w:t>6</w:t>
      </w:r>
      <w:r>
        <w:rPr>
          <w:rFonts w:hint="eastAsia" w:ascii="宋体" w:hAnsi="宋体" w:cstheme="minorBidi"/>
          <w:kern w:val="2"/>
          <w:sz w:val="24"/>
          <w:szCs w:val="24"/>
          <w:lang w:eastAsia="zh-CN"/>
        </w:rPr>
        <w:t>月</w:t>
      </w:r>
      <w:r>
        <w:rPr>
          <w:rFonts w:hint="eastAsia" w:ascii="宋体" w:hAnsi="宋体" w:cstheme="minorBidi"/>
          <w:kern w:val="2"/>
          <w:sz w:val="24"/>
          <w:szCs w:val="24"/>
          <w:lang w:val="en-US" w:eastAsia="zh-CN"/>
        </w:rPr>
        <w:t>30</w:t>
      </w:r>
      <w:r>
        <w:rPr>
          <w:rFonts w:hint="eastAsia" w:ascii="宋体" w:hAnsi="宋体" w:cstheme="minorBidi"/>
          <w:kern w:val="2"/>
          <w:sz w:val="24"/>
          <w:szCs w:val="24"/>
          <w:lang w:eastAsia="zh-CN"/>
        </w:rPr>
        <w:t>日</w:t>
      </w:r>
      <w:r>
        <w:rPr>
          <w:rFonts w:hint="eastAsia" w:ascii="宋体" w:hAnsi="宋体" w:cstheme="minorBidi"/>
          <w:kern w:val="2"/>
          <w:sz w:val="24"/>
          <w:szCs w:val="24"/>
        </w:rPr>
        <w:t>在上海证券交易所上市交易。本基金场内简称为“全指质量”，扩位简称“</w:t>
      </w:r>
      <w:r>
        <w:rPr>
          <w:rFonts w:hint="eastAsia" w:asciiTheme="majorEastAsia" w:hAnsiTheme="majorEastAsia" w:eastAsiaTheme="majorEastAsia"/>
          <w:sz w:val="24"/>
          <w:szCs w:val="24"/>
          <w:highlight w:val="none"/>
          <w:lang w:eastAsia="zh-CN"/>
        </w:rPr>
        <w:t>红利质量ETF博时</w:t>
      </w:r>
      <w:r>
        <w:rPr>
          <w:rFonts w:hint="eastAsia" w:ascii="宋体" w:hAnsi="宋体" w:cstheme="minorBidi"/>
          <w:kern w:val="2"/>
          <w:sz w:val="24"/>
          <w:szCs w:val="24"/>
        </w:rPr>
        <w:t>”，基金代码</w:t>
      </w:r>
      <w:r>
        <w:rPr>
          <w:rFonts w:hint="eastAsia" w:asciiTheme="majorEastAsia" w:hAnsiTheme="majorEastAsia" w:eastAsiaTheme="majorEastAsia"/>
          <w:sz w:val="24"/>
          <w:szCs w:val="24"/>
          <w:highlight w:val="none"/>
        </w:rPr>
        <w:t>56</w:t>
      </w:r>
      <w:r>
        <w:rPr>
          <w:rFonts w:hint="eastAsia" w:asciiTheme="majorEastAsia" w:hAnsiTheme="majorEastAsia" w:eastAsiaTheme="majorEastAsia"/>
          <w:sz w:val="24"/>
          <w:szCs w:val="24"/>
          <w:highlight w:val="none"/>
          <w:lang w:val="en-US" w:eastAsia="zh-CN"/>
        </w:rPr>
        <w:t>1430</w:t>
      </w:r>
      <w:r>
        <w:rPr>
          <w:rFonts w:hint="eastAsia" w:ascii="宋体" w:hAnsi="宋体" w:cstheme="minorBidi"/>
          <w:kern w:val="2"/>
          <w:sz w:val="24"/>
          <w:szCs w:val="24"/>
        </w:rPr>
        <w:t>。本基金设置涨跌幅限制，幅度为</w:t>
      </w:r>
      <w:r>
        <w:rPr>
          <w:rFonts w:hint="eastAsia" w:ascii="宋体" w:hAnsi="宋体" w:cstheme="minorBidi"/>
          <w:kern w:val="2"/>
          <w:sz w:val="24"/>
          <w:szCs w:val="24"/>
          <w:lang w:val="en-US" w:eastAsia="zh-CN"/>
        </w:rPr>
        <w:t>1</w:t>
      </w:r>
      <w:r>
        <w:rPr>
          <w:rFonts w:hint="eastAsia" w:ascii="宋体" w:hAnsi="宋体" w:cstheme="minorBidi"/>
          <w:kern w:val="2"/>
          <w:sz w:val="24"/>
          <w:szCs w:val="24"/>
        </w:rPr>
        <w:t>0%。</w:t>
      </w:r>
    </w:p>
    <w:p w14:paraId="78F175F0">
      <w:pPr>
        <w:spacing w:line="360" w:lineRule="auto"/>
        <w:ind w:firstLine="480"/>
        <w:rPr>
          <w:rFonts w:ascii="宋体" w:hAnsi="宋体" w:cstheme="minorBidi"/>
          <w:kern w:val="2"/>
          <w:sz w:val="24"/>
          <w:szCs w:val="24"/>
        </w:rPr>
      </w:pPr>
      <w:r>
        <w:rPr>
          <w:rFonts w:hint="eastAsia" w:ascii="宋体" w:hAnsi="宋体" w:cstheme="minorBidi"/>
          <w:kern w:val="2"/>
          <w:sz w:val="24"/>
          <w:szCs w:val="24"/>
        </w:rPr>
        <w:t>截至</w:t>
      </w:r>
      <w:r>
        <w:rPr>
          <w:rFonts w:hint="eastAsia" w:ascii="宋体" w:hAnsi="宋体" w:cstheme="minorBidi"/>
          <w:kern w:val="2"/>
          <w:sz w:val="24"/>
          <w:szCs w:val="24"/>
          <w:lang w:eastAsia="zh-CN"/>
        </w:rPr>
        <w:t>2026年</w:t>
      </w:r>
      <w:r>
        <w:rPr>
          <w:rFonts w:hint="eastAsia" w:ascii="宋体" w:hAnsi="宋体" w:cstheme="minorBidi"/>
          <w:kern w:val="2"/>
          <w:sz w:val="24"/>
          <w:szCs w:val="24"/>
          <w:lang w:val="en-US" w:eastAsia="zh-CN"/>
        </w:rPr>
        <w:t>6</w:t>
      </w:r>
      <w:r>
        <w:rPr>
          <w:rFonts w:hint="eastAsia" w:ascii="宋体" w:hAnsi="宋体" w:cstheme="minorBidi"/>
          <w:kern w:val="2"/>
          <w:sz w:val="24"/>
          <w:szCs w:val="24"/>
          <w:lang w:eastAsia="zh-CN"/>
        </w:rPr>
        <w:t>月</w:t>
      </w:r>
      <w:r>
        <w:rPr>
          <w:rFonts w:hint="eastAsia" w:ascii="宋体" w:hAnsi="宋体" w:cstheme="minorBidi"/>
          <w:kern w:val="2"/>
          <w:sz w:val="24"/>
          <w:szCs w:val="24"/>
          <w:lang w:val="en-US" w:eastAsia="zh-CN"/>
        </w:rPr>
        <w:t>29</w:t>
      </w:r>
      <w:r>
        <w:rPr>
          <w:rFonts w:hint="eastAsia" w:ascii="宋体" w:hAnsi="宋体" w:cstheme="minorBidi"/>
          <w:kern w:val="2"/>
          <w:sz w:val="24"/>
          <w:szCs w:val="24"/>
          <w:lang w:eastAsia="zh-CN"/>
        </w:rPr>
        <w:t>日</w:t>
      </w:r>
      <w:r>
        <w:rPr>
          <w:rFonts w:hint="eastAsia" w:ascii="宋体" w:hAnsi="宋体" w:cstheme="minorBidi"/>
          <w:kern w:val="2"/>
          <w:sz w:val="24"/>
          <w:szCs w:val="24"/>
        </w:rPr>
        <w:t>，本基金投资于标的指数成份股和备选成份股的资产比例为基金资产净值的</w:t>
      </w:r>
      <w:r>
        <w:rPr>
          <w:rFonts w:hint="eastAsia" w:ascii="宋体" w:hAnsi="宋体" w:cstheme="minorBidi"/>
          <w:kern w:val="2"/>
          <w:sz w:val="24"/>
          <w:szCs w:val="24"/>
          <w:lang w:eastAsia="zh-CN"/>
        </w:rPr>
        <w:t>91.97%</w:t>
      </w:r>
      <w:bookmarkStart w:id="0" w:name="_GoBack"/>
      <w:bookmarkEnd w:id="0"/>
      <w:r>
        <w:rPr>
          <w:rFonts w:hint="eastAsia" w:ascii="宋体" w:hAnsi="宋体" w:cstheme="minorBidi"/>
          <w:kern w:val="2"/>
          <w:sz w:val="24"/>
          <w:szCs w:val="24"/>
        </w:rPr>
        <w:t>，投资组合比例符合有关法律法规、部门规章、规范性文件的规定和基金合同的有关规定。</w:t>
      </w:r>
    </w:p>
    <w:p w14:paraId="134A41C8">
      <w:pPr>
        <w:widowControl w:val="0"/>
        <w:spacing w:line="360" w:lineRule="auto"/>
        <w:ind w:firstLine="420"/>
        <w:rPr>
          <w:rFonts w:asciiTheme="minorHAnsi" w:hAnsiTheme="minorHAnsi" w:eastAsiaTheme="minorEastAsia" w:cstheme="minorBidi"/>
          <w:kern w:val="2"/>
          <w:sz w:val="24"/>
          <w:szCs w:val="24"/>
        </w:rPr>
      </w:pPr>
      <w:r>
        <w:rPr>
          <w:rFonts w:hint="eastAsia" w:asciiTheme="minorHAnsi" w:hAnsiTheme="minorHAnsi" w:eastAsiaTheme="minorEastAsia" w:cstheme="minorBidi"/>
          <w:kern w:val="2"/>
          <w:sz w:val="24"/>
          <w:szCs w:val="24"/>
        </w:rPr>
        <w:t>风险提示：基金管理人承诺以诚实信用、勤勉尽责的原则管理和运用基金资产，但不保证基金一定盈利，也不保证最低收益。投资者投资于基金时应认真阅读基金的《基金合同》和《招募说明书》。敬请投资者注意投资风险。</w:t>
      </w:r>
    </w:p>
    <w:p w14:paraId="60DF82FA">
      <w:pPr>
        <w:widowControl w:val="0"/>
        <w:spacing w:line="360" w:lineRule="auto"/>
        <w:jc w:val="left"/>
        <w:rPr>
          <w:rFonts w:ascii="宋体" w:hAnsi="宋体" w:cstheme="minorBidi"/>
          <w:kern w:val="2"/>
          <w:sz w:val="24"/>
          <w:szCs w:val="24"/>
        </w:rPr>
      </w:pPr>
    </w:p>
    <w:p w14:paraId="680CE914">
      <w:pPr>
        <w:widowControl w:val="0"/>
        <w:spacing w:line="360" w:lineRule="auto"/>
        <w:ind w:firstLine="420"/>
        <w:jc w:val="left"/>
        <w:rPr>
          <w:rFonts w:hint="eastAsia" w:ascii="宋体" w:hAnsi="宋体" w:cstheme="minorBidi"/>
          <w:kern w:val="2"/>
          <w:sz w:val="24"/>
          <w:szCs w:val="24"/>
        </w:rPr>
      </w:pPr>
      <w:r>
        <w:rPr>
          <w:rFonts w:hint="eastAsia" w:ascii="宋体" w:hAnsi="宋体" w:cstheme="minorBidi"/>
          <w:kern w:val="2"/>
          <w:sz w:val="24"/>
          <w:szCs w:val="24"/>
        </w:rPr>
        <w:t>特此公告。</w:t>
      </w:r>
    </w:p>
    <w:p w14:paraId="0B4D363E">
      <w:pPr>
        <w:widowControl w:val="0"/>
        <w:spacing w:line="360" w:lineRule="auto"/>
        <w:ind w:firstLine="420"/>
        <w:jc w:val="left"/>
        <w:rPr>
          <w:rFonts w:hint="eastAsia" w:ascii="宋体" w:hAnsi="宋体" w:cstheme="minorBidi"/>
          <w:kern w:val="2"/>
          <w:sz w:val="24"/>
          <w:szCs w:val="24"/>
        </w:rPr>
      </w:pPr>
    </w:p>
    <w:p w14:paraId="74343E4B">
      <w:pPr>
        <w:widowControl w:val="0"/>
        <w:spacing w:line="360" w:lineRule="auto"/>
        <w:ind w:firstLine="420"/>
        <w:jc w:val="left"/>
        <w:rPr>
          <w:rFonts w:hint="eastAsia" w:ascii="宋体" w:hAnsi="宋体" w:cstheme="minorBidi"/>
          <w:kern w:val="2"/>
          <w:sz w:val="24"/>
          <w:szCs w:val="24"/>
        </w:rPr>
      </w:pPr>
    </w:p>
    <w:p w14:paraId="503A76DC">
      <w:pPr>
        <w:widowControl w:val="0"/>
        <w:spacing w:line="360" w:lineRule="auto"/>
        <w:ind w:firstLine="420"/>
        <w:jc w:val="right"/>
        <w:rPr>
          <w:rFonts w:ascii="宋体" w:hAnsi="宋体" w:cstheme="minorBidi"/>
          <w:kern w:val="2"/>
          <w:sz w:val="24"/>
          <w:szCs w:val="24"/>
        </w:rPr>
      </w:pPr>
      <w:r>
        <w:rPr>
          <w:rFonts w:hint="eastAsia" w:ascii="宋体" w:hAnsi="宋体" w:cstheme="minorBidi"/>
          <w:kern w:val="2"/>
          <w:sz w:val="24"/>
          <w:szCs w:val="24"/>
        </w:rPr>
        <w:t>博时基金管理有限公司</w:t>
      </w:r>
    </w:p>
    <w:p w14:paraId="4C9A71F9">
      <w:pPr>
        <w:widowControl w:val="0"/>
        <w:spacing w:line="360" w:lineRule="auto"/>
        <w:ind w:firstLine="420"/>
        <w:jc w:val="right"/>
        <w:rPr>
          <w:rFonts w:ascii="宋体" w:hAnsi="宋体" w:cstheme="minorBidi"/>
          <w:kern w:val="2"/>
          <w:sz w:val="24"/>
          <w:szCs w:val="24"/>
        </w:rPr>
      </w:pPr>
      <w:r>
        <w:rPr>
          <w:rFonts w:hint="eastAsia" w:ascii="宋体" w:hAnsi="宋体" w:cstheme="minorBidi"/>
          <w:kern w:val="2"/>
          <w:sz w:val="24"/>
          <w:szCs w:val="24"/>
          <w:lang w:eastAsia="zh-CN"/>
        </w:rPr>
        <w:t>2026年</w:t>
      </w:r>
      <w:r>
        <w:rPr>
          <w:rFonts w:hint="eastAsia" w:ascii="宋体" w:hAnsi="宋体" w:cstheme="minorBidi"/>
          <w:kern w:val="2"/>
          <w:sz w:val="24"/>
          <w:szCs w:val="24"/>
          <w:lang w:val="en-US" w:eastAsia="zh-CN"/>
        </w:rPr>
        <w:t>6</w:t>
      </w:r>
      <w:r>
        <w:rPr>
          <w:rFonts w:hint="eastAsia" w:ascii="宋体" w:hAnsi="宋体" w:cstheme="minorBidi"/>
          <w:kern w:val="2"/>
          <w:sz w:val="24"/>
          <w:szCs w:val="24"/>
          <w:lang w:eastAsia="zh-CN"/>
        </w:rPr>
        <w:t>月</w:t>
      </w:r>
      <w:r>
        <w:rPr>
          <w:rFonts w:hint="eastAsia" w:ascii="宋体" w:hAnsi="宋体" w:cstheme="minorBidi"/>
          <w:kern w:val="2"/>
          <w:sz w:val="24"/>
          <w:szCs w:val="24"/>
          <w:lang w:val="en-US" w:eastAsia="zh-CN"/>
        </w:rPr>
        <w:t>30</w:t>
      </w:r>
      <w:r>
        <w:rPr>
          <w:rFonts w:hint="eastAsia" w:ascii="宋体" w:hAnsi="宋体" w:cstheme="minorBidi"/>
          <w:kern w:val="2"/>
          <w:sz w:val="24"/>
          <w:szCs w:val="24"/>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0D9"/>
    <w:rsid w:val="00041210"/>
    <w:rsid w:val="0006334A"/>
    <w:rsid w:val="00081368"/>
    <w:rsid w:val="00085788"/>
    <w:rsid w:val="000B4FC2"/>
    <w:rsid w:val="000D5814"/>
    <w:rsid w:val="00104702"/>
    <w:rsid w:val="00120B2D"/>
    <w:rsid w:val="00187329"/>
    <w:rsid w:val="001D5777"/>
    <w:rsid w:val="002133F0"/>
    <w:rsid w:val="0021580B"/>
    <w:rsid w:val="00222984"/>
    <w:rsid w:val="002641F0"/>
    <w:rsid w:val="00273B4E"/>
    <w:rsid w:val="00287EF1"/>
    <w:rsid w:val="002A3F26"/>
    <w:rsid w:val="002C5CB9"/>
    <w:rsid w:val="003043E1"/>
    <w:rsid w:val="00311915"/>
    <w:rsid w:val="00341A1D"/>
    <w:rsid w:val="00365CB9"/>
    <w:rsid w:val="0038075B"/>
    <w:rsid w:val="00385D4D"/>
    <w:rsid w:val="004029DF"/>
    <w:rsid w:val="00412E32"/>
    <w:rsid w:val="00452CBA"/>
    <w:rsid w:val="00461E35"/>
    <w:rsid w:val="00461F2D"/>
    <w:rsid w:val="004725ED"/>
    <w:rsid w:val="00472B49"/>
    <w:rsid w:val="004A709A"/>
    <w:rsid w:val="004D3DA8"/>
    <w:rsid w:val="00531B84"/>
    <w:rsid w:val="00536B94"/>
    <w:rsid w:val="005478A8"/>
    <w:rsid w:val="005971D3"/>
    <w:rsid w:val="005A19D9"/>
    <w:rsid w:val="00664C7C"/>
    <w:rsid w:val="0067079E"/>
    <w:rsid w:val="006A61BE"/>
    <w:rsid w:val="006A6BD9"/>
    <w:rsid w:val="006C7813"/>
    <w:rsid w:val="006D5783"/>
    <w:rsid w:val="007229B3"/>
    <w:rsid w:val="007668A1"/>
    <w:rsid w:val="00767984"/>
    <w:rsid w:val="0078248C"/>
    <w:rsid w:val="00783734"/>
    <w:rsid w:val="007C11F2"/>
    <w:rsid w:val="007E430E"/>
    <w:rsid w:val="008020D9"/>
    <w:rsid w:val="00807DC7"/>
    <w:rsid w:val="00837B0C"/>
    <w:rsid w:val="00856724"/>
    <w:rsid w:val="008B5E24"/>
    <w:rsid w:val="008C34E4"/>
    <w:rsid w:val="008D615B"/>
    <w:rsid w:val="009117D5"/>
    <w:rsid w:val="0091326C"/>
    <w:rsid w:val="009312F0"/>
    <w:rsid w:val="00943A20"/>
    <w:rsid w:val="009B7519"/>
    <w:rsid w:val="009C26C6"/>
    <w:rsid w:val="009C7C65"/>
    <w:rsid w:val="009D012F"/>
    <w:rsid w:val="009E018E"/>
    <w:rsid w:val="00A00584"/>
    <w:rsid w:val="00A03782"/>
    <w:rsid w:val="00A27E56"/>
    <w:rsid w:val="00A7523F"/>
    <w:rsid w:val="00A94BB8"/>
    <w:rsid w:val="00B10235"/>
    <w:rsid w:val="00B21CD8"/>
    <w:rsid w:val="00B52B91"/>
    <w:rsid w:val="00B56112"/>
    <w:rsid w:val="00B64F5D"/>
    <w:rsid w:val="00B65487"/>
    <w:rsid w:val="00B816AA"/>
    <w:rsid w:val="00B8210E"/>
    <w:rsid w:val="00B97B32"/>
    <w:rsid w:val="00BC1A6A"/>
    <w:rsid w:val="00C22921"/>
    <w:rsid w:val="00C25C20"/>
    <w:rsid w:val="00C32975"/>
    <w:rsid w:val="00C36582"/>
    <w:rsid w:val="00C75FB2"/>
    <w:rsid w:val="00C82D7F"/>
    <w:rsid w:val="00CE3164"/>
    <w:rsid w:val="00D4462F"/>
    <w:rsid w:val="00D509FD"/>
    <w:rsid w:val="00E0316A"/>
    <w:rsid w:val="00E16C78"/>
    <w:rsid w:val="00E83097"/>
    <w:rsid w:val="00EE0783"/>
    <w:rsid w:val="00F85CC2"/>
    <w:rsid w:val="00FE77BA"/>
    <w:rsid w:val="00FF67B7"/>
    <w:rsid w:val="02AB4CF5"/>
    <w:rsid w:val="05576135"/>
    <w:rsid w:val="06746B1C"/>
    <w:rsid w:val="0F8C10E0"/>
    <w:rsid w:val="11695DDA"/>
    <w:rsid w:val="128D3A1D"/>
    <w:rsid w:val="14915DCE"/>
    <w:rsid w:val="17AF3CCC"/>
    <w:rsid w:val="21660232"/>
    <w:rsid w:val="228637A8"/>
    <w:rsid w:val="277C491E"/>
    <w:rsid w:val="291C22B4"/>
    <w:rsid w:val="2C4F56E8"/>
    <w:rsid w:val="36990D49"/>
    <w:rsid w:val="3CD83C33"/>
    <w:rsid w:val="3CEE3F6E"/>
    <w:rsid w:val="3DBF2C43"/>
    <w:rsid w:val="430430F7"/>
    <w:rsid w:val="436061EB"/>
    <w:rsid w:val="45A851E6"/>
    <w:rsid w:val="466D4D30"/>
    <w:rsid w:val="475063EF"/>
    <w:rsid w:val="490254CD"/>
    <w:rsid w:val="4BFC0800"/>
    <w:rsid w:val="4E181AE4"/>
    <w:rsid w:val="50357E23"/>
    <w:rsid w:val="52FF0538"/>
    <w:rsid w:val="58AF229F"/>
    <w:rsid w:val="59077540"/>
    <w:rsid w:val="5BA34A20"/>
    <w:rsid w:val="5D510E87"/>
    <w:rsid w:val="5E19282D"/>
    <w:rsid w:val="6CB2099E"/>
    <w:rsid w:val="6E5A6C22"/>
    <w:rsid w:val="744447B1"/>
    <w:rsid w:val="77E74B0A"/>
    <w:rsid w:val="7A20445F"/>
    <w:rsid w:val="7A6D5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sz w:val="21"/>
      <w:szCs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0"/>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character" w:styleId="9">
    <w:name w:val="annotation reference"/>
    <w:basedOn w:val="8"/>
    <w:semiHidden/>
    <w:unhideWhenUsed/>
    <w:qFormat/>
    <w:uiPriority w:val="99"/>
    <w:rPr>
      <w:sz w:val="21"/>
      <w:szCs w:val="21"/>
    </w:rPr>
  </w:style>
  <w:style w:type="character" w:customStyle="1" w:styleId="10">
    <w:name w:val="批注框文本 字符"/>
    <w:basedOn w:val="8"/>
    <w:link w:val="3"/>
    <w:semiHidden/>
    <w:qFormat/>
    <w:uiPriority w:val="99"/>
    <w:rPr>
      <w:rFonts w:ascii="Calibri" w:hAnsi="Calibri" w:eastAsia="宋体" w:cs="宋体"/>
      <w:kern w:val="0"/>
      <w:sz w:val="18"/>
      <w:szCs w:val="18"/>
    </w:rPr>
  </w:style>
  <w:style w:type="character" w:customStyle="1" w:styleId="11">
    <w:name w:val="页眉 字符"/>
    <w:basedOn w:val="8"/>
    <w:link w:val="5"/>
    <w:qFormat/>
    <w:uiPriority w:val="99"/>
    <w:rPr>
      <w:rFonts w:ascii="Calibri" w:hAnsi="Calibri" w:eastAsia="宋体" w:cs="宋体"/>
      <w:kern w:val="0"/>
      <w:sz w:val="18"/>
      <w:szCs w:val="18"/>
    </w:rPr>
  </w:style>
  <w:style w:type="character" w:customStyle="1" w:styleId="12">
    <w:name w:val="页脚 字符"/>
    <w:basedOn w:val="8"/>
    <w:link w:val="4"/>
    <w:qFormat/>
    <w:uiPriority w:val="99"/>
    <w:rPr>
      <w:rFonts w:ascii="Calibri" w:hAnsi="Calibri" w:eastAsia="宋体" w:cs="宋体"/>
      <w:kern w:val="0"/>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8"/>
    <w:link w:val="2"/>
    <w:semiHidden/>
    <w:qFormat/>
    <w:uiPriority w:val="99"/>
    <w:rPr>
      <w:rFonts w:ascii="Calibri" w:hAnsi="Calibri" w:eastAsia="宋体" w:cs="宋体"/>
      <w:kern w:val="0"/>
      <w:szCs w:val="21"/>
    </w:rPr>
  </w:style>
  <w:style w:type="character" w:customStyle="1" w:styleId="15">
    <w:name w:val="批注主题 字符"/>
    <w:basedOn w:val="14"/>
    <w:link w:val="6"/>
    <w:semiHidden/>
    <w:qFormat/>
    <w:uiPriority w:val="99"/>
    <w:rPr>
      <w:rFonts w:ascii="Calibri" w:hAnsi="Calibri" w:eastAsia="宋体" w:cs="宋体"/>
      <w:b/>
      <w:bCs/>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57</Words>
  <Characters>325</Characters>
  <Lines>2</Lines>
  <Paragraphs>1</Paragraphs>
  <TotalTime>0</TotalTime>
  <ScaleCrop>false</ScaleCrop>
  <LinksUpToDate>false</LinksUpToDate>
  <CharactersWithSpaces>381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2021-06-16T11:03:00Z</dcterms:created>
  <dc:creator>朱凯华</dc:creator>
  <cp:lastModifiedBy>zhaiq1</cp:lastModifiedBy>
  <dcterms:modified xsi:type="dcterms:W3CDTF">2026-06-29T08:40:06Z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F908A3FE900B45488FE84E98B9FFB09B</vt:lpwstr>
  </property>
</Properties>
</file>