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493B76"/>
    <w:p w14:paraId="16226859">
      <w:pPr>
        <w:jc w:val="center"/>
        <w:rPr>
          <w:rFonts w:hint="eastAsia" w:ascii="宋体" w:hAnsi="宋体" w:eastAsia="宋体"/>
          <w:b/>
          <w:sz w:val="30"/>
        </w:rPr>
      </w:pPr>
      <w:r>
        <w:rPr>
          <w:rFonts w:hint="eastAsia" w:ascii="宋体" w:hAnsi="宋体" w:eastAsia="宋体"/>
          <w:b/>
          <w:sz w:val="30"/>
        </w:rPr>
        <w:t>博时恒乐债券型证券投资基金恢复大额申购、转换转入、定期定额投资业务公告</w:t>
      </w:r>
    </w:p>
    <w:p w14:paraId="51A6F6CF">
      <w:pPr>
        <w:jc w:val="center"/>
        <w:rPr>
          <w:rFonts w:ascii="宋体" w:hAnsi="宋体" w:eastAsia="宋体"/>
          <w:b/>
          <w:sz w:val="24"/>
        </w:rPr>
      </w:pPr>
      <w:r>
        <w:rPr>
          <w:rFonts w:hint="eastAsia" w:ascii="宋体" w:hAnsi="宋体" w:eastAsia="宋体"/>
          <w:b/>
          <w:sz w:val="24"/>
        </w:rPr>
        <w:t>公告送出日期：</w:t>
      </w:r>
      <w:r>
        <w:rPr>
          <w:rFonts w:ascii="宋体" w:hAnsi="宋体" w:eastAsia="宋体"/>
          <w:b/>
          <w:sz w:val="24"/>
        </w:rPr>
        <w:t>2026年5月9日</w:t>
      </w:r>
    </w:p>
    <w:p w14:paraId="4C08EED3">
      <w:pPr>
        <w:jc w:val="center"/>
        <w:rPr>
          <w:rFonts w:ascii="宋体" w:hAnsi="宋体" w:eastAsia="宋体"/>
          <w:b/>
          <w:sz w:val="24"/>
        </w:rPr>
      </w:pPr>
    </w:p>
    <w:p w14:paraId="4F447893">
      <w:pPr>
        <w:pStyle w:val="2"/>
        <w:rPr>
          <w:rFonts w:ascii="宋体" w:hAnsi="宋体" w:eastAsia="宋体"/>
          <w:sz w:val="24"/>
        </w:rPr>
      </w:pPr>
      <w:r>
        <w:rPr>
          <w:rFonts w:ascii="宋体" w:hAnsi="宋体" w:eastAsia="宋体"/>
          <w:sz w:val="24"/>
        </w:rPr>
        <w:t>1、公告基本信息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704"/>
        <w:gridCol w:w="1704"/>
        <w:gridCol w:w="1705"/>
        <w:gridCol w:w="1705"/>
      </w:tblGrid>
      <w:tr w14:paraId="205FF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08" w:type="dxa"/>
            <w:gridSpan w:val="2"/>
            <w:vAlign w:val="center"/>
          </w:tcPr>
          <w:p w14:paraId="3E4E55CB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基金名称</w:t>
            </w:r>
          </w:p>
        </w:tc>
        <w:tc>
          <w:tcPr>
            <w:tcW w:w="5114" w:type="dxa"/>
            <w:gridSpan w:val="3"/>
            <w:vAlign w:val="center"/>
          </w:tcPr>
          <w:p w14:paraId="2EC7D9E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博时恒乐债券型证券投资基金</w:t>
            </w:r>
          </w:p>
        </w:tc>
      </w:tr>
      <w:tr w14:paraId="6CB2B2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08" w:type="dxa"/>
            <w:gridSpan w:val="2"/>
            <w:vAlign w:val="center"/>
          </w:tcPr>
          <w:p w14:paraId="7E63C9B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基金简称</w:t>
            </w:r>
          </w:p>
        </w:tc>
        <w:tc>
          <w:tcPr>
            <w:tcW w:w="5114" w:type="dxa"/>
            <w:gridSpan w:val="3"/>
            <w:vAlign w:val="center"/>
          </w:tcPr>
          <w:p w14:paraId="5244824B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博时恒乐债券</w:t>
            </w:r>
          </w:p>
        </w:tc>
      </w:tr>
      <w:tr w14:paraId="673514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08" w:type="dxa"/>
            <w:gridSpan w:val="2"/>
            <w:vAlign w:val="center"/>
          </w:tcPr>
          <w:p w14:paraId="74BFE21A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基金主代码</w:t>
            </w:r>
          </w:p>
        </w:tc>
        <w:tc>
          <w:tcPr>
            <w:tcW w:w="5114" w:type="dxa"/>
            <w:gridSpan w:val="3"/>
            <w:vAlign w:val="center"/>
          </w:tcPr>
          <w:p w14:paraId="6012B7F3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014846</w:t>
            </w:r>
          </w:p>
        </w:tc>
      </w:tr>
      <w:tr w14:paraId="023808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08" w:type="dxa"/>
            <w:gridSpan w:val="2"/>
            <w:vAlign w:val="center"/>
          </w:tcPr>
          <w:p w14:paraId="20F39D87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基金管理人名称</w:t>
            </w:r>
          </w:p>
        </w:tc>
        <w:tc>
          <w:tcPr>
            <w:tcW w:w="5114" w:type="dxa"/>
            <w:gridSpan w:val="3"/>
            <w:vAlign w:val="center"/>
          </w:tcPr>
          <w:p w14:paraId="4F94C607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博时基金管理有限公司</w:t>
            </w:r>
          </w:p>
        </w:tc>
      </w:tr>
      <w:tr w14:paraId="0F534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08" w:type="dxa"/>
            <w:gridSpan w:val="2"/>
            <w:vAlign w:val="center"/>
          </w:tcPr>
          <w:p w14:paraId="077E351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公告依据</w:t>
            </w:r>
          </w:p>
        </w:tc>
        <w:tc>
          <w:tcPr>
            <w:tcW w:w="5114" w:type="dxa"/>
            <w:gridSpan w:val="3"/>
            <w:vAlign w:val="center"/>
          </w:tcPr>
          <w:p w14:paraId="6DF571D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根据有关法律法规及《博时恒乐债券型证券投资基金基金合</w:t>
            </w:r>
            <w:bookmarkStart w:id="0" w:name="_GoBack"/>
            <w:bookmarkEnd w:id="0"/>
            <w:r>
              <w:rPr>
                <w:rFonts w:hint="eastAsia" w:ascii="宋体" w:hAnsi="宋体" w:eastAsia="宋体"/>
                <w:sz w:val="24"/>
              </w:rPr>
              <w:t>同》、《博时恒乐债券型证券投资基金招募说明书》等的规定</w:t>
            </w:r>
          </w:p>
        </w:tc>
      </w:tr>
      <w:tr w14:paraId="2A182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vMerge w:val="restart"/>
            <w:vAlign w:val="center"/>
          </w:tcPr>
          <w:p w14:paraId="50442C2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恢复相关业务的日期及原因说明</w:t>
            </w:r>
          </w:p>
        </w:tc>
        <w:tc>
          <w:tcPr>
            <w:tcW w:w="1704" w:type="dxa"/>
            <w:vAlign w:val="center"/>
          </w:tcPr>
          <w:p w14:paraId="0DF8EA6B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恢复大额申购起始日</w:t>
            </w:r>
          </w:p>
        </w:tc>
        <w:tc>
          <w:tcPr>
            <w:tcW w:w="5114" w:type="dxa"/>
            <w:gridSpan w:val="3"/>
            <w:vAlign w:val="center"/>
          </w:tcPr>
          <w:p w14:paraId="47CE779A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2026年5月11日</w:t>
            </w:r>
          </w:p>
        </w:tc>
      </w:tr>
      <w:tr w14:paraId="03A08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vMerge w:val="continue"/>
            <w:vAlign w:val="center"/>
          </w:tcPr>
          <w:p w14:paraId="4E712A1B"/>
        </w:tc>
        <w:tc>
          <w:tcPr>
            <w:tcW w:w="1704" w:type="dxa"/>
            <w:vAlign w:val="center"/>
          </w:tcPr>
          <w:p w14:paraId="02716D27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恢复大额转换转入起始日</w:t>
            </w:r>
          </w:p>
        </w:tc>
        <w:tc>
          <w:tcPr>
            <w:tcW w:w="5114" w:type="dxa"/>
            <w:gridSpan w:val="3"/>
            <w:vAlign w:val="center"/>
          </w:tcPr>
          <w:p w14:paraId="15DFF356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2026年5月11日</w:t>
            </w:r>
          </w:p>
        </w:tc>
      </w:tr>
      <w:tr w14:paraId="45607A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vMerge w:val="continue"/>
            <w:vAlign w:val="center"/>
          </w:tcPr>
          <w:p w14:paraId="534FE768"/>
        </w:tc>
        <w:tc>
          <w:tcPr>
            <w:tcW w:w="1704" w:type="dxa"/>
            <w:vAlign w:val="center"/>
          </w:tcPr>
          <w:p w14:paraId="65391AD8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恢复大额定期定额投资起始日</w:t>
            </w:r>
          </w:p>
        </w:tc>
        <w:tc>
          <w:tcPr>
            <w:tcW w:w="5114" w:type="dxa"/>
            <w:gridSpan w:val="3"/>
            <w:vAlign w:val="center"/>
          </w:tcPr>
          <w:p w14:paraId="73CA93E8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2026年5月11日</w:t>
            </w:r>
          </w:p>
        </w:tc>
      </w:tr>
      <w:tr w14:paraId="66BF27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vMerge w:val="continue"/>
            <w:vAlign w:val="center"/>
          </w:tcPr>
          <w:p w14:paraId="6417D5D1"/>
        </w:tc>
        <w:tc>
          <w:tcPr>
            <w:tcW w:w="1704" w:type="dxa"/>
            <w:vAlign w:val="center"/>
          </w:tcPr>
          <w:p w14:paraId="3AFCBF35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恢复大额申购、转换转入、定期定额投资的原因说明</w:t>
            </w:r>
          </w:p>
        </w:tc>
        <w:tc>
          <w:tcPr>
            <w:tcW w:w="5114" w:type="dxa"/>
            <w:gridSpan w:val="3"/>
            <w:vAlign w:val="center"/>
          </w:tcPr>
          <w:p w14:paraId="27988E4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为满足广大投资者的投资需求</w:t>
            </w:r>
          </w:p>
        </w:tc>
      </w:tr>
      <w:tr w14:paraId="4BF9DD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08" w:type="dxa"/>
            <w:gridSpan w:val="2"/>
            <w:vAlign w:val="center"/>
          </w:tcPr>
          <w:p w14:paraId="7A492372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下属分级基金的基金简称</w:t>
            </w:r>
          </w:p>
        </w:tc>
        <w:tc>
          <w:tcPr>
            <w:tcW w:w="1704" w:type="dxa"/>
            <w:vAlign w:val="center"/>
          </w:tcPr>
          <w:p w14:paraId="0B1D119F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博时恒乐债券</w:t>
            </w:r>
            <w:r>
              <w:rPr>
                <w:rFonts w:ascii="宋体" w:hAnsi="宋体" w:eastAsia="宋体"/>
                <w:sz w:val="24"/>
              </w:rPr>
              <w:t>A</w:t>
            </w:r>
          </w:p>
        </w:tc>
        <w:tc>
          <w:tcPr>
            <w:tcW w:w="1705" w:type="dxa"/>
            <w:vAlign w:val="center"/>
          </w:tcPr>
          <w:p w14:paraId="642F34CC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博时恒乐债券</w:t>
            </w:r>
            <w:r>
              <w:rPr>
                <w:rFonts w:ascii="宋体" w:hAnsi="宋体" w:eastAsia="宋体"/>
                <w:sz w:val="24"/>
              </w:rPr>
              <w:t>B</w:t>
            </w:r>
          </w:p>
        </w:tc>
        <w:tc>
          <w:tcPr>
            <w:tcW w:w="1705" w:type="dxa"/>
            <w:vAlign w:val="center"/>
          </w:tcPr>
          <w:p w14:paraId="6D18B39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博时恒乐债券</w:t>
            </w:r>
            <w:r>
              <w:rPr>
                <w:rFonts w:ascii="宋体" w:hAnsi="宋体" w:eastAsia="宋体"/>
                <w:sz w:val="24"/>
              </w:rPr>
              <w:t>C</w:t>
            </w:r>
          </w:p>
        </w:tc>
      </w:tr>
      <w:tr w14:paraId="44BA97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08" w:type="dxa"/>
            <w:gridSpan w:val="2"/>
            <w:vAlign w:val="center"/>
          </w:tcPr>
          <w:p w14:paraId="609B560D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下属分级基金的交易代码</w:t>
            </w:r>
          </w:p>
        </w:tc>
        <w:tc>
          <w:tcPr>
            <w:tcW w:w="1704" w:type="dxa"/>
            <w:vAlign w:val="center"/>
          </w:tcPr>
          <w:p w14:paraId="549F3723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014846</w:t>
            </w:r>
          </w:p>
        </w:tc>
        <w:tc>
          <w:tcPr>
            <w:tcW w:w="1705" w:type="dxa"/>
            <w:vAlign w:val="center"/>
          </w:tcPr>
          <w:p w14:paraId="47C838F8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026992</w:t>
            </w:r>
          </w:p>
        </w:tc>
        <w:tc>
          <w:tcPr>
            <w:tcW w:w="1705" w:type="dxa"/>
            <w:vAlign w:val="center"/>
          </w:tcPr>
          <w:p w14:paraId="419FF0D9">
            <w:pPr>
              <w:rPr>
                <w:rFonts w:ascii="宋体" w:hAnsi="宋体" w:eastAsia="宋体"/>
                <w:sz w:val="24"/>
              </w:rPr>
            </w:pPr>
            <w:r>
              <w:rPr>
                <w:rFonts w:ascii="宋体" w:hAnsi="宋体" w:eastAsia="宋体"/>
                <w:sz w:val="24"/>
              </w:rPr>
              <w:t>014847</w:t>
            </w:r>
          </w:p>
        </w:tc>
      </w:tr>
      <w:tr w14:paraId="340854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08" w:type="dxa"/>
            <w:gridSpan w:val="2"/>
            <w:vAlign w:val="center"/>
          </w:tcPr>
          <w:p w14:paraId="1B72ADD4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该分级基金是否恢复大额申购、转换转入、定期定额投资</w:t>
            </w:r>
          </w:p>
        </w:tc>
        <w:tc>
          <w:tcPr>
            <w:tcW w:w="1704" w:type="dxa"/>
            <w:vAlign w:val="center"/>
          </w:tcPr>
          <w:p w14:paraId="68D7690B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  <w:tc>
          <w:tcPr>
            <w:tcW w:w="1705" w:type="dxa"/>
            <w:vAlign w:val="center"/>
          </w:tcPr>
          <w:p w14:paraId="50A5C8C1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  <w:tc>
          <w:tcPr>
            <w:tcW w:w="1705" w:type="dxa"/>
            <w:vAlign w:val="center"/>
          </w:tcPr>
          <w:p w14:paraId="4062BC00">
            <w:pPr>
              <w:rPr>
                <w:rFonts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是</w:t>
            </w:r>
          </w:p>
        </w:tc>
      </w:tr>
    </w:tbl>
    <w:p w14:paraId="39DAD86A"/>
    <w:p w14:paraId="682AB7BB">
      <w:pPr>
        <w:pStyle w:val="2"/>
        <w:rPr>
          <w:rFonts w:hint="eastAsia" w:ascii="宋体" w:hAnsi="宋体" w:eastAsia="宋体"/>
          <w:sz w:val="24"/>
        </w:rPr>
      </w:pPr>
      <w:r>
        <w:rPr>
          <w:rFonts w:hint="eastAsia" w:ascii="宋体" w:hAnsi="宋体" w:eastAsia="宋体"/>
          <w:sz w:val="24"/>
        </w:rPr>
        <w:t>2、其他需要提示的事项</w:t>
      </w:r>
    </w:p>
    <w:p w14:paraId="5E8EDF2E">
      <w:pPr>
        <w:pStyle w:val="3"/>
        <w:spacing w:before="0" w:beforeAutospacing="0" w:after="0" w:afterAutospacing="0" w:line="360" w:lineRule="auto"/>
        <w:ind w:firstLine="420"/>
      </w:pPr>
      <w:r>
        <w:rPr>
          <w:rFonts w:hint="eastAsia"/>
        </w:rPr>
        <w:t xml:space="preserve">（1）自2026年5月11日起，本基金取消单日单个基金账户单笔或累计的申购、转换转入、定期定额投资申请金额不得超过1000万元（本基金A,B,C三类基金份额申请金额予以合计）的限制，恢复办理大额申购、转换转入、定期定额投资业务。 </w:t>
      </w:r>
    </w:p>
    <w:p w14:paraId="7724A08E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（2）如有疑问，请拨打博时一线通：95105568（免长途话费）或登录本公司网站https://www.bosera.com获取相关信息。 </w:t>
      </w:r>
    </w:p>
    <w:p w14:paraId="6AFA5555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（3）风险提示：本基金管理人承诺诚实信用地管理和运用基金财产，但不保证基金一定盈利，也不保证最低收益。基金的过往业绩并不代表其未来表现。投资有风险，敬请投资人认真阅读基金的相关法律文件，并选择适合自身风险承受能力的投资品种进行投资。 </w:t>
      </w:r>
    </w:p>
    <w:p w14:paraId="6BEB77A1">
      <w:pPr>
        <w:pStyle w:val="3"/>
        <w:spacing w:before="0" w:beforeAutospacing="0" w:after="0" w:afterAutospacing="0" w:line="360" w:lineRule="auto"/>
        <w:ind w:firstLine="420"/>
        <w:rPr>
          <w:rFonts w:hint="eastAsia"/>
        </w:rPr>
      </w:pPr>
      <w:r>
        <w:rPr>
          <w:rFonts w:hint="eastAsia"/>
        </w:rPr>
        <w:t xml:space="preserve">特此公告。 </w:t>
      </w:r>
    </w:p>
    <w:p w14:paraId="250653A0">
      <w:pPr>
        <w:pStyle w:val="3"/>
        <w:spacing w:before="0" w:beforeAutospacing="0" w:after="0" w:afterAutospacing="0" w:line="360" w:lineRule="auto"/>
        <w:ind w:firstLine="420"/>
      </w:pPr>
    </w:p>
    <w:p w14:paraId="716FB335">
      <w:pPr>
        <w:pStyle w:val="3"/>
        <w:spacing w:before="0" w:beforeAutospacing="0" w:after="0" w:afterAutospacing="0" w:line="360" w:lineRule="auto"/>
        <w:ind w:firstLine="420"/>
      </w:pPr>
    </w:p>
    <w:p w14:paraId="552C5C44">
      <w:pPr>
        <w:pStyle w:val="3"/>
        <w:spacing w:before="0" w:beforeAutospacing="0" w:after="0" w:afterAutospacing="0" w:line="360" w:lineRule="auto"/>
        <w:ind w:firstLine="420"/>
      </w:pPr>
    </w:p>
    <w:p w14:paraId="482905D1">
      <w:pPr>
        <w:pStyle w:val="3"/>
        <w:spacing w:before="0" w:beforeAutospacing="0" w:after="0" w:afterAutospacing="0" w:line="360" w:lineRule="auto"/>
        <w:ind w:firstLine="420"/>
        <w:jc w:val="right"/>
        <w:rPr>
          <w:rFonts w:hint="eastAsia"/>
        </w:rPr>
      </w:pPr>
      <w:r>
        <w:rPr>
          <w:rFonts w:hint="eastAsia"/>
        </w:rPr>
        <w:t>博时基金管理有限公司</w:t>
      </w:r>
    </w:p>
    <w:p w14:paraId="5D300DBD">
      <w:pPr>
        <w:pStyle w:val="3"/>
        <w:spacing w:before="0" w:beforeAutospacing="0" w:after="0" w:afterAutospacing="0" w:line="360" w:lineRule="auto"/>
        <w:ind w:firstLine="420"/>
        <w:jc w:val="right"/>
      </w:pPr>
      <w:r>
        <w:t>2026年5月9日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BB1"/>
    <w:rsid w:val="00087424"/>
    <w:rsid w:val="00AB1BB1"/>
    <w:rsid w:val="53821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1"/>
    <w:link w:val="7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标题 3 Char"/>
    <w:basedOn w:val="6"/>
    <w:link w:val="2"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mycompany</Company>
  <Pages>2</Pages>
  <Words>115</Words>
  <Characters>658</Characters>
  <Lines>5</Lines>
  <Paragraphs>1</Paragraphs>
  <TotalTime>1</TotalTime>
  <ScaleCrop>false</ScaleCrop>
  <LinksUpToDate>false</LinksUpToDate>
  <CharactersWithSpaces>772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2026-05-08T01:41:00Z</dcterms:created>
  <dc:creator>BSKMadminDev</dc:creator>
  <cp:lastModifiedBy>panan</cp:lastModifiedBy>
  <dcterms:modified xsi:type="dcterms:W3CDTF">2026-05-08T01:43:44Z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E2DEAA574BB94B5AA54D0F669E24A2A3_13</vt:lpwstr>
  </property>
</Properties>
</file>