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C91C80">
      <w:pPr>
        <w:adjustRightInd w:val="0"/>
        <w:snapToGrid w:val="0"/>
        <w:spacing w:line="360" w:lineRule="auto"/>
        <w:ind w:firstLine="480" w:firstLineChars="200"/>
        <w:jc w:val="center"/>
        <w:rPr>
          <w:rFonts w:hint="eastAsia" w:ascii="黑体" w:hAnsi="宋体" w:eastAsia="黑体" w:cs="Arial"/>
          <w:sz w:val="24"/>
          <w:szCs w:val="24"/>
        </w:rPr>
      </w:pPr>
      <w:bookmarkStart w:id="0" w:name="_GoBack"/>
      <w:bookmarkEnd w:id="0"/>
      <w:r>
        <w:rPr>
          <w:rFonts w:hint="eastAsia" w:ascii="黑体" w:hAnsi="宋体" w:eastAsia="黑体" w:cs="Arial"/>
          <w:sz w:val="24"/>
          <w:szCs w:val="24"/>
        </w:rPr>
        <w:t>关于博时双月薪定期支付债券型证券投资基金</w:t>
      </w:r>
    </w:p>
    <w:p w14:paraId="3DD29E9B">
      <w:pPr>
        <w:adjustRightInd w:val="0"/>
        <w:snapToGrid w:val="0"/>
        <w:spacing w:line="360" w:lineRule="auto"/>
        <w:ind w:firstLine="480" w:firstLineChars="200"/>
        <w:jc w:val="center"/>
        <w:rPr>
          <w:rFonts w:ascii="黑体" w:hAnsi="Arial" w:eastAsia="黑体" w:cs="Arial"/>
          <w:sz w:val="24"/>
          <w:szCs w:val="24"/>
        </w:rPr>
      </w:pPr>
      <w:r>
        <w:rPr>
          <w:rFonts w:hint="eastAsia" w:ascii="黑体" w:hAnsi="宋体" w:eastAsia="黑体" w:cs="Arial"/>
          <w:sz w:val="24"/>
          <w:szCs w:val="24"/>
        </w:rPr>
        <w:t>自动赎回期折算方案提示公告</w:t>
      </w:r>
    </w:p>
    <w:p w14:paraId="2170947C">
      <w:pPr>
        <w:adjustRightInd w:val="0"/>
        <w:snapToGrid w:val="0"/>
        <w:spacing w:line="360" w:lineRule="auto"/>
        <w:ind w:firstLine="420" w:firstLineChars="200"/>
        <w:rPr>
          <w:rFonts w:ascii="Arial" w:hAnsi="Arial" w:cs="Arial"/>
        </w:rPr>
      </w:pPr>
    </w:p>
    <w:p w14:paraId="6711911F">
      <w:pPr>
        <w:adjustRightInd w:val="0"/>
        <w:snapToGrid w:val="0"/>
        <w:spacing w:line="360" w:lineRule="auto"/>
        <w:ind w:firstLine="420" w:firstLineChars="200"/>
        <w:rPr>
          <w:rFonts w:ascii="Arial" w:hAnsi="Arial" w:cs="Arial"/>
        </w:rPr>
      </w:pPr>
      <w:r>
        <w:rPr>
          <w:rFonts w:ascii="Arial" w:hAnsi="宋体" w:cs="Arial"/>
        </w:rPr>
        <w:t>根据《博时双月薪定期支付债券型证券投资基金基金合同》（以下简称</w:t>
      </w:r>
      <w:r>
        <w:rPr>
          <w:rFonts w:hint="eastAsia" w:ascii="Arial" w:hAnsi="Arial" w:cs="Arial"/>
          <w:lang w:eastAsia="zh-CN"/>
        </w:rPr>
        <w:t>“《</w:t>
      </w:r>
      <w:r>
        <w:rPr>
          <w:rFonts w:ascii="Arial" w:hAnsi="宋体" w:cs="Arial"/>
        </w:rPr>
        <w:t>基金合同</w:t>
      </w:r>
      <w:r>
        <w:rPr>
          <w:rFonts w:hint="eastAsia" w:ascii="Arial" w:hAnsi="Arial" w:cs="Arial"/>
          <w:lang w:eastAsia="zh-CN"/>
        </w:rPr>
        <w:t>》”</w:t>
      </w:r>
      <w:r>
        <w:rPr>
          <w:rFonts w:ascii="Arial" w:hAnsi="宋体" w:cs="Arial"/>
        </w:rPr>
        <w:t>）及《博时双月薪定期支付债券型证券投资基金招募说明书》（以下简称</w:t>
      </w:r>
      <w:r>
        <w:rPr>
          <w:rFonts w:hint="eastAsia" w:ascii="Arial" w:hAnsi="宋体" w:cs="Arial"/>
          <w:lang w:eastAsia="zh-CN"/>
        </w:rPr>
        <w:t>“《</w:t>
      </w:r>
      <w:r>
        <w:rPr>
          <w:rFonts w:ascii="Arial" w:hAnsi="宋体" w:cs="Arial"/>
        </w:rPr>
        <w:t>招募说明书</w:t>
      </w:r>
      <w:r>
        <w:rPr>
          <w:rFonts w:hint="eastAsia" w:ascii="Arial" w:hAnsi="宋体" w:cs="Arial"/>
          <w:lang w:eastAsia="zh-CN"/>
        </w:rPr>
        <w:t>》”</w:t>
      </w:r>
      <w:r>
        <w:rPr>
          <w:rFonts w:ascii="Arial" w:hAnsi="宋体" w:cs="Arial"/>
        </w:rPr>
        <w:t>）的规定，博时双月薪定期支付债券型证券投资基金（以下简称</w:t>
      </w:r>
      <w:r>
        <w:rPr>
          <w:rFonts w:hint="eastAsia" w:ascii="Arial" w:hAnsi="Arial" w:cs="Arial"/>
          <w:lang w:eastAsia="zh-CN"/>
        </w:rPr>
        <w:t>“</w:t>
      </w:r>
      <w:r>
        <w:rPr>
          <w:rFonts w:ascii="Arial" w:hAnsi="宋体" w:cs="Arial"/>
        </w:rPr>
        <w:t>本基金</w:t>
      </w:r>
      <w:r>
        <w:rPr>
          <w:rFonts w:hint="eastAsia" w:ascii="Arial" w:hAnsi="Arial" w:cs="Arial"/>
          <w:lang w:eastAsia="zh-CN"/>
        </w:rPr>
        <w:t>”</w:t>
      </w:r>
      <w:r>
        <w:rPr>
          <w:rFonts w:ascii="Arial" w:hAnsi="宋体" w:cs="Arial"/>
        </w:rPr>
        <w:t>）自《基金合同》生效之日起，</w:t>
      </w:r>
      <w:r>
        <w:rPr>
          <w:rFonts w:hint="eastAsia" w:ascii="Arial" w:hAnsi="宋体" w:cs="Arial"/>
        </w:rPr>
        <w:t>在</w:t>
      </w:r>
      <w:r>
        <w:rPr>
          <w:rFonts w:ascii="Arial" w:hAnsi="宋体" w:cs="Arial"/>
        </w:rPr>
        <w:t>每</w:t>
      </w:r>
      <w:r>
        <w:rPr>
          <w:rFonts w:hint="eastAsia" w:ascii="Arial" w:hAnsi="宋体" w:cs="Arial"/>
        </w:rPr>
        <w:t>个自动赎回期</w:t>
      </w:r>
      <w:r>
        <w:rPr>
          <w:rFonts w:ascii="Arial" w:hAnsi="宋体" w:cs="Arial"/>
        </w:rPr>
        <w:t>，基金管理人将进行基金份额折算。现将折算的具体事宜公告如下：</w:t>
      </w:r>
    </w:p>
    <w:p w14:paraId="7974017D">
      <w:pPr>
        <w:adjustRightInd w:val="0"/>
        <w:snapToGrid w:val="0"/>
        <w:spacing w:line="360" w:lineRule="auto"/>
        <w:ind w:firstLine="420" w:firstLineChars="200"/>
        <w:rPr>
          <w:rFonts w:ascii="Arial" w:hAnsi="Arial" w:cs="Arial"/>
        </w:rPr>
      </w:pPr>
      <w:r>
        <w:rPr>
          <w:rFonts w:ascii="Arial" w:hAnsi="宋体" w:cs="Arial"/>
        </w:rPr>
        <w:t>一、折算基准日</w:t>
      </w:r>
    </w:p>
    <w:p w14:paraId="21966DE3">
      <w:pPr>
        <w:adjustRightInd w:val="0"/>
        <w:snapToGrid w:val="0"/>
        <w:spacing w:line="360" w:lineRule="auto"/>
        <w:ind w:firstLine="420" w:firstLineChars="200"/>
        <w:rPr>
          <w:rFonts w:ascii="Arial" w:hAnsi="宋体" w:cs="Arial"/>
        </w:rPr>
      </w:pPr>
      <w:r>
        <w:rPr>
          <w:rFonts w:hint="eastAsia" w:ascii="Arial" w:hAnsi="Arial" w:cs="Arial"/>
          <w:szCs w:val="21"/>
          <w:lang w:eastAsia="zh-CN"/>
        </w:rPr>
        <w:t>2026年10月12日</w:t>
      </w:r>
      <w:r>
        <w:rPr>
          <w:rFonts w:hint="eastAsia" w:ascii="Arial" w:hAnsi="宋体" w:cs="Arial"/>
        </w:rPr>
        <w:t>为本基金自动赎回期，亦是本基金本次自动赎回期折算的折算基准日。</w:t>
      </w:r>
    </w:p>
    <w:p w14:paraId="35CBF843">
      <w:pPr>
        <w:adjustRightInd w:val="0"/>
        <w:snapToGrid w:val="0"/>
        <w:spacing w:line="360" w:lineRule="auto"/>
        <w:ind w:firstLine="420" w:firstLineChars="200"/>
        <w:rPr>
          <w:rFonts w:ascii="Arial" w:hAnsi="Arial" w:cs="Arial"/>
        </w:rPr>
      </w:pPr>
      <w:r>
        <w:rPr>
          <w:rFonts w:hint="eastAsia" w:ascii="Arial" w:hAnsi="宋体" w:cs="Arial"/>
        </w:rPr>
        <w:t>二</w:t>
      </w:r>
      <w:r>
        <w:rPr>
          <w:rFonts w:ascii="Arial" w:hAnsi="宋体" w:cs="Arial"/>
        </w:rPr>
        <w:t>、折算对象</w:t>
      </w:r>
    </w:p>
    <w:p w14:paraId="758F19E3">
      <w:pPr>
        <w:adjustRightInd w:val="0"/>
        <w:snapToGrid w:val="0"/>
        <w:spacing w:line="360" w:lineRule="auto"/>
        <w:ind w:firstLine="420" w:firstLineChars="200"/>
        <w:rPr>
          <w:rFonts w:ascii="Arial" w:hAnsi="Arial" w:cs="Arial"/>
        </w:rPr>
      </w:pPr>
      <w:r>
        <w:rPr>
          <w:rFonts w:hint="eastAsia" w:ascii="Arial" w:hAnsi="Arial" w:cs="Arial"/>
        </w:rPr>
        <w:t>基金份额折算基准日登记在册的本基金所有份额</w:t>
      </w:r>
    </w:p>
    <w:p w14:paraId="113E4738">
      <w:pPr>
        <w:adjustRightInd w:val="0"/>
        <w:snapToGrid w:val="0"/>
        <w:spacing w:line="360" w:lineRule="auto"/>
        <w:ind w:firstLine="420" w:firstLineChars="200"/>
        <w:rPr>
          <w:rFonts w:ascii="Arial" w:hAnsi="Arial" w:cs="Arial"/>
        </w:rPr>
      </w:pPr>
      <w:r>
        <w:rPr>
          <w:rFonts w:hint="eastAsia" w:ascii="Arial" w:hAnsi="宋体" w:cs="Arial"/>
        </w:rPr>
        <w:t>三</w:t>
      </w:r>
      <w:r>
        <w:rPr>
          <w:rFonts w:ascii="Arial" w:hAnsi="宋体" w:cs="Arial"/>
        </w:rPr>
        <w:t>、折算方式</w:t>
      </w:r>
    </w:p>
    <w:p w14:paraId="4E8477D7">
      <w:pPr>
        <w:adjustRightInd w:val="0"/>
        <w:snapToGrid w:val="0"/>
        <w:spacing w:line="360" w:lineRule="auto"/>
        <w:ind w:firstLine="420" w:firstLineChars="200"/>
        <w:rPr>
          <w:rFonts w:hint="eastAsia" w:ascii="Arial" w:hAnsi="宋体" w:cs="Arial"/>
        </w:rPr>
      </w:pPr>
      <w:r>
        <w:rPr>
          <w:rFonts w:hint="eastAsia" w:ascii="Arial" w:hAnsi="宋体" w:cs="Arial"/>
        </w:rPr>
        <w:t>折算基准日日终，本基金的各类基金份额净值做出调整，以已实现收益（为正时）为上限折算该类基金份额。折算后，基金份额持有人持有的该类基金份额数按照该类基金份额折算比例相应改变。</w:t>
      </w:r>
    </w:p>
    <w:p w14:paraId="7E114ADE">
      <w:pPr>
        <w:adjustRightInd w:val="0"/>
        <w:snapToGrid w:val="0"/>
        <w:spacing w:line="360" w:lineRule="auto"/>
        <w:ind w:firstLine="420" w:firstLineChars="200"/>
        <w:rPr>
          <w:rFonts w:hint="eastAsia" w:ascii="Arial" w:hAnsi="宋体" w:cs="Arial"/>
        </w:rPr>
      </w:pPr>
      <w:r>
        <w:rPr>
          <w:rFonts w:hint="eastAsia" w:ascii="Arial" w:hAnsi="宋体" w:cs="Arial"/>
        </w:rPr>
        <w:t>本基金的各类基金份额折算公式如下：</w:t>
      </w:r>
    </w:p>
    <w:p w14:paraId="06F3492F">
      <w:pPr>
        <w:adjustRightInd w:val="0"/>
        <w:snapToGrid w:val="0"/>
        <w:spacing w:line="360" w:lineRule="auto"/>
        <w:ind w:firstLine="420" w:firstLineChars="200"/>
        <w:rPr>
          <w:rFonts w:hint="eastAsia" w:ascii="Arial" w:hAnsi="宋体" w:cs="Arial"/>
        </w:rPr>
      </w:pPr>
      <w:r>
        <w:rPr>
          <w:rFonts w:hint="eastAsia" w:ascii="Arial" w:hAnsi="宋体" w:cs="Arial"/>
        </w:rPr>
        <w:t>本基金各类基金份额的折算比例＝折算基准日该类基金份额基金净值/（折算基准日该类基金份额基金净值-该类基金份额拟强制赎回的金额）</w:t>
      </w:r>
    </w:p>
    <w:p w14:paraId="46E4B7E2">
      <w:pPr>
        <w:adjustRightInd w:val="0"/>
        <w:snapToGrid w:val="0"/>
        <w:spacing w:line="360" w:lineRule="auto"/>
        <w:ind w:firstLine="420" w:firstLineChars="200"/>
        <w:rPr>
          <w:rFonts w:hint="eastAsia" w:ascii="Arial" w:hAnsi="宋体" w:cs="Arial"/>
        </w:rPr>
      </w:pPr>
      <w:r>
        <w:rPr>
          <w:rFonts w:hint="eastAsia" w:ascii="Arial" w:hAnsi="宋体" w:cs="Arial"/>
        </w:rPr>
        <w:t>基金持有人持有的本基金经折算后的份额数＝基金持有人持有的折算前该类基金份额的份额数×该类基金份额的折算比例</w:t>
      </w:r>
    </w:p>
    <w:p w14:paraId="14682CFA">
      <w:pPr>
        <w:adjustRightInd w:val="0"/>
        <w:snapToGrid w:val="0"/>
        <w:spacing w:line="360" w:lineRule="auto"/>
        <w:ind w:firstLine="420" w:firstLineChars="200"/>
        <w:rPr>
          <w:rFonts w:hint="eastAsia" w:ascii="Arial" w:hAnsi="宋体" w:cs="Arial"/>
        </w:rPr>
      </w:pPr>
      <w:r>
        <w:rPr>
          <w:rFonts w:hint="eastAsia" w:ascii="Arial" w:hAnsi="宋体" w:cs="Arial"/>
        </w:rPr>
        <w:t>本基金经折算后的份额数采用四舍五入的方式保留到小数点后两位，由此产生的误差计入基金财产。</w:t>
      </w:r>
    </w:p>
    <w:p w14:paraId="1AD52861">
      <w:pPr>
        <w:adjustRightInd w:val="0"/>
        <w:snapToGrid w:val="0"/>
        <w:spacing w:line="360" w:lineRule="auto"/>
        <w:ind w:firstLine="420" w:firstLineChars="200"/>
        <w:rPr>
          <w:rFonts w:hint="eastAsia" w:ascii="Arial" w:hAnsi="宋体" w:cs="Arial"/>
        </w:rPr>
      </w:pPr>
      <w:r>
        <w:rPr>
          <w:rFonts w:hint="eastAsia" w:ascii="Arial" w:hAnsi="宋体" w:cs="Arial"/>
        </w:rPr>
        <w:t>在实施基金份额折算时，折算日折算前本基金的各类基金份额净值、本基金各类基金份额的折算比例的具体计算见基金管理人届时发布的相关公告。</w:t>
      </w:r>
    </w:p>
    <w:p w14:paraId="6E93A88F">
      <w:pPr>
        <w:adjustRightInd w:val="0"/>
        <w:snapToGrid w:val="0"/>
        <w:spacing w:line="360" w:lineRule="auto"/>
        <w:ind w:firstLine="420" w:firstLineChars="200"/>
        <w:rPr>
          <w:rFonts w:ascii="Arial" w:hAnsi="Arial" w:cs="Arial"/>
        </w:rPr>
      </w:pPr>
      <w:r>
        <w:rPr>
          <w:rFonts w:hint="eastAsia" w:ascii="Arial" w:hAnsi="宋体" w:cs="Arial"/>
        </w:rPr>
        <w:t>四、</w:t>
      </w:r>
      <w:r>
        <w:rPr>
          <w:rFonts w:ascii="Arial" w:hAnsi="宋体" w:cs="Arial"/>
        </w:rPr>
        <w:t>风险提示</w:t>
      </w:r>
    </w:p>
    <w:p w14:paraId="5B9270AE">
      <w:pPr>
        <w:adjustRightInd w:val="0"/>
        <w:snapToGrid w:val="0"/>
        <w:spacing w:line="360" w:lineRule="auto"/>
        <w:ind w:firstLine="420" w:firstLineChars="200"/>
        <w:rPr>
          <w:rFonts w:hint="eastAsia" w:ascii="Arial" w:hAnsi="宋体" w:cs="Arial"/>
        </w:rPr>
      </w:pPr>
      <w:r>
        <w:rPr>
          <w:rFonts w:hint="eastAsia" w:ascii="Arial" w:hAnsi="宋体" w:cs="Arial"/>
        </w:rPr>
        <w:t>1、根据《基金合同》，折算基准日日终，本基金的</w:t>
      </w:r>
      <w:r>
        <w:rPr>
          <w:rFonts w:hint="eastAsia" w:ascii="Arial" w:hAnsi="宋体" w:cs="Arial"/>
        </w:rPr>
        <w:t>各类</w:t>
      </w:r>
      <w:r>
        <w:rPr>
          <w:rFonts w:hint="eastAsia" w:ascii="Arial" w:hAnsi="宋体" w:cs="Arial"/>
        </w:rPr>
        <w:t>基金份额净值做出调整，以已实现收益（为正时）为上限折算</w:t>
      </w:r>
      <w:r>
        <w:rPr>
          <w:rFonts w:hint="eastAsia" w:ascii="Arial" w:hAnsi="宋体" w:cs="Arial"/>
          <w:lang w:val="en-US" w:eastAsia="zh-CN"/>
        </w:rPr>
        <w:t>该类</w:t>
      </w:r>
      <w:r>
        <w:rPr>
          <w:rFonts w:hint="eastAsia" w:ascii="Arial" w:hAnsi="宋体" w:cs="Arial"/>
        </w:rPr>
        <w:t>基金份额。若折算基准日日终未满足如上条件，则该自动赎回期不进行折算。</w:t>
      </w:r>
    </w:p>
    <w:p w14:paraId="54791972">
      <w:pPr>
        <w:adjustRightInd w:val="0"/>
        <w:snapToGrid w:val="0"/>
        <w:spacing w:line="360" w:lineRule="auto"/>
        <w:ind w:firstLine="420" w:firstLineChars="200"/>
        <w:rPr>
          <w:rFonts w:ascii="Arial" w:hAnsi="Arial" w:cs="Arial"/>
        </w:rPr>
      </w:pPr>
      <w:r>
        <w:rPr>
          <w:rFonts w:hint="eastAsia" w:ascii="Arial" w:hAnsi="宋体" w:cs="Arial"/>
        </w:rPr>
        <w:t>2、</w:t>
      </w:r>
      <w:r>
        <w:rPr>
          <w:rFonts w:ascii="Arial" w:hAnsi="宋体" w:cs="Arial"/>
        </w:rPr>
        <w:t>基金管理人承诺以诚实信用、勤勉尽责的原则管理和运用基金资产，但不保证基金一定盈利，也不保证最低收益。投资者投资于本基金时应认真阅读本基金的《基金合同》和《招募说明书》等相关法律文件。</w:t>
      </w:r>
    </w:p>
    <w:p w14:paraId="0E9B9CAD">
      <w:pPr>
        <w:adjustRightInd w:val="0"/>
        <w:snapToGrid w:val="0"/>
        <w:spacing w:line="360" w:lineRule="auto"/>
        <w:ind w:firstLine="420" w:firstLineChars="200"/>
        <w:jc w:val="right"/>
        <w:rPr>
          <w:rFonts w:ascii="Arial" w:hAnsi="Arial" w:cs="Arial"/>
        </w:rPr>
      </w:pPr>
      <w:r>
        <w:rPr>
          <w:rFonts w:hint="eastAsia" w:ascii="Arial" w:hAnsi="宋体" w:cs="Arial"/>
        </w:rPr>
        <w:t>博时</w:t>
      </w:r>
      <w:r>
        <w:rPr>
          <w:rFonts w:ascii="Arial" w:hAnsi="宋体" w:cs="Arial"/>
        </w:rPr>
        <w:t>基金管理有限公司</w:t>
      </w:r>
    </w:p>
    <w:p w14:paraId="3CFDCE8A">
      <w:pPr>
        <w:wordWrap w:val="0"/>
        <w:adjustRightInd w:val="0"/>
        <w:snapToGrid w:val="0"/>
        <w:spacing w:line="360" w:lineRule="auto"/>
        <w:ind w:firstLine="420" w:firstLineChars="200"/>
        <w:jc w:val="right"/>
        <w:rPr>
          <w:rFonts w:hint="eastAsia" w:ascii="Arial" w:hAnsi="Arial" w:eastAsia="宋体" w:cs="Arial"/>
          <w:lang w:eastAsia="zh-CN"/>
        </w:rPr>
      </w:pPr>
      <w:r>
        <w:rPr>
          <w:rFonts w:hint="eastAsia" w:ascii="Arial" w:hAnsi="Arial" w:cs="Arial"/>
          <w:szCs w:val="21"/>
          <w:lang w:eastAsia="zh-CN"/>
        </w:rPr>
        <w:t>2026年9月24日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trackRevisions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EBE"/>
    <w:rsid w:val="000117CA"/>
    <w:rsid w:val="00027800"/>
    <w:rsid w:val="000602FD"/>
    <w:rsid w:val="000636E6"/>
    <w:rsid w:val="00093DA2"/>
    <w:rsid w:val="0009533D"/>
    <w:rsid w:val="00097B52"/>
    <w:rsid w:val="000A24A8"/>
    <w:rsid w:val="000A295D"/>
    <w:rsid w:val="000A5AA6"/>
    <w:rsid w:val="000B1691"/>
    <w:rsid w:val="000B1B89"/>
    <w:rsid w:val="000B7342"/>
    <w:rsid w:val="000C3EBB"/>
    <w:rsid w:val="000D1476"/>
    <w:rsid w:val="000E67FF"/>
    <w:rsid w:val="000E6810"/>
    <w:rsid w:val="000F2DCF"/>
    <w:rsid w:val="001139E1"/>
    <w:rsid w:val="00123717"/>
    <w:rsid w:val="0012592A"/>
    <w:rsid w:val="00132211"/>
    <w:rsid w:val="00132391"/>
    <w:rsid w:val="001425D8"/>
    <w:rsid w:val="00161B65"/>
    <w:rsid w:val="00182BCF"/>
    <w:rsid w:val="001C136A"/>
    <w:rsid w:val="001D1762"/>
    <w:rsid w:val="001D29E3"/>
    <w:rsid w:val="001F3A7C"/>
    <w:rsid w:val="00202CC1"/>
    <w:rsid w:val="002312EF"/>
    <w:rsid w:val="00274711"/>
    <w:rsid w:val="002813B5"/>
    <w:rsid w:val="002839E3"/>
    <w:rsid w:val="00283A5A"/>
    <w:rsid w:val="00292549"/>
    <w:rsid w:val="002A61B7"/>
    <w:rsid w:val="002A6C4D"/>
    <w:rsid w:val="002B1462"/>
    <w:rsid w:val="002D1099"/>
    <w:rsid w:val="002E15B3"/>
    <w:rsid w:val="002E5A54"/>
    <w:rsid w:val="002F2F12"/>
    <w:rsid w:val="002F7282"/>
    <w:rsid w:val="0036328F"/>
    <w:rsid w:val="0036652F"/>
    <w:rsid w:val="003749B6"/>
    <w:rsid w:val="00377BDA"/>
    <w:rsid w:val="00385F21"/>
    <w:rsid w:val="00392DD3"/>
    <w:rsid w:val="003953B1"/>
    <w:rsid w:val="003A022A"/>
    <w:rsid w:val="003A15C7"/>
    <w:rsid w:val="003C16EA"/>
    <w:rsid w:val="003D6448"/>
    <w:rsid w:val="003E792F"/>
    <w:rsid w:val="003F7725"/>
    <w:rsid w:val="00417C8C"/>
    <w:rsid w:val="0042107C"/>
    <w:rsid w:val="00423043"/>
    <w:rsid w:val="00452028"/>
    <w:rsid w:val="00452A24"/>
    <w:rsid w:val="00452C73"/>
    <w:rsid w:val="00454ED3"/>
    <w:rsid w:val="00464FB1"/>
    <w:rsid w:val="004769D8"/>
    <w:rsid w:val="00482B53"/>
    <w:rsid w:val="0048736F"/>
    <w:rsid w:val="00495D20"/>
    <w:rsid w:val="004A7090"/>
    <w:rsid w:val="004B17C2"/>
    <w:rsid w:val="004D6013"/>
    <w:rsid w:val="004E2DD1"/>
    <w:rsid w:val="004E4E1E"/>
    <w:rsid w:val="004F4CC3"/>
    <w:rsid w:val="00507FBE"/>
    <w:rsid w:val="00510C37"/>
    <w:rsid w:val="00531D8D"/>
    <w:rsid w:val="005446C3"/>
    <w:rsid w:val="0055379D"/>
    <w:rsid w:val="00562530"/>
    <w:rsid w:val="005736D4"/>
    <w:rsid w:val="00580D88"/>
    <w:rsid w:val="00590C47"/>
    <w:rsid w:val="005A388A"/>
    <w:rsid w:val="005A40AD"/>
    <w:rsid w:val="005E0A1C"/>
    <w:rsid w:val="00600CE1"/>
    <w:rsid w:val="006141A9"/>
    <w:rsid w:val="00626E74"/>
    <w:rsid w:val="00642822"/>
    <w:rsid w:val="006457BC"/>
    <w:rsid w:val="006A7A7D"/>
    <w:rsid w:val="006B79F8"/>
    <w:rsid w:val="006F2198"/>
    <w:rsid w:val="006F24C7"/>
    <w:rsid w:val="00702EBE"/>
    <w:rsid w:val="00720194"/>
    <w:rsid w:val="007225CF"/>
    <w:rsid w:val="00723FCA"/>
    <w:rsid w:val="00730A97"/>
    <w:rsid w:val="00750282"/>
    <w:rsid w:val="007559E8"/>
    <w:rsid w:val="00770CED"/>
    <w:rsid w:val="00786470"/>
    <w:rsid w:val="00786669"/>
    <w:rsid w:val="007A0014"/>
    <w:rsid w:val="007C2D67"/>
    <w:rsid w:val="00827D4B"/>
    <w:rsid w:val="00842446"/>
    <w:rsid w:val="00842D63"/>
    <w:rsid w:val="008472F5"/>
    <w:rsid w:val="00850E6B"/>
    <w:rsid w:val="00865152"/>
    <w:rsid w:val="0087268E"/>
    <w:rsid w:val="00892940"/>
    <w:rsid w:val="008929BC"/>
    <w:rsid w:val="008A565F"/>
    <w:rsid w:val="008E6590"/>
    <w:rsid w:val="00915171"/>
    <w:rsid w:val="009821DC"/>
    <w:rsid w:val="00982680"/>
    <w:rsid w:val="0098522A"/>
    <w:rsid w:val="009970FA"/>
    <w:rsid w:val="009A6222"/>
    <w:rsid w:val="009B2BC4"/>
    <w:rsid w:val="009C3579"/>
    <w:rsid w:val="009D0DEA"/>
    <w:rsid w:val="009E01D8"/>
    <w:rsid w:val="009E02C7"/>
    <w:rsid w:val="00A37FD5"/>
    <w:rsid w:val="00A54CE6"/>
    <w:rsid w:val="00A55F35"/>
    <w:rsid w:val="00A65D95"/>
    <w:rsid w:val="00A66A15"/>
    <w:rsid w:val="00A87963"/>
    <w:rsid w:val="00A97EA8"/>
    <w:rsid w:val="00AA0A93"/>
    <w:rsid w:val="00AB3AFB"/>
    <w:rsid w:val="00AB3B94"/>
    <w:rsid w:val="00AC3B60"/>
    <w:rsid w:val="00AE22CE"/>
    <w:rsid w:val="00AE7EF8"/>
    <w:rsid w:val="00AF18DB"/>
    <w:rsid w:val="00B26883"/>
    <w:rsid w:val="00B34A78"/>
    <w:rsid w:val="00B459AA"/>
    <w:rsid w:val="00B45C29"/>
    <w:rsid w:val="00B46AC9"/>
    <w:rsid w:val="00B54AB1"/>
    <w:rsid w:val="00B606C9"/>
    <w:rsid w:val="00B60BE8"/>
    <w:rsid w:val="00B813A9"/>
    <w:rsid w:val="00B82F88"/>
    <w:rsid w:val="00BA4600"/>
    <w:rsid w:val="00BA66DE"/>
    <w:rsid w:val="00BB17C9"/>
    <w:rsid w:val="00BB3C61"/>
    <w:rsid w:val="00BB4BAA"/>
    <w:rsid w:val="00BD5DA8"/>
    <w:rsid w:val="00BF54A1"/>
    <w:rsid w:val="00BF75E9"/>
    <w:rsid w:val="00C04CD3"/>
    <w:rsid w:val="00C26FFD"/>
    <w:rsid w:val="00C273E6"/>
    <w:rsid w:val="00C540C2"/>
    <w:rsid w:val="00C74B8A"/>
    <w:rsid w:val="00C87CB9"/>
    <w:rsid w:val="00CD5382"/>
    <w:rsid w:val="00CF74B1"/>
    <w:rsid w:val="00D04D21"/>
    <w:rsid w:val="00D16BEA"/>
    <w:rsid w:val="00D3729E"/>
    <w:rsid w:val="00D372C5"/>
    <w:rsid w:val="00D417EE"/>
    <w:rsid w:val="00D53D8F"/>
    <w:rsid w:val="00D55967"/>
    <w:rsid w:val="00D6269A"/>
    <w:rsid w:val="00D87ABA"/>
    <w:rsid w:val="00DC2AC6"/>
    <w:rsid w:val="00DD3003"/>
    <w:rsid w:val="00DD6F9B"/>
    <w:rsid w:val="00DE7E6A"/>
    <w:rsid w:val="00DF64EE"/>
    <w:rsid w:val="00E03F73"/>
    <w:rsid w:val="00E16369"/>
    <w:rsid w:val="00E2028F"/>
    <w:rsid w:val="00E32FE4"/>
    <w:rsid w:val="00E337C3"/>
    <w:rsid w:val="00E41596"/>
    <w:rsid w:val="00E46FD3"/>
    <w:rsid w:val="00E81BBD"/>
    <w:rsid w:val="00E83307"/>
    <w:rsid w:val="00EA71E7"/>
    <w:rsid w:val="00EC3C17"/>
    <w:rsid w:val="00EC446E"/>
    <w:rsid w:val="00ED5B0B"/>
    <w:rsid w:val="00ED72B0"/>
    <w:rsid w:val="00EE7A4C"/>
    <w:rsid w:val="00F12BF9"/>
    <w:rsid w:val="00F20216"/>
    <w:rsid w:val="00F33E54"/>
    <w:rsid w:val="00F42CB4"/>
    <w:rsid w:val="00F44156"/>
    <w:rsid w:val="00F5486F"/>
    <w:rsid w:val="00F729AD"/>
    <w:rsid w:val="00F76E23"/>
    <w:rsid w:val="00F90CBA"/>
    <w:rsid w:val="00F93F2B"/>
    <w:rsid w:val="00FA0B2D"/>
    <w:rsid w:val="00FC59E0"/>
    <w:rsid w:val="03AA67AE"/>
    <w:rsid w:val="07442C3E"/>
    <w:rsid w:val="0B634AEA"/>
    <w:rsid w:val="13297813"/>
    <w:rsid w:val="1591010B"/>
    <w:rsid w:val="15CE3538"/>
    <w:rsid w:val="16127BF0"/>
    <w:rsid w:val="19253E55"/>
    <w:rsid w:val="1967292C"/>
    <w:rsid w:val="1A3B4FCF"/>
    <w:rsid w:val="253E055B"/>
    <w:rsid w:val="281E6CA3"/>
    <w:rsid w:val="2D214E5E"/>
    <w:rsid w:val="302E2BA9"/>
    <w:rsid w:val="306B53D9"/>
    <w:rsid w:val="30AF7DB6"/>
    <w:rsid w:val="325F3BB1"/>
    <w:rsid w:val="39292264"/>
    <w:rsid w:val="3C5B3EA9"/>
    <w:rsid w:val="3D670C5D"/>
    <w:rsid w:val="3EB10578"/>
    <w:rsid w:val="41062C59"/>
    <w:rsid w:val="41762495"/>
    <w:rsid w:val="4B9C2AE4"/>
    <w:rsid w:val="4EAC7A06"/>
    <w:rsid w:val="4EF1447F"/>
    <w:rsid w:val="552642D7"/>
    <w:rsid w:val="5B667D1F"/>
    <w:rsid w:val="62221BBC"/>
    <w:rsid w:val="62701F28"/>
    <w:rsid w:val="67362D5D"/>
    <w:rsid w:val="69B92B53"/>
    <w:rsid w:val="6B802D52"/>
    <w:rsid w:val="6CC93B76"/>
    <w:rsid w:val="6F9829FF"/>
    <w:rsid w:val="70B07F38"/>
    <w:rsid w:val="723A406C"/>
    <w:rsid w:val="75673A6F"/>
    <w:rsid w:val="7B365B87"/>
    <w:rsid w:val="7E3A3F2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2"/>
      <w:lang w:val="en-US" w:eastAsia="zh-CN" w:bidi="ar-SA"/>
    </w:rPr>
  </w:style>
  <w:style w:type="character" w:default="1" w:styleId="6">
    <w:name w:val="Default Paragraph Font"/>
    <w:unhideWhenUsed/>
    <w:uiPriority w:val="1"/>
  </w:style>
  <w:style w:type="table" w:default="1" w:styleId="5">
    <w:name w:val="Normal Table"/>
    <w:unhideWhenUsed/>
    <w:uiPriority w:val="99"/>
    <w:tblPr>
      <w:tblStyle w:val="5"/>
      <w:tblCellMar>
        <w:top w:w="0" w:type="dxa"/>
        <w:left w:w="108" w:type="dxa"/>
        <w:bottom w:w="0" w:type="dxa"/>
        <w:right w:w="108" w:type="dxa"/>
      </w:tblCellMar>
    </w:tblPr>
  </w:style>
  <w:style w:type="paragraph" w:styleId="2">
    <w:name w:val="Balloon Text"/>
    <w:basedOn w:val="1"/>
    <w:link w:val="7"/>
    <w:unhideWhenUsed/>
    <w:uiPriority w:val="99"/>
    <w:rPr>
      <w:sz w:val="18"/>
      <w:szCs w:val="18"/>
    </w:rPr>
  </w:style>
  <w:style w:type="paragraph" w:styleId="3">
    <w:name w:val="footer"/>
    <w:basedOn w:val="1"/>
    <w:link w:val="8"/>
    <w:unhideWhenUsed/>
    <w:uiPriority w:val="99"/>
    <w:pPr>
      <w:tabs>
        <w:tab w:val="center" w:pos="4153"/>
        <w:tab w:val="right" w:pos="8306"/>
      </w:tabs>
      <w:snapToGrid w:val="0"/>
      <w:jc w:val="left"/>
    </w:pPr>
    <w:rPr>
      <w:sz w:val="18"/>
      <w:szCs w:val="18"/>
    </w:rPr>
  </w:style>
  <w:style w:type="paragraph" w:styleId="4">
    <w:name w:val="header"/>
    <w:basedOn w:val="1"/>
    <w:link w:val="9"/>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7">
    <w:name w:val="批注框文本 Char"/>
    <w:link w:val="2"/>
    <w:semiHidden/>
    <w:uiPriority w:val="99"/>
    <w:rPr>
      <w:kern w:val="2"/>
      <w:sz w:val="18"/>
      <w:szCs w:val="18"/>
    </w:rPr>
  </w:style>
  <w:style w:type="character" w:customStyle="1" w:styleId="8">
    <w:name w:val="页脚 Char"/>
    <w:link w:val="3"/>
    <w:uiPriority w:val="99"/>
    <w:rPr>
      <w:sz w:val="18"/>
      <w:szCs w:val="18"/>
    </w:rPr>
  </w:style>
  <w:style w:type="character" w:customStyle="1" w:styleId="9">
    <w:name w:val="页眉 Char"/>
    <w:link w:val="4"/>
    <w:uiPriority w:val="99"/>
    <w:rPr>
      <w:sz w:val="18"/>
      <w:szCs w:val="18"/>
    </w:rPr>
  </w:style>
  <w:style w:type="paragraph" w:customStyle="1" w:styleId="10">
    <w:name w:val="Default"/>
    <w:uiPriority w:val="0"/>
    <w:pPr>
      <w:widowControl w:val="0"/>
      <w:autoSpaceDE w:val="0"/>
      <w:autoSpaceDN w:val="0"/>
      <w:adjustRightInd w:val="0"/>
    </w:pPr>
    <w:rPr>
      <w:rFonts w:ascii="宋体" w:hAnsi="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boshi</Company>
  <Pages>2</Pages>
  <Words>104</Words>
  <Characters>594</Characters>
  <Lines>4</Lines>
  <Paragraphs>1</Paragraphs>
  <TotalTime>0</TotalTime>
  <ScaleCrop>false</ScaleCrop>
  <LinksUpToDate>false</LinksUpToDate>
  <CharactersWithSpaces>697</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2017-06-19T02:00:00Z</dcterms:created>
  <dc:creator>maoh</dc:creator>
  <cp:lastModifiedBy>liuf0714</cp:lastModifiedBy>
  <cp:lastPrinted>2021-08-30T06:14:00Z</cp:lastPrinted>
  <dcterms:modified xsi:type="dcterms:W3CDTF">2026-09-22T07:56:03Z</dcterms:modified>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D7530BF754FA42F684AAEF974149AA3E_13</vt:lpwstr>
  </property>
</Properties>
</file>