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1DF45ECF">
      <w:pPr>
        <w:spacing w:line="480" w:lineRule="auto"/>
        <w:jc w:val="center"/>
      </w:pPr>
    </w:p>
    <w:p w14:paraId="42E5E592">
      <w:pPr>
        <w:spacing w:line="480" w:lineRule="auto"/>
        <w:jc w:val="center"/>
      </w:pPr>
    </w:p>
    <w:p w14:paraId="08A4D8A0">
      <w:pPr>
        <w:spacing w:line="480" w:lineRule="auto"/>
        <w:jc w:val="center"/>
      </w:pPr>
    </w:p>
    <w:p w14:paraId="371729A6">
      <w:pPr>
        <w:spacing w:line="480" w:lineRule="auto"/>
        <w:jc w:val="center"/>
      </w:pPr>
    </w:p>
    <w:p w14:paraId="0EA58FA3">
      <w:pPr>
        <w:spacing w:line="480" w:lineRule="auto"/>
        <w:jc w:val="center"/>
      </w:pPr>
    </w:p>
    <w:p w14:paraId="00841AE3">
      <w:pPr>
        <w:snapToGrid w:val="0"/>
        <w:spacing w:line="360" w:lineRule="auto"/>
        <w:jc w:val="center"/>
        <w:outlineLvl w:val="0"/>
        <w:rPr>
          <w:rFonts w:ascii="宋体" w:hAnsi="宋体" w:cs="Arial"/>
          <w:b/>
          <w:bCs/>
          <w:sz w:val="48"/>
          <w:szCs w:val="48"/>
        </w:rPr>
      </w:pPr>
      <w:r>
        <w:rPr>
          <w:rFonts w:hint="eastAsia" w:ascii="宋体" w:hAnsi="宋体" w:cs="Arial"/>
          <w:b/>
          <w:bCs/>
          <w:sz w:val="48"/>
          <w:szCs w:val="48"/>
        </w:rPr>
        <w:t>博时中证全指红利质量交易型开放式指数证券投资基金</w:t>
      </w:r>
      <w:r>
        <w:rPr>
          <w:rFonts w:ascii="宋体" w:hAnsi="宋体" w:cs="Arial"/>
          <w:b/>
          <w:sz w:val="48"/>
          <w:szCs w:val="48"/>
        </w:rPr>
        <w:t>招募说明书</w:t>
      </w:r>
    </w:p>
    <w:p w14:paraId="6708328E">
      <w:pPr>
        <w:spacing w:line="480" w:lineRule="auto"/>
        <w:jc w:val="center"/>
      </w:pPr>
    </w:p>
    <w:p w14:paraId="4088655A">
      <w:pPr>
        <w:spacing w:line="480" w:lineRule="auto"/>
        <w:jc w:val="center"/>
      </w:pPr>
    </w:p>
    <w:p w14:paraId="4BA504FD">
      <w:pPr>
        <w:spacing w:line="480" w:lineRule="auto"/>
        <w:jc w:val="center"/>
      </w:pPr>
    </w:p>
    <w:p w14:paraId="14BD28D7">
      <w:pPr>
        <w:spacing w:line="480" w:lineRule="auto"/>
        <w:jc w:val="center"/>
      </w:pPr>
    </w:p>
    <w:p w14:paraId="37D48C29">
      <w:pPr>
        <w:spacing w:line="480" w:lineRule="auto"/>
        <w:jc w:val="center"/>
      </w:pPr>
    </w:p>
    <w:p w14:paraId="7011C261">
      <w:pPr>
        <w:spacing w:line="480" w:lineRule="auto"/>
        <w:jc w:val="center"/>
      </w:pPr>
    </w:p>
    <w:p w14:paraId="745AF9FF">
      <w:pPr>
        <w:spacing w:line="480" w:lineRule="auto"/>
        <w:jc w:val="center"/>
      </w:pPr>
    </w:p>
    <w:p w14:paraId="6135A817">
      <w:pPr>
        <w:spacing w:line="480" w:lineRule="auto"/>
        <w:jc w:val="center"/>
      </w:pPr>
    </w:p>
    <w:p w14:paraId="627E6F51">
      <w:pPr>
        <w:spacing w:line="480" w:lineRule="auto"/>
        <w:jc w:val="center"/>
      </w:pPr>
    </w:p>
    <w:p w14:paraId="27816506">
      <w:pPr>
        <w:spacing w:line="480" w:lineRule="auto"/>
        <w:jc w:val="center"/>
      </w:pPr>
    </w:p>
    <w:p w14:paraId="2A0D4E8E">
      <w:pPr>
        <w:snapToGrid w:val="0"/>
        <w:spacing w:line="360" w:lineRule="auto"/>
        <w:jc w:val="center"/>
        <w:rPr>
          <w:rFonts w:ascii="宋体" w:hAnsi="宋体" w:cs="Arial"/>
          <w:b/>
          <w:sz w:val="30"/>
          <w:szCs w:val="30"/>
        </w:rPr>
      </w:pPr>
      <w:r>
        <w:rPr>
          <w:rFonts w:ascii="宋体" w:hAnsi="宋体" w:cs="Arial"/>
          <w:b/>
          <w:sz w:val="30"/>
          <w:szCs w:val="30"/>
        </w:rPr>
        <w:t>基金管理人：博时基金管理有限公司</w:t>
      </w:r>
    </w:p>
    <w:p w14:paraId="5B8B59FA">
      <w:pPr>
        <w:snapToGrid w:val="0"/>
        <w:spacing w:line="360" w:lineRule="auto"/>
        <w:jc w:val="center"/>
        <w:rPr>
          <w:rFonts w:ascii="宋体" w:hAnsi="宋体" w:cs="Arial"/>
          <w:sz w:val="30"/>
          <w:szCs w:val="30"/>
        </w:rPr>
      </w:pPr>
      <w:r>
        <w:rPr>
          <w:rFonts w:ascii="宋体" w:hAnsi="宋体" w:cs="Arial"/>
          <w:b/>
          <w:sz w:val="30"/>
          <w:szCs w:val="30"/>
        </w:rPr>
        <w:t>基金托管人：</w:t>
      </w:r>
      <w:r>
        <w:rPr>
          <w:rFonts w:hint="eastAsia" w:ascii="宋体" w:hAnsi="宋体" w:cs="Arial"/>
          <w:b/>
          <w:sz w:val="30"/>
          <w:szCs w:val="30"/>
        </w:rPr>
        <w:t>中国建设银行股份有限公司</w:t>
      </w:r>
    </w:p>
    <w:p w14:paraId="0C07B519">
      <w:pPr>
        <w:snapToGrid w:val="0"/>
        <w:spacing w:line="360" w:lineRule="auto"/>
        <w:jc w:val="center"/>
        <w:rPr>
          <w:rFonts w:ascii="宋体" w:hAnsi="宋体" w:cs="Arial"/>
          <w:sz w:val="30"/>
          <w:szCs w:val="30"/>
        </w:rPr>
      </w:pPr>
    </w:p>
    <w:p w14:paraId="1EBB3B6D">
      <w:pPr>
        <w:snapToGrid w:val="0"/>
        <w:spacing w:line="360" w:lineRule="auto"/>
        <w:jc w:val="center"/>
        <w:rPr>
          <w:rFonts w:ascii="宋体" w:hAnsi="宋体" w:cs="Arial"/>
          <w:sz w:val="30"/>
          <w:szCs w:val="30"/>
        </w:rPr>
      </w:pPr>
    </w:p>
    <w:p w14:paraId="0FE3990C">
      <w:pPr>
        <w:snapToGrid w:val="0"/>
        <w:spacing w:line="360" w:lineRule="auto"/>
        <w:jc w:val="center"/>
        <w:rPr>
          <w:rFonts w:ascii="宋体" w:hAnsi="宋体" w:cs="Arial"/>
          <w:sz w:val="30"/>
          <w:szCs w:val="30"/>
        </w:rPr>
      </w:pPr>
    </w:p>
    <w:p w14:paraId="297309AC">
      <w:pPr>
        <w:snapToGrid w:val="0"/>
        <w:spacing w:line="360" w:lineRule="auto"/>
        <w:jc w:val="center"/>
        <w:rPr>
          <w:rFonts w:ascii="宋体" w:hAnsi="宋体" w:cs="Arial"/>
          <w:sz w:val="30"/>
          <w:szCs w:val="30"/>
        </w:rPr>
      </w:pPr>
    </w:p>
    <w:p w14:paraId="3D46DAAF">
      <w:pPr>
        <w:snapToGrid w:val="0"/>
        <w:spacing w:line="360" w:lineRule="auto"/>
        <w:jc w:val="center"/>
        <w:rPr>
          <w:rFonts w:ascii="宋体" w:hAnsi="宋体" w:cs="Arial"/>
          <w:sz w:val="30"/>
          <w:szCs w:val="30"/>
        </w:rPr>
      </w:pPr>
    </w:p>
    <w:p w14:paraId="74CD8CEC">
      <w:pPr>
        <w:autoSpaceDE w:val="0"/>
        <w:autoSpaceDN w:val="0"/>
        <w:adjustRightInd w:val="0"/>
        <w:snapToGrid w:val="0"/>
        <w:spacing w:line="360" w:lineRule="auto"/>
        <w:jc w:val="center"/>
        <w:rPr>
          <w:rFonts w:ascii="宋体" w:hAnsi="宋体" w:cs="Arial"/>
          <w:b/>
          <w:bCs/>
          <w:sz w:val="28"/>
          <w:szCs w:val="28"/>
        </w:rPr>
        <w:sectPr>
          <w:headerReference r:id="rId4" w:type="first"/>
          <w:footerReference r:id="rId5" w:type="first"/>
          <w:headerReference r:id="rId3" w:type="default"/>
          <w:pgSz w:w="11906" w:h="16838"/>
          <w:pgMar w:top="1440" w:right="1800" w:bottom="1440" w:left="1800" w:header="851" w:footer="992" w:gutter="0"/>
          <w:pgNumType w:start="1"/>
          <w:cols w:space="720" w:num="1"/>
          <w:titlePg/>
          <w:docGrid w:linePitch="312" w:charSpace="0"/>
        </w:sectPr>
      </w:pPr>
    </w:p>
    <w:p w14:paraId="56AB2591">
      <w:pPr>
        <w:autoSpaceDE w:val="0"/>
        <w:autoSpaceDN w:val="0"/>
        <w:adjustRightInd w:val="0"/>
        <w:snapToGrid w:val="0"/>
        <w:spacing w:line="360" w:lineRule="auto"/>
        <w:jc w:val="center"/>
        <w:rPr>
          <w:rFonts w:ascii="宋体" w:hAnsi="宋体" w:cs="Arial"/>
          <w:b/>
          <w:bCs/>
          <w:sz w:val="28"/>
          <w:szCs w:val="28"/>
        </w:rPr>
      </w:pPr>
      <w:r>
        <w:rPr>
          <w:rFonts w:ascii="宋体" w:hAnsi="宋体" w:cs="Arial"/>
          <w:b/>
          <w:bCs/>
          <w:sz w:val="28"/>
          <w:szCs w:val="28"/>
        </w:rPr>
        <w:t>【重要提示】</w:t>
      </w:r>
    </w:p>
    <w:p w14:paraId="7ECD116D">
      <w:pPr>
        <w:autoSpaceDE w:val="0"/>
        <w:autoSpaceDN w:val="0"/>
        <w:adjustRightInd w:val="0"/>
        <w:snapToGrid w:val="0"/>
        <w:spacing w:line="360" w:lineRule="auto"/>
        <w:jc w:val="center"/>
        <w:rPr>
          <w:rFonts w:ascii="宋体" w:hAnsi="宋体" w:cs="Arial"/>
          <w:b/>
          <w:bCs/>
        </w:rPr>
      </w:pPr>
    </w:p>
    <w:p w14:paraId="1C227611">
      <w:pPr>
        <w:autoSpaceDE w:val="0"/>
        <w:autoSpaceDN w:val="0"/>
        <w:adjustRightInd w:val="0"/>
        <w:snapToGrid w:val="0"/>
        <w:spacing w:line="360" w:lineRule="auto"/>
        <w:ind w:left="199" w:leftChars="95" w:firstLine="210" w:firstLineChars="100"/>
        <w:rPr>
          <w:rFonts w:ascii="宋体" w:hAnsi="宋体" w:cs="Arial"/>
        </w:rPr>
      </w:pPr>
      <w:r>
        <w:rPr>
          <w:rFonts w:hint="eastAsia" w:ascii="宋体" w:hAnsi="宋体" w:cs="Arial"/>
          <w:kern w:val="0"/>
        </w:rPr>
        <w:t>博时中证全指红利质量交易型开放式指数证券投资基金</w:t>
      </w:r>
      <w:r>
        <w:rPr>
          <w:rFonts w:hint="eastAsia" w:ascii="宋体" w:hAnsi="宋体" w:cs="Arial"/>
        </w:rPr>
        <w:t>根据2026年4月27日中国证券监督管理委员会《关于准予</w:t>
      </w:r>
      <w:r>
        <w:rPr>
          <w:rFonts w:hint="eastAsia" w:ascii="宋体" w:hAnsi="宋体" w:cs="Arial"/>
          <w:kern w:val="0"/>
        </w:rPr>
        <w:t>博时中证全指红利质量交易型开放式指数证券投资基金</w:t>
      </w:r>
      <w:r>
        <w:rPr>
          <w:rFonts w:hint="eastAsia" w:ascii="宋体" w:hAnsi="宋体" w:cs="Arial"/>
        </w:rPr>
        <w:t>注册的批复》（证监许可[2026]1007号）准予注册，进行募集。</w:t>
      </w:r>
    </w:p>
    <w:p w14:paraId="71181A34">
      <w:pPr>
        <w:spacing w:line="360" w:lineRule="auto"/>
        <w:ind w:firstLine="420" w:firstLineChars="200"/>
        <w:rPr>
          <w:rFonts w:ascii="宋体" w:hAnsi="宋体" w:cs="Arial"/>
        </w:rPr>
      </w:pPr>
      <w:r>
        <w:rPr>
          <w:rFonts w:hint="eastAsia" w:ascii="宋体" w:hAnsi="宋体" w:cs="Arial"/>
        </w:rPr>
        <w:t>本基金管理人保证招募说明书的内容真实、准确、完整。本招募说明书经中国证监会注册，但中国证监会对本基金募集的注册，并不表明其对本基金的投资价值、市场前景和收益作出实质性判断或保证，也不表明投资于本基金没有风险。</w:t>
      </w:r>
    </w:p>
    <w:p w14:paraId="44B2274A">
      <w:pPr>
        <w:numPr>
          <w:ilvl w:val="12"/>
          <w:numId w:val="0"/>
        </w:numPr>
        <w:snapToGrid w:val="0"/>
        <w:spacing w:line="360" w:lineRule="auto"/>
        <w:ind w:firstLine="411" w:firstLineChars="196"/>
        <w:rPr>
          <w:rFonts w:ascii="宋体" w:hAnsi="宋体" w:cs="宋体"/>
        </w:rPr>
      </w:pPr>
      <w:r>
        <w:rPr>
          <w:rFonts w:ascii="宋体" w:hAnsi="宋体" w:cs="宋体"/>
        </w:rPr>
        <w:t>本基金的标的指数为</w:t>
      </w:r>
      <w:r>
        <w:rPr>
          <w:rFonts w:hint="eastAsia" w:ascii="宋体" w:hAnsi="宋体" w:cs="宋体"/>
        </w:rPr>
        <w:t>中证全指红利质量指数，编制方案如下：</w:t>
      </w:r>
    </w:p>
    <w:p w14:paraId="019A1907">
      <w:pPr>
        <w:spacing w:line="360" w:lineRule="auto"/>
        <w:ind w:firstLine="420" w:firstLineChars="200"/>
        <w:rPr>
          <w:rFonts w:ascii="宋体" w:hAnsi="宋体" w:cs="Arial"/>
        </w:rPr>
      </w:pPr>
      <w:r>
        <w:rPr>
          <w:rFonts w:hint="eastAsia" w:ascii="宋体" w:hAnsi="宋体" w:cs="Arial"/>
        </w:rPr>
        <w:t>（1）样本空间</w:t>
      </w:r>
    </w:p>
    <w:p w14:paraId="0FBEDE8A">
      <w:pPr>
        <w:spacing w:line="360" w:lineRule="auto"/>
        <w:ind w:firstLine="420" w:firstLineChars="200"/>
        <w:rPr>
          <w:rFonts w:ascii="宋体" w:hAnsi="宋体" w:cs="Arial"/>
        </w:rPr>
      </w:pPr>
      <w:r>
        <w:rPr>
          <w:rFonts w:hint="eastAsia" w:ascii="宋体" w:hAnsi="宋体" w:cs="Arial"/>
        </w:rPr>
        <w:t>同中证全指指数的样本空间</w:t>
      </w:r>
    </w:p>
    <w:p w14:paraId="286C0211">
      <w:pPr>
        <w:spacing w:line="360" w:lineRule="auto"/>
        <w:ind w:firstLine="420" w:firstLineChars="200"/>
        <w:rPr>
          <w:rFonts w:ascii="宋体" w:hAnsi="宋体" w:cs="Arial"/>
        </w:rPr>
      </w:pPr>
      <w:r>
        <w:rPr>
          <w:rFonts w:hint="eastAsia" w:ascii="宋体" w:hAnsi="宋体" w:cs="Arial"/>
        </w:rPr>
        <w:t>（2）可投资性筛选</w:t>
      </w:r>
    </w:p>
    <w:p w14:paraId="5298126A">
      <w:pPr>
        <w:spacing w:line="360" w:lineRule="auto"/>
        <w:ind w:firstLine="420" w:firstLineChars="200"/>
        <w:rPr>
          <w:rFonts w:ascii="宋体" w:hAnsi="宋体" w:cs="Arial"/>
        </w:rPr>
      </w:pPr>
      <w:r>
        <w:rPr>
          <w:rFonts w:hint="eastAsia" w:ascii="宋体" w:hAnsi="宋体" w:cs="Arial"/>
        </w:rPr>
        <w:t>对样本空间内证券，按照过去一年日均总市值和过去一年日均成交金额分别由高到低排名，剔除任一排名后20%的证券。</w:t>
      </w:r>
    </w:p>
    <w:p w14:paraId="2F075299">
      <w:pPr>
        <w:spacing w:line="360" w:lineRule="auto"/>
        <w:ind w:firstLine="420" w:firstLineChars="200"/>
        <w:rPr>
          <w:rFonts w:ascii="宋体" w:hAnsi="宋体" w:cs="Arial"/>
        </w:rPr>
      </w:pPr>
      <w:r>
        <w:rPr>
          <w:rFonts w:hint="eastAsia" w:ascii="宋体" w:hAnsi="宋体" w:cs="Arial"/>
        </w:rPr>
        <w:t>（3）选样方法</w:t>
      </w:r>
    </w:p>
    <w:p w14:paraId="46F890E5">
      <w:pPr>
        <w:adjustRightInd w:val="0"/>
        <w:snapToGrid w:val="0"/>
        <w:spacing w:line="360" w:lineRule="auto"/>
        <w:ind w:firstLine="420" w:firstLineChars="200"/>
        <w:rPr>
          <w:rFonts w:ascii="宋体" w:hAnsi="宋体" w:cs="Arial"/>
        </w:rPr>
      </w:pPr>
      <w:r>
        <w:rPr>
          <w:rFonts w:hint="eastAsia" w:ascii="宋体" w:hAnsi="宋体" w:cs="Arial"/>
        </w:rPr>
        <w:t>1）对于样本空间中符合可投资性筛选条件的证券，选取满足以下条件的上市公司证券：</w:t>
      </w:r>
    </w:p>
    <w:p w14:paraId="48DB8ED0">
      <w:pPr>
        <w:adjustRightInd w:val="0"/>
        <w:snapToGrid w:val="0"/>
        <w:spacing w:line="360" w:lineRule="auto"/>
        <w:ind w:firstLine="420" w:firstLineChars="200"/>
        <w:rPr>
          <w:rFonts w:ascii="宋体" w:hAnsi="宋体" w:cs="Arial"/>
        </w:rPr>
      </w:pPr>
      <w:r>
        <w:rPr>
          <w:rFonts w:hint="eastAsia" w:ascii="宋体" w:hAnsi="宋体" w:cs="Arial"/>
        </w:rPr>
        <w:t>a.过去三年连续现金分红</w:t>
      </w:r>
    </w:p>
    <w:p w14:paraId="2A029170">
      <w:pPr>
        <w:adjustRightInd w:val="0"/>
        <w:snapToGrid w:val="0"/>
        <w:spacing w:line="360" w:lineRule="auto"/>
        <w:ind w:firstLine="420" w:firstLineChars="200"/>
        <w:rPr>
          <w:rFonts w:ascii="宋体" w:hAnsi="宋体" w:cs="Arial"/>
        </w:rPr>
      </w:pPr>
      <w:r>
        <w:rPr>
          <w:rFonts w:hint="eastAsia" w:ascii="宋体" w:hAnsi="宋体" w:cs="Arial"/>
        </w:rPr>
        <w:t>b.过去三年平均股利支付率大于10%且小于100%</w:t>
      </w:r>
    </w:p>
    <w:p w14:paraId="3F92414A">
      <w:pPr>
        <w:adjustRightInd w:val="0"/>
        <w:snapToGrid w:val="0"/>
        <w:spacing w:line="360" w:lineRule="auto"/>
        <w:ind w:firstLine="420" w:firstLineChars="200"/>
        <w:rPr>
          <w:rFonts w:ascii="宋体" w:hAnsi="宋体" w:cs="Arial"/>
        </w:rPr>
      </w:pPr>
      <w:r>
        <w:rPr>
          <w:rFonts w:hint="eastAsia" w:ascii="宋体" w:hAnsi="宋体" w:cs="Arial"/>
        </w:rPr>
        <w:t>2）对1）中所选证券，按照过去三年平均现金股息率由高到低排名，剔除排名后 50%的证券；</w:t>
      </w:r>
    </w:p>
    <w:p w14:paraId="68DF9849">
      <w:pPr>
        <w:adjustRightInd w:val="0"/>
        <w:snapToGrid w:val="0"/>
        <w:spacing w:line="360" w:lineRule="auto"/>
        <w:ind w:firstLine="420" w:firstLineChars="200"/>
        <w:rPr>
          <w:rFonts w:ascii="宋体" w:hAnsi="宋体" w:cs="Arial"/>
        </w:rPr>
      </w:pPr>
      <w:r>
        <w:rPr>
          <w:rFonts w:hint="eastAsia" w:ascii="宋体" w:hAnsi="宋体" w:cs="Arial"/>
        </w:rPr>
        <w:t>3）对2）中剩余证券，按照过去 12 个季度 ROE 标准差由低到高排名，选取排名前 80%的证券作为待选样本；</w:t>
      </w:r>
    </w:p>
    <w:p w14:paraId="64E211A4">
      <w:pPr>
        <w:adjustRightInd w:val="0"/>
        <w:snapToGrid w:val="0"/>
        <w:spacing w:line="360" w:lineRule="auto"/>
        <w:ind w:firstLine="420" w:firstLineChars="200"/>
        <w:rPr>
          <w:rFonts w:ascii="宋体" w:hAnsi="宋体" w:cs="Arial"/>
        </w:rPr>
      </w:pPr>
      <w:r>
        <w:rPr>
          <w:rFonts w:hint="eastAsia" w:ascii="宋体" w:hAnsi="宋体" w:cs="Arial"/>
        </w:rPr>
        <w:t>4）计算待选样本质量因子指标，各指标具体计算如下：</w:t>
      </w:r>
    </w:p>
    <w:p w14:paraId="4FCBBAB6">
      <w:pPr>
        <w:adjustRightInd w:val="0"/>
        <w:snapToGrid w:val="0"/>
        <w:spacing w:line="360" w:lineRule="auto"/>
        <w:ind w:firstLine="420" w:firstLineChars="200"/>
        <w:rPr>
          <w:rFonts w:ascii="宋体" w:hAnsi="宋体" w:cs="Arial"/>
        </w:rPr>
      </w:pPr>
      <w:r>
        <w:rPr>
          <w:rFonts w:hint="eastAsia" w:ascii="宋体" w:hAnsi="宋体" w:cs="Arial"/>
        </w:rPr>
        <w:t>a.ROE= 净利润/净资产</w:t>
      </w:r>
    </w:p>
    <w:p w14:paraId="55C6B4CD">
      <w:pPr>
        <w:adjustRightInd w:val="0"/>
        <w:snapToGrid w:val="0"/>
        <w:spacing w:line="360" w:lineRule="auto"/>
        <w:ind w:firstLine="420" w:firstLineChars="200"/>
        <w:rPr>
          <w:rFonts w:ascii="宋体" w:hAnsi="宋体" w:cs="Arial"/>
        </w:rPr>
      </w:pPr>
      <w:r>
        <w:rPr>
          <w:rFonts w:hint="eastAsia" w:ascii="宋体" w:hAnsi="宋体" w:cs="Arial"/>
        </w:rPr>
        <w:t>b.</w:t>
      </w:r>
      <w:r>
        <w:rPr>
          <w:rFonts w:hint="eastAsia" w:ascii="宋体" w:hAnsi="宋体" w:eastAsia="宋体" w:cs="宋体"/>
        </w:rPr>
        <w:t>△</w:t>
      </w:r>
      <w:r>
        <w:rPr>
          <w:rFonts w:hint="eastAsia" w:ascii="宋体" w:hAnsi="宋体" w:cs="Arial"/>
        </w:rPr>
        <w:t>ROE= ROE 同比变化值</w:t>
      </w:r>
    </w:p>
    <w:p w14:paraId="431310C3">
      <w:pPr>
        <w:adjustRightInd w:val="0"/>
        <w:snapToGrid w:val="0"/>
        <w:spacing w:line="360" w:lineRule="auto"/>
        <w:ind w:firstLine="420" w:firstLineChars="200"/>
        <w:rPr>
          <w:rFonts w:ascii="宋体" w:hAnsi="宋体" w:cs="Arial"/>
        </w:rPr>
      </w:pPr>
      <w:r>
        <w:rPr>
          <w:rFonts w:hint="eastAsia" w:ascii="宋体" w:hAnsi="宋体" w:cs="Arial"/>
        </w:rPr>
        <w:t>c.OPCFD =最近一年经营活动现金净流量/总负债</w:t>
      </w:r>
    </w:p>
    <w:p w14:paraId="4D76DF15">
      <w:pPr>
        <w:spacing w:line="360" w:lineRule="auto"/>
        <w:ind w:firstLine="420" w:firstLineChars="200"/>
        <w:rPr>
          <w:rFonts w:ascii="宋体" w:hAnsi="宋体" w:cs="Arial"/>
        </w:rPr>
      </w:pPr>
      <w:r>
        <w:rPr>
          <w:rFonts w:hint="eastAsia" w:ascii="宋体" w:hAnsi="宋体" w:cs="Arial"/>
        </w:rPr>
        <w:t>d. DP=最近一年现金分红/总市值</w:t>
      </w:r>
    </w:p>
    <w:p w14:paraId="64590517">
      <w:pPr>
        <w:spacing w:line="360" w:lineRule="auto"/>
        <w:ind w:firstLine="420" w:firstLineChars="200"/>
        <w:rPr>
          <w:rFonts w:ascii="宋体" w:hAnsi="宋体" w:cs="Arial"/>
        </w:rPr>
      </w:pPr>
      <w:r>
        <w:rPr>
          <w:rFonts w:hint="eastAsia" w:ascii="宋体" w:hAnsi="宋体" w:cs="Arial"/>
        </w:rPr>
        <w:t>5）根据中证行业分类，区分金融行业与非金融行业，分别计算上述指标的标准化Z值，据此计算各个证券的综合得分，具体如下：</w:t>
      </w:r>
    </w:p>
    <w:p w14:paraId="462522BD">
      <w:pPr>
        <w:spacing w:line="360" w:lineRule="auto"/>
        <w:ind w:firstLine="420" w:firstLineChars="200"/>
        <w:rPr>
          <w:rFonts w:ascii="宋体" w:hAnsi="宋体" w:cs="Arial"/>
        </w:rPr>
      </w:pPr>
      <w:r>
        <w:rPr>
          <w:rFonts w:hint="eastAsia" w:ascii="宋体" w:hAnsi="宋体" w:cs="Arial"/>
        </w:rPr>
        <w:t>a.综合得分（非金融行业）= (Z(ROE) + Z(</w:t>
      </w:r>
      <w:r>
        <w:rPr>
          <w:rFonts w:hint="eastAsia" w:ascii="宋体" w:hAnsi="宋体" w:eastAsia="宋体" w:cs="宋体"/>
        </w:rPr>
        <w:t>△</w:t>
      </w:r>
      <w:r>
        <w:rPr>
          <w:rFonts w:hint="eastAsia" w:ascii="宋体" w:hAnsi="宋体" w:cs="Arial"/>
        </w:rPr>
        <w:t xml:space="preserve">ROE) + Z(OPCFD) + Z(DP))/4 </w:t>
      </w:r>
    </w:p>
    <w:p w14:paraId="19B28F45">
      <w:pPr>
        <w:spacing w:line="360" w:lineRule="auto"/>
        <w:ind w:firstLine="420" w:firstLineChars="200"/>
        <w:rPr>
          <w:rFonts w:ascii="宋体" w:hAnsi="宋体" w:cs="Arial"/>
        </w:rPr>
      </w:pPr>
      <w:r>
        <w:rPr>
          <w:rFonts w:hint="eastAsia" w:ascii="宋体" w:hAnsi="宋体" w:cs="Arial"/>
        </w:rPr>
        <w:t>b.综合得分（金融行业）= (Z(ROE) + Z(</w:t>
      </w:r>
      <w:r>
        <w:rPr>
          <w:rFonts w:hint="eastAsia" w:ascii="宋体" w:hAnsi="宋体" w:eastAsia="宋体" w:cs="宋体"/>
        </w:rPr>
        <w:t>△</w:t>
      </w:r>
      <w:r>
        <w:rPr>
          <w:rFonts w:hint="eastAsia" w:ascii="宋体" w:hAnsi="宋体" w:cs="Arial"/>
        </w:rPr>
        <w:t>ROE) + Z(DP))/3</w:t>
      </w:r>
    </w:p>
    <w:p w14:paraId="722EFF0A">
      <w:pPr>
        <w:spacing w:line="360" w:lineRule="auto"/>
        <w:ind w:firstLine="420" w:firstLineChars="200"/>
        <w:rPr>
          <w:rFonts w:ascii="宋体" w:hAnsi="宋体" w:cs="Arial"/>
        </w:rPr>
      </w:pPr>
      <w:r>
        <w:rPr>
          <w:rFonts w:hint="eastAsia" w:ascii="宋体" w:hAnsi="宋体" w:cs="Arial"/>
        </w:rPr>
        <w:t>6）从待选样本中选取综合得分最高的 50 只证券作为指数样本。</w:t>
      </w:r>
    </w:p>
    <w:p w14:paraId="0FFB0C96">
      <w:pPr>
        <w:spacing w:line="360" w:lineRule="auto"/>
        <w:ind w:firstLine="420" w:firstLineChars="200"/>
        <w:rPr>
          <w:rFonts w:ascii="宋体" w:hAnsi="宋体" w:cs="Arial"/>
        </w:rPr>
      </w:pPr>
      <w:r>
        <w:rPr>
          <w:rFonts w:hint="eastAsia" w:ascii="宋体" w:hAnsi="宋体" w:cs="Arial"/>
        </w:rPr>
        <w:t>（</w:t>
      </w:r>
      <w:r>
        <w:rPr>
          <w:rFonts w:ascii="宋体" w:hAnsi="宋体" w:cs="Arial"/>
        </w:rPr>
        <w:t>4</w:t>
      </w:r>
      <w:r>
        <w:rPr>
          <w:rFonts w:hint="eastAsia" w:ascii="宋体" w:hAnsi="宋体" w:cs="Arial"/>
        </w:rPr>
        <w:t>）指数计算</w:t>
      </w:r>
    </w:p>
    <w:p w14:paraId="2D1E83FA">
      <w:pPr>
        <w:spacing w:line="360" w:lineRule="auto"/>
        <w:ind w:firstLine="420" w:firstLineChars="200"/>
        <w:rPr>
          <w:rFonts w:ascii="宋体" w:hAnsi="宋体" w:cs="Arial"/>
        </w:rPr>
      </w:pPr>
      <w:r>
        <w:rPr>
          <w:rFonts w:hint="eastAsia" w:ascii="宋体" w:hAnsi="宋体" w:cs="Arial"/>
        </w:rPr>
        <w:t>指数计算公式为：报告期指数=报告期样本的调整市值/除数×1000</w:t>
      </w:r>
    </w:p>
    <w:p w14:paraId="06B9CB1E">
      <w:pPr>
        <w:spacing w:line="360" w:lineRule="auto"/>
        <w:ind w:firstLine="420" w:firstLineChars="200"/>
        <w:rPr>
          <w:rFonts w:ascii="宋体" w:hAnsi="宋体" w:cs="Arial"/>
        </w:rPr>
      </w:pPr>
      <w:r>
        <w:rPr>
          <w:rFonts w:hint="eastAsia" w:ascii="宋体" w:hAnsi="宋体" w:cs="Arial"/>
        </w:rPr>
        <w:t>其中，调整市值＝Σ(证券价格×调整股本数×权重因子)。调整股本数的计算方法、除数修正方法参见计算与维护细则。权重因子介于0 和1 之间，以使指数样本采用标准化后的综合得分倾斜加权且满足单个样本权重不超过10%，前五大样本权重合计不超过 40%，单个一级行业样本权重合计不超过30%。</w:t>
      </w:r>
    </w:p>
    <w:p w14:paraId="20B1E157">
      <w:pPr>
        <w:spacing w:line="360" w:lineRule="auto"/>
        <w:ind w:firstLine="420" w:firstLineChars="200"/>
        <w:rPr>
          <w:rFonts w:ascii="宋体" w:hAnsi="宋体" w:cs="Arial"/>
        </w:rPr>
      </w:pPr>
      <w:r>
        <w:rPr>
          <w:rFonts w:hint="eastAsia" w:ascii="宋体" w:hAnsi="宋体" w:cs="Arial"/>
        </w:rPr>
        <w:t>有关标的指数具体编制方案及成份股信息详见中证指数有限公司网站，网址：</w:t>
      </w:r>
      <w:r>
        <w:fldChar w:fldCharType="begin"/>
      </w:r>
      <w:r>
        <w:instrText xml:space="preserve"> HYPERLINK "http://www.csindex.com.cn/" </w:instrText>
      </w:r>
      <w:r>
        <w:fldChar w:fldCharType="separate"/>
      </w:r>
      <w:r>
        <w:rPr>
          <w:rStyle w:val="19"/>
          <w:rFonts w:hint="eastAsia" w:ascii="宋体" w:hAnsi="宋体" w:cs="Arial"/>
        </w:rPr>
        <w:t>http://www.csindex.com.cn/</w:t>
      </w:r>
      <w:r>
        <w:rPr>
          <w:rStyle w:val="19"/>
          <w:rFonts w:hint="eastAsia" w:ascii="宋体" w:hAnsi="宋体" w:cs="Arial"/>
        </w:rPr>
        <w:fldChar w:fldCharType="end"/>
      </w:r>
      <w:r>
        <w:rPr>
          <w:rFonts w:hint="eastAsia" w:ascii="宋体" w:hAnsi="宋体" w:cs="Arial"/>
        </w:rPr>
        <w:t>。</w:t>
      </w:r>
    </w:p>
    <w:p w14:paraId="631E9D39">
      <w:pPr>
        <w:spacing w:line="360" w:lineRule="auto"/>
        <w:ind w:firstLine="420" w:firstLineChars="200"/>
        <w:rPr>
          <w:rFonts w:ascii="宋体" w:hAnsi="宋体" w:cs="Arial"/>
        </w:rPr>
      </w:pPr>
      <w:r>
        <w:rPr>
          <w:rFonts w:hint="eastAsia" w:ascii="宋体" w:hAnsi="宋体" w:cs="Arial"/>
        </w:rPr>
        <w:t>证券投资基金是一种长期投资工具，其主要功能是分散投资，降低投资单一证券所带来的个别风险。证券投资基金不同于银行储蓄和债券等能够提供固定收益预期的金融工具，投资人购买基金，既可能按其持有份额分享基金投资所产生的收益，也可能承担基金投资所带来的损失。本基金属于股票型基金，其预期收益及预期风险水平高于混合型基金、债券型基金与货币市场基金。本基金为被动式投资的股票型指数基金，跟踪中证全指红利质量指数，其风险收益特征与标的指数所表征的市场组合的风险收益特征相似。本基金为指数基金，投资者投资于本基金面临跟踪误差控制未达约定目标、指数编制机构停止服务、成份股停牌或退市等潜在风险，具体风险详见本基金招募说明书“风险揭示”章节。</w:t>
      </w:r>
    </w:p>
    <w:p w14:paraId="28826CA6">
      <w:pPr>
        <w:spacing w:line="360" w:lineRule="auto"/>
        <w:ind w:firstLine="420" w:firstLineChars="200"/>
        <w:rPr>
          <w:rFonts w:ascii="宋体" w:hAnsi="宋体" w:cs="Arial"/>
        </w:rPr>
      </w:pPr>
      <w:r>
        <w:rPr>
          <w:rFonts w:hint="eastAsia" w:ascii="宋体" w:hAnsi="宋体" w:cs="Arial"/>
        </w:rPr>
        <w:t>本基金可参与股指期货、国债期货交易。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w:t>
      </w:r>
    </w:p>
    <w:p w14:paraId="2E8EE716">
      <w:pPr>
        <w:spacing w:line="360" w:lineRule="auto"/>
        <w:ind w:firstLine="420" w:firstLineChars="200"/>
        <w:rPr>
          <w:rFonts w:ascii="宋体" w:hAnsi="宋体" w:cs="Arial"/>
        </w:rPr>
      </w:pPr>
      <w:r>
        <w:rPr>
          <w:rFonts w:hint="eastAsia" w:ascii="宋体" w:hAnsi="宋体" w:cs="Arial"/>
        </w:rPr>
        <w:t>本基金若投资于股票期权，可能会面临价格波动风险、市场流动性风险、强制平仓风险、合约到期风险、行权失败风险、交易违约风险等。此外，行权失败和交收违约也是股票期权交易可能出现的风险，失去交易机会可能会对本基金的投资收益造成损失。</w:t>
      </w:r>
    </w:p>
    <w:p w14:paraId="3B43F51C">
      <w:pPr>
        <w:spacing w:line="360" w:lineRule="auto"/>
        <w:ind w:firstLine="420" w:firstLineChars="200"/>
        <w:rPr>
          <w:rFonts w:ascii="宋体" w:hAnsi="宋体" w:cs="Arial"/>
        </w:rPr>
      </w:pPr>
      <w:r>
        <w:rPr>
          <w:rFonts w:hint="eastAsia" w:ascii="宋体" w:hAnsi="宋体" w:cs="Arial"/>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391EFCE7">
      <w:pPr>
        <w:spacing w:line="360" w:lineRule="auto"/>
        <w:ind w:firstLine="420" w:firstLineChars="200"/>
        <w:rPr>
          <w:rFonts w:ascii="宋体" w:hAnsi="宋体" w:cs="Arial"/>
        </w:rPr>
      </w:pPr>
      <w:r>
        <w:rPr>
          <w:rFonts w:hint="eastAsia" w:ascii="宋体" w:hAnsi="宋体" w:cs="Arial"/>
        </w:rPr>
        <w:t>本基金按照基金份额初始面值</w:t>
      </w:r>
      <w:r>
        <w:rPr>
          <w:rFonts w:ascii="宋体" w:hAnsi="宋体" w:cs="Arial"/>
        </w:rPr>
        <w:t>1.00</w:t>
      </w:r>
      <w:r>
        <w:rPr>
          <w:rFonts w:hint="eastAsia" w:ascii="宋体" w:hAnsi="宋体" w:cs="Arial"/>
        </w:rPr>
        <w:t>元发售，在市场波动等因素的影响下，基金份额净值可能低于基金份额初始面值。</w:t>
      </w:r>
      <w:r>
        <w:rPr>
          <w:rFonts w:ascii="宋体" w:hAnsi="宋体" w:cs="Arial"/>
        </w:rPr>
        <w:t xml:space="preserve"> </w:t>
      </w:r>
    </w:p>
    <w:p w14:paraId="74D8F990">
      <w:pPr>
        <w:spacing w:line="360" w:lineRule="auto"/>
        <w:ind w:firstLine="420" w:firstLineChars="200"/>
        <w:rPr>
          <w:rFonts w:ascii="宋体" w:hAnsi="宋体" w:cs="Arial"/>
        </w:rPr>
      </w:pPr>
      <w:r>
        <w:rPr>
          <w:rFonts w:hint="eastAsia" w:ascii="宋体" w:hAnsi="宋体" w:cs="Arial"/>
        </w:rPr>
        <w:t>因折算、分红等行为导致基金份额净值变化，不会改变基金的风险收益特征，不会降低基金投资风险或提高基金投资收益。本基金以</w:t>
      </w:r>
      <w:r>
        <w:rPr>
          <w:rFonts w:ascii="宋体" w:hAnsi="宋体" w:cs="Arial"/>
        </w:rPr>
        <w:t>1</w:t>
      </w:r>
      <w:r>
        <w:rPr>
          <w:rFonts w:hint="eastAsia" w:ascii="宋体" w:hAnsi="宋体" w:cs="Arial"/>
        </w:rPr>
        <w:t>元初始面值开展基金募集或因折算、分红等行为导致基金份额净值调整至</w:t>
      </w:r>
      <w:r>
        <w:rPr>
          <w:rFonts w:ascii="宋体" w:hAnsi="宋体" w:cs="Arial"/>
        </w:rPr>
        <w:t>1</w:t>
      </w:r>
      <w:r>
        <w:rPr>
          <w:rFonts w:hint="eastAsia" w:ascii="宋体" w:hAnsi="宋体" w:cs="Arial"/>
        </w:rPr>
        <w:t>元初始面值或</w:t>
      </w:r>
      <w:r>
        <w:rPr>
          <w:rFonts w:ascii="宋体" w:hAnsi="宋体" w:cs="Arial"/>
        </w:rPr>
        <w:t>1</w:t>
      </w:r>
      <w:r>
        <w:rPr>
          <w:rFonts w:hint="eastAsia" w:ascii="宋体" w:hAnsi="宋体" w:cs="Arial"/>
        </w:rPr>
        <w:t>元附近，在市场波动等因素的影响下，基金投资仍有可能出现亏损或基金净值仍有可能低于初始面值。</w:t>
      </w:r>
    </w:p>
    <w:p w14:paraId="42EB0CBD">
      <w:pPr>
        <w:spacing w:line="360" w:lineRule="auto"/>
        <w:ind w:firstLine="420" w:firstLineChars="200"/>
        <w:rPr>
          <w:rFonts w:ascii="宋体" w:hAnsi="宋体" w:cs="Arial"/>
        </w:rPr>
      </w:pPr>
      <w:r>
        <w:rPr>
          <w:rFonts w:hint="eastAsia" w:ascii="宋体" w:hAnsi="宋体" w:cs="Arial"/>
        </w:rPr>
        <w:t>本基金投资于证券市场，基金净值会因为证券市场波动等因素产生波动，投资人在投资本基金前，需充分了解本基金的产品特性，充分考虑自身的风险承受能力，理性判断市场，对投资本基金的意愿、时机、数量等投资行为作出独立决策，并承担基金投资中出现的各类风险，详见下文“风险揭示”章节。</w:t>
      </w:r>
    </w:p>
    <w:p w14:paraId="4E547937">
      <w:pPr>
        <w:spacing w:line="360" w:lineRule="auto"/>
        <w:ind w:firstLine="420" w:firstLineChars="200"/>
        <w:rPr>
          <w:rFonts w:ascii="宋体" w:hAnsi="宋体" w:cs="Arial"/>
        </w:rPr>
      </w:pPr>
      <w:r>
        <w:rPr>
          <w:rFonts w:hint="eastAsia" w:ascii="宋体" w:hAnsi="宋体" w:cs="Arial"/>
        </w:rPr>
        <w:t>本基金因特殊情况（比如流动性不足等）导致本基金无法有效复制和跟踪标的指数时，为更好地实现基金的投资目标，本基金可能会少量投资于依法发行上市的非成份股（包括创业板及其他经中国证监会核准或注册上市的股票和存托凭证）。</w:t>
      </w:r>
    </w:p>
    <w:p w14:paraId="19BB028F">
      <w:pPr>
        <w:spacing w:line="360" w:lineRule="auto"/>
        <w:ind w:firstLine="420" w:firstLineChars="200"/>
        <w:rPr>
          <w:rFonts w:ascii="宋体" w:hAnsi="宋体" w:cs="Arial"/>
        </w:rPr>
      </w:pPr>
      <w:r>
        <w:rPr>
          <w:rFonts w:hint="eastAsia" w:ascii="宋体" w:hAnsi="宋体" w:cs="Arial"/>
        </w:rPr>
        <w:t>投资有风险，投资者认购（或申购）基金时应仔细阅读本基金的招募说明书、基金合同及基金产品资料概要等文件，了解本基金的风险收益特征，并根据自身的投资目的、投资期限、投资经验、资产状况等判断基金是否和投资人的风险承受能力相适应。</w:t>
      </w:r>
    </w:p>
    <w:p w14:paraId="365DD7AE">
      <w:pPr>
        <w:spacing w:line="360" w:lineRule="auto"/>
        <w:ind w:firstLine="420" w:firstLineChars="200"/>
        <w:rPr>
          <w:rFonts w:ascii="宋体" w:hAnsi="宋体" w:cs="Arial"/>
        </w:rPr>
      </w:pPr>
      <w:r>
        <w:rPr>
          <w:rFonts w:hint="eastAsia" w:ascii="宋体" w:hAnsi="宋体" w:cs="Arial"/>
        </w:rPr>
        <w:t>基金管理人承诺以恪尽职守、诚实信用、谨慎勤勉的原则管理和运用基金资产，但不保证本基金一定盈利，也不保证最低收益。当投资人赎回时，所得会高于或低于投资人先前所支付的金额。本基金的过往业绩及其净值高低并不预示其未来业绩表现。基金管理人所管理的其他基金的业绩并不构成对本基金业绩表现的保证。基金管理人提醒投资人基金投资的</w:t>
      </w:r>
      <w:r>
        <w:rPr>
          <w:rFonts w:ascii="宋体" w:hAnsi="宋体" w:cs="Arial"/>
        </w:rPr>
        <w:t>“</w:t>
      </w:r>
      <w:r>
        <w:rPr>
          <w:rFonts w:hint="eastAsia" w:ascii="宋体" w:hAnsi="宋体" w:cs="Arial"/>
        </w:rPr>
        <w:t>买者自负</w:t>
      </w:r>
      <w:r>
        <w:rPr>
          <w:rFonts w:ascii="宋体" w:hAnsi="宋体" w:cs="Arial"/>
        </w:rPr>
        <w:t>”</w:t>
      </w:r>
      <w:r>
        <w:rPr>
          <w:rFonts w:hint="eastAsia" w:ascii="宋体" w:hAnsi="宋体" w:cs="Arial"/>
        </w:rPr>
        <w:t>原则，在做出投资决策后，基金运营状况与基金净值变化引致的投资风险，由投资人自行负担。</w:t>
      </w:r>
    </w:p>
    <w:p w14:paraId="4927FCBC">
      <w:pPr>
        <w:spacing w:line="360" w:lineRule="auto"/>
        <w:ind w:firstLine="420" w:firstLineChars="200"/>
        <w:rPr>
          <w:rFonts w:ascii="宋体" w:hAnsi="宋体" w:cs="Arial"/>
        </w:rPr>
      </w:pPr>
      <w:r>
        <w:rPr>
          <w:rFonts w:hint="eastAsia" w:ascii="宋体" w:hAnsi="宋体" w:cs="Arial"/>
        </w:rPr>
        <w:t>投资人应当通过申购、赎回代理券商办理基金申购、赎回业务，申购、赎回代理券商名单详见本基金《招募说明书》以及相关公告。</w:t>
      </w:r>
    </w:p>
    <w:p w14:paraId="1E179FED">
      <w:pPr>
        <w:spacing w:line="360" w:lineRule="auto"/>
        <w:rPr>
          <w:rFonts w:ascii="宋体" w:hAnsi="宋体"/>
        </w:rPr>
      </w:pPr>
    </w:p>
    <w:p w14:paraId="29D2B4F6">
      <w:pPr>
        <w:spacing w:line="360" w:lineRule="auto"/>
        <w:jc w:val="center"/>
        <w:rPr>
          <w:rFonts w:ascii="宋体" w:hAnsi="宋体" w:eastAsia="宋体" w:cs="Arial"/>
          <w:b/>
          <w:bCs/>
          <w:kern w:val="0"/>
          <w:sz w:val="28"/>
          <w:szCs w:val="28"/>
        </w:rPr>
        <w:sectPr>
          <w:headerReference r:id="rId6" w:type="first"/>
          <w:footerReference r:id="rId8" w:type="first"/>
          <w:footerReference r:id="rId7" w:type="default"/>
          <w:pgSz w:w="11906" w:h="16838"/>
          <w:pgMar w:top="1440" w:right="1800" w:bottom="1440" w:left="1800" w:header="851" w:footer="992" w:gutter="0"/>
          <w:pgNumType w:start="1"/>
          <w:cols w:space="720" w:num="1"/>
          <w:titlePg/>
          <w:docGrid w:linePitch="312" w:charSpace="0"/>
        </w:sectPr>
      </w:pPr>
    </w:p>
    <w:p w14:paraId="56F33D3C">
      <w:pPr>
        <w:spacing w:line="360" w:lineRule="auto"/>
        <w:jc w:val="center"/>
        <w:rPr>
          <w:rFonts w:ascii="宋体" w:hAnsi="宋体"/>
        </w:rPr>
      </w:pPr>
      <w:r>
        <w:rPr>
          <w:rFonts w:hint="eastAsia" w:ascii="宋体" w:hAnsi="宋体" w:eastAsia="宋体" w:cs="Arial"/>
          <w:b/>
          <w:bCs/>
          <w:kern w:val="0"/>
          <w:sz w:val="28"/>
          <w:szCs w:val="28"/>
        </w:rPr>
        <w:t>目录</w:t>
      </w:r>
    </w:p>
    <w:p w14:paraId="4C811398">
      <w:pPr>
        <w:pStyle w:val="10"/>
        <w:tabs>
          <w:tab w:val="right" w:leader="dot" w:pos="8306"/>
          <w:tab w:val="clear" w:pos="8295"/>
        </w:tabs>
      </w:pPr>
      <w:r>
        <w:rPr>
          <w:rFonts w:cs="Arial"/>
          <w:b/>
          <w:bCs/>
          <w:spacing w:val="120"/>
        </w:rPr>
        <w:fldChar w:fldCharType="begin"/>
      </w:r>
      <w:r>
        <w:rPr>
          <w:rFonts w:cs="Arial"/>
          <w:b/>
          <w:bCs/>
          <w:spacing w:val="120"/>
        </w:rPr>
        <w:instrText xml:space="preserve"> TOC \o "1-1" \h \z </w:instrText>
      </w:r>
      <w:r>
        <w:rPr>
          <w:rFonts w:cs="Arial"/>
          <w:b/>
          <w:bCs/>
          <w:spacing w:val="120"/>
        </w:rPr>
        <w:fldChar w:fldCharType="separate"/>
      </w:r>
      <w:r>
        <w:fldChar w:fldCharType="begin"/>
      </w:r>
      <w:r>
        <w:instrText xml:space="preserve"> HYPERLINK \l "_Toc28416" </w:instrText>
      </w:r>
      <w:r>
        <w:fldChar w:fldCharType="separate"/>
      </w:r>
      <w:r>
        <w:rPr>
          <w:rFonts w:cs="Arial"/>
          <w:bCs/>
          <w:szCs w:val="28"/>
        </w:rPr>
        <w:t>第一部分  绪言</w:t>
      </w:r>
      <w:r>
        <w:tab/>
      </w:r>
      <w:r>
        <w:rPr>
          <w:rFonts w:hint="eastAsia"/>
        </w:rPr>
        <w:t>1-</w:t>
      </w:r>
      <w:r>
        <w:fldChar w:fldCharType="begin"/>
      </w:r>
      <w:r>
        <w:instrText xml:space="preserve"> PAGEREF _Toc28416 \h </w:instrText>
      </w:r>
      <w:r>
        <w:fldChar w:fldCharType="separate"/>
      </w:r>
      <w:r>
        <w:t>1</w:t>
      </w:r>
      <w:r>
        <w:fldChar w:fldCharType="end"/>
      </w:r>
      <w:r>
        <w:fldChar w:fldCharType="end"/>
      </w:r>
    </w:p>
    <w:p w14:paraId="0ED97E2C">
      <w:pPr>
        <w:pStyle w:val="10"/>
        <w:tabs>
          <w:tab w:val="right" w:leader="dot" w:pos="8306"/>
          <w:tab w:val="clear" w:pos="8295"/>
        </w:tabs>
      </w:pPr>
      <w:r>
        <w:fldChar w:fldCharType="begin"/>
      </w:r>
      <w:r>
        <w:instrText xml:space="preserve"> HYPERLINK \l "_Toc813" </w:instrText>
      </w:r>
      <w:r>
        <w:fldChar w:fldCharType="separate"/>
      </w:r>
      <w:r>
        <w:rPr>
          <w:rFonts w:cs="Arial"/>
          <w:bCs/>
          <w:szCs w:val="28"/>
        </w:rPr>
        <w:t>第二部分  释义</w:t>
      </w:r>
      <w:r>
        <w:tab/>
      </w:r>
      <w:r>
        <w:rPr>
          <w:rFonts w:hint="eastAsia"/>
        </w:rPr>
        <w:t>2-</w:t>
      </w:r>
      <w:r>
        <w:fldChar w:fldCharType="begin"/>
      </w:r>
      <w:r>
        <w:instrText xml:space="preserve"> PAGEREF _Toc813 \h </w:instrText>
      </w:r>
      <w:r>
        <w:fldChar w:fldCharType="separate"/>
      </w:r>
      <w:r>
        <w:t>1</w:t>
      </w:r>
      <w:r>
        <w:fldChar w:fldCharType="end"/>
      </w:r>
      <w:r>
        <w:fldChar w:fldCharType="end"/>
      </w:r>
    </w:p>
    <w:p w14:paraId="48CA0A31">
      <w:pPr>
        <w:pStyle w:val="10"/>
        <w:tabs>
          <w:tab w:val="right" w:leader="dot" w:pos="8306"/>
          <w:tab w:val="clear" w:pos="8295"/>
        </w:tabs>
      </w:pPr>
      <w:r>
        <w:fldChar w:fldCharType="begin"/>
      </w:r>
      <w:r>
        <w:instrText xml:space="preserve"> HYPERLINK \l "_Toc10298" </w:instrText>
      </w:r>
      <w:r>
        <w:fldChar w:fldCharType="separate"/>
      </w:r>
      <w:r>
        <w:rPr>
          <w:rFonts w:cs="Arial"/>
          <w:bCs/>
          <w:szCs w:val="28"/>
        </w:rPr>
        <w:t>第三部分  基金管理人</w:t>
      </w:r>
      <w:r>
        <w:tab/>
      </w:r>
      <w:r>
        <w:rPr>
          <w:rFonts w:hint="eastAsia"/>
        </w:rPr>
        <w:t>3-</w:t>
      </w:r>
      <w:r>
        <w:fldChar w:fldCharType="begin"/>
      </w:r>
      <w:r>
        <w:instrText xml:space="preserve"> PAGEREF _Toc10298 \h </w:instrText>
      </w:r>
      <w:r>
        <w:fldChar w:fldCharType="separate"/>
      </w:r>
      <w:r>
        <w:t>1</w:t>
      </w:r>
      <w:r>
        <w:fldChar w:fldCharType="end"/>
      </w:r>
      <w:r>
        <w:fldChar w:fldCharType="end"/>
      </w:r>
    </w:p>
    <w:p w14:paraId="09F5DA16">
      <w:pPr>
        <w:pStyle w:val="10"/>
        <w:tabs>
          <w:tab w:val="right" w:leader="dot" w:pos="8306"/>
          <w:tab w:val="clear" w:pos="8295"/>
        </w:tabs>
      </w:pPr>
      <w:r>
        <w:fldChar w:fldCharType="begin"/>
      </w:r>
      <w:r>
        <w:instrText xml:space="preserve"> HYPERLINK \l "_Toc29058" </w:instrText>
      </w:r>
      <w:r>
        <w:fldChar w:fldCharType="separate"/>
      </w:r>
      <w:r>
        <w:rPr>
          <w:rFonts w:cs="Arial"/>
          <w:bCs/>
          <w:szCs w:val="28"/>
        </w:rPr>
        <w:t>第四部分  基金托管人</w:t>
      </w:r>
      <w:r>
        <w:tab/>
      </w:r>
      <w:r>
        <w:rPr>
          <w:rFonts w:hint="eastAsia"/>
        </w:rPr>
        <w:t>4-</w:t>
      </w:r>
      <w:r>
        <w:fldChar w:fldCharType="begin"/>
      </w:r>
      <w:r>
        <w:instrText xml:space="preserve"> PAGEREF _Toc29058 \h </w:instrText>
      </w:r>
      <w:r>
        <w:fldChar w:fldCharType="separate"/>
      </w:r>
      <w:r>
        <w:t>1</w:t>
      </w:r>
      <w:r>
        <w:fldChar w:fldCharType="end"/>
      </w:r>
      <w:r>
        <w:fldChar w:fldCharType="end"/>
      </w:r>
    </w:p>
    <w:p w14:paraId="37BC4121">
      <w:pPr>
        <w:pStyle w:val="10"/>
        <w:tabs>
          <w:tab w:val="right" w:leader="dot" w:pos="8306"/>
          <w:tab w:val="clear" w:pos="8295"/>
        </w:tabs>
      </w:pPr>
      <w:r>
        <w:fldChar w:fldCharType="begin"/>
      </w:r>
      <w:r>
        <w:instrText xml:space="preserve"> HYPERLINK \l "_Toc5325" </w:instrText>
      </w:r>
      <w:r>
        <w:fldChar w:fldCharType="separate"/>
      </w:r>
      <w:r>
        <w:rPr>
          <w:rFonts w:cs="Arial"/>
          <w:bCs/>
          <w:szCs w:val="28"/>
        </w:rPr>
        <w:t>第五部分  相关服务机构</w:t>
      </w:r>
      <w:r>
        <w:tab/>
      </w:r>
      <w:r>
        <w:fldChar w:fldCharType="end"/>
      </w:r>
      <w:r>
        <w:rPr>
          <w:rFonts w:hint="eastAsia"/>
        </w:rPr>
        <w:t>5-</w:t>
      </w:r>
      <w:r>
        <w:fldChar w:fldCharType="begin"/>
      </w:r>
      <w:r>
        <w:instrText xml:space="preserve"> PAGEREF _Toc29058 \h </w:instrText>
      </w:r>
      <w:r>
        <w:fldChar w:fldCharType="separate"/>
      </w:r>
      <w:r>
        <w:t>1</w:t>
      </w:r>
      <w:r>
        <w:fldChar w:fldCharType="end"/>
      </w:r>
    </w:p>
    <w:p w14:paraId="4C1B5F3C">
      <w:pPr>
        <w:pStyle w:val="10"/>
        <w:tabs>
          <w:tab w:val="right" w:leader="dot" w:pos="8306"/>
          <w:tab w:val="clear" w:pos="8295"/>
        </w:tabs>
      </w:pPr>
      <w:r>
        <w:fldChar w:fldCharType="begin"/>
      </w:r>
      <w:r>
        <w:instrText xml:space="preserve"> HYPERLINK \l "_Toc29750" </w:instrText>
      </w:r>
      <w:r>
        <w:fldChar w:fldCharType="separate"/>
      </w:r>
      <w:r>
        <w:rPr>
          <w:rFonts w:cs="Arial"/>
          <w:bCs/>
          <w:szCs w:val="28"/>
        </w:rPr>
        <w:t xml:space="preserve">第六部分  </w:t>
      </w:r>
      <w:r>
        <w:rPr>
          <w:rFonts w:hint="eastAsia" w:cs="Arial"/>
          <w:bCs/>
          <w:szCs w:val="28"/>
        </w:rPr>
        <w:t>基金份额的发售</w:t>
      </w:r>
      <w:r>
        <w:tab/>
      </w:r>
      <w:r>
        <w:rPr>
          <w:rFonts w:hint="eastAsia"/>
        </w:rPr>
        <w:t>6-</w:t>
      </w:r>
      <w:r>
        <w:fldChar w:fldCharType="begin"/>
      </w:r>
      <w:r>
        <w:instrText xml:space="preserve"> PAGEREF _Toc29750 \h </w:instrText>
      </w:r>
      <w:r>
        <w:fldChar w:fldCharType="separate"/>
      </w:r>
      <w:r>
        <w:t>1</w:t>
      </w:r>
      <w:r>
        <w:fldChar w:fldCharType="end"/>
      </w:r>
      <w:r>
        <w:fldChar w:fldCharType="end"/>
      </w:r>
    </w:p>
    <w:p w14:paraId="51216F3E">
      <w:pPr>
        <w:pStyle w:val="10"/>
        <w:tabs>
          <w:tab w:val="right" w:leader="dot" w:pos="8306"/>
          <w:tab w:val="clear" w:pos="8295"/>
        </w:tabs>
      </w:pPr>
      <w:r>
        <w:fldChar w:fldCharType="begin"/>
      </w:r>
      <w:r>
        <w:instrText xml:space="preserve"> HYPERLINK \l "_Toc26124" </w:instrText>
      </w:r>
      <w:r>
        <w:fldChar w:fldCharType="separate"/>
      </w:r>
      <w:r>
        <w:rPr>
          <w:rFonts w:cs="Arial"/>
          <w:bCs/>
          <w:szCs w:val="28"/>
        </w:rPr>
        <w:t>第</w:t>
      </w:r>
      <w:r>
        <w:rPr>
          <w:rFonts w:hint="eastAsia" w:cs="Arial"/>
          <w:bCs/>
          <w:szCs w:val="28"/>
        </w:rPr>
        <w:t>七</w:t>
      </w:r>
      <w:r>
        <w:rPr>
          <w:rFonts w:cs="Arial"/>
          <w:bCs/>
          <w:szCs w:val="28"/>
        </w:rPr>
        <w:t xml:space="preserve">部分  </w:t>
      </w:r>
      <w:r>
        <w:rPr>
          <w:rFonts w:hint="eastAsia" w:cs="Arial"/>
          <w:bCs/>
          <w:szCs w:val="28"/>
        </w:rPr>
        <w:t>基金合同的生效</w:t>
      </w:r>
      <w:r>
        <w:tab/>
      </w:r>
      <w:r>
        <w:rPr>
          <w:rFonts w:hint="eastAsia"/>
        </w:rPr>
        <w:t>7-</w:t>
      </w:r>
      <w:r>
        <w:fldChar w:fldCharType="begin"/>
      </w:r>
      <w:r>
        <w:instrText xml:space="preserve"> PAGEREF _Toc26124 \h </w:instrText>
      </w:r>
      <w:r>
        <w:fldChar w:fldCharType="separate"/>
      </w:r>
      <w:r>
        <w:t>1</w:t>
      </w:r>
      <w:r>
        <w:fldChar w:fldCharType="end"/>
      </w:r>
      <w:r>
        <w:fldChar w:fldCharType="end"/>
      </w:r>
    </w:p>
    <w:p w14:paraId="0AB56D53">
      <w:pPr>
        <w:pStyle w:val="10"/>
        <w:tabs>
          <w:tab w:val="right" w:leader="dot" w:pos="8306"/>
          <w:tab w:val="clear" w:pos="8295"/>
        </w:tabs>
      </w:pPr>
      <w:r>
        <w:fldChar w:fldCharType="begin"/>
      </w:r>
      <w:r>
        <w:instrText xml:space="preserve"> HYPERLINK \l "_Toc23688" </w:instrText>
      </w:r>
      <w:r>
        <w:fldChar w:fldCharType="separate"/>
      </w:r>
      <w:r>
        <w:rPr>
          <w:rFonts w:hint="eastAsia" w:cs="Arial"/>
          <w:bCs/>
          <w:szCs w:val="28"/>
        </w:rPr>
        <w:t>第八部分  基金的份额折算与变更登记</w:t>
      </w:r>
      <w:r>
        <w:tab/>
      </w:r>
      <w:r>
        <w:rPr>
          <w:rFonts w:hint="eastAsia"/>
        </w:rPr>
        <w:t>8-</w:t>
      </w:r>
      <w:r>
        <w:fldChar w:fldCharType="begin"/>
      </w:r>
      <w:r>
        <w:instrText xml:space="preserve"> PAGEREF _Toc23688 \h </w:instrText>
      </w:r>
      <w:r>
        <w:fldChar w:fldCharType="separate"/>
      </w:r>
      <w:r>
        <w:t>1</w:t>
      </w:r>
      <w:r>
        <w:fldChar w:fldCharType="end"/>
      </w:r>
      <w:r>
        <w:fldChar w:fldCharType="end"/>
      </w:r>
    </w:p>
    <w:p w14:paraId="6D2FCDC9">
      <w:pPr>
        <w:pStyle w:val="10"/>
        <w:tabs>
          <w:tab w:val="right" w:leader="dot" w:pos="8306"/>
          <w:tab w:val="clear" w:pos="8295"/>
        </w:tabs>
      </w:pPr>
      <w:r>
        <w:fldChar w:fldCharType="begin"/>
      </w:r>
      <w:r>
        <w:instrText xml:space="preserve"> HYPERLINK \l "_Toc24718" </w:instrText>
      </w:r>
      <w:r>
        <w:fldChar w:fldCharType="separate"/>
      </w:r>
      <w:r>
        <w:rPr>
          <w:rFonts w:cs="Arial"/>
          <w:bCs/>
          <w:szCs w:val="28"/>
        </w:rPr>
        <w:t>第</w:t>
      </w:r>
      <w:r>
        <w:rPr>
          <w:rFonts w:hint="eastAsia" w:cs="Arial"/>
          <w:bCs/>
          <w:szCs w:val="28"/>
        </w:rPr>
        <w:t>九</w:t>
      </w:r>
      <w:r>
        <w:rPr>
          <w:rFonts w:cs="Arial"/>
          <w:bCs/>
          <w:szCs w:val="28"/>
        </w:rPr>
        <w:t>部分  基金份额的</w:t>
      </w:r>
      <w:r>
        <w:rPr>
          <w:rFonts w:hint="eastAsia" w:cs="Arial"/>
          <w:bCs/>
          <w:szCs w:val="28"/>
        </w:rPr>
        <w:t>上市</w:t>
      </w:r>
      <w:r>
        <w:rPr>
          <w:rFonts w:cs="Arial"/>
          <w:bCs/>
          <w:szCs w:val="28"/>
        </w:rPr>
        <w:t>交易</w:t>
      </w:r>
      <w:r>
        <w:tab/>
      </w:r>
      <w:r>
        <w:rPr>
          <w:rFonts w:hint="eastAsia"/>
        </w:rPr>
        <w:t>9-</w:t>
      </w:r>
      <w:r>
        <w:fldChar w:fldCharType="begin"/>
      </w:r>
      <w:r>
        <w:instrText xml:space="preserve"> PAGEREF _Toc24718 \h </w:instrText>
      </w:r>
      <w:r>
        <w:fldChar w:fldCharType="separate"/>
      </w:r>
      <w:r>
        <w:t>1</w:t>
      </w:r>
      <w:r>
        <w:fldChar w:fldCharType="end"/>
      </w:r>
      <w:r>
        <w:fldChar w:fldCharType="end"/>
      </w:r>
    </w:p>
    <w:p w14:paraId="5DF6808B">
      <w:pPr>
        <w:pStyle w:val="10"/>
        <w:tabs>
          <w:tab w:val="right" w:leader="dot" w:pos="8306"/>
          <w:tab w:val="clear" w:pos="8295"/>
        </w:tabs>
      </w:pPr>
      <w:r>
        <w:fldChar w:fldCharType="begin"/>
      </w:r>
      <w:r>
        <w:instrText xml:space="preserve"> HYPERLINK \l "_Toc31672" </w:instrText>
      </w:r>
      <w:r>
        <w:fldChar w:fldCharType="separate"/>
      </w:r>
      <w:r>
        <w:rPr>
          <w:rFonts w:cs="Arial"/>
          <w:bCs/>
          <w:szCs w:val="28"/>
        </w:rPr>
        <w:t>第</w:t>
      </w:r>
      <w:r>
        <w:rPr>
          <w:rFonts w:hint="eastAsia" w:cs="Arial"/>
          <w:bCs/>
          <w:szCs w:val="28"/>
        </w:rPr>
        <w:t>十</w:t>
      </w:r>
      <w:r>
        <w:rPr>
          <w:rFonts w:cs="Arial"/>
          <w:bCs/>
          <w:szCs w:val="28"/>
        </w:rPr>
        <w:t>部分  基金份额的申购与赎回</w:t>
      </w:r>
      <w:r>
        <w:tab/>
      </w:r>
      <w:r>
        <w:rPr>
          <w:rFonts w:hint="eastAsia"/>
        </w:rPr>
        <w:t>10-</w:t>
      </w:r>
      <w:r>
        <w:fldChar w:fldCharType="begin"/>
      </w:r>
      <w:r>
        <w:instrText xml:space="preserve"> PAGEREF _Toc31672 \h </w:instrText>
      </w:r>
      <w:r>
        <w:fldChar w:fldCharType="separate"/>
      </w:r>
      <w:r>
        <w:t>1</w:t>
      </w:r>
      <w:r>
        <w:fldChar w:fldCharType="end"/>
      </w:r>
      <w:r>
        <w:fldChar w:fldCharType="end"/>
      </w:r>
    </w:p>
    <w:p w14:paraId="54AE3D52">
      <w:pPr>
        <w:pStyle w:val="10"/>
        <w:tabs>
          <w:tab w:val="right" w:leader="dot" w:pos="8306"/>
          <w:tab w:val="clear" w:pos="8295"/>
        </w:tabs>
      </w:pPr>
      <w:r>
        <w:fldChar w:fldCharType="begin"/>
      </w:r>
      <w:r>
        <w:instrText xml:space="preserve"> HYPERLINK \l "_Toc23411" </w:instrText>
      </w:r>
      <w:r>
        <w:fldChar w:fldCharType="separate"/>
      </w:r>
      <w:r>
        <w:rPr>
          <w:rFonts w:cs="Arial"/>
          <w:bCs/>
          <w:szCs w:val="28"/>
        </w:rPr>
        <w:t>第十</w:t>
      </w:r>
      <w:r>
        <w:rPr>
          <w:rFonts w:hint="eastAsia" w:cs="Arial"/>
          <w:bCs/>
          <w:szCs w:val="28"/>
        </w:rPr>
        <w:t>一</w:t>
      </w:r>
      <w:r>
        <w:rPr>
          <w:rFonts w:cs="Arial"/>
          <w:bCs/>
          <w:szCs w:val="28"/>
        </w:rPr>
        <w:t>部分  基金的投资</w:t>
      </w:r>
      <w:r>
        <w:tab/>
      </w:r>
      <w:r>
        <w:rPr>
          <w:rFonts w:hint="eastAsia"/>
        </w:rPr>
        <w:t>11-</w:t>
      </w:r>
      <w:r>
        <w:fldChar w:fldCharType="begin"/>
      </w:r>
      <w:r>
        <w:instrText xml:space="preserve"> PAGEREF _Toc23411 \h </w:instrText>
      </w:r>
      <w:r>
        <w:fldChar w:fldCharType="separate"/>
      </w:r>
      <w:r>
        <w:t>1</w:t>
      </w:r>
      <w:r>
        <w:fldChar w:fldCharType="end"/>
      </w:r>
      <w:r>
        <w:fldChar w:fldCharType="end"/>
      </w:r>
    </w:p>
    <w:p w14:paraId="3B73510D">
      <w:pPr>
        <w:pStyle w:val="10"/>
        <w:tabs>
          <w:tab w:val="right" w:leader="dot" w:pos="8306"/>
          <w:tab w:val="clear" w:pos="8295"/>
        </w:tabs>
      </w:pPr>
      <w:r>
        <w:fldChar w:fldCharType="begin"/>
      </w:r>
      <w:r>
        <w:instrText xml:space="preserve"> HYPERLINK \l "_Toc29639" </w:instrText>
      </w:r>
      <w:r>
        <w:fldChar w:fldCharType="separate"/>
      </w:r>
      <w:r>
        <w:rPr>
          <w:rFonts w:cs="Arial"/>
          <w:bCs/>
          <w:szCs w:val="28"/>
        </w:rPr>
        <w:t>第十</w:t>
      </w:r>
      <w:r>
        <w:rPr>
          <w:rFonts w:hint="eastAsia" w:cs="Arial"/>
          <w:bCs/>
          <w:szCs w:val="28"/>
        </w:rPr>
        <w:t>二</w:t>
      </w:r>
      <w:r>
        <w:rPr>
          <w:rFonts w:cs="Arial"/>
          <w:bCs/>
          <w:szCs w:val="28"/>
        </w:rPr>
        <w:t>部分  基金的财产</w:t>
      </w:r>
      <w:r>
        <w:tab/>
      </w:r>
      <w:r>
        <w:fldChar w:fldCharType="end"/>
      </w:r>
      <w:r>
        <w:rPr>
          <w:rFonts w:hint="eastAsia"/>
        </w:rPr>
        <w:t>12-</w:t>
      </w:r>
      <w:r>
        <w:fldChar w:fldCharType="begin"/>
      </w:r>
      <w:r>
        <w:instrText xml:space="preserve"> PAGEREF _Toc23411 \h </w:instrText>
      </w:r>
      <w:r>
        <w:fldChar w:fldCharType="separate"/>
      </w:r>
      <w:r>
        <w:t>1</w:t>
      </w:r>
      <w:r>
        <w:fldChar w:fldCharType="end"/>
      </w:r>
    </w:p>
    <w:p w14:paraId="51F92687">
      <w:pPr>
        <w:pStyle w:val="10"/>
        <w:tabs>
          <w:tab w:val="right" w:leader="dot" w:pos="8306"/>
          <w:tab w:val="clear" w:pos="8295"/>
        </w:tabs>
      </w:pPr>
      <w:r>
        <w:fldChar w:fldCharType="begin"/>
      </w:r>
      <w:r>
        <w:instrText xml:space="preserve"> HYPERLINK \l "_Toc25261" </w:instrText>
      </w:r>
      <w:r>
        <w:fldChar w:fldCharType="separate"/>
      </w:r>
      <w:r>
        <w:rPr>
          <w:rFonts w:cs="Arial"/>
          <w:bCs/>
          <w:szCs w:val="28"/>
        </w:rPr>
        <w:t>第十</w:t>
      </w:r>
      <w:r>
        <w:rPr>
          <w:rFonts w:hint="eastAsia" w:cs="Arial"/>
          <w:bCs/>
          <w:szCs w:val="28"/>
        </w:rPr>
        <w:t>三</w:t>
      </w:r>
      <w:r>
        <w:rPr>
          <w:rFonts w:cs="Arial"/>
          <w:bCs/>
          <w:szCs w:val="28"/>
        </w:rPr>
        <w:t>部分  基金资产的估值</w:t>
      </w:r>
      <w:r>
        <w:tab/>
      </w:r>
      <w:r>
        <w:rPr>
          <w:rFonts w:hint="eastAsia"/>
        </w:rPr>
        <w:t>13-</w:t>
      </w:r>
      <w:r>
        <w:fldChar w:fldCharType="begin"/>
      </w:r>
      <w:r>
        <w:instrText xml:space="preserve"> PAGEREF _Toc25261 \h </w:instrText>
      </w:r>
      <w:r>
        <w:fldChar w:fldCharType="separate"/>
      </w:r>
      <w:r>
        <w:t>1</w:t>
      </w:r>
      <w:r>
        <w:fldChar w:fldCharType="end"/>
      </w:r>
      <w:r>
        <w:fldChar w:fldCharType="end"/>
      </w:r>
    </w:p>
    <w:p w14:paraId="5E47FBD5">
      <w:pPr>
        <w:pStyle w:val="10"/>
        <w:tabs>
          <w:tab w:val="right" w:leader="dot" w:pos="8306"/>
          <w:tab w:val="clear" w:pos="8295"/>
        </w:tabs>
      </w:pPr>
      <w:r>
        <w:fldChar w:fldCharType="begin"/>
      </w:r>
      <w:r>
        <w:instrText xml:space="preserve"> HYPERLINK \l "_Toc4871" </w:instrText>
      </w:r>
      <w:r>
        <w:fldChar w:fldCharType="separate"/>
      </w:r>
      <w:r>
        <w:rPr>
          <w:rFonts w:cs="Arial"/>
          <w:bCs/>
          <w:szCs w:val="28"/>
        </w:rPr>
        <w:t>第十</w:t>
      </w:r>
      <w:r>
        <w:rPr>
          <w:rFonts w:hint="eastAsia" w:cs="Arial"/>
          <w:bCs/>
          <w:szCs w:val="28"/>
        </w:rPr>
        <w:t>四部分  基金的收益与分配</w:t>
      </w:r>
      <w:r>
        <w:tab/>
      </w:r>
      <w:r>
        <w:rPr>
          <w:rFonts w:hint="eastAsia"/>
        </w:rPr>
        <w:t>14-</w:t>
      </w:r>
      <w:r>
        <w:fldChar w:fldCharType="begin"/>
      </w:r>
      <w:r>
        <w:instrText xml:space="preserve"> PAGEREF _Toc4871 \h </w:instrText>
      </w:r>
      <w:r>
        <w:fldChar w:fldCharType="separate"/>
      </w:r>
      <w:r>
        <w:t>1</w:t>
      </w:r>
      <w:r>
        <w:fldChar w:fldCharType="end"/>
      </w:r>
      <w:r>
        <w:fldChar w:fldCharType="end"/>
      </w:r>
    </w:p>
    <w:p w14:paraId="0A94FEB6">
      <w:pPr>
        <w:pStyle w:val="10"/>
        <w:tabs>
          <w:tab w:val="right" w:leader="dot" w:pos="8306"/>
          <w:tab w:val="clear" w:pos="8295"/>
        </w:tabs>
      </w:pPr>
      <w:r>
        <w:fldChar w:fldCharType="begin"/>
      </w:r>
      <w:r>
        <w:instrText xml:space="preserve"> HYPERLINK \l "_Toc23750" </w:instrText>
      </w:r>
      <w:r>
        <w:fldChar w:fldCharType="separate"/>
      </w:r>
      <w:r>
        <w:rPr>
          <w:rFonts w:cs="Arial"/>
          <w:bCs/>
          <w:szCs w:val="28"/>
        </w:rPr>
        <w:t>第十</w:t>
      </w:r>
      <w:r>
        <w:rPr>
          <w:rFonts w:hint="eastAsia" w:cs="Arial"/>
          <w:bCs/>
          <w:szCs w:val="28"/>
        </w:rPr>
        <w:t>五</w:t>
      </w:r>
      <w:r>
        <w:rPr>
          <w:rFonts w:cs="Arial"/>
          <w:bCs/>
          <w:szCs w:val="28"/>
        </w:rPr>
        <w:t>部分  基金费用与税收</w:t>
      </w:r>
      <w:r>
        <w:tab/>
      </w:r>
      <w:r>
        <w:rPr>
          <w:rFonts w:hint="eastAsia"/>
        </w:rPr>
        <w:t>15-</w:t>
      </w:r>
      <w:r>
        <w:fldChar w:fldCharType="begin"/>
      </w:r>
      <w:r>
        <w:instrText xml:space="preserve"> PAGEREF _Toc23750 \h </w:instrText>
      </w:r>
      <w:r>
        <w:fldChar w:fldCharType="separate"/>
      </w:r>
      <w:r>
        <w:t>1</w:t>
      </w:r>
      <w:r>
        <w:fldChar w:fldCharType="end"/>
      </w:r>
      <w:r>
        <w:fldChar w:fldCharType="end"/>
      </w:r>
    </w:p>
    <w:p w14:paraId="10FC47EA">
      <w:pPr>
        <w:pStyle w:val="10"/>
        <w:tabs>
          <w:tab w:val="right" w:leader="dot" w:pos="8306"/>
          <w:tab w:val="clear" w:pos="8295"/>
        </w:tabs>
      </w:pPr>
      <w:r>
        <w:fldChar w:fldCharType="begin"/>
      </w:r>
      <w:r>
        <w:instrText xml:space="preserve"> HYPERLINK \l "_Toc14674" </w:instrText>
      </w:r>
      <w:r>
        <w:fldChar w:fldCharType="separate"/>
      </w:r>
      <w:r>
        <w:rPr>
          <w:rFonts w:cs="Arial"/>
          <w:bCs/>
          <w:szCs w:val="28"/>
        </w:rPr>
        <w:t>第十</w:t>
      </w:r>
      <w:r>
        <w:rPr>
          <w:rFonts w:hint="eastAsia" w:cs="Arial"/>
          <w:bCs/>
          <w:szCs w:val="28"/>
        </w:rPr>
        <w:t>六</w:t>
      </w:r>
      <w:r>
        <w:rPr>
          <w:rFonts w:cs="Arial"/>
          <w:bCs/>
          <w:szCs w:val="28"/>
        </w:rPr>
        <w:t>部分  基金的会计与审计</w:t>
      </w:r>
      <w:r>
        <w:tab/>
      </w:r>
      <w:r>
        <w:rPr>
          <w:rFonts w:hint="eastAsia"/>
        </w:rPr>
        <w:t>16-</w:t>
      </w:r>
      <w:r>
        <w:fldChar w:fldCharType="begin"/>
      </w:r>
      <w:r>
        <w:instrText xml:space="preserve"> PAGEREF _Toc14674 \h </w:instrText>
      </w:r>
      <w:r>
        <w:fldChar w:fldCharType="separate"/>
      </w:r>
      <w:r>
        <w:t>1</w:t>
      </w:r>
      <w:r>
        <w:fldChar w:fldCharType="end"/>
      </w:r>
      <w:r>
        <w:fldChar w:fldCharType="end"/>
      </w:r>
    </w:p>
    <w:p w14:paraId="395F8D89">
      <w:pPr>
        <w:pStyle w:val="10"/>
        <w:tabs>
          <w:tab w:val="right" w:leader="dot" w:pos="8306"/>
          <w:tab w:val="clear" w:pos="8295"/>
        </w:tabs>
      </w:pPr>
      <w:r>
        <w:fldChar w:fldCharType="begin"/>
      </w:r>
      <w:r>
        <w:instrText xml:space="preserve"> HYPERLINK \l "_Toc22466" </w:instrText>
      </w:r>
      <w:r>
        <w:fldChar w:fldCharType="separate"/>
      </w:r>
      <w:r>
        <w:rPr>
          <w:rFonts w:cs="Arial"/>
          <w:bCs/>
          <w:szCs w:val="28"/>
        </w:rPr>
        <w:t>第十</w:t>
      </w:r>
      <w:r>
        <w:rPr>
          <w:rFonts w:hint="eastAsia" w:cs="Arial"/>
          <w:bCs/>
          <w:szCs w:val="28"/>
        </w:rPr>
        <w:t>七</w:t>
      </w:r>
      <w:r>
        <w:rPr>
          <w:rFonts w:cs="Arial"/>
          <w:bCs/>
          <w:szCs w:val="28"/>
        </w:rPr>
        <w:t>部分  基金的信息披露</w:t>
      </w:r>
      <w:r>
        <w:tab/>
      </w:r>
      <w:r>
        <w:rPr>
          <w:rFonts w:hint="eastAsia"/>
        </w:rPr>
        <w:t>17-</w:t>
      </w:r>
      <w:r>
        <w:fldChar w:fldCharType="begin"/>
      </w:r>
      <w:r>
        <w:instrText xml:space="preserve"> PAGEREF _Toc22466 \h </w:instrText>
      </w:r>
      <w:r>
        <w:fldChar w:fldCharType="separate"/>
      </w:r>
      <w:r>
        <w:t>1</w:t>
      </w:r>
      <w:r>
        <w:fldChar w:fldCharType="end"/>
      </w:r>
      <w:r>
        <w:fldChar w:fldCharType="end"/>
      </w:r>
    </w:p>
    <w:p w14:paraId="21C59D15">
      <w:pPr>
        <w:pStyle w:val="10"/>
        <w:tabs>
          <w:tab w:val="right" w:leader="dot" w:pos="8306"/>
          <w:tab w:val="clear" w:pos="8295"/>
        </w:tabs>
      </w:pPr>
      <w:r>
        <w:fldChar w:fldCharType="begin"/>
      </w:r>
      <w:r>
        <w:instrText xml:space="preserve"> HYPERLINK \l "_Toc31720" </w:instrText>
      </w:r>
      <w:r>
        <w:fldChar w:fldCharType="separate"/>
      </w:r>
      <w:r>
        <w:rPr>
          <w:rFonts w:cs="Arial"/>
          <w:bCs/>
          <w:szCs w:val="28"/>
        </w:rPr>
        <w:t>第十</w:t>
      </w:r>
      <w:r>
        <w:rPr>
          <w:rFonts w:hint="eastAsia" w:cs="Arial"/>
          <w:bCs/>
          <w:szCs w:val="28"/>
        </w:rPr>
        <w:t>八</w:t>
      </w:r>
      <w:r>
        <w:rPr>
          <w:rFonts w:cs="Arial"/>
          <w:bCs/>
          <w:szCs w:val="28"/>
        </w:rPr>
        <w:t>部分  风险揭示</w:t>
      </w:r>
      <w:r>
        <w:tab/>
      </w:r>
      <w:r>
        <w:rPr>
          <w:rFonts w:hint="eastAsia"/>
        </w:rPr>
        <w:t>18-</w:t>
      </w:r>
      <w:r>
        <w:fldChar w:fldCharType="begin"/>
      </w:r>
      <w:r>
        <w:instrText xml:space="preserve"> PAGEREF _Toc31720 \h </w:instrText>
      </w:r>
      <w:r>
        <w:fldChar w:fldCharType="separate"/>
      </w:r>
      <w:r>
        <w:t>1</w:t>
      </w:r>
      <w:r>
        <w:fldChar w:fldCharType="end"/>
      </w:r>
      <w:r>
        <w:fldChar w:fldCharType="end"/>
      </w:r>
    </w:p>
    <w:p w14:paraId="35280014">
      <w:pPr>
        <w:pStyle w:val="10"/>
        <w:tabs>
          <w:tab w:val="right" w:leader="dot" w:pos="8306"/>
          <w:tab w:val="clear" w:pos="8295"/>
        </w:tabs>
      </w:pPr>
      <w:r>
        <w:fldChar w:fldCharType="begin"/>
      </w:r>
      <w:r>
        <w:instrText xml:space="preserve"> HYPERLINK \l "_Toc32258" </w:instrText>
      </w:r>
      <w:r>
        <w:fldChar w:fldCharType="separate"/>
      </w:r>
      <w:r>
        <w:rPr>
          <w:rFonts w:cs="Arial"/>
          <w:bCs/>
          <w:szCs w:val="28"/>
        </w:rPr>
        <w:t>第</w:t>
      </w:r>
      <w:r>
        <w:rPr>
          <w:rFonts w:hint="eastAsia" w:cs="Arial"/>
          <w:bCs/>
          <w:szCs w:val="28"/>
        </w:rPr>
        <w:t>十九</w:t>
      </w:r>
      <w:r>
        <w:rPr>
          <w:rFonts w:cs="Arial"/>
          <w:bCs/>
          <w:szCs w:val="28"/>
        </w:rPr>
        <w:t>部分  基金合同的变更、终止与基金财产的清算</w:t>
      </w:r>
      <w:r>
        <w:tab/>
      </w:r>
      <w:r>
        <w:rPr>
          <w:rFonts w:hint="eastAsia"/>
        </w:rPr>
        <w:t>19-</w:t>
      </w:r>
      <w:r>
        <w:fldChar w:fldCharType="begin"/>
      </w:r>
      <w:r>
        <w:instrText xml:space="preserve"> PAGEREF _Toc32258 \h </w:instrText>
      </w:r>
      <w:r>
        <w:fldChar w:fldCharType="separate"/>
      </w:r>
      <w:r>
        <w:t>1</w:t>
      </w:r>
      <w:r>
        <w:fldChar w:fldCharType="end"/>
      </w:r>
      <w:r>
        <w:fldChar w:fldCharType="end"/>
      </w:r>
    </w:p>
    <w:p w14:paraId="5A97C3C0">
      <w:pPr>
        <w:pStyle w:val="10"/>
        <w:tabs>
          <w:tab w:val="right" w:leader="dot" w:pos="8306"/>
          <w:tab w:val="clear" w:pos="8295"/>
        </w:tabs>
      </w:pPr>
      <w:r>
        <w:fldChar w:fldCharType="begin"/>
      </w:r>
      <w:r>
        <w:instrText xml:space="preserve"> HYPERLINK \l "_Toc9535" </w:instrText>
      </w:r>
      <w:r>
        <w:fldChar w:fldCharType="separate"/>
      </w:r>
      <w:r>
        <w:rPr>
          <w:rFonts w:cs="Arial"/>
          <w:bCs/>
          <w:szCs w:val="28"/>
        </w:rPr>
        <w:t>第</w:t>
      </w:r>
      <w:r>
        <w:rPr>
          <w:rFonts w:hint="eastAsia" w:cs="Arial"/>
          <w:bCs/>
          <w:szCs w:val="28"/>
        </w:rPr>
        <w:t>二十</w:t>
      </w:r>
      <w:r>
        <w:rPr>
          <w:rFonts w:cs="Arial"/>
          <w:bCs/>
          <w:szCs w:val="28"/>
        </w:rPr>
        <w:t>部分  基金合同的内容摘要</w:t>
      </w:r>
      <w:r>
        <w:tab/>
      </w:r>
      <w:r>
        <w:rPr>
          <w:rFonts w:hint="eastAsia"/>
        </w:rPr>
        <w:t>20-</w:t>
      </w:r>
      <w:r>
        <w:fldChar w:fldCharType="begin"/>
      </w:r>
      <w:r>
        <w:instrText xml:space="preserve"> PAGEREF _Toc9535 \h </w:instrText>
      </w:r>
      <w:r>
        <w:fldChar w:fldCharType="separate"/>
      </w:r>
      <w:r>
        <w:t>1</w:t>
      </w:r>
      <w:r>
        <w:fldChar w:fldCharType="end"/>
      </w:r>
      <w:r>
        <w:fldChar w:fldCharType="end"/>
      </w:r>
    </w:p>
    <w:p w14:paraId="0B3D7758">
      <w:pPr>
        <w:pStyle w:val="10"/>
        <w:tabs>
          <w:tab w:val="right" w:leader="dot" w:pos="8306"/>
          <w:tab w:val="clear" w:pos="8295"/>
        </w:tabs>
      </w:pPr>
      <w:r>
        <w:fldChar w:fldCharType="begin"/>
      </w:r>
      <w:r>
        <w:instrText xml:space="preserve"> HYPERLINK \l "_Toc31577" </w:instrText>
      </w:r>
      <w:r>
        <w:fldChar w:fldCharType="separate"/>
      </w:r>
      <w:r>
        <w:rPr>
          <w:rFonts w:cs="Arial"/>
          <w:bCs/>
          <w:szCs w:val="28"/>
        </w:rPr>
        <w:t>第二十</w:t>
      </w:r>
      <w:r>
        <w:rPr>
          <w:rFonts w:hint="eastAsia" w:cs="Arial"/>
          <w:bCs/>
          <w:szCs w:val="28"/>
        </w:rPr>
        <w:t>一</w:t>
      </w:r>
      <w:r>
        <w:rPr>
          <w:rFonts w:cs="Arial"/>
          <w:bCs/>
          <w:szCs w:val="28"/>
        </w:rPr>
        <w:t>部分  基金托管协议的内容摘要</w:t>
      </w:r>
      <w:r>
        <w:tab/>
      </w:r>
      <w:r>
        <w:rPr>
          <w:rFonts w:hint="eastAsia"/>
        </w:rPr>
        <w:t>21-</w:t>
      </w:r>
      <w:r>
        <w:fldChar w:fldCharType="begin"/>
      </w:r>
      <w:r>
        <w:instrText xml:space="preserve"> PAGEREF _Toc31577 \h </w:instrText>
      </w:r>
      <w:r>
        <w:fldChar w:fldCharType="separate"/>
      </w:r>
      <w:r>
        <w:t>1</w:t>
      </w:r>
      <w:r>
        <w:fldChar w:fldCharType="end"/>
      </w:r>
      <w:r>
        <w:fldChar w:fldCharType="end"/>
      </w:r>
    </w:p>
    <w:p w14:paraId="50180F3C">
      <w:pPr>
        <w:pStyle w:val="10"/>
        <w:tabs>
          <w:tab w:val="right" w:leader="dot" w:pos="8306"/>
          <w:tab w:val="clear" w:pos="8295"/>
        </w:tabs>
      </w:pPr>
      <w:r>
        <w:fldChar w:fldCharType="begin"/>
      </w:r>
      <w:r>
        <w:instrText xml:space="preserve"> HYPERLINK \l "_Toc22601" </w:instrText>
      </w:r>
      <w:r>
        <w:fldChar w:fldCharType="separate"/>
      </w:r>
      <w:r>
        <w:rPr>
          <w:rFonts w:cs="Arial"/>
          <w:bCs/>
          <w:szCs w:val="28"/>
        </w:rPr>
        <w:t>第二十</w:t>
      </w:r>
      <w:r>
        <w:rPr>
          <w:rFonts w:hint="eastAsia" w:cs="Arial"/>
          <w:bCs/>
          <w:szCs w:val="28"/>
        </w:rPr>
        <w:t>二</w:t>
      </w:r>
      <w:r>
        <w:rPr>
          <w:rFonts w:cs="Arial"/>
          <w:bCs/>
          <w:szCs w:val="28"/>
        </w:rPr>
        <w:t>部分  对基金份额持有人的服务</w:t>
      </w:r>
      <w:r>
        <w:tab/>
      </w:r>
      <w:r>
        <w:rPr>
          <w:rFonts w:hint="eastAsia"/>
        </w:rPr>
        <w:t>22-</w:t>
      </w:r>
      <w:r>
        <w:fldChar w:fldCharType="begin"/>
      </w:r>
      <w:r>
        <w:instrText xml:space="preserve"> PAGEREF _Toc22601 \h </w:instrText>
      </w:r>
      <w:r>
        <w:fldChar w:fldCharType="separate"/>
      </w:r>
      <w:r>
        <w:t>1</w:t>
      </w:r>
      <w:r>
        <w:fldChar w:fldCharType="end"/>
      </w:r>
      <w:r>
        <w:fldChar w:fldCharType="end"/>
      </w:r>
    </w:p>
    <w:p w14:paraId="460D4757">
      <w:pPr>
        <w:pStyle w:val="10"/>
        <w:tabs>
          <w:tab w:val="right" w:leader="dot" w:pos="8306"/>
          <w:tab w:val="clear" w:pos="8295"/>
        </w:tabs>
      </w:pPr>
      <w:r>
        <w:fldChar w:fldCharType="begin"/>
      </w:r>
      <w:r>
        <w:instrText xml:space="preserve"> HYPERLINK \l "_Toc7090" </w:instrText>
      </w:r>
      <w:r>
        <w:fldChar w:fldCharType="separate"/>
      </w:r>
      <w:r>
        <w:rPr>
          <w:rFonts w:cs="Arial"/>
          <w:bCs/>
          <w:szCs w:val="28"/>
        </w:rPr>
        <w:t>第二十</w:t>
      </w:r>
      <w:r>
        <w:rPr>
          <w:rFonts w:hint="eastAsia" w:cs="Arial"/>
          <w:bCs/>
          <w:szCs w:val="28"/>
        </w:rPr>
        <w:t>三</w:t>
      </w:r>
      <w:r>
        <w:rPr>
          <w:rFonts w:cs="Arial"/>
          <w:bCs/>
          <w:szCs w:val="28"/>
        </w:rPr>
        <w:t>部分  招募说明书存放及查阅方式</w:t>
      </w:r>
      <w:r>
        <w:tab/>
      </w:r>
      <w:r>
        <w:rPr>
          <w:rFonts w:hint="eastAsia"/>
        </w:rPr>
        <w:t>23-</w:t>
      </w:r>
      <w:r>
        <w:fldChar w:fldCharType="begin"/>
      </w:r>
      <w:r>
        <w:instrText xml:space="preserve"> PAGEREF _Toc7090 \h </w:instrText>
      </w:r>
      <w:r>
        <w:fldChar w:fldCharType="separate"/>
      </w:r>
      <w:r>
        <w:t>1</w:t>
      </w:r>
      <w:r>
        <w:fldChar w:fldCharType="end"/>
      </w:r>
      <w:r>
        <w:fldChar w:fldCharType="end"/>
      </w:r>
    </w:p>
    <w:p w14:paraId="0676A695">
      <w:pPr>
        <w:pStyle w:val="10"/>
        <w:tabs>
          <w:tab w:val="right" w:leader="dot" w:pos="8306"/>
          <w:tab w:val="clear" w:pos="8295"/>
        </w:tabs>
      </w:pPr>
      <w:r>
        <w:fldChar w:fldCharType="begin"/>
      </w:r>
      <w:r>
        <w:instrText xml:space="preserve"> HYPERLINK \l "_Toc6910" </w:instrText>
      </w:r>
      <w:r>
        <w:fldChar w:fldCharType="separate"/>
      </w:r>
      <w:r>
        <w:rPr>
          <w:rFonts w:hint="eastAsia" w:cs="Arial"/>
          <w:bCs/>
          <w:szCs w:val="28"/>
        </w:rPr>
        <w:t xml:space="preserve">第二十四部分  </w:t>
      </w:r>
      <w:r>
        <w:rPr>
          <w:rFonts w:cs="Arial"/>
          <w:bCs/>
          <w:szCs w:val="28"/>
        </w:rPr>
        <w:t>备查文件</w:t>
      </w:r>
      <w:r>
        <w:tab/>
      </w:r>
      <w:r>
        <w:rPr>
          <w:rFonts w:hint="eastAsia"/>
        </w:rPr>
        <w:t>24-</w:t>
      </w:r>
      <w:r>
        <w:fldChar w:fldCharType="begin"/>
      </w:r>
      <w:r>
        <w:instrText xml:space="preserve"> PAGEREF _Toc6910 \h </w:instrText>
      </w:r>
      <w:r>
        <w:fldChar w:fldCharType="separate"/>
      </w:r>
      <w:r>
        <w:t>1</w:t>
      </w:r>
      <w:r>
        <w:fldChar w:fldCharType="end"/>
      </w:r>
      <w:r>
        <w:fldChar w:fldCharType="end"/>
      </w:r>
    </w:p>
    <w:p w14:paraId="3CA46207">
      <w:pPr>
        <w:pStyle w:val="10"/>
        <w:rPr>
          <w:rFonts w:cs="Arial"/>
          <w:b/>
          <w:bCs/>
          <w:spacing w:val="120"/>
        </w:rPr>
        <w:sectPr>
          <w:footerReference r:id="rId10" w:type="first"/>
          <w:footerReference r:id="rId9" w:type="default"/>
          <w:pgSz w:w="11906" w:h="16838"/>
          <w:pgMar w:top="1440" w:right="1800" w:bottom="1440" w:left="1800" w:header="851" w:footer="992" w:gutter="0"/>
          <w:pgNumType w:start="1"/>
          <w:cols w:space="720" w:num="1"/>
          <w:docGrid w:linePitch="312" w:charSpace="0"/>
        </w:sectPr>
      </w:pPr>
      <w:r>
        <w:rPr>
          <w:rFonts w:cs="Arial"/>
          <w:bCs/>
          <w:spacing w:val="120"/>
        </w:rPr>
        <w:fldChar w:fldCharType="end"/>
      </w:r>
    </w:p>
    <w:p w14:paraId="1C0AA8EC">
      <w:pPr>
        <w:pStyle w:val="2"/>
        <w:snapToGrid w:val="0"/>
        <w:spacing w:before="0" w:after="0" w:line="360" w:lineRule="auto"/>
        <w:ind w:firstLine="141" w:firstLineChars="50"/>
        <w:rPr>
          <w:rFonts w:hAnsi="宋体" w:eastAsia="宋体" w:cs="Arial"/>
          <w:sz w:val="28"/>
          <w:szCs w:val="28"/>
        </w:rPr>
        <w:sectPr>
          <w:footerReference r:id="rId12" w:type="first"/>
          <w:footerReference r:id="rId11" w:type="default"/>
          <w:type w:val="continuous"/>
          <w:pgSz w:w="11906" w:h="16838"/>
          <w:pgMar w:top="1440" w:right="1800" w:bottom="1440" w:left="1800" w:header="851" w:footer="992" w:gutter="0"/>
          <w:cols w:space="720" w:num="1"/>
          <w:titlePg/>
          <w:docGrid w:linePitch="312" w:charSpace="0"/>
        </w:sectPr>
      </w:pPr>
    </w:p>
    <w:p w14:paraId="7470CE89">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0" w:name="_Toc8052738"/>
      <w:bookmarkStart w:id="1" w:name="_Toc91110269"/>
      <w:bookmarkStart w:id="2" w:name="_Toc28416"/>
      <w:r>
        <w:rPr>
          <w:rFonts w:ascii="宋体" w:hAnsi="宋体" w:eastAsia="宋体" w:cs="Arial"/>
          <w:kern w:val="0"/>
          <w:sz w:val="28"/>
          <w:szCs w:val="28"/>
        </w:rPr>
        <w:t>第一部分  绪言</w:t>
      </w:r>
      <w:bookmarkEnd w:id="0"/>
      <w:bookmarkEnd w:id="1"/>
      <w:bookmarkEnd w:id="2"/>
    </w:p>
    <w:p w14:paraId="26B04207">
      <w:pPr>
        <w:autoSpaceDE w:val="0"/>
        <w:autoSpaceDN w:val="0"/>
        <w:adjustRightInd w:val="0"/>
        <w:snapToGrid w:val="0"/>
        <w:spacing w:line="360" w:lineRule="auto"/>
        <w:ind w:firstLine="420" w:firstLineChars="200"/>
        <w:rPr>
          <w:rFonts w:ascii="宋体" w:hAnsi="宋体" w:cs="Arial"/>
        </w:rPr>
      </w:pPr>
    </w:p>
    <w:p w14:paraId="52E1BB84">
      <w:pPr>
        <w:spacing w:line="360" w:lineRule="auto"/>
        <w:ind w:firstLine="420" w:firstLineChars="200"/>
        <w:rPr>
          <w:rFonts w:ascii="宋体" w:hAnsi="宋体" w:cs="Arial"/>
        </w:rPr>
      </w:pPr>
      <w:r>
        <w:rPr>
          <w:rFonts w:ascii="宋体" w:hAnsi="宋体" w:cs="Arial"/>
        </w:rPr>
        <w:t>《</w:t>
      </w:r>
      <w:r>
        <w:rPr>
          <w:rFonts w:hint="eastAsia" w:ascii="宋体" w:hAnsi="宋体" w:cs="Arial"/>
        </w:rPr>
        <w:t>博时中证全指红利质量交易型开放式指数证券投资基金</w:t>
      </w:r>
      <w:r>
        <w:rPr>
          <w:rFonts w:ascii="宋体" w:hAnsi="宋体" w:cs="Arial"/>
        </w:rPr>
        <w:t>招募说明书》（以下简称</w:t>
      </w:r>
      <w:r>
        <w:rPr>
          <w:rFonts w:hint="eastAsia" w:ascii="宋体" w:hAnsi="宋体" w:cs="Arial"/>
        </w:rPr>
        <w:t>“</w:t>
      </w:r>
      <w:r>
        <w:rPr>
          <w:rFonts w:ascii="宋体" w:hAnsi="宋体" w:cs="Arial"/>
        </w:rPr>
        <w:t>招募说明书</w:t>
      </w:r>
      <w:r>
        <w:rPr>
          <w:rFonts w:hint="eastAsia" w:ascii="宋体" w:hAnsi="宋体" w:cs="Arial"/>
        </w:rPr>
        <w:t>”</w:t>
      </w:r>
      <w:r>
        <w:rPr>
          <w:rFonts w:ascii="宋体" w:hAnsi="宋体" w:cs="Arial"/>
        </w:rPr>
        <w:t>或</w:t>
      </w:r>
      <w:r>
        <w:rPr>
          <w:rFonts w:hint="eastAsia" w:ascii="宋体" w:hAnsi="宋体" w:cs="Arial"/>
        </w:rPr>
        <w:t>“</w:t>
      </w:r>
      <w:r>
        <w:rPr>
          <w:rFonts w:ascii="宋体" w:hAnsi="宋体" w:cs="Arial"/>
        </w:rPr>
        <w:t>本招募说明书</w:t>
      </w:r>
      <w:r>
        <w:rPr>
          <w:rFonts w:hint="eastAsia" w:ascii="宋体" w:hAnsi="宋体" w:cs="Arial"/>
        </w:rPr>
        <w:t>”</w:t>
      </w:r>
      <w:r>
        <w:rPr>
          <w:rFonts w:ascii="宋体" w:hAnsi="宋体" w:cs="Arial"/>
        </w:rPr>
        <w:t>）依照</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《中华人民共和国民法典》、</w:t>
      </w:r>
      <w:r>
        <w:rPr>
          <w:rFonts w:ascii="宋体" w:hAnsi="宋体" w:cs="Arial"/>
        </w:rPr>
        <w:t>《中华人民共和国证券投资基金法》（以下简称</w:t>
      </w:r>
      <w:r>
        <w:rPr>
          <w:rFonts w:hint="eastAsia" w:ascii="宋体" w:hAnsi="宋体" w:cs="Arial"/>
        </w:rPr>
        <w:t>“</w:t>
      </w:r>
      <w:r>
        <w:rPr>
          <w:rFonts w:ascii="宋体" w:hAnsi="宋体" w:cs="Arial"/>
        </w:rPr>
        <w:t>《基金法》</w:t>
      </w:r>
      <w:r>
        <w:rPr>
          <w:rFonts w:hint="eastAsia" w:ascii="宋体" w:hAnsi="宋体" w:cs="Arial"/>
        </w:rPr>
        <w:t>”</w:t>
      </w:r>
      <w:r>
        <w:rPr>
          <w:rFonts w:ascii="宋体" w:hAnsi="宋体" w:cs="Arial"/>
        </w:rPr>
        <w:t>）、《</w:t>
      </w:r>
      <w:r>
        <w:rPr>
          <w:rFonts w:hint="eastAsia" w:ascii="宋体" w:hAnsi="宋体" w:cs="Arial"/>
        </w:rPr>
        <w:t>公开募集证券投资基金运作管理办法</w:t>
      </w:r>
      <w:r>
        <w:rPr>
          <w:rFonts w:ascii="宋体" w:hAnsi="宋体" w:cs="Arial"/>
        </w:rPr>
        <w:t>》（以下简称</w:t>
      </w:r>
      <w:r>
        <w:rPr>
          <w:rFonts w:hint="eastAsia" w:ascii="宋体" w:hAnsi="宋体" w:cs="Arial"/>
        </w:rPr>
        <w:t>“</w:t>
      </w:r>
      <w:r>
        <w:rPr>
          <w:rFonts w:ascii="宋体" w:hAnsi="宋体" w:cs="Arial"/>
        </w:rPr>
        <w:t>《运作办法》</w:t>
      </w:r>
      <w:r>
        <w:rPr>
          <w:rFonts w:hint="eastAsia" w:ascii="宋体" w:hAnsi="宋体" w:cs="Arial"/>
        </w:rPr>
        <w:t>”</w:t>
      </w:r>
      <w:r>
        <w:rPr>
          <w:rFonts w:ascii="宋体" w:hAnsi="宋体" w:cs="Arial"/>
        </w:rPr>
        <w:t>）、《</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公开募集证券投资基金销售机构监督管理办法</w:t>
      </w:r>
      <w:r>
        <w:rPr>
          <w:rFonts w:ascii="宋体" w:hAnsi="宋体" w:cs="Arial"/>
        </w:rPr>
        <w:t>》（以下简称</w:t>
      </w:r>
      <w:r>
        <w:rPr>
          <w:rFonts w:hint="eastAsia" w:ascii="宋体" w:hAnsi="宋体" w:cs="Arial"/>
        </w:rPr>
        <w:t>“</w:t>
      </w:r>
      <w:r>
        <w:rPr>
          <w:rFonts w:ascii="宋体" w:hAnsi="宋体" w:cs="Arial"/>
        </w:rPr>
        <w:t>《销售办法》</w:t>
      </w:r>
      <w:r>
        <w:rPr>
          <w:rFonts w:hint="eastAsia" w:ascii="宋体" w:hAnsi="宋体" w:cs="Arial"/>
        </w:rPr>
        <w:t>”</w:t>
      </w:r>
      <w:r>
        <w:rPr>
          <w:rFonts w:ascii="宋体" w:hAnsi="宋体" w:cs="Arial"/>
        </w:rPr>
        <w:t>）、《</w:t>
      </w:r>
      <w:r>
        <w:rPr>
          <w:rFonts w:hint="eastAsia" w:ascii="宋体" w:hAnsi="宋体" w:cs="Arial"/>
        </w:rPr>
        <w:t>公开募集</w:t>
      </w:r>
      <w:r>
        <w:rPr>
          <w:rFonts w:ascii="宋体" w:hAnsi="宋体" w:cs="Arial"/>
        </w:rPr>
        <w:t>证券投资基金信息披露管理办法》（以下简称</w:t>
      </w:r>
      <w:r>
        <w:rPr>
          <w:rFonts w:hint="eastAsia" w:ascii="宋体" w:hAnsi="宋体" w:cs="Arial"/>
        </w:rPr>
        <w:t>“</w:t>
      </w:r>
      <w:r>
        <w:rPr>
          <w:rFonts w:ascii="宋体" w:hAnsi="宋体" w:cs="Arial"/>
        </w:rPr>
        <w:t>《信息披露办法》</w:t>
      </w:r>
      <w:r>
        <w:rPr>
          <w:rFonts w:hint="eastAsia" w:ascii="宋体" w:hAnsi="宋体" w:cs="Arial"/>
        </w:rPr>
        <w:t>”</w:t>
      </w:r>
      <w:r>
        <w:rPr>
          <w:rFonts w:ascii="宋体" w:hAnsi="宋体" w:cs="Arial"/>
        </w:rPr>
        <w:t>）</w:t>
      </w:r>
      <w:r>
        <w:rPr>
          <w:rFonts w:hint="eastAsia" w:ascii="宋体" w:hAnsi="宋体" w:cs="Arial"/>
        </w:rPr>
        <w:t>、</w:t>
      </w:r>
      <w:r>
        <w:rPr>
          <w:rFonts w:hint="eastAsia" w:ascii="宋体" w:hAnsi="宋体"/>
        </w:rPr>
        <w:t>《公开募集开放式证券投资基金流动性风险管理规定》（以下简称“《流动性风险管理规定》”）、《公开募集证券投资基金运作指引第3号——指数基金指引》（以下简称“《指数基金指引》”）以及</w:t>
      </w:r>
      <w:r>
        <w:rPr>
          <w:rFonts w:ascii="宋体" w:hAnsi="宋体" w:cs="Arial"/>
        </w:rPr>
        <w:t>《</w:t>
      </w:r>
      <w:r>
        <w:rPr>
          <w:rFonts w:hint="eastAsia" w:ascii="宋体" w:hAnsi="宋体" w:cs="Arial"/>
        </w:rPr>
        <w:t>博时中证全指红利质量交易型开放式指数证券投资基金</w:t>
      </w:r>
      <w:r>
        <w:rPr>
          <w:rFonts w:ascii="宋体" w:hAnsi="宋体" w:cs="Arial"/>
        </w:rPr>
        <w:t>基金合同》（以下简称</w:t>
      </w:r>
      <w:r>
        <w:rPr>
          <w:rFonts w:hint="eastAsia" w:ascii="宋体" w:hAnsi="宋体" w:cs="Arial"/>
        </w:rPr>
        <w:t>“</w:t>
      </w:r>
      <w:r>
        <w:rPr>
          <w:rFonts w:ascii="宋体" w:hAnsi="宋体" w:cs="Arial"/>
        </w:rPr>
        <w:t>基金合同</w:t>
      </w:r>
      <w:r>
        <w:rPr>
          <w:rFonts w:hint="eastAsia" w:ascii="宋体" w:hAnsi="宋体" w:cs="Arial"/>
        </w:rPr>
        <w:t>”</w:t>
      </w:r>
      <w:r>
        <w:rPr>
          <w:rFonts w:ascii="宋体" w:hAnsi="宋体" w:cs="Arial"/>
        </w:rPr>
        <w:t>）编写。</w:t>
      </w:r>
    </w:p>
    <w:p w14:paraId="38E3A0E7">
      <w:pPr>
        <w:adjustRightInd w:val="0"/>
        <w:snapToGrid w:val="0"/>
        <w:spacing w:line="360" w:lineRule="auto"/>
        <w:ind w:firstLine="420" w:firstLineChars="200"/>
        <w:rPr>
          <w:rFonts w:ascii="宋体" w:hAnsi="宋体" w:cs="Arial"/>
        </w:rPr>
      </w:pPr>
      <w:r>
        <w:rPr>
          <w:rFonts w:hint="eastAsia" w:ascii="宋体" w:hAnsi="宋体" w:cs="Arial"/>
        </w:rPr>
        <w:t>本招募说明书阐述了博时中证全指红利质量交易型开放式指数证券投资基金的投资目标、策略、风险、费率等与投资人投资决策有关的必要事项，投资人在作出投资决策前应仔细阅读本招募说明书。</w:t>
      </w:r>
    </w:p>
    <w:p w14:paraId="0FA0919E">
      <w:pPr>
        <w:adjustRightInd w:val="0"/>
        <w:snapToGrid w:val="0"/>
        <w:spacing w:line="360" w:lineRule="auto"/>
        <w:ind w:firstLine="420" w:firstLineChars="200"/>
        <w:rPr>
          <w:rFonts w:ascii="宋体" w:hAnsi="宋体" w:cs="Arial"/>
        </w:rPr>
      </w:pPr>
      <w:r>
        <w:rPr>
          <w:rFonts w:ascii="宋体" w:hAnsi="宋体" w:cs="Arial"/>
        </w:rPr>
        <w:t>基金管理人承诺本招募说明书不存在任何虚假记载、误导性陈述或重大遗漏，并对其真实性、准确性、完整性承担法律责任。</w:t>
      </w:r>
    </w:p>
    <w:p w14:paraId="1DFF09C1">
      <w:pPr>
        <w:adjustRightInd w:val="0"/>
        <w:snapToGrid w:val="0"/>
        <w:spacing w:line="360" w:lineRule="auto"/>
        <w:ind w:firstLine="420" w:firstLineChars="200"/>
        <w:rPr>
          <w:rFonts w:ascii="宋体" w:hAnsi="宋体" w:cs="Arial"/>
        </w:rPr>
      </w:pPr>
      <w:r>
        <w:rPr>
          <w:rFonts w:hint="eastAsia" w:ascii="宋体" w:hAnsi="宋体" w:cs="Arial"/>
        </w:rPr>
        <w:t>博时中证全指红利质量交易型开放式指数证券投资基金</w:t>
      </w:r>
      <w:r>
        <w:rPr>
          <w:rFonts w:ascii="宋体" w:hAnsi="宋体" w:cs="Arial"/>
        </w:rPr>
        <w:t>（以下简称“基金”或“本基金”）是根据本招募说明书所载明的资料申请募集的。本基金管理人没有委托或授权任何其他人提供未在本招募说明书中载明的信息，或对本招募说明书作任何解释或者说明。</w:t>
      </w:r>
    </w:p>
    <w:p w14:paraId="5C260329">
      <w:pPr>
        <w:spacing w:line="360" w:lineRule="auto"/>
        <w:ind w:firstLine="420" w:firstLineChars="200"/>
        <w:rPr>
          <w:rFonts w:ascii="宋体" w:hAnsi="宋体" w:cs="Arial"/>
        </w:rPr>
      </w:pPr>
      <w:r>
        <w:rPr>
          <w:rFonts w:ascii="宋体" w:hAnsi="宋体" w:cs="Arial"/>
        </w:rPr>
        <w:t>本招募说明书根据本基金的基金合同编写，并经中国证券监督管理委员会（以下简称</w:t>
      </w:r>
      <w:r>
        <w:rPr>
          <w:rFonts w:hint="eastAsia" w:ascii="宋体" w:hAnsi="宋体" w:cs="Arial"/>
        </w:rPr>
        <w:t>“</w:t>
      </w:r>
      <w:r>
        <w:rPr>
          <w:rFonts w:ascii="宋体" w:hAnsi="宋体" w:cs="Arial"/>
        </w:rPr>
        <w:t>中国证监会</w:t>
      </w:r>
      <w:r>
        <w:rPr>
          <w:rFonts w:hint="eastAsia" w:ascii="宋体" w:hAnsi="宋体" w:cs="Arial"/>
        </w:rPr>
        <w:t>”</w:t>
      </w:r>
      <w:r>
        <w:rPr>
          <w:rFonts w:ascii="宋体" w:hAnsi="宋体" w:cs="Arial"/>
        </w:rPr>
        <w:t>）</w:t>
      </w:r>
      <w:r>
        <w:rPr>
          <w:rFonts w:hint="eastAsia" w:ascii="宋体" w:hAnsi="宋体" w:cs="Arial"/>
        </w:rPr>
        <w:t>注册</w:t>
      </w:r>
      <w:r>
        <w:rPr>
          <w:rFonts w:ascii="宋体" w:hAnsi="宋体" w:cs="Arial"/>
        </w:rPr>
        <w:t>。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14:paraId="0A7DFB68">
      <w:pPr>
        <w:spacing w:line="360" w:lineRule="auto"/>
        <w:ind w:firstLine="562" w:firstLineChars="200"/>
        <w:rPr>
          <w:rFonts w:ascii="宋体" w:hAnsi="宋体" w:cs="Arial"/>
          <w:b/>
          <w:bCs/>
          <w:sz w:val="28"/>
          <w:szCs w:val="28"/>
        </w:rPr>
        <w:sectPr>
          <w:headerReference r:id="rId13" w:type="first"/>
          <w:footerReference r:id="rId14" w:type="first"/>
          <w:pgSz w:w="11906" w:h="16838"/>
          <w:pgMar w:top="1440" w:right="1800" w:bottom="1440" w:left="1800" w:header="851" w:footer="992" w:gutter="0"/>
          <w:pgNumType w:start="1"/>
          <w:cols w:space="720" w:num="1"/>
          <w:titlePg/>
          <w:docGrid w:linePitch="312" w:charSpace="0"/>
        </w:sectPr>
      </w:pPr>
      <w:bookmarkStart w:id="3" w:name="_Toc214873591"/>
    </w:p>
    <w:p w14:paraId="693A45D2">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4" w:name="_Toc91110270"/>
      <w:bookmarkStart w:id="5" w:name="_Toc8052739"/>
      <w:bookmarkStart w:id="6" w:name="_Toc813"/>
      <w:r>
        <w:rPr>
          <w:rFonts w:ascii="宋体" w:hAnsi="宋体" w:eastAsia="宋体" w:cs="Arial"/>
          <w:kern w:val="0"/>
          <w:sz w:val="28"/>
          <w:szCs w:val="28"/>
        </w:rPr>
        <w:t>第二部分  释义</w:t>
      </w:r>
      <w:bookmarkEnd w:id="3"/>
      <w:bookmarkEnd w:id="4"/>
      <w:bookmarkEnd w:id="5"/>
      <w:bookmarkEnd w:id="6"/>
    </w:p>
    <w:p w14:paraId="7B957D46">
      <w:pPr>
        <w:spacing w:line="360" w:lineRule="auto"/>
        <w:rPr>
          <w:rFonts w:ascii="宋体" w:hAnsi="宋体"/>
        </w:rPr>
      </w:pPr>
    </w:p>
    <w:p w14:paraId="30F3ED87">
      <w:pPr>
        <w:autoSpaceDE w:val="0"/>
        <w:autoSpaceDN w:val="0"/>
        <w:adjustRightInd w:val="0"/>
        <w:snapToGrid w:val="0"/>
        <w:spacing w:line="360" w:lineRule="auto"/>
        <w:ind w:firstLine="420" w:firstLineChars="200"/>
        <w:rPr>
          <w:rFonts w:ascii="宋体" w:hAnsi="宋体" w:cs="Arial"/>
        </w:rPr>
      </w:pPr>
      <w:bookmarkStart w:id="7" w:name="_Hlk95316078"/>
      <w:r>
        <w:rPr>
          <w:rFonts w:hint="eastAsia" w:ascii="宋体" w:hAnsi="宋体" w:cs="Arial"/>
        </w:rPr>
        <w:t>在本基金招募说明书中，除非文意另有所指，下列词语或简称具有如下含义：</w:t>
      </w:r>
    </w:p>
    <w:p w14:paraId="18EC1AB4">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1.</w:t>
      </w:r>
      <w:r>
        <w:rPr>
          <w:rFonts w:hint="eastAsia" w:ascii="宋体" w:hAnsi="宋体" w:cs="Arial"/>
        </w:rPr>
        <w:tab/>
      </w:r>
      <w:r>
        <w:rPr>
          <w:rFonts w:hint="eastAsia" w:ascii="宋体" w:hAnsi="宋体" w:cs="Arial"/>
        </w:rPr>
        <w:t>基金或本基金：指博时中证全指红利质量交易型开放式指数证券投资基金</w:t>
      </w:r>
    </w:p>
    <w:p w14:paraId="34C929E2">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2.</w:t>
      </w:r>
      <w:r>
        <w:rPr>
          <w:rFonts w:hint="eastAsia" w:ascii="宋体" w:hAnsi="宋体" w:cs="Arial"/>
        </w:rPr>
        <w:tab/>
      </w:r>
      <w:r>
        <w:rPr>
          <w:rFonts w:hint="eastAsia" w:ascii="宋体" w:hAnsi="宋体" w:cs="Arial"/>
        </w:rPr>
        <w:t>基金管理人：指博时基金管理有限公司</w:t>
      </w:r>
    </w:p>
    <w:p w14:paraId="24588950">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3.</w:t>
      </w:r>
      <w:r>
        <w:rPr>
          <w:rFonts w:hint="eastAsia" w:ascii="宋体" w:hAnsi="宋体" w:cs="Arial"/>
        </w:rPr>
        <w:tab/>
      </w:r>
      <w:r>
        <w:rPr>
          <w:rFonts w:hint="eastAsia" w:ascii="宋体" w:hAnsi="宋体" w:cs="Arial"/>
        </w:rPr>
        <w:t>基金托管人：指中国建设银行股份有限公司</w:t>
      </w:r>
    </w:p>
    <w:p w14:paraId="73987D1A">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4.</w:t>
      </w:r>
      <w:r>
        <w:rPr>
          <w:rFonts w:hint="eastAsia" w:ascii="宋体" w:hAnsi="宋体" w:cs="Arial"/>
        </w:rPr>
        <w:tab/>
      </w:r>
      <w:r>
        <w:rPr>
          <w:rFonts w:hint="eastAsia" w:ascii="宋体" w:hAnsi="宋体" w:cs="Arial"/>
        </w:rPr>
        <w:t>基金合同：指《博时中证全指红利质量交易型开放式指数证券投资基金基金合同》及对基金合同的任何有效修订和补充</w:t>
      </w:r>
    </w:p>
    <w:p w14:paraId="3C0453BE">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5.</w:t>
      </w:r>
      <w:r>
        <w:rPr>
          <w:rFonts w:hint="eastAsia" w:ascii="宋体" w:hAnsi="宋体" w:cs="Arial"/>
        </w:rPr>
        <w:tab/>
      </w:r>
      <w:r>
        <w:rPr>
          <w:rFonts w:hint="eastAsia" w:ascii="宋体" w:hAnsi="宋体" w:cs="Arial"/>
        </w:rPr>
        <w:t>托管协议：指基金管理人与基金托管人就本基金签订之《博时中证全指红利质量交易型开放式指数证券投资基金托管协议》及对该托管协议的任何有效修订和补充</w:t>
      </w:r>
    </w:p>
    <w:p w14:paraId="0D0D7F43">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6.</w:t>
      </w:r>
      <w:r>
        <w:rPr>
          <w:rFonts w:hint="eastAsia" w:ascii="宋体" w:hAnsi="宋体" w:cs="Arial"/>
        </w:rPr>
        <w:tab/>
      </w:r>
      <w:r>
        <w:rPr>
          <w:rFonts w:hint="eastAsia" w:ascii="宋体" w:hAnsi="宋体" w:cs="Arial"/>
        </w:rPr>
        <w:t>招募说明书或者本招募说明书：指《博时中证全指红利质量交易型开放式指数证券投资基金招募说明书》及其更新</w:t>
      </w:r>
    </w:p>
    <w:p w14:paraId="59D7DBA5">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7.</w:t>
      </w:r>
      <w:r>
        <w:rPr>
          <w:rFonts w:hint="eastAsia" w:ascii="宋体" w:hAnsi="宋体" w:cs="Arial"/>
        </w:rPr>
        <w:tab/>
      </w:r>
      <w:r>
        <w:rPr>
          <w:rFonts w:hint="eastAsia" w:ascii="宋体" w:hAnsi="宋体" w:cs="Arial"/>
        </w:rPr>
        <w:t>基金产品资料概要：指《博时中证全指红利质量交易型开放式指数证券投资基金基金产品资料概要》及其更新</w:t>
      </w:r>
    </w:p>
    <w:p w14:paraId="49122C85">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8.</w:t>
      </w:r>
      <w:r>
        <w:rPr>
          <w:rFonts w:hint="eastAsia" w:ascii="宋体" w:hAnsi="宋体" w:cs="Arial"/>
        </w:rPr>
        <w:tab/>
      </w:r>
      <w:r>
        <w:rPr>
          <w:rFonts w:hint="eastAsia" w:ascii="宋体" w:hAnsi="宋体" w:cs="Arial"/>
        </w:rPr>
        <w:t>基金份额发售公告：指《博时中证全指红利质量交易型开放式指数证券投资基金基金份额发售公告》</w:t>
      </w:r>
    </w:p>
    <w:p w14:paraId="5942D384">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9.</w:t>
      </w:r>
      <w:r>
        <w:rPr>
          <w:rFonts w:hint="eastAsia" w:ascii="宋体" w:hAnsi="宋体" w:cs="Arial"/>
        </w:rPr>
        <w:tab/>
      </w:r>
      <w:r>
        <w:rPr>
          <w:rFonts w:hint="eastAsia" w:ascii="宋体" w:hAnsi="宋体" w:cs="Arial"/>
        </w:rPr>
        <w:t>上市交易公告书：指《博时中证全指红利质量交易型开放式指数证券投资基金上市交易公告书》</w:t>
      </w:r>
    </w:p>
    <w:p w14:paraId="73B949B0">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10.</w:t>
      </w:r>
      <w:r>
        <w:rPr>
          <w:rFonts w:hint="eastAsia" w:ascii="宋体" w:hAnsi="宋体" w:cs="Arial"/>
        </w:rPr>
        <w:tab/>
      </w:r>
      <w:r>
        <w:rPr>
          <w:rFonts w:hint="eastAsia" w:ascii="宋体" w:hAnsi="宋体" w:cs="Arial"/>
        </w:rPr>
        <w:t>法律法规：指中国现行有效并公布实施的法律、行政法规、规范性文件、司法解释、行政规章以及其他对基金合同当事人有约束力的决定、决议、通知等</w:t>
      </w:r>
    </w:p>
    <w:p w14:paraId="264CE3DE">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11.</w:t>
      </w:r>
      <w:r>
        <w:rPr>
          <w:rFonts w:hint="eastAsia" w:ascii="宋体" w:hAnsi="宋体" w:cs="Arial"/>
        </w:rPr>
        <w:tab/>
      </w:r>
      <w:r>
        <w:rPr>
          <w:rFonts w:hint="eastAsia" w:ascii="宋体" w:hAnsi="宋体" w:cs="Arial"/>
        </w:rPr>
        <w:t>《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6ECE8A19">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12.</w:t>
      </w:r>
      <w:r>
        <w:rPr>
          <w:rFonts w:hint="eastAsia" w:ascii="宋体" w:hAnsi="宋体" w:cs="Arial"/>
        </w:rPr>
        <w:tab/>
      </w:r>
      <w:r>
        <w:rPr>
          <w:rFonts w:hint="eastAsia" w:ascii="宋体" w:hAnsi="宋体" w:cs="Arial"/>
        </w:rPr>
        <w:t>《销售办法》：指中国证监会2020年8月28日颁布、同年10月1日实施的《公开募集证券投资基金销售机构监督管理办法》及颁布机关对其不时做出的修订</w:t>
      </w:r>
    </w:p>
    <w:p w14:paraId="0494C1BE">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13.</w:t>
      </w:r>
      <w:r>
        <w:rPr>
          <w:rFonts w:hint="eastAsia" w:ascii="宋体" w:hAnsi="宋体" w:cs="Arial"/>
        </w:rPr>
        <w:tab/>
      </w:r>
      <w:r>
        <w:rPr>
          <w:rFonts w:hint="eastAsia" w:ascii="宋体" w:hAnsi="宋体" w:cs="Arial"/>
        </w:rPr>
        <w:t>《信息披露办法》：指中国证监会2019年7月26日颁布、同年9月1日实施，并经2020年3月20日中国证监会《关于修改部分证券期货规章的决定》修正的《公开募集证券投资基金信息披露管理办法》及颁布机关对其不时做出的修订</w:t>
      </w:r>
    </w:p>
    <w:p w14:paraId="59D955C9">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14.</w:t>
      </w:r>
      <w:r>
        <w:rPr>
          <w:rFonts w:hint="eastAsia" w:ascii="宋体" w:hAnsi="宋体" w:cs="Arial"/>
        </w:rPr>
        <w:tab/>
      </w:r>
      <w:r>
        <w:rPr>
          <w:rFonts w:hint="eastAsia" w:ascii="宋体" w:hAnsi="宋体" w:cs="Arial"/>
        </w:rPr>
        <w:t>《运作办法》：指中国证监会2014年7月7日颁布、同年8月8日实施的《公开募集证券投资基金运作管理办法》及颁布机关对其不时做出的修订</w:t>
      </w:r>
    </w:p>
    <w:p w14:paraId="01BCEFF7">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15.</w:t>
      </w:r>
      <w:r>
        <w:rPr>
          <w:rFonts w:hint="eastAsia" w:ascii="宋体" w:hAnsi="宋体" w:cs="Arial"/>
        </w:rPr>
        <w:tab/>
      </w:r>
      <w:r>
        <w:rPr>
          <w:rFonts w:hint="eastAsia" w:ascii="宋体" w:hAnsi="宋体" w:cs="Arial"/>
        </w:rPr>
        <w:t>《流动性风险管理规定》：指中国证监会2017年8月31日颁布、同年10月1日实施的《公开募集开放式证券投资基金流动性风险管理规定》及颁布机关对其不时做出的修订</w:t>
      </w:r>
    </w:p>
    <w:p w14:paraId="484E9871">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16.</w:t>
      </w:r>
      <w:r>
        <w:rPr>
          <w:rFonts w:hint="eastAsia" w:ascii="宋体" w:hAnsi="宋体" w:cs="Arial"/>
        </w:rPr>
        <w:tab/>
      </w:r>
      <w:r>
        <w:rPr>
          <w:rFonts w:hint="eastAsia" w:ascii="宋体" w:hAnsi="宋体" w:cs="Arial"/>
        </w:rPr>
        <w:t>《指数基金指引》：指中国证监会2021年1月22日颁布、同年2月1日实施的《公开募集证券投资基金运作指引第3号——指数基金指引》及颁布机关对其不时做出的修订</w:t>
      </w:r>
    </w:p>
    <w:bookmarkEnd w:id="7"/>
    <w:p w14:paraId="0A3B0C5C">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17.业务规则：指上海证券交易所、登记机构、基金管理人及销售机构的相关业务规则及其不时做出的修订</w:t>
      </w:r>
    </w:p>
    <w:p w14:paraId="1655DFB8">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18.中国证监会：指中国证券监督管理委员会</w:t>
      </w:r>
    </w:p>
    <w:p w14:paraId="77745574">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19.银行业监督管理机构：指中国人民银行和/或国家金融监督管理总局</w:t>
      </w:r>
    </w:p>
    <w:p w14:paraId="44FF4B83">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20.基金合同当事人：指受基金合同约束，根据基金合同享有权利并承担义务的法律主体，包括基金管理人、基金托管人和基金份额持有人</w:t>
      </w:r>
    </w:p>
    <w:p w14:paraId="1100AA8C">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21.个人投资者：指依据有关法律法规规定可投资于证券投资基金的自然人</w:t>
      </w:r>
    </w:p>
    <w:p w14:paraId="619B7B0C">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22.机构投资者：指依法可以投资证券投资基金的、在中华人民共和国境内合法登记并存续或经有关政府部门批准设立并存续的企业法人、事业法人、社会团体或其他组织</w:t>
      </w:r>
    </w:p>
    <w:p w14:paraId="24CC726C">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23.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524E64C3">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24.投资人、投资者：指个人投资者、机构投资者、合格境外投资者以及法律法规或中国证监会允许购买证券投资基金的其他投资人的合称</w:t>
      </w:r>
    </w:p>
    <w:p w14:paraId="247C6A47">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25.基金份额持有人：指依基金合同和招募说明书合法取得基金份额的投资人</w:t>
      </w:r>
    </w:p>
    <w:p w14:paraId="5405ECAD">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26.发售代理机构：指符合《销售办法》和中国证监会规定的其他条件，由基金管理人指定的代理本基金发售业务的机构</w:t>
      </w:r>
    </w:p>
    <w:p w14:paraId="02557C3F">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27.申购、赎回代理券商：指基金管理人指定的，在基金合同生效后代理办理本基金申购、赎回业务的证券公司，又称为代办证券公司</w:t>
      </w:r>
    </w:p>
    <w:p w14:paraId="248C36BC">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28.直销机构：指博时基金管理有限公司</w:t>
      </w:r>
    </w:p>
    <w:p w14:paraId="321C8678">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29.代销机构：指符合《销售办法》和中国证监会规定的其他条件，取得基金销售业务资格并与基金管理人签订了基金销售服务协议，办理基金销售业务的机构，包括发售代理机构和申购、赎回代理券商（即代办证券公司）</w:t>
      </w:r>
    </w:p>
    <w:p w14:paraId="0B5F6E9B">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 xml:space="preserve">30.销售机构：指直销机构与代销机构 </w:t>
      </w:r>
    </w:p>
    <w:p w14:paraId="6722EEF2">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31.登记机构：指办理登记业务的机构。本基金的登记机构为中国证券登记结算有限责任公司</w:t>
      </w:r>
    </w:p>
    <w:p w14:paraId="4235B46C">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32.登记业务：指基金登记、存管、过户、清算和结算业务，具体内容包括投资者账户的建立和管理、基金份额登记、基金交易的确认、清算和结算、代理发放红利、建立并保管基金份额持有人名册和办理非交易过户等</w:t>
      </w:r>
    </w:p>
    <w:p w14:paraId="21576C67">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33.基金合同生效日：指基金募集达到法律法规规定及基金合同规定的条件，基金管理人向中国证监会办理基金备案手续完毕，并获得中国证监会书面确认的日期</w:t>
      </w:r>
    </w:p>
    <w:p w14:paraId="31E664BD">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34.基金合同终止日：指基金合同规定的基金合同终止事由出现后，基金财产清算完毕，清算结果报中国证监会备案并予以公告的日期</w:t>
      </w:r>
    </w:p>
    <w:p w14:paraId="6EB37EC6">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35.基金募集期：指自基金份额发售之日起至发售结束之日止的期间，最长不得超过3个月</w:t>
      </w:r>
    </w:p>
    <w:p w14:paraId="77136325">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36.存续期：指基金合同生效至终止之间的不定期期限</w:t>
      </w:r>
    </w:p>
    <w:p w14:paraId="3DCF6DF7">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37.工作日：指上海证券交易所、深圳证券交易所的正常交易日</w:t>
      </w:r>
    </w:p>
    <w:p w14:paraId="59BA6962">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38.T日：指销售机构在规定时间受理投资人申购、赎回或其他业务申请的开放日</w:t>
      </w:r>
    </w:p>
    <w:p w14:paraId="5F69A778">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39.T+n日：指自T日起第n个工作日（不包含T日）</w:t>
      </w:r>
    </w:p>
    <w:p w14:paraId="734AA2BF">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40.开放日：指为投资人办理基金份额申购、赎回或其他业务的工作日</w:t>
      </w:r>
    </w:p>
    <w:p w14:paraId="115278C5">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41.开放时间：指开放日基金接受申购、赎回或其他交易的时间段</w:t>
      </w:r>
    </w:p>
    <w:p w14:paraId="23EFC8F4">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42.认购：指在基金募集期内，投资人根据基金合同和招募说明书的规定申请购买基金份额的行为</w:t>
      </w:r>
    </w:p>
    <w:p w14:paraId="40FCF2A3">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43.申购：指基金合同生效后，投资人根据基金合同和招募说明书的规定，以申购赎回清单规定的申购对价向基金管理人申请购买基金份额的行为</w:t>
      </w:r>
    </w:p>
    <w:p w14:paraId="42F52152">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44.赎回：指基金合同生效后，基金份额持有人根据基金合同和招募说明书的规定，将基金份额兑换为申购赎回清单规定的赎回对价的行为</w:t>
      </w:r>
    </w:p>
    <w:p w14:paraId="510C12EA">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 xml:space="preserve">45.申购、赎回清单：指由基金管理人编制的用以公告申购对价、赎回对价等信息的文件 </w:t>
      </w:r>
    </w:p>
    <w:p w14:paraId="573E89D3">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46.申购对价：指投资人申购基金份额时，按基金合同和招募说明书规定应交付的组合证券、现金替代、现金差额和/或其他对价</w:t>
      </w:r>
    </w:p>
    <w:p w14:paraId="153A564C">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47.赎回对价：指投资人赎回基金份额时，基金管理人按基金合同和招募说明书规定应交付给赎回人的组合证券、现金替代、现金差额和/或其他对价</w:t>
      </w:r>
    </w:p>
    <w:p w14:paraId="7A0D51A3">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48.组合证券：指本基金标的指数所包含的全部或部分证券</w:t>
      </w:r>
    </w:p>
    <w:p w14:paraId="6C01C49C">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49.标的指数：指中证指数有限公司编制并发布的中证全指红利质量指数及其未来可能发生的变更</w:t>
      </w:r>
    </w:p>
    <w:p w14:paraId="1AE0922E">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50.完全复制法：指跟踪指数的方法。通过购买标的指数中的所有成份证券，并且按照每种成份证券在标的指数中的权重确定购买的比例以构建指数组合，达到复制指数的目的</w:t>
      </w:r>
    </w:p>
    <w:p w14:paraId="3454ABC7">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51.现金替代：指申购、赎回过程中，投资人按基金合同和招募说明书的规定，用于替代组合证券中部分证券的一定数量的现金</w:t>
      </w:r>
    </w:p>
    <w:p w14:paraId="2F4ECC8F">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52.现金替代退补款：指投资人支付的现金替代与基金购入被替代成份证券的成本及相关费用的差额。若现金替代大于本基金购入被替代成份证券的成本及相关费用，则本基金需向投资人退还差额，若现金替代小于本基金购入被替代成份证券的成本及相关费用，则投资人需向本基金补缴差额</w:t>
      </w:r>
    </w:p>
    <w:p w14:paraId="7D0A4690">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53.现金差额：指最小申购、赎回单位的资产净值与按当日收盘价计算的最小申购、赎回单位中的组合证券市值和现金替代之差；投资人申购、赎回时应支付或应获得的现金差额根据最小申购、赎回单位对应的现金差额、申购或赎回的基金份额数计算</w:t>
      </w:r>
    </w:p>
    <w:p w14:paraId="0E42007F">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54.最小申购、赎回单位：指本基金申购、赎回份额的最低数量，投资人申购、赎回的基金份额应为最小申购、赎回单位的整数倍</w:t>
      </w:r>
    </w:p>
    <w:p w14:paraId="1519B71F">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55.基金份额参考净值：指基金管理人或基金管理人委托其他机构在交易时间内根据申购、赎回清单和组合证券内各只证券的实时成交数据计算并由上海证券交易所在交易时间内发布的基金份额参考净值，简称IOPV</w:t>
      </w:r>
    </w:p>
    <w:p w14:paraId="1692CF78">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56.预估现金部分：指为便于计算基金份额参考净值及申购赎回代理券商预先冻结申请申购、赎回的投资人的相应资金，由基金管理人计算并公布的现金数额</w:t>
      </w:r>
    </w:p>
    <w:p w14:paraId="192DF2B5">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57.元：指人民币元</w:t>
      </w:r>
    </w:p>
    <w:p w14:paraId="12C4C181">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58.基金收益：指基金投资所得红利、股息、债券利息、买卖证券价差、银行存款利息、已实现的其他合法收入及因运用基金财产带来的成本和费用的节约</w:t>
      </w:r>
    </w:p>
    <w:p w14:paraId="21402ABC">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59.基金份额折算：指基金管理人根据基金合同规定将投资人的基金份额进行变更登记的行为</w:t>
      </w:r>
    </w:p>
    <w:p w14:paraId="35B442F8">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60.收益评价日：指基金管理人计算本基金份额净值增长率与标的指数同期增长率差额之日</w:t>
      </w:r>
    </w:p>
    <w:p w14:paraId="5F79E14F">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61.基金份额净值增长率：指收益评价日基金份额净值与基金上市前一交易日基金份额净值之比减去1乘以100%（期间发生基金份额折算、拆分或合并，则以基金份额折算日、经拆分或合并调整后的基金份额折算日为初始日重新计算）</w:t>
      </w:r>
    </w:p>
    <w:p w14:paraId="61C57CE6">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62.标的指数同期增长率：指收益评价日标的指数收盘价与基金上市前一交易日标的指数收盘价之比减去1乘以100%（期间发生基金份额折算、拆分或合并，则以基金份额折算日、经拆分或合并调整后的基金份额折算日为初始日重新计算）</w:t>
      </w:r>
    </w:p>
    <w:p w14:paraId="70555E4A">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63.基金资产总值：指基金拥有的各类有价证券、银行存款本息、基金应收款项及其他资产的价值总和</w:t>
      </w:r>
    </w:p>
    <w:p w14:paraId="160F3BD0">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64.基金资产净值：指基金资产总值减去基金负债后的价值</w:t>
      </w:r>
    </w:p>
    <w:p w14:paraId="61766903">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65.基金份额净值：指计算日基金资产净值除以计算日基金份额总数</w:t>
      </w:r>
    </w:p>
    <w:p w14:paraId="16A778C0">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66.基金资产估值：指计算评估基金资产和负债的价值，以确定基金资产净值和基金份额净值的过程</w:t>
      </w:r>
    </w:p>
    <w:p w14:paraId="31D01D5E">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67.规定媒介：指符合中国证监会规定条件的用以进行信息披露的全国性报刊及《信息披露办法》规定的互联网网站（包括基金管理人网站、基金托管人网站、中国证监会基金电子披露网站）等媒介</w:t>
      </w:r>
    </w:p>
    <w:p w14:paraId="18035ACB">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 xml:space="preserve">68.交易型开放式指数证券投资基金：指《上海证券交易所交易型开放式指数基金业务实施细则》定义的“交易型开放式指数基金”，简称“ETF” </w:t>
      </w:r>
    </w:p>
    <w:p w14:paraId="53BEE7B3">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69.联接基金：指将绝大部分基金财产投资于博时中证全指红利质量交易型开放式指数证券投资基金（目标ETF），紧密跟踪标的指数表现，追求跟踪偏离度和跟踪误差最小化，获得与指数收益相似的回报，采用开放式运作方式的基金</w:t>
      </w:r>
    </w:p>
    <w:p w14:paraId="5DCBA294">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70.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6828FED3">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71.转融通证券出借业务：指基金以一定的费率通过证券交易所综合业务平台向中国证券金融股份有限公司（以下简称证券金融公司）出借证券，证券金融公司到期归还所借证券及相应权益补偿并支付费用的业务</w:t>
      </w:r>
    </w:p>
    <w:p w14:paraId="07C4D68C">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72.特定机构投资者：指根据上海证券交易所颁布的《特定机构投资者参与证券投资基金申购赎回业务指引》所定义的特定机构投资者</w:t>
      </w:r>
    </w:p>
    <w:p w14:paraId="25676FEF">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73.中国法律：指中华人民共和国法律，就基金合同而言，不包括香港特别行政区、澳门特别行政区法律和台湾地区的有关规定</w:t>
      </w:r>
    </w:p>
    <w:p w14:paraId="0AA822F8">
      <w:pPr>
        <w:autoSpaceDE w:val="0"/>
        <w:autoSpaceDN w:val="0"/>
        <w:adjustRightInd w:val="0"/>
        <w:snapToGrid w:val="0"/>
        <w:spacing w:line="360" w:lineRule="auto"/>
        <w:ind w:firstLine="420" w:firstLineChars="200"/>
        <w:rPr>
          <w:rFonts w:ascii="宋体" w:hAnsi="宋体" w:cs="Arial"/>
        </w:rPr>
        <w:sectPr>
          <w:footerReference r:id="rId16" w:type="first"/>
          <w:footerReference r:id="rId15" w:type="default"/>
          <w:pgSz w:w="11906" w:h="16838"/>
          <w:pgMar w:top="1440" w:right="1800" w:bottom="1440" w:left="1800" w:header="851" w:footer="992" w:gutter="0"/>
          <w:pgNumType w:start="1"/>
          <w:cols w:space="720" w:num="1"/>
          <w:titlePg/>
          <w:docGrid w:linePitch="312" w:charSpace="0"/>
        </w:sectPr>
      </w:pPr>
      <w:r>
        <w:rPr>
          <w:rFonts w:hint="eastAsia" w:ascii="宋体" w:hAnsi="宋体" w:cs="Arial"/>
        </w:rPr>
        <w:t>74.不可抗力：指基金合同当事人不能预见、不能避免且不能克服的客观事件</w:t>
      </w:r>
    </w:p>
    <w:p w14:paraId="3E61F526">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8" w:name="_Toc147463120"/>
      <w:bookmarkStart w:id="9" w:name="_Toc91110271"/>
      <w:bookmarkStart w:id="10" w:name="_Toc12357173"/>
      <w:bookmarkStart w:id="11" w:name="_Toc214873592"/>
      <w:bookmarkStart w:id="12" w:name="_Toc8052740"/>
      <w:bookmarkStart w:id="13" w:name="_Toc10298"/>
      <w:bookmarkStart w:id="14" w:name="_Toc21073393"/>
      <w:r>
        <w:rPr>
          <w:rFonts w:ascii="宋体" w:hAnsi="宋体" w:eastAsia="宋体" w:cs="Arial"/>
          <w:kern w:val="0"/>
          <w:sz w:val="28"/>
          <w:szCs w:val="28"/>
        </w:rPr>
        <w:t>第三部分  基金管理人</w:t>
      </w:r>
      <w:bookmarkEnd w:id="8"/>
      <w:bookmarkEnd w:id="9"/>
      <w:bookmarkEnd w:id="10"/>
      <w:bookmarkEnd w:id="11"/>
      <w:bookmarkEnd w:id="12"/>
      <w:bookmarkEnd w:id="13"/>
      <w:bookmarkEnd w:id="14"/>
    </w:p>
    <w:p w14:paraId="4F069303">
      <w:pPr>
        <w:spacing w:line="360" w:lineRule="auto"/>
        <w:rPr>
          <w:rFonts w:ascii="宋体" w:hAnsi="宋体"/>
        </w:rPr>
      </w:pPr>
    </w:p>
    <w:p w14:paraId="4A42BC9F">
      <w:pPr>
        <w:pStyle w:val="12"/>
        <w:spacing w:before="0" w:beforeAutospacing="0" w:after="0" w:afterAutospacing="0" w:line="360" w:lineRule="auto"/>
        <w:ind w:firstLine="420"/>
        <w:rPr>
          <w:sz w:val="21"/>
        </w:rPr>
      </w:pPr>
      <w:bookmarkStart w:id="15" w:name="_Toc238013747"/>
      <w:bookmarkEnd w:id="15"/>
      <w:bookmarkStart w:id="16" w:name="_Toc524923215"/>
      <w:r>
        <w:rPr>
          <w:rStyle w:val="17"/>
          <w:rFonts w:hint="eastAsia"/>
          <w:sz w:val="21"/>
        </w:rPr>
        <w:t>一、基金管理人概况</w:t>
      </w:r>
    </w:p>
    <w:p w14:paraId="7D4AF421">
      <w:pPr>
        <w:pStyle w:val="12"/>
        <w:spacing w:before="0" w:beforeAutospacing="0" w:after="0" w:afterAutospacing="0" w:line="360" w:lineRule="auto"/>
        <w:ind w:firstLine="420"/>
        <w:rPr>
          <w:sz w:val="21"/>
        </w:rPr>
      </w:pPr>
      <w:r>
        <w:rPr>
          <w:rFonts w:hint="eastAsia"/>
          <w:sz w:val="21"/>
        </w:rPr>
        <w:t>名称：</w:t>
      </w:r>
      <w:r>
        <w:rPr>
          <w:rFonts w:hint="eastAsia"/>
          <w:sz w:val="21"/>
        </w:rPr>
        <w:tab/>
      </w:r>
      <w:r>
        <w:rPr>
          <w:rFonts w:hint="eastAsia"/>
          <w:sz w:val="21"/>
        </w:rPr>
        <w:t>博时基金管理有限公司</w:t>
      </w:r>
    </w:p>
    <w:p w14:paraId="3F84840F">
      <w:pPr>
        <w:pStyle w:val="12"/>
        <w:spacing w:before="0" w:beforeAutospacing="0" w:after="0" w:afterAutospacing="0" w:line="360" w:lineRule="auto"/>
        <w:ind w:firstLine="420"/>
        <w:rPr>
          <w:sz w:val="21"/>
        </w:rPr>
      </w:pPr>
      <w:r>
        <w:rPr>
          <w:rFonts w:hint="eastAsia"/>
          <w:sz w:val="21"/>
        </w:rPr>
        <w:t>住所：</w:t>
      </w:r>
      <w:r>
        <w:rPr>
          <w:rFonts w:hint="eastAsia"/>
          <w:sz w:val="21"/>
        </w:rPr>
        <w:tab/>
      </w:r>
      <w:r>
        <w:rPr>
          <w:rFonts w:hint="eastAsia"/>
          <w:sz w:val="21"/>
        </w:rPr>
        <w:t>深圳市福田区莲花街道福新社区益田路5999号基金大厦21层</w:t>
      </w:r>
    </w:p>
    <w:p w14:paraId="59CB06D8">
      <w:pPr>
        <w:pStyle w:val="12"/>
        <w:spacing w:before="0" w:beforeAutospacing="0" w:after="0" w:afterAutospacing="0" w:line="360" w:lineRule="auto"/>
        <w:ind w:firstLine="420"/>
        <w:rPr>
          <w:sz w:val="21"/>
        </w:rPr>
      </w:pPr>
      <w:r>
        <w:rPr>
          <w:rFonts w:hint="eastAsia"/>
          <w:sz w:val="21"/>
        </w:rPr>
        <w:t>办公地址：</w:t>
      </w:r>
      <w:r>
        <w:rPr>
          <w:rFonts w:hint="eastAsia"/>
          <w:sz w:val="21"/>
        </w:rPr>
        <w:tab/>
      </w:r>
      <w:r>
        <w:rPr>
          <w:rFonts w:hint="eastAsia"/>
          <w:sz w:val="21"/>
        </w:rPr>
        <w:t>广东省深圳市福田区益田路5999号基金大厦21层</w:t>
      </w:r>
    </w:p>
    <w:p w14:paraId="5CD26CAD">
      <w:pPr>
        <w:pStyle w:val="12"/>
        <w:spacing w:before="0" w:beforeAutospacing="0" w:after="0" w:afterAutospacing="0" w:line="360" w:lineRule="auto"/>
        <w:ind w:firstLine="420"/>
        <w:rPr>
          <w:sz w:val="21"/>
        </w:rPr>
      </w:pPr>
      <w:r>
        <w:rPr>
          <w:rFonts w:hint="eastAsia"/>
          <w:sz w:val="21"/>
        </w:rPr>
        <w:t>法定代表人：张东</w:t>
      </w:r>
    </w:p>
    <w:p w14:paraId="0FA00B62">
      <w:pPr>
        <w:pStyle w:val="12"/>
        <w:spacing w:before="0" w:beforeAutospacing="0" w:after="0" w:afterAutospacing="0" w:line="360" w:lineRule="auto"/>
        <w:ind w:firstLine="420"/>
        <w:rPr>
          <w:sz w:val="21"/>
        </w:rPr>
      </w:pPr>
      <w:r>
        <w:rPr>
          <w:rFonts w:hint="eastAsia"/>
          <w:sz w:val="21"/>
        </w:rPr>
        <w:t>成立时间：</w:t>
      </w:r>
      <w:r>
        <w:rPr>
          <w:rFonts w:hint="eastAsia"/>
          <w:sz w:val="21"/>
        </w:rPr>
        <w:tab/>
      </w:r>
      <w:r>
        <w:rPr>
          <w:rFonts w:hint="eastAsia"/>
          <w:sz w:val="21"/>
        </w:rPr>
        <w:t>1998年7月13日</w:t>
      </w:r>
    </w:p>
    <w:p w14:paraId="09E15C9C">
      <w:pPr>
        <w:pStyle w:val="12"/>
        <w:spacing w:before="0" w:beforeAutospacing="0" w:after="0" w:afterAutospacing="0" w:line="360" w:lineRule="auto"/>
        <w:ind w:firstLine="420"/>
        <w:rPr>
          <w:sz w:val="21"/>
        </w:rPr>
      </w:pPr>
      <w:r>
        <w:rPr>
          <w:rFonts w:hint="eastAsia"/>
          <w:sz w:val="21"/>
        </w:rPr>
        <w:t>注册资本：</w:t>
      </w:r>
      <w:r>
        <w:rPr>
          <w:rFonts w:hint="eastAsia"/>
          <w:sz w:val="21"/>
        </w:rPr>
        <w:tab/>
      </w:r>
      <w:r>
        <w:rPr>
          <w:rFonts w:hint="eastAsia"/>
          <w:sz w:val="21"/>
        </w:rPr>
        <w:t>2.5亿元人民币</w:t>
      </w:r>
    </w:p>
    <w:p w14:paraId="25AA9461">
      <w:pPr>
        <w:pStyle w:val="12"/>
        <w:spacing w:before="0" w:beforeAutospacing="0" w:after="0" w:afterAutospacing="0" w:line="360" w:lineRule="auto"/>
        <w:ind w:firstLine="420"/>
        <w:rPr>
          <w:sz w:val="21"/>
        </w:rPr>
      </w:pPr>
      <w:r>
        <w:rPr>
          <w:rFonts w:hint="eastAsia"/>
          <w:sz w:val="21"/>
        </w:rPr>
        <w:t>存续期间：</w:t>
      </w:r>
      <w:r>
        <w:rPr>
          <w:rFonts w:hint="eastAsia"/>
          <w:sz w:val="21"/>
        </w:rPr>
        <w:tab/>
      </w:r>
      <w:r>
        <w:rPr>
          <w:rFonts w:hint="eastAsia"/>
          <w:sz w:val="21"/>
        </w:rPr>
        <w:t>持续经营</w:t>
      </w:r>
    </w:p>
    <w:p w14:paraId="1C0B2090">
      <w:pPr>
        <w:pStyle w:val="12"/>
        <w:spacing w:before="0" w:beforeAutospacing="0" w:after="0" w:afterAutospacing="0" w:line="360" w:lineRule="auto"/>
        <w:ind w:firstLine="420"/>
        <w:rPr>
          <w:sz w:val="21"/>
        </w:rPr>
      </w:pPr>
      <w:r>
        <w:rPr>
          <w:rFonts w:hint="eastAsia"/>
          <w:sz w:val="21"/>
        </w:rPr>
        <w:t>联系人：    杜松岭</w:t>
      </w:r>
    </w:p>
    <w:p w14:paraId="71ECE730">
      <w:pPr>
        <w:pStyle w:val="12"/>
        <w:spacing w:before="0" w:beforeAutospacing="0" w:after="0" w:afterAutospacing="0" w:line="360" w:lineRule="auto"/>
        <w:ind w:firstLine="420"/>
        <w:rPr>
          <w:sz w:val="21"/>
        </w:rPr>
      </w:pPr>
      <w:r>
        <w:rPr>
          <w:rFonts w:hint="eastAsia"/>
          <w:sz w:val="21"/>
        </w:rPr>
        <w:t>联系电话：  （0755）8316 9999</w:t>
      </w:r>
    </w:p>
    <w:p w14:paraId="286E0317">
      <w:pPr>
        <w:pStyle w:val="12"/>
        <w:spacing w:before="0" w:beforeAutospacing="0" w:after="0" w:afterAutospacing="0" w:line="360" w:lineRule="auto"/>
        <w:ind w:firstLine="420"/>
        <w:rPr>
          <w:sz w:val="21"/>
        </w:rPr>
      </w:pPr>
      <w:r>
        <w:rPr>
          <w:rFonts w:hint="eastAsia"/>
          <w:sz w:val="21"/>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1F795D81">
      <w:pPr>
        <w:pStyle w:val="12"/>
        <w:spacing w:before="0" w:beforeAutospacing="0" w:after="0" w:afterAutospacing="0" w:line="360" w:lineRule="auto"/>
        <w:ind w:firstLine="420"/>
        <w:rPr>
          <w:sz w:val="21"/>
        </w:rPr>
      </w:pPr>
      <w:r>
        <w:rPr>
          <w:rFonts w:hint="eastAsia"/>
          <w:sz w:val="21"/>
        </w:rPr>
        <w:t>公司设立了投资决策委员会。投资决策委员会负责指导基金资产的运作、确定基本的投资策略和投资组合的原则。</w:t>
      </w:r>
    </w:p>
    <w:p w14:paraId="0E04D0AB">
      <w:pPr>
        <w:pStyle w:val="12"/>
        <w:spacing w:before="0" w:beforeAutospacing="0" w:after="0" w:afterAutospacing="0" w:line="360" w:lineRule="auto"/>
        <w:ind w:firstLine="420"/>
        <w:rPr>
          <w:sz w:val="21"/>
        </w:rPr>
      </w:pPr>
      <w:r>
        <w:rPr>
          <w:rFonts w:hint="eastAsia"/>
          <w:sz w:val="21"/>
        </w:rPr>
        <w:t xml:space="preserve">公司已经建立健全投资管理制度、风险控制制度、内部监察制度、财务管理制度、人事管理制度、信息披露制度和员工行为准则等公司管理制度体系。   </w:t>
      </w:r>
    </w:p>
    <w:p w14:paraId="69C5E970">
      <w:pPr>
        <w:pStyle w:val="12"/>
        <w:spacing w:before="0" w:beforeAutospacing="0" w:after="0" w:afterAutospacing="0" w:line="360" w:lineRule="auto"/>
        <w:ind w:firstLine="420"/>
        <w:rPr>
          <w:b/>
          <w:bCs/>
          <w:sz w:val="21"/>
        </w:rPr>
      </w:pPr>
      <w:r>
        <w:rPr>
          <w:rFonts w:hint="eastAsia"/>
          <w:b/>
          <w:bCs/>
          <w:sz w:val="21"/>
        </w:rPr>
        <w:t>二、主要成员情况</w:t>
      </w:r>
    </w:p>
    <w:p w14:paraId="68996C2A">
      <w:pPr>
        <w:pStyle w:val="12"/>
        <w:spacing w:before="0" w:beforeAutospacing="0" w:after="0" w:afterAutospacing="0" w:line="360" w:lineRule="auto"/>
        <w:ind w:firstLine="420"/>
        <w:rPr>
          <w:sz w:val="21"/>
        </w:rPr>
      </w:pPr>
      <w:r>
        <w:rPr>
          <w:rFonts w:hint="eastAsia"/>
          <w:sz w:val="21"/>
        </w:rPr>
        <w:t>1、基金管理人董事会成员</w:t>
      </w:r>
    </w:p>
    <w:p w14:paraId="60D77879">
      <w:pPr>
        <w:pStyle w:val="12"/>
        <w:spacing w:before="0" w:beforeAutospacing="0" w:after="0" w:afterAutospacing="0" w:line="360" w:lineRule="auto"/>
        <w:ind w:firstLine="420"/>
        <w:rPr>
          <w:sz w:val="21"/>
        </w:rPr>
      </w:pPr>
      <w:r>
        <w:rPr>
          <w:rFonts w:hint="eastAsia"/>
          <w:sz w:val="21"/>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4535A567">
      <w:pPr>
        <w:pStyle w:val="12"/>
        <w:spacing w:before="0" w:beforeAutospacing="0" w:after="0" w:afterAutospacing="0" w:line="360" w:lineRule="auto"/>
        <w:ind w:firstLine="420"/>
        <w:rPr>
          <w:sz w:val="21"/>
        </w:rPr>
      </w:pPr>
      <w:r>
        <w:rPr>
          <w:rFonts w:hint="eastAsia"/>
          <w:sz w:val="21"/>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36174C64">
      <w:pPr>
        <w:pStyle w:val="12"/>
        <w:spacing w:before="0" w:beforeAutospacing="0" w:after="0" w:afterAutospacing="0" w:line="360" w:lineRule="auto"/>
        <w:ind w:firstLine="420"/>
        <w:rPr>
          <w:sz w:val="21"/>
        </w:rPr>
      </w:pPr>
      <w:r>
        <w:rPr>
          <w:rFonts w:hint="eastAsia"/>
          <w:sz w:val="21"/>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36DA685A">
      <w:pPr>
        <w:pStyle w:val="12"/>
        <w:spacing w:before="0" w:beforeAutospacing="0" w:after="0" w:afterAutospacing="0" w:line="360" w:lineRule="auto"/>
        <w:ind w:firstLine="420"/>
        <w:rPr>
          <w:sz w:val="21"/>
        </w:rPr>
      </w:pPr>
      <w:r>
        <w:rPr>
          <w:rFonts w:hint="eastAsia"/>
          <w:sz w:val="21"/>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73E21E3B">
      <w:pPr>
        <w:pStyle w:val="12"/>
        <w:spacing w:before="0" w:beforeAutospacing="0" w:after="0" w:afterAutospacing="0" w:line="360" w:lineRule="auto"/>
        <w:ind w:firstLine="420"/>
        <w:rPr>
          <w:sz w:val="21"/>
        </w:rPr>
      </w:pPr>
      <w:r>
        <w:rPr>
          <w:rFonts w:hint="eastAsia"/>
          <w:sz w:val="21"/>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44AEBFF5">
      <w:pPr>
        <w:pStyle w:val="12"/>
        <w:spacing w:before="0" w:beforeAutospacing="0" w:after="0" w:afterAutospacing="0" w:line="360" w:lineRule="auto"/>
        <w:ind w:firstLine="420"/>
        <w:rPr>
          <w:sz w:val="21"/>
        </w:rPr>
      </w:pPr>
      <w:r>
        <w:rPr>
          <w:rFonts w:hint="eastAsia"/>
          <w:sz w:val="21"/>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7F070406">
      <w:pPr>
        <w:pStyle w:val="12"/>
        <w:spacing w:before="0" w:beforeAutospacing="0" w:after="0" w:afterAutospacing="0" w:line="360" w:lineRule="auto"/>
        <w:ind w:firstLine="420"/>
        <w:rPr>
          <w:sz w:val="21"/>
        </w:rPr>
      </w:pPr>
      <w:r>
        <w:rPr>
          <w:rFonts w:hint="eastAsia"/>
          <w:sz w:val="21"/>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4B325B35">
      <w:pPr>
        <w:pStyle w:val="12"/>
        <w:spacing w:before="0" w:beforeAutospacing="0" w:after="0" w:afterAutospacing="0" w:line="360" w:lineRule="auto"/>
        <w:ind w:firstLine="420"/>
        <w:rPr>
          <w:sz w:val="21"/>
        </w:rPr>
      </w:pPr>
      <w:r>
        <w:rPr>
          <w:rFonts w:hint="eastAsia"/>
          <w:sz w:val="21"/>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65E1D200">
      <w:pPr>
        <w:pStyle w:val="12"/>
        <w:spacing w:before="0" w:beforeAutospacing="0" w:after="0" w:afterAutospacing="0" w:line="360" w:lineRule="auto"/>
        <w:ind w:firstLine="420"/>
        <w:rPr>
          <w:sz w:val="21"/>
        </w:rPr>
      </w:pPr>
      <w:r>
        <w:rPr>
          <w:rFonts w:hint="eastAsia"/>
          <w:sz w:val="21"/>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23422A5C">
      <w:pPr>
        <w:pStyle w:val="12"/>
        <w:spacing w:before="0" w:beforeAutospacing="0" w:after="0" w:afterAutospacing="0" w:line="360" w:lineRule="auto"/>
        <w:ind w:firstLine="420"/>
        <w:rPr>
          <w:sz w:val="21"/>
        </w:rPr>
      </w:pPr>
      <w:r>
        <w:rPr>
          <w:rFonts w:hint="eastAsia"/>
          <w:sz w:val="21"/>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3C5FD587">
      <w:pPr>
        <w:pStyle w:val="12"/>
        <w:spacing w:before="0" w:beforeAutospacing="0" w:after="0" w:afterAutospacing="0" w:line="360" w:lineRule="auto"/>
        <w:ind w:firstLine="420"/>
        <w:rPr>
          <w:sz w:val="21"/>
        </w:rPr>
      </w:pPr>
      <w:r>
        <w:rPr>
          <w:rFonts w:hint="eastAsia"/>
          <w:sz w:val="21"/>
        </w:rPr>
        <w:t>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438F682C">
      <w:pPr>
        <w:pStyle w:val="12"/>
        <w:spacing w:before="0" w:beforeAutospacing="0" w:after="0" w:afterAutospacing="0" w:line="360" w:lineRule="auto"/>
        <w:ind w:firstLine="420"/>
        <w:rPr>
          <w:sz w:val="21"/>
        </w:rPr>
      </w:pPr>
      <w:r>
        <w:rPr>
          <w:rFonts w:hint="eastAsia"/>
          <w:sz w:val="21"/>
        </w:rPr>
        <w:t>2、高级管理人员</w:t>
      </w:r>
    </w:p>
    <w:p w14:paraId="6F9C2870">
      <w:pPr>
        <w:pStyle w:val="12"/>
        <w:spacing w:before="0" w:beforeAutospacing="0" w:after="0" w:afterAutospacing="0" w:line="360" w:lineRule="auto"/>
        <w:ind w:firstLine="420"/>
        <w:rPr>
          <w:sz w:val="21"/>
        </w:rPr>
      </w:pPr>
      <w:r>
        <w:rPr>
          <w:rFonts w:hint="eastAsia"/>
          <w:sz w:val="21"/>
        </w:rPr>
        <w:t>张东先生，简历同上。</w:t>
      </w:r>
    </w:p>
    <w:p w14:paraId="54C84354">
      <w:pPr>
        <w:pStyle w:val="12"/>
        <w:spacing w:before="0" w:beforeAutospacing="0" w:after="0" w:afterAutospacing="0" w:line="360" w:lineRule="auto"/>
        <w:ind w:firstLine="420"/>
        <w:rPr>
          <w:sz w:val="21"/>
        </w:rPr>
      </w:pPr>
      <w:r>
        <w:rPr>
          <w:rFonts w:hint="eastAsia"/>
          <w:sz w:val="21"/>
        </w:rPr>
        <w:t>陈宇先生，简历同上。</w:t>
      </w:r>
    </w:p>
    <w:p w14:paraId="21CBC40F">
      <w:pPr>
        <w:pStyle w:val="12"/>
        <w:spacing w:before="0" w:beforeAutospacing="0" w:after="0" w:afterAutospacing="0" w:line="360" w:lineRule="auto"/>
        <w:ind w:firstLine="420"/>
        <w:rPr>
          <w:sz w:val="21"/>
        </w:rPr>
      </w:pPr>
      <w:r>
        <w:rPr>
          <w:rFonts w:hint="eastAsia"/>
          <w:sz w:val="21"/>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212D456C">
      <w:pPr>
        <w:pStyle w:val="12"/>
        <w:spacing w:before="0" w:beforeAutospacing="0" w:after="0" w:afterAutospacing="0" w:line="360" w:lineRule="auto"/>
        <w:ind w:firstLine="420"/>
        <w:rPr>
          <w:sz w:val="21"/>
        </w:rPr>
      </w:pPr>
      <w:r>
        <w:rPr>
          <w:rFonts w:hint="eastAsia"/>
          <w:sz w:val="21"/>
        </w:rPr>
        <w:t xml:space="preserve">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p>
    <w:p w14:paraId="60CD0F22">
      <w:pPr>
        <w:pStyle w:val="12"/>
        <w:spacing w:before="0" w:beforeAutospacing="0" w:after="0" w:afterAutospacing="0" w:line="360" w:lineRule="auto"/>
        <w:ind w:firstLine="420"/>
        <w:rPr>
          <w:sz w:val="21"/>
        </w:rPr>
      </w:pPr>
      <w:r>
        <w:rPr>
          <w:rFonts w:hint="eastAsia"/>
          <w:sz w:val="21"/>
        </w:rPr>
        <w:t xml:space="preserve">3、本基金基金经理 </w:t>
      </w:r>
    </w:p>
    <w:p w14:paraId="6CAB9698">
      <w:pPr>
        <w:pStyle w:val="12"/>
        <w:spacing w:before="0" w:beforeAutospacing="0" w:after="0" w:afterAutospacing="0" w:line="360" w:lineRule="auto"/>
        <w:ind w:firstLine="420" w:firstLineChars="200"/>
        <w:rPr>
          <w:rFonts w:hint="eastAsia"/>
          <w:sz w:val="21"/>
        </w:rPr>
      </w:pPr>
      <w:r>
        <w:rPr>
          <w:rFonts w:hint="eastAsia"/>
          <w:sz w:val="21"/>
        </w:rPr>
        <w:t>王萌先生，博士。2016年毕业后加入博时基金管理有限公司。现任博时恒生港股通高股息率交易型开放式指数证券投资基金(2025年4月16日—至今)、博时中证全指自由现金流交易型开放式指数证券投资基金(2025年6月30日—至今)、博时恒生港股通创新药精选交易型开放式指数证券投资基金(2025年7月23日—至今)、博时中证全指自由现金流交易型开放式指数证券投资基金联接基金(2025年9月1日—至今)、博时国证工业软件主题交易型开放式指数证券投资基金(2025年11月12日—至今)、博时中证光伏产业交易型开放式指数证券投资基金(2026年2月11日—至今)的基金经理。</w:t>
      </w:r>
      <w:bookmarkStart w:id="291" w:name="_GoBack"/>
      <w:bookmarkEnd w:id="291"/>
    </w:p>
    <w:p w14:paraId="3222A8C2">
      <w:pPr>
        <w:pStyle w:val="12"/>
        <w:spacing w:before="0" w:beforeAutospacing="0" w:after="0" w:afterAutospacing="0" w:line="360" w:lineRule="auto"/>
        <w:ind w:firstLine="420"/>
        <w:rPr>
          <w:sz w:val="21"/>
        </w:rPr>
      </w:pPr>
      <w:r>
        <w:rPr>
          <w:rFonts w:hint="eastAsia"/>
          <w:sz w:val="21"/>
        </w:rPr>
        <w:t xml:space="preserve">4、投资决策委员会成员 </w:t>
      </w:r>
    </w:p>
    <w:p w14:paraId="76B0D85D">
      <w:pPr>
        <w:pStyle w:val="12"/>
        <w:spacing w:before="0" w:beforeAutospacing="0" w:after="0" w:afterAutospacing="0" w:line="360" w:lineRule="auto"/>
        <w:ind w:firstLine="420"/>
        <w:rPr>
          <w:sz w:val="21"/>
        </w:rPr>
      </w:pPr>
      <w:r>
        <w:rPr>
          <w:rFonts w:hint="eastAsia"/>
          <w:sz w:val="21"/>
        </w:rPr>
        <w:t>公司投资决策委员会专职委员兼年金投资部总经理于善辉先生。</w:t>
      </w:r>
    </w:p>
    <w:p w14:paraId="79696955">
      <w:pPr>
        <w:pStyle w:val="12"/>
        <w:spacing w:before="0" w:beforeAutospacing="0" w:after="0" w:afterAutospacing="0" w:line="360" w:lineRule="auto"/>
        <w:ind w:firstLine="420"/>
        <w:rPr>
          <w:sz w:val="21"/>
        </w:rPr>
      </w:pPr>
      <w:r>
        <w:rPr>
          <w:rFonts w:hint="eastAsia"/>
          <w:sz w:val="21"/>
        </w:rPr>
        <w:t xml:space="preserve">公司首席资产配置官黄健斌先生。 </w:t>
      </w:r>
    </w:p>
    <w:p w14:paraId="5BFAE454">
      <w:pPr>
        <w:pStyle w:val="12"/>
        <w:spacing w:before="0" w:beforeAutospacing="0" w:after="0" w:afterAutospacing="0" w:line="360" w:lineRule="auto"/>
        <w:ind w:firstLine="420"/>
        <w:rPr>
          <w:sz w:val="21"/>
        </w:rPr>
      </w:pPr>
      <w:r>
        <w:rPr>
          <w:rFonts w:hint="eastAsia"/>
          <w:sz w:val="21"/>
        </w:rPr>
        <w:t xml:space="preserve">首席基金经理过钧先生。 </w:t>
      </w:r>
    </w:p>
    <w:p w14:paraId="43164D7F">
      <w:pPr>
        <w:pStyle w:val="12"/>
        <w:spacing w:before="0" w:beforeAutospacing="0" w:after="0" w:afterAutospacing="0" w:line="360" w:lineRule="auto"/>
        <w:ind w:firstLine="420"/>
        <w:rPr>
          <w:sz w:val="21"/>
        </w:rPr>
      </w:pPr>
      <w:r>
        <w:rPr>
          <w:rFonts w:hint="eastAsia"/>
          <w:sz w:val="21"/>
        </w:rPr>
        <w:t xml:space="preserve">首席投资官兼权益投研一体化总监、境外投资部总经理曾鹏先生。 </w:t>
      </w:r>
    </w:p>
    <w:p w14:paraId="49A7D8F4">
      <w:pPr>
        <w:pStyle w:val="12"/>
        <w:spacing w:before="0" w:beforeAutospacing="0" w:after="0" w:afterAutospacing="0" w:line="360" w:lineRule="auto"/>
        <w:ind w:firstLine="420"/>
        <w:rPr>
          <w:sz w:val="21"/>
        </w:rPr>
      </w:pPr>
      <w:r>
        <w:rPr>
          <w:rFonts w:hint="eastAsia"/>
          <w:sz w:val="21"/>
        </w:rPr>
        <w:t xml:space="preserve">董事总经理兼权益投资三部总经理、权益投资三部投资总监蔡滨先生。 </w:t>
      </w:r>
    </w:p>
    <w:p w14:paraId="473ADDFC">
      <w:pPr>
        <w:pStyle w:val="12"/>
        <w:spacing w:before="0" w:beforeAutospacing="0" w:after="0" w:afterAutospacing="0" w:line="360" w:lineRule="auto"/>
        <w:ind w:firstLine="420"/>
        <w:rPr>
          <w:sz w:val="21"/>
        </w:rPr>
      </w:pPr>
      <w:r>
        <w:rPr>
          <w:rFonts w:hint="eastAsia"/>
          <w:sz w:val="21"/>
        </w:rPr>
        <w:t xml:space="preserve">行业研究部总经理魏立先生。 </w:t>
      </w:r>
    </w:p>
    <w:p w14:paraId="3862E21E">
      <w:pPr>
        <w:pStyle w:val="12"/>
        <w:spacing w:before="0" w:beforeAutospacing="0" w:after="0" w:afterAutospacing="0" w:line="360" w:lineRule="auto"/>
        <w:ind w:firstLine="420"/>
        <w:rPr>
          <w:sz w:val="21"/>
        </w:rPr>
      </w:pPr>
      <w:r>
        <w:rPr>
          <w:rFonts w:hint="eastAsia"/>
          <w:sz w:val="21"/>
        </w:rPr>
        <w:t xml:space="preserve">宏观策略部总经理兼行业研究部研究总监金晟哲先生。 </w:t>
      </w:r>
    </w:p>
    <w:p w14:paraId="44895D02">
      <w:pPr>
        <w:pStyle w:val="12"/>
        <w:spacing w:before="0" w:beforeAutospacing="0" w:after="0" w:afterAutospacing="0" w:line="360" w:lineRule="auto"/>
        <w:ind w:firstLine="420"/>
        <w:rPr>
          <w:sz w:val="21"/>
        </w:rPr>
      </w:pPr>
      <w:r>
        <w:rPr>
          <w:rFonts w:hint="eastAsia"/>
          <w:sz w:val="21"/>
        </w:rPr>
        <w:t xml:space="preserve">指数与量化投资部总经理兼指数与量化投资部投资总监赵云阳先生。  </w:t>
      </w:r>
    </w:p>
    <w:p w14:paraId="64C1F3D6">
      <w:pPr>
        <w:pStyle w:val="12"/>
        <w:spacing w:before="0" w:beforeAutospacing="0" w:after="0" w:afterAutospacing="0" w:line="360" w:lineRule="auto"/>
        <w:ind w:firstLine="420"/>
        <w:rPr>
          <w:sz w:val="21"/>
        </w:rPr>
      </w:pPr>
      <w:r>
        <w:rPr>
          <w:rFonts w:hint="eastAsia"/>
          <w:sz w:val="21"/>
        </w:rPr>
        <w:t xml:space="preserve">5、上述人员之间均不存在近亲属关系。   </w:t>
      </w:r>
    </w:p>
    <w:p w14:paraId="7FB437F9">
      <w:pPr>
        <w:numPr>
          <w:ilvl w:val="255"/>
          <w:numId w:val="0"/>
        </w:numPr>
        <w:tabs>
          <w:tab w:val="left" w:pos="3780"/>
        </w:tabs>
        <w:autoSpaceDE w:val="0"/>
        <w:autoSpaceDN w:val="0"/>
        <w:adjustRightInd w:val="0"/>
        <w:snapToGrid w:val="0"/>
        <w:spacing w:line="360" w:lineRule="auto"/>
        <w:ind w:firstLine="422" w:firstLineChars="200"/>
        <w:textAlignment w:val="bottom"/>
        <w:rPr>
          <w:rFonts w:ascii="宋体" w:hAnsi="宋体" w:cs="Arial"/>
          <w:b/>
          <w:bCs/>
        </w:rPr>
      </w:pPr>
      <w:r>
        <w:rPr>
          <w:rFonts w:hint="eastAsia" w:ascii="宋体" w:hAnsi="宋体" w:cs="Arial"/>
          <w:b/>
          <w:bCs/>
        </w:rPr>
        <w:t>三、基金管理人的职责</w:t>
      </w:r>
    </w:p>
    <w:p w14:paraId="3FD4467D">
      <w:pPr>
        <w:snapToGrid w:val="0"/>
        <w:spacing w:line="360" w:lineRule="auto"/>
        <w:ind w:firstLine="420" w:firstLineChars="200"/>
        <w:rPr>
          <w:rFonts w:ascii="宋体" w:hAnsi="宋体" w:cs="Arial"/>
          <w:bCs/>
        </w:rPr>
      </w:pPr>
      <w:bookmarkStart w:id="17" w:name="_Hlk95316491"/>
      <w:r>
        <w:rPr>
          <w:rFonts w:hint="eastAsia" w:ascii="宋体" w:hAnsi="宋体" w:cs="Arial"/>
          <w:bCs/>
        </w:rPr>
        <w:t>1、</w:t>
      </w:r>
      <w:r>
        <w:rPr>
          <w:rFonts w:ascii="宋体" w:hAnsi="宋体" w:cs="Arial"/>
          <w:bCs/>
        </w:rPr>
        <w:t>依法募集</w:t>
      </w:r>
      <w:r>
        <w:rPr>
          <w:rFonts w:hint="eastAsia" w:ascii="宋体" w:hAnsi="宋体" w:cs="Arial"/>
          <w:bCs/>
        </w:rPr>
        <w:t>资</w:t>
      </w:r>
      <w:r>
        <w:rPr>
          <w:rFonts w:ascii="宋体" w:hAnsi="宋体" w:cs="Arial"/>
          <w:bCs/>
        </w:rPr>
        <w:t>金，办理或者委托经中国证监会认定的其他机构代为办理基金份额的</w:t>
      </w:r>
      <w:r>
        <w:rPr>
          <w:rFonts w:hint="eastAsia" w:ascii="宋体" w:hAnsi="宋体" w:cs="Arial"/>
          <w:bCs/>
        </w:rPr>
        <w:t>发售</w:t>
      </w:r>
      <w:r>
        <w:rPr>
          <w:rFonts w:ascii="宋体" w:hAnsi="宋体" w:cs="Arial"/>
          <w:bCs/>
        </w:rPr>
        <w:t>、申购、赎回和登记事宜；</w:t>
      </w:r>
    </w:p>
    <w:p w14:paraId="4DA10D24">
      <w:pPr>
        <w:snapToGrid w:val="0"/>
        <w:spacing w:line="360" w:lineRule="auto"/>
        <w:ind w:firstLine="420" w:firstLineChars="200"/>
        <w:rPr>
          <w:rFonts w:ascii="宋体" w:hAnsi="宋体" w:cs="Arial"/>
          <w:bCs/>
        </w:rPr>
      </w:pPr>
      <w:r>
        <w:rPr>
          <w:rFonts w:hint="eastAsia" w:ascii="宋体" w:hAnsi="宋体" w:cs="Arial"/>
          <w:bCs/>
        </w:rPr>
        <w:t>2、</w:t>
      </w:r>
      <w:r>
        <w:rPr>
          <w:rFonts w:ascii="宋体" w:hAnsi="宋体" w:cs="Arial"/>
          <w:bCs/>
        </w:rPr>
        <w:t>办理基金备案手续；</w:t>
      </w:r>
    </w:p>
    <w:p w14:paraId="3681EEDA">
      <w:pPr>
        <w:snapToGrid w:val="0"/>
        <w:spacing w:line="360" w:lineRule="auto"/>
        <w:ind w:firstLine="420" w:firstLineChars="200"/>
        <w:rPr>
          <w:rFonts w:ascii="宋体" w:hAnsi="宋体" w:cs="Arial"/>
          <w:bCs/>
        </w:rPr>
      </w:pPr>
      <w:r>
        <w:rPr>
          <w:rFonts w:hint="eastAsia" w:ascii="宋体" w:hAnsi="宋体" w:cs="Arial"/>
          <w:bCs/>
        </w:rPr>
        <w:t>3、</w:t>
      </w:r>
      <w:r>
        <w:rPr>
          <w:rFonts w:ascii="宋体" w:hAnsi="宋体" w:cs="Arial"/>
          <w:bCs/>
        </w:rPr>
        <w:t>自《基金合同》生效之日起</w:t>
      </w:r>
      <w:r>
        <w:rPr>
          <w:rFonts w:hint="eastAsia" w:ascii="宋体" w:hAnsi="宋体" w:cs="Arial"/>
          <w:bCs/>
        </w:rPr>
        <w:t>，</w:t>
      </w:r>
      <w:r>
        <w:rPr>
          <w:rFonts w:ascii="宋体" w:hAnsi="宋体" w:cs="Arial"/>
          <w:bCs/>
        </w:rPr>
        <w:t>以诚实信用、谨慎勤勉的原则管理和运用基金财产；</w:t>
      </w:r>
    </w:p>
    <w:p w14:paraId="31B4F3B1">
      <w:pPr>
        <w:snapToGrid w:val="0"/>
        <w:spacing w:line="360" w:lineRule="auto"/>
        <w:ind w:firstLine="420" w:firstLineChars="200"/>
        <w:rPr>
          <w:rFonts w:ascii="宋体" w:hAnsi="宋体" w:cs="Arial"/>
          <w:bCs/>
        </w:rPr>
      </w:pPr>
      <w:r>
        <w:rPr>
          <w:rFonts w:hint="eastAsia" w:ascii="宋体" w:hAnsi="宋体" w:cs="Arial"/>
          <w:bCs/>
        </w:rPr>
        <w:t>4、</w:t>
      </w:r>
      <w:r>
        <w:rPr>
          <w:rFonts w:ascii="宋体" w:hAnsi="宋体" w:cs="Arial"/>
          <w:bCs/>
        </w:rPr>
        <w:t>配备足够的具有专业资格的人员进行基金投资分析、决策，以专业化的经营方式管理和运作基金财产；</w:t>
      </w:r>
    </w:p>
    <w:p w14:paraId="05F5A69F">
      <w:pPr>
        <w:snapToGrid w:val="0"/>
        <w:spacing w:line="360" w:lineRule="auto"/>
        <w:ind w:firstLine="420" w:firstLineChars="200"/>
        <w:rPr>
          <w:rFonts w:ascii="宋体" w:hAnsi="宋体" w:cs="Arial"/>
          <w:bCs/>
        </w:rPr>
      </w:pPr>
      <w:r>
        <w:rPr>
          <w:rFonts w:hint="eastAsia" w:ascii="宋体" w:hAnsi="宋体" w:cs="Arial"/>
          <w:bCs/>
        </w:rPr>
        <w:t>5、</w:t>
      </w:r>
      <w:r>
        <w:rPr>
          <w:rFonts w:ascii="宋体" w:hAnsi="宋体" w:cs="Arial"/>
          <w:bCs/>
        </w:rPr>
        <w:t>建立健全内部风险控制、监察与稽核、财务管理及人事管理等制度，保证所管理的基金财产和基金管理人的财产相互独立</w:t>
      </w:r>
      <w:r>
        <w:rPr>
          <w:rFonts w:hint="eastAsia" w:ascii="宋体" w:hAnsi="宋体" w:cs="Arial"/>
          <w:bCs/>
        </w:rPr>
        <w:t>，</w:t>
      </w:r>
      <w:r>
        <w:rPr>
          <w:rFonts w:ascii="宋体" w:hAnsi="宋体" w:cs="Arial"/>
          <w:bCs/>
        </w:rPr>
        <w:t>对所管理的不同基金分别管理，分别记账，进行证券投资；</w:t>
      </w:r>
    </w:p>
    <w:p w14:paraId="3C05C2A8">
      <w:pPr>
        <w:snapToGrid w:val="0"/>
        <w:spacing w:line="360" w:lineRule="auto"/>
        <w:ind w:firstLine="420" w:firstLineChars="200"/>
        <w:rPr>
          <w:rFonts w:ascii="宋体" w:hAnsi="宋体" w:cs="Arial"/>
          <w:bCs/>
        </w:rPr>
      </w:pPr>
      <w:r>
        <w:rPr>
          <w:rFonts w:hint="eastAsia" w:ascii="宋体" w:hAnsi="宋体" w:cs="Arial"/>
          <w:bCs/>
        </w:rPr>
        <w:t>6、</w:t>
      </w:r>
      <w:r>
        <w:rPr>
          <w:rFonts w:ascii="宋体" w:hAnsi="宋体" w:cs="Arial"/>
          <w:bCs/>
        </w:rPr>
        <w:t>除依据《基金法》、《基金合同》及其他有关规定外</w:t>
      </w:r>
      <w:r>
        <w:rPr>
          <w:rFonts w:hint="eastAsia" w:ascii="宋体" w:hAnsi="宋体" w:cs="Arial"/>
          <w:bCs/>
        </w:rPr>
        <w:t>，</w:t>
      </w:r>
      <w:r>
        <w:rPr>
          <w:rFonts w:ascii="宋体" w:hAnsi="宋体" w:cs="Arial"/>
          <w:bCs/>
        </w:rPr>
        <w:t>不得利用基金财产为自己及任何第三人谋取利益，不得委托第三人运作基金财产；</w:t>
      </w:r>
      <w:bookmarkStart w:id="18" w:name="_Hlt88897298"/>
      <w:bookmarkEnd w:id="18"/>
    </w:p>
    <w:p w14:paraId="440976E8">
      <w:pPr>
        <w:snapToGrid w:val="0"/>
        <w:spacing w:line="360" w:lineRule="auto"/>
        <w:ind w:firstLine="420" w:firstLineChars="200"/>
        <w:rPr>
          <w:rFonts w:ascii="宋体" w:hAnsi="宋体" w:cs="Arial"/>
          <w:bCs/>
        </w:rPr>
      </w:pPr>
      <w:r>
        <w:rPr>
          <w:rFonts w:hint="eastAsia" w:ascii="宋体" w:hAnsi="宋体" w:cs="Arial"/>
          <w:bCs/>
        </w:rPr>
        <w:t>7、</w:t>
      </w:r>
      <w:r>
        <w:rPr>
          <w:rFonts w:ascii="宋体" w:hAnsi="宋体" w:cs="Arial"/>
          <w:bCs/>
        </w:rPr>
        <w:t>依法接受基金托管人的监督；</w:t>
      </w:r>
    </w:p>
    <w:p w14:paraId="3A236DE2">
      <w:pPr>
        <w:snapToGrid w:val="0"/>
        <w:spacing w:line="360" w:lineRule="auto"/>
        <w:ind w:firstLine="420" w:firstLineChars="200"/>
        <w:rPr>
          <w:rFonts w:ascii="宋体" w:hAnsi="宋体" w:cs="Arial"/>
          <w:bCs/>
        </w:rPr>
      </w:pPr>
      <w:r>
        <w:rPr>
          <w:rFonts w:hint="eastAsia" w:ascii="宋体" w:hAnsi="宋体" w:cs="Arial"/>
          <w:bCs/>
        </w:rPr>
        <w:t>8、采取适当合理的措施使计算基金份额认购价格、申购对价、赎回对价的方法符合《基金合同》等法律文件的规定，按有关规定计算并公告基金净值信息，确定基金份额申购、赎回对价，编制申购赎回清单；</w:t>
      </w:r>
    </w:p>
    <w:p w14:paraId="7C3B5B81">
      <w:pPr>
        <w:snapToGrid w:val="0"/>
        <w:spacing w:line="360" w:lineRule="auto"/>
        <w:ind w:firstLine="420" w:firstLineChars="200"/>
        <w:rPr>
          <w:rFonts w:ascii="宋体" w:hAnsi="宋体" w:cs="Arial"/>
          <w:bCs/>
        </w:rPr>
      </w:pPr>
      <w:r>
        <w:rPr>
          <w:rFonts w:hint="eastAsia" w:ascii="宋体" w:hAnsi="宋体" w:cs="Arial"/>
          <w:bCs/>
        </w:rPr>
        <w:t>9、进行基金会计核算并编制基金财务会计报告；</w:t>
      </w:r>
    </w:p>
    <w:p w14:paraId="0C324CFE">
      <w:pPr>
        <w:snapToGrid w:val="0"/>
        <w:spacing w:line="360" w:lineRule="auto"/>
        <w:ind w:firstLine="420" w:firstLineChars="200"/>
        <w:rPr>
          <w:rFonts w:ascii="宋体" w:hAnsi="宋体" w:cs="Arial"/>
          <w:bCs/>
        </w:rPr>
      </w:pPr>
      <w:r>
        <w:rPr>
          <w:rFonts w:hint="eastAsia" w:ascii="宋体" w:hAnsi="宋体" w:cs="Arial"/>
          <w:bCs/>
        </w:rPr>
        <w:t>10、编制季度报告、中期报告和年度报告；</w:t>
      </w:r>
    </w:p>
    <w:p w14:paraId="00C059C2">
      <w:pPr>
        <w:snapToGrid w:val="0"/>
        <w:spacing w:line="360" w:lineRule="auto"/>
        <w:ind w:firstLine="420" w:firstLineChars="200"/>
        <w:rPr>
          <w:rFonts w:ascii="宋体" w:hAnsi="宋体" w:cs="Arial"/>
          <w:bCs/>
        </w:rPr>
      </w:pPr>
      <w:r>
        <w:rPr>
          <w:rFonts w:hint="eastAsia" w:ascii="宋体" w:hAnsi="宋体" w:cs="Arial"/>
          <w:bCs/>
        </w:rPr>
        <w:t>11、</w:t>
      </w:r>
      <w:r>
        <w:rPr>
          <w:rFonts w:ascii="宋体" w:hAnsi="宋体" w:cs="Arial"/>
          <w:bCs/>
        </w:rPr>
        <w:t>严格按照《基金法》、《基金合同》及其他有关规定，履行信息披露及报告义务；</w:t>
      </w:r>
    </w:p>
    <w:p w14:paraId="6E4024C4">
      <w:pPr>
        <w:snapToGrid w:val="0"/>
        <w:spacing w:line="360" w:lineRule="auto"/>
        <w:ind w:firstLine="420" w:firstLineChars="200"/>
        <w:rPr>
          <w:rFonts w:ascii="宋体" w:hAnsi="宋体" w:cs="Arial"/>
          <w:bCs/>
        </w:rPr>
      </w:pPr>
      <w:r>
        <w:rPr>
          <w:rFonts w:hint="eastAsia" w:ascii="宋体" w:hAnsi="宋体" w:cs="Arial"/>
          <w:bCs/>
        </w:rPr>
        <w:t>12、</w:t>
      </w:r>
      <w:r>
        <w:rPr>
          <w:rFonts w:ascii="宋体" w:hAnsi="宋体" w:cs="Arial"/>
          <w:bCs/>
        </w:rPr>
        <w:t>保守基金商业秘密，不泄露基金投资计划、投资意向等。除《基金法》、《基金合同》及其他有关规定另有规定外，在基金信息公开披露前应予保密，不向他人泄露</w:t>
      </w:r>
      <w:r>
        <w:rPr>
          <w:rFonts w:hint="eastAsia" w:ascii="宋体" w:hAnsi="宋体" w:cs="Arial"/>
          <w:bCs/>
        </w:rPr>
        <w:t>，向审计、法律等外部专业顾问提供的情况除外</w:t>
      </w:r>
      <w:r>
        <w:rPr>
          <w:rFonts w:ascii="宋体" w:hAnsi="宋体" w:cs="Arial"/>
          <w:bCs/>
        </w:rPr>
        <w:t>；</w:t>
      </w:r>
    </w:p>
    <w:p w14:paraId="2DCF6360">
      <w:pPr>
        <w:snapToGrid w:val="0"/>
        <w:spacing w:line="360" w:lineRule="auto"/>
        <w:ind w:firstLine="420" w:firstLineChars="200"/>
        <w:rPr>
          <w:rFonts w:ascii="宋体" w:hAnsi="宋体" w:cs="Arial"/>
          <w:bCs/>
        </w:rPr>
      </w:pPr>
      <w:r>
        <w:rPr>
          <w:rFonts w:ascii="宋体" w:hAnsi="宋体" w:cs="Arial"/>
          <w:bCs/>
        </w:rPr>
        <w:t>13</w:t>
      </w:r>
      <w:r>
        <w:rPr>
          <w:rFonts w:hint="eastAsia" w:ascii="宋体" w:hAnsi="宋体" w:cs="Arial"/>
          <w:bCs/>
        </w:rPr>
        <w:t>、</w:t>
      </w:r>
      <w:r>
        <w:rPr>
          <w:rFonts w:ascii="宋体" w:hAnsi="宋体" w:cs="Arial"/>
          <w:bCs/>
        </w:rPr>
        <w:t>按《基金合同》的约定确定基金收益分配方案，及时向基金份额持有人分配基金收益；</w:t>
      </w:r>
    </w:p>
    <w:p w14:paraId="082415BF">
      <w:pPr>
        <w:snapToGrid w:val="0"/>
        <w:spacing w:line="360" w:lineRule="auto"/>
        <w:ind w:firstLine="420" w:firstLineChars="200"/>
        <w:rPr>
          <w:rFonts w:ascii="宋体" w:hAnsi="宋体" w:cs="Arial"/>
          <w:bCs/>
        </w:rPr>
      </w:pPr>
      <w:r>
        <w:rPr>
          <w:rFonts w:ascii="宋体" w:hAnsi="宋体" w:cs="Arial"/>
          <w:bCs/>
        </w:rPr>
        <w:t>14</w:t>
      </w:r>
      <w:r>
        <w:rPr>
          <w:rFonts w:hint="eastAsia" w:ascii="宋体" w:hAnsi="宋体" w:cs="Arial"/>
          <w:bCs/>
        </w:rPr>
        <w:t>、</w:t>
      </w:r>
      <w:r>
        <w:rPr>
          <w:rFonts w:ascii="宋体" w:hAnsi="宋体" w:cs="Arial"/>
          <w:bCs/>
        </w:rPr>
        <w:t>按规定受理申购与赎回申请，及时、足额支付赎回</w:t>
      </w:r>
      <w:r>
        <w:rPr>
          <w:rFonts w:hint="eastAsia" w:ascii="宋体" w:hAnsi="宋体" w:cs="Arial"/>
          <w:bCs/>
        </w:rPr>
        <w:t>对价</w:t>
      </w:r>
      <w:r>
        <w:rPr>
          <w:rFonts w:ascii="宋体" w:hAnsi="宋体" w:cs="Arial"/>
          <w:bCs/>
        </w:rPr>
        <w:t>；</w:t>
      </w:r>
    </w:p>
    <w:p w14:paraId="6B62F8E1">
      <w:pPr>
        <w:snapToGrid w:val="0"/>
        <w:spacing w:line="360" w:lineRule="auto"/>
        <w:ind w:firstLine="420" w:firstLineChars="200"/>
        <w:rPr>
          <w:rFonts w:ascii="宋体" w:hAnsi="宋体" w:cs="Arial"/>
          <w:bCs/>
        </w:rPr>
      </w:pPr>
      <w:r>
        <w:rPr>
          <w:rFonts w:ascii="宋体" w:hAnsi="宋体" w:cs="Arial"/>
          <w:bCs/>
        </w:rPr>
        <w:t>15</w:t>
      </w:r>
      <w:r>
        <w:rPr>
          <w:rFonts w:hint="eastAsia" w:ascii="宋体" w:hAnsi="宋体" w:cs="Arial"/>
          <w:bCs/>
        </w:rPr>
        <w:t>、</w:t>
      </w:r>
      <w:r>
        <w:rPr>
          <w:rFonts w:ascii="宋体" w:hAnsi="宋体" w:cs="Arial"/>
          <w:bCs/>
        </w:rPr>
        <w:t>依据《基金法》、《基金合同》及其他有关规定召集基金份额持有人大会或配合基金托管人、基金份额持有人依法召集基金份额持有人大会；</w:t>
      </w:r>
    </w:p>
    <w:p w14:paraId="4EF2CE4B">
      <w:pPr>
        <w:snapToGrid w:val="0"/>
        <w:spacing w:line="360" w:lineRule="auto"/>
        <w:ind w:firstLine="420" w:firstLineChars="200"/>
        <w:rPr>
          <w:rFonts w:ascii="宋体" w:hAnsi="宋体" w:cs="Arial"/>
          <w:bCs/>
        </w:rPr>
      </w:pPr>
      <w:r>
        <w:rPr>
          <w:rFonts w:ascii="宋体" w:hAnsi="宋体" w:cs="Arial"/>
          <w:bCs/>
        </w:rPr>
        <w:t>16</w:t>
      </w:r>
      <w:r>
        <w:rPr>
          <w:rFonts w:hint="eastAsia" w:ascii="宋体" w:hAnsi="宋体" w:cs="Arial"/>
          <w:bCs/>
        </w:rPr>
        <w:t>、</w:t>
      </w:r>
      <w:r>
        <w:rPr>
          <w:rFonts w:ascii="宋体" w:hAnsi="宋体" w:cs="Arial"/>
          <w:bCs/>
        </w:rPr>
        <w:t>按规定保存基金财产管理业务活动的会计账册、报表、记录和其他相关资料</w:t>
      </w:r>
      <w:r>
        <w:rPr>
          <w:rFonts w:hint="eastAsia" w:ascii="宋体" w:hAnsi="宋体" w:cs="Arial"/>
          <w:bCs/>
        </w:rPr>
        <w:t>，保存期限不低于法定最低期限</w:t>
      </w:r>
      <w:r>
        <w:rPr>
          <w:rFonts w:ascii="宋体" w:hAnsi="宋体" w:cs="Arial"/>
          <w:bCs/>
        </w:rPr>
        <w:t>；</w:t>
      </w:r>
    </w:p>
    <w:p w14:paraId="53E0E524">
      <w:pPr>
        <w:snapToGrid w:val="0"/>
        <w:spacing w:line="360" w:lineRule="auto"/>
        <w:ind w:firstLine="420" w:firstLineChars="200"/>
        <w:rPr>
          <w:rFonts w:ascii="宋体" w:hAnsi="宋体" w:cs="Arial"/>
          <w:bCs/>
        </w:rPr>
      </w:pPr>
      <w:r>
        <w:rPr>
          <w:rFonts w:ascii="宋体" w:hAnsi="宋体" w:cs="Arial"/>
          <w:bCs/>
        </w:rPr>
        <w:t>17</w:t>
      </w:r>
      <w:r>
        <w:rPr>
          <w:rFonts w:hint="eastAsia" w:ascii="宋体" w:hAnsi="宋体" w:cs="Arial"/>
          <w:bCs/>
        </w:rPr>
        <w:t>、</w:t>
      </w:r>
      <w:r>
        <w:rPr>
          <w:rFonts w:ascii="宋体" w:hAnsi="宋体" w:cs="Arial"/>
          <w:bCs/>
        </w:rPr>
        <w:t>确保需要向基金投资人提供的各项文件或资料在规定时间发出，并且保证投资人能够按照《基金合同》规定的时间和方式，随时查阅到与基金有关的公开资料，并在支付合理成本的条件下得到有关资料的复印件；</w:t>
      </w:r>
    </w:p>
    <w:p w14:paraId="75C3845F">
      <w:pPr>
        <w:snapToGrid w:val="0"/>
        <w:spacing w:line="360" w:lineRule="auto"/>
        <w:ind w:firstLine="420" w:firstLineChars="200"/>
        <w:rPr>
          <w:rFonts w:ascii="宋体" w:hAnsi="宋体" w:cs="Arial"/>
          <w:bCs/>
        </w:rPr>
      </w:pPr>
      <w:r>
        <w:rPr>
          <w:rFonts w:ascii="宋体" w:hAnsi="宋体" w:cs="Arial"/>
          <w:bCs/>
        </w:rPr>
        <w:t>18</w:t>
      </w:r>
      <w:r>
        <w:rPr>
          <w:rFonts w:hint="eastAsia" w:ascii="宋体" w:hAnsi="宋体" w:cs="Arial"/>
          <w:bCs/>
        </w:rPr>
        <w:t>、</w:t>
      </w:r>
      <w:r>
        <w:rPr>
          <w:rFonts w:ascii="宋体" w:hAnsi="宋体" w:cs="Arial"/>
          <w:bCs/>
        </w:rPr>
        <w:t>组织并参加基金财产清算小组</w:t>
      </w:r>
      <w:r>
        <w:rPr>
          <w:rFonts w:hint="eastAsia" w:ascii="宋体" w:hAnsi="宋体" w:cs="Arial"/>
          <w:bCs/>
        </w:rPr>
        <w:t>，</w:t>
      </w:r>
      <w:r>
        <w:rPr>
          <w:rFonts w:ascii="宋体" w:hAnsi="宋体" w:cs="Arial"/>
          <w:bCs/>
        </w:rPr>
        <w:t>参与基金财产的保管、清理、估价、变现和分配；</w:t>
      </w:r>
    </w:p>
    <w:p w14:paraId="68BA18BC">
      <w:pPr>
        <w:snapToGrid w:val="0"/>
        <w:spacing w:line="360" w:lineRule="auto"/>
        <w:ind w:firstLine="420" w:firstLineChars="200"/>
        <w:rPr>
          <w:rFonts w:ascii="宋体" w:hAnsi="宋体" w:cs="Arial"/>
          <w:bCs/>
        </w:rPr>
      </w:pPr>
      <w:r>
        <w:rPr>
          <w:rFonts w:ascii="宋体" w:hAnsi="宋体" w:cs="Arial"/>
          <w:bCs/>
        </w:rPr>
        <w:t>19</w:t>
      </w:r>
      <w:r>
        <w:rPr>
          <w:rFonts w:hint="eastAsia" w:ascii="宋体" w:hAnsi="宋体" w:cs="Arial"/>
          <w:bCs/>
        </w:rPr>
        <w:t>、</w:t>
      </w:r>
      <w:r>
        <w:rPr>
          <w:rFonts w:ascii="宋体" w:hAnsi="宋体" w:cs="Arial"/>
          <w:bCs/>
        </w:rPr>
        <w:t>面临解散、依法被撤销或者被依法宣告破产时，及时报告中国证监会</w:t>
      </w:r>
      <w:r>
        <w:rPr>
          <w:rFonts w:hint="eastAsia" w:ascii="宋体" w:hAnsi="宋体" w:cs="Arial"/>
          <w:bCs/>
        </w:rPr>
        <w:t>，</w:t>
      </w:r>
      <w:r>
        <w:rPr>
          <w:rFonts w:ascii="宋体" w:hAnsi="宋体" w:cs="Arial"/>
          <w:bCs/>
        </w:rPr>
        <w:t>并通知基金托管人；</w:t>
      </w:r>
    </w:p>
    <w:p w14:paraId="4653D79D">
      <w:pPr>
        <w:snapToGrid w:val="0"/>
        <w:spacing w:line="360" w:lineRule="auto"/>
        <w:ind w:firstLine="420" w:firstLineChars="200"/>
        <w:rPr>
          <w:rFonts w:ascii="宋体" w:hAnsi="宋体" w:cs="Arial"/>
          <w:bCs/>
        </w:rPr>
      </w:pPr>
      <w:r>
        <w:rPr>
          <w:rFonts w:ascii="宋体" w:hAnsi="宋体" w:cs="Arial"/>
          <w:bCs/>
        </w:rPr>
        <w:t>20</w:t>
      </w:r>
      <w:r>
        <w:rPr>
          <w:rFonts w:hint="eastAsia" w:ascii="宋体" w:hAnsi="宋体" w:cs="Arial"/>
          <w:bCs/>
        </w:rPr>
        <w:t>、</w:t>
      </w:r>
      <w:r>
        <w:rPr>
          <w:rFonts w:ascii="宋体" w:hAnsi="宋体" w:cs="Arial"/>
          <w:bCs/>
        </w:rPr>
        <w:t>因违反《基金合同》导致基金财产的损失或损害基金份额持有人合法权益时，应当承担赔偿责任，其赔偿责任不因其退任而免除；</w:t>
      </w:r>
    </w:p>
    <w:p w14:paraId="19836A6B">
      <w:pPr>
        <w:snapToGrid w:val="0"/>
        <w:spacing w:line="360" w:lineRule="auto"/>
        <w:ind w:firstLine="420" w:firstLineChars="200"/>
        <w:rPr>
          <w:rFonts w:ascii="宋体" w:hAnsi="宋体" w:cs="Arial"/>
          <w:bCs/>
        </w:rPr>
      </w:pPr>
      <w:r>
        <w:rPr>
          <w:rFonts w:ascii="宋体" w:hAnsi="宋体" w:cs="Arial"/>
          <w:bCs/>
        </w:rPr>
        <w:t>21</w:t>
      </w:r>
      <w:r>
        <w:rPr>
          <w:rFonts w:hint="eastAsia" w:ascii="宋体" w:hAnsi="宋体" w:cs="Arial"/>
          <w:bCs/>
        </w:rPr>
        <w:t>、</w:t>
      </w:r>
      <w:r>
        <w:rPr>
          <w:rFonts w:ascii="宋体" w:hAnsi="宋体" w:cs="Arial"/>
          <w:bCs/>
        </w:rPr>
        <w:t>监督基金托管人按法律法规和《基金合同》规定履行自己的义务，基金托管人违反《基金合同》造成基金财产损失时，基金管理人应为基金份额持有人利益向基金托管人追偿；</w:t>
      </w:r>
    </w:p>
    <w:p w14:paraId="6196502E">
      <w:pPr>
        <w:snapToGrid w:val="0"/>
        <w:spacing w:line="360" w:lineRule="auto"/>
        <w:ind w:firstLine="420" w:firstLineChars="200"/>
        <w:rPr>
          <w:rFonts w:ascii="宋体" w:hAnsi="宋体" w:cs="Arial"/>
          <w:bCs/>
        </w:rPr>
      </w:pPr>
      <w:r>
        <w:rPr>
          <w:rFonts w:ascii="宋体" w:hAnsi="宋体" w:cs="Arial"/>
          <w:bCs/>
        </w:rPr>
        <w:t>22</w:t>
      </w:r>
      <w:r>
        <w:rPr>
          <w:rFonts w:hint="eastAsia" w:ascii="宋体" w:hAnsi="宋体" w:cs="Arial"/>
          <w:bCs/>
        </w:rPr>
        <w:t>、</w:t>
      </w:r>
      <w:r>
        <w:rPr>
          <w:rFonts w:ascii="宋体" w:hAnsi="宋体" w:cs="Arial"/>
          <w:bCs/>
        </w:rPr>
        <w:t>当基金管理人将其义务委托第三方处理时，应当对第三方处理有关基金事务的行为承担责任；</w:t>
      </w:r>
    </w:p>
    <w:p w14:paraId="5E8ECF39">
      <w:pPr>
        <w:snapToGrid w:val="0"/>
        <w:spacing w:line="360" w:lineRule="auto"/>
        <w:ind w:firstLine="420" w:firstLineChars="200"/>
        <w:rPr>
          <w:rFonts w:ascii="宋体" w:hAnsi="宋体" w:cs="Arial"/>
          <w:bCs/>
        </w:rPr>
      </w:pPr>
      <w:r>
        <w:rPr>
          <w:rFonts w:ascii="宋体" w:hAnsi="宋体" w:cs="Arial"/>
          <w:bCs/>
        </w:rPr>
        <w:t>23</w:t>
      </w:r>
      <w:r>
        <w:rPr>
          <w:rFonts w:hint="eastAsia" w:ascii="宋体" w:hAnsi="宋体" w:cs="Arial"/>
          <w:bCs/>
        </w:rPr>
        <w:t>、</w:t>
      </w:r>
      <w:r>
        <w:rPr>
          <w:rFonts w:ascii="宋体" w:hAnsi="宋体" w:cs="Arial"/>
          <w:bCs/>
        </w:rPr>
        <w:t>以基金管理人名义，代表基金份额持有人利益行使诉讼权利或实施其他法律行为；</w:t>
      </w:r>
    </w:p>
    <w:p w14:paraId="27B0A7BB">
      <w:pPr>
        <w:snapToGrid w:val="0"/>
        <w:spacing w:line="360" w:lineRule="auto"/>
        <w:ind w:firstLine="420" w:firstLineChars="200"/>
        <w:rPr>
          <w:rFonts w:ascii="宋体" w:hAnsi="宋体" w:cs="Arial"/>
          <w:bCs/>
        </w:rPr>
      </w:pPr>
      <w:r>
        <w:rPr>
          <w:rFonts w:hint="eastAsia" w:ascii="宋体" w:hAnsi="宋体" w:cs="Arial"/>
          <w:bCs/>
        </w:rPr>
        <w:t>24、基金在募集期间未能达到基金的备案条件，基金合同不能生效，基金管理人承担全部募集费用，将已募集资金并加计银行同期活期存款利息在基金募集期结束后30日内退还基金认购人，对于基金募集期间网下股票认购所冻结的股票，发售代理机构应予以解冻；</w:t>
      </w:r>
    </w:p>
    <w:p w14:paraId="3F1F8B99">
      <w:pPr>
        <w:snapToGrid w:val="0"/>
        <w:spacing w:line="360" w:lineRule="auto"/>
        <w:ind w:firstLine="420" w:firstLineChars="200"/>
        <w:rPr>
          <w:rFonts w:ascii="宋体" w:hAnsi="宋体" w:cs="Arial"/>
          <w:bCs/>
        </w:rPr>
      </w:pPr>
      <w:r>
        <w:rPr>
          <w:rFonts w:ascii="宋体" w:hAnsi="宋体" w:cs="Arial"/>
          <w:bCs/>
        </w:rPr>
        <w:t>25</w:t>
      </w:r>
      <w:r>
        <w:rPr>
          <w:rFonts w:hint="eastAsia" w:ascii="宋体" w:hAnsi="宋体" w:cs="Arial"/>
          <w:bCs/>
        </w:rPr>
        <w:t>、</w:t>
      </w:r>
      <w:r>
        <w:rPr>
          <w:rFonts w:ascii="宋体" w:hAnsi="宋体" w:cs="Arial"/>
          <w:bCs/>
        </w:rPr>
        <w:t>执行生效的基金份额持有人大会的</w:t>
      </w:r>
      <w:r>
        <w:rPr>
          <w:rFonts w:hint="eastAsia" w:ascii="宋体" w:hAnsi="宋体" w:cs="Arial"/>
          <w:bCs/>
        </w:rPr>
        <w:t>决议</w:t>
      </w:r>
      <w:r>
        <w:rPr>
          <w:rFonts w:ascii="宋体" w:hAnsi="宋体" w:cs="Arial"/>
          <w:bCs/>
        </w:rPr>
        <w:t>；</w:t>
      </w:r>
    </w:p>
    <w:p w14:paraId="383B3E2E">
      <w:pPr>
        <w:snapToGrid w:val="0"/>
        <w:spacing w:line="360" w:lineRule="auto"/>
        <w:ind w:firstLine="420" w:firstLineChars="200"/>
        <w:rPr>
          <w:rFonts w:ascii="宋体" w:hAnsi="宋体" w:cs="Arial"/>
          <w:bCs/>
        </w:rPr>
      </w:pPr>
      <w:r>
        <w:rPr>
          <w:rFonts w:ascii="宋体" w:hAnsi="宋体" w:cs="Arial"/>
          <w:bCs/>
        </w:rPr>
        <w:t>26</w:t>
      </w:r>
      <w:r>
        <w:rPr>
          <w:rFonts w:hint="eastAsia" w:ascii="宋体" w:hAnsi="宋体" w:cs="Arial"/>
          <w:bCs/>
        </w:rPr>
        <w:t>、</w:t>
      </w:r>
      <w:r>
        <w:rPr>
          <w:rFonts w:ascii="宋体" w:hAnsi="宋体" w:cs="Arial"/>
          <w:bCs/>
        </w:rPr>
        <w:t>建立并保存基金份额持有人名册；</w:t>
      </w:r>
    </w:p>
    <w:p w14:paraId="53CD3D22">
      <w:pPr>
        <w:snapToGrid w:val="0"/>
        <w:spacing w:line="360" w:lineRule="auto"/>
        <w:ind w:firstLine="420" w:firstLineChars="200"/>
        <w:rPr>
          <w:rFonts w:ascii="宋体" w:hAnsi="宋体" w:cs="Arial"/>
          <w:kern w:val="0"/>
        </w:rPr>
      </w:pPr>
      <w:r>
        <w:rPr>
          <w:rFonts w:hint="eastAsia" w:ascii="宋体" w:hAnsi="宋体" w:cs="Arial"/>
          <w:bCs/>
        </w:rPr>
        <w:t>27、</w:t>
      </w:r>
      <w:r>
        <w:rPr>
          <w:rFonts w:ascii="宋体" w:hAnsi="宋体" w:cs="Arial"/>
          <w:bCs/>
        </w:rPr>
        <w:t>法律法规及中国证监会规定的和《基金合同》约定的其他义务。</w:t>
      </w:r>
    </w:p>
    <w:bookmarkEnd w:id="17"/>
    <w:p w14:paraId="03AF13B4">
      <w:pPr>
        <w:tabs>
          <w:tab w:val="left" w:pos="3780"/>
        </w:tabs>
        <w:autoSpaceDE w:val="0"/>
        <w:autoSpaceDN w:val="0"/>
        <w:adjustRightInd w:val="0"/>
        <w:snapToGrid w:val="0"/>
        <w:spacing w:line="360" w:lineRule="auto"/>
        <w:ind w:firstLine="422" w:firstLineChars="200"/>
        <w:textAlignment w:val="bottom"/>
        <w:rPr>
          <w:rFonts w:ascii="宋体" w:hAnsi="宋体" w:cs="Arial"/>
          <w:b/>
          <w:bCs/>
        </w:rPr>
      </w:pPr>
      <w:r>
        <w:rPr>
          <w:rFonts w:hint="eastAsia" w:ascii="宋体" w:hAnsi="宋体" w:cs="Arial"/>
          <w:b/>
          <w:bCs/>
        </w:rPr>
        <w:t>四</w:t>
      </w:r>
      <w:r>
        <w:rPr>
          <w:rFonts w:ascii="宋体" w:hAnsi="宋体" w:cs="Arial"/>
          <w:b/>
          <w:bCs/>
        </w:rPr>
        <w:t>、基金管理人的承诺</w:t>
      </w:r>
    </w:p>
    <w:p w14:paraId="6E938567">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1、基金管理人承诺不从事违反</w:t>
      </w:r>
      <w:r>
        <w:rPr>
          <w:rFonts w:hint="eastAsia" w:ascii="宋体" w:hAnsi="宋体" w:cs="Arial"/>
        </w:rPr>
        <w:t>《中华人民共和国证券法》</w:t>
      </w:r>
      <w:r>
        <w:rPr>
          <w:rFonts w:hint="eastAsia" w:ascii="宋体" w:hAnsi="宋体" w:cs="Arial"/>
          <w:kern w:val="0"/>
        </w:rPr>
        <w:t>的行为，并承诺建立健全内部控制制度，采取有效措施，防止违反</w:t>
      </w:r>
      <w:r>
        <w:rPr>
          <w:rFonts w:hint="eastAsia" w:ascii="宋体" w:hAnsi="宋体" w:cs="Arial"/>
        </w:rPr>
        <w:t>《中华人民共和国证券法》</w:t>
      </w:r>
      <w:r>
        <w:rPr>
          <w:rFonts w:hint="eastAsia" w:ascii="宋体" w:hAnsi="宋体" w:cs="Arial"/>
          <w:kern w:val="0"/>
        </w:rPr>
        <w:t xml:space="preserve">行为的发生； </w:t>
      </w:r>
    </w:p>
    <w:p w14:paraId="2C71B648">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2、基金管理人承诺不从事违反《基金法》的行为，并承诺建立健全内部风险控制制度，采取有效措施，防止下列行为的发生：</w:t>
      </w:r>
    </w:p>
    <w:p w14:paraId="216AB75C">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（1）将基金管理人固有财产或者他人财产混同于基金财产从事证券投资；</w:t>
      </w:r>
    </w:p>
    <w:p w14:paraId="1608F7AD">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（2）不公平地对待管理的不同基金财产；</w:t>
      </w:r>
    </w:p>
    <w:p w14:paraId="7112649D">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（3）利用基金财产或者职务之便为基金份额持有人以外的第三人牟取利益；</w:t>
      </w:r>
    </w:p>
    <w:p w14:paraId="69AAC0C9">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（4）向基金份额持有人违规承诺收益或者承担损失；</w:t>
      </w:r>
    </w:p>
    <w:p w14:paraId="56B2D2A2">
      <w:pPr>
        <w:tabs>
          <w:tab w:val="left" w:pos="3780"/>
        </w:tabs>
        <w:autoSpaceDE w:val="0"/>
        <w:autoSpaceDN w:val="0"/>
        <w:adjustRightInd w:val="0"/>
        <w:snapToGrid w:val="0"/>
        <w:spacing w:line="360" w:lineRule="auto"/>
        <w:ind w:firstLine="420" w:firstLineChars="200"/>
        <w:textAlignment w:val="bottom"/>
        <w:rPr>
          <w:rFonts w:ascii="宋体" w:hAnsi="宋体" w:cs="Arial"/>
        </w:rPr>
      </w:pPr>
      <w:r>
        <w:rPr>
          <w:rFonts w:hint="eastAsia" w:ascii="宋体" w:hAnsi="宋体" w:cs="Arial"/>
        </w:rPr>
        <w:t>（5）侵占、挪用基金财产；</w:t>
      </w:r>
    </w:p>
    <w:p w14:paraId="2547751C">
      <w:pPr>
        <w:tabs>
          <w:tab w:val="left" w:pos="3780"/>
        </w:tabs>
        <w:autoSpaceDE w:val="0"/>
        <w:autoSpaceDN w:val="0"/>
        <w:adjustRightInd w:val="0"/>
        <w:snapToGrid w:val="0"/>
        <w:spacing w:line="360" w:lineRule="auto"/>
        <w:ind w:firstLine="420" w:firstLineChars="200"/>
        <w:textAlignment w:val="bottom"/>
        <w:rPr>
          <w:rFonts w:ascii="宋体" w:hAnsi="宋体" w:cs="Arial"/>
        </w:rPr>
      </w:pPr>
      <w:r>
        <w:rPr>
          <w:rFonts w:hint="eastAsia" w:ascii="宋体" w:hAnsi="宋体" w:cs="Arial"/>
        </w:rPr>
        <w:t>（6）泄露因职务便利获取的未公开信息、利用该信息从事或者明示、暗示他人从事相关的交易活动；</w:t>
      </w:r>
    </w:p>
    <w:p w14:paraId="416467FF">
      <w:pPr>
        <w:tabs>
          <w:tab w:val="left" w:pos="3780"/>
        </w:tabs>
        <w:autoSpaceDE w:val="0"/>
        <w:autoSpaceDN w:val="0"/>
        <w:adjustRightInd w:val="0"/>
        <w:snapToGrid w:val="0"/>
        <w:spacing w:line="360" w:lineRule="auto"/>
        <w:ind w:firstLine="420" w:firstLineChars="200"/>
        <w:textAlignment w:val="bottom"/>
        <w:rPr>
          <w:rFonts w:ascii="宋体" w:hAnsi="宋体" w:cs="Arial"/>
        </w:rPr>
      </w:pPr>
      <w:r>
        <w:rPr>
          <w:rFonts w:hint="eastAsia" w:ascii="宋体" w:hAnsi="宋体" w:cs="Arial"/>
        </w:rPr>
        <w:t>（7）玩忽职守，不按照规定履行职责；</w:t>
      </w:r>
    </w:p>
    <w:p w14:paraId="43F67DA6">
      <w:pPr>
        <w:tabs>
          <w:tab w:val="left" w:pos="3780"/>
        </w:tabs>
        <w:autoSpaceDE w:val="0"/>
        <w:autoSpaceDN w:val="0"/>
        <w:adjustRightInd w:val="0"/>
        <w:snapToGrid w:val="0"/>
        <w:spacing w:line="360" w:lineRule="auto"/>
        <w:ind w:firstLine="420" w:firstLineChars="200"/>
        <w:textAlignment w:val="bottom"/>
        <w:rPr>
          <w:rFonts w:ascii="宋体" w:hAnsi="宋体" w:cs="Arial"/>
        </w:rPr>
      </w:pPr>
      <w:r>
        <w:rPr>
          <w:rFonts w:hint="eastAsia" w:ascii="宋体" w:hAnsi="宋体" w:cs="Arial"/>
        </w:rPr>
        <w:t xml:space="preserve">（8）法律、行政法规和中国证监会规定禁止的其他行为。 </w:t>
      </w:r>
    </w:p>
    <w:p w14:paraId="623F253D">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 xml:space="preserve">3、基金管理人承诺严格遵守基金合同，并承诺建立健全内部控制制度，采取有效措施，防止违反基金合同行为的发生； </w:t>
      </w:r>
    </w:p>
    <w:p w14:paraId="2B84907E">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4、基金管理人承诺加强人员管理，强化职业操守，督促和约束员工遵守国家有关法律法规及行业规范，诚实信用、勤勉尽责；</w:t>
      </w:r>
    </w:p>
    <w:p w14:paraId="17A80ADE">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 xml:space="preserve">5、基金管理人承诺不从事其他法规规定禁止从事的行为。 </w:t>
      </w:r>
    </w:p>
    <w:p w14:paraId="24B59901">
      <w:pPr>
        <w:tabs>
          <w:tab w:val="left" w:pos="3780"/>
        </w:tabs>
        <w:autoSpaceDE w:val="0"/>
        <w:autoSpaceDN w:val="0"/>
        <w:adjustRightInd w:val="0"/>
        <w:snapToGrid w:val="0"/>
        <w:spacing w:line="360" w:lineRule="auto"/>
        <w:ind w:firstLine="422" w:firstLineChars="200"/>
        <w:textAlignment w:val="bottom"/>
        <w:rPr>
          <w:rFonts w:ascii="宋体" w:hAnsi="宋体" w:cs="Arial"/>
          <w:b/>
          <w:bCs/>
        </w:rPr>
      </w:pPr>
      <w:r>
        <w:rPr>
          <w:rFonts w:hint="eastAsia" w:ascii="宋体" w:hAnsi="宋体" w:cs="Arial"/>
          <w:b/>
          <w:bCs/>
        </w:rPr>
        <w:t>五</w:t>
      </w:r>
      <w:r>
        <w:rPr>
          <w:rFonts w:ascii="宋体" w:hAnsi="宋体" w:cs="Arial"/>
          <w:b/>
          <w:bCs/>
        </w:rPr>
        <w:t>、基金经理承诺</w:t>
      </w:r>
    </w:p>
    <w:p w14:paraId="65BB713C">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1、依照有关法律法规和基金合同的规定，本着谨慎的原则为基金份额持有人谋取最大利益；</w:t>
      </w:r>
    </w:p>
    <w:p w14:paraId="62F3FBA3">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 xml:space="preserve">2、不利用职务之便为自己、受雇人或任何第三者谋取利益； </w:t>
      </w:r>
    </w:p>
    <w:p w14:paraId="45098B2F">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3、不泄露在任职期间知悉的有关证券、基金的商业秘密，尚未依法公开的基金投资内容、基金投资计划等信息，</w:t>
      </w:r>
      <w:r>
        <w:rPr>
          <w:rFonts w:hint="eastAsia" w:ascii="宋体" w:hAnsi="宋体" w:cs="Arial"/>
        </w:rPr>
        <w:t>或利用该信息从事或者明示、暗示他人从事相关的交易活动</w:t>
      </w:r>
      <w:r>
        <w:rPr>
          <w:rFonts w:hint="eastAsia" w:ascii="宋体" w:hAnsi="宋体" w:cs="Arial"/>
          <w:kern w:val="0"/>
        </w:rPr>
        <w:t>；</w:t>
      </w:r>
    </w:p>
    <w:p w14:paraId="1A2D644A">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4、不以任何形式为其他组织或个人进行证券交易。</w:t>
      </w:r>
    </w:p>
    <w:p w14:paraId="5A6D3908">
      <w:pPr>
        <w:tabs>
          <w:tab w:val="left" w:pos="3780"/>
        </w:tabs>
        <w:autoSpaceDE w:val="0"/>
        <w:autoSpaceDN w:val="0"/>
        <w:adjustRightInd w:val="0"/>
        <w:snapToGrid w:val="0"/>
        <w:spacing w:line="360" w:lineRule="auto"/>
        <w:ind w:firstLine="422" w:firstLineChars="200"/>
        <w:textAlignment w:val="bottom"/>
        <w:rPr>
          <w:rFonts w:ascii="宋体" w:hAnsi="宋体" w:cs="Arial"/>
          <w:b/>
          <w:bCs/>
        </w:rPr>
      </w:pPr>
      <w:r>
        <w:rPr>
          <w:rFonts w:hint="eastAsia" w:ascii="宋体" w:hAnsi="宋体" w:cs="Arial"/>
          <w:b/>
          <w:bCs/>
        </w:rPr>
        <w:t>六</w:t>
      </w:r>
      <w:r>
        <w:rPr>
          <w:rFonts w:ascii="宋体" w:hAnsi="宋体" w:cs="Arial"/>
          <w:b/>
          <w:bCs/>
        </w:rPr>
        <w:t>、基金管理人的内部控制制度</w:t>
      </w:r>
    </w:p>
    <w:p w14:paraId="2B31D30E">
      <w:pPr>
        <w:widowControl/>
        <w:adjustRightInd w:val="0"/>
        <w:snapToGrid w:val="0"/>
        <w:spacing w:line="360" w:lineRule="auto"/>
        <w:ind w:firstLine="420" w:firstLineChars="200"/>
        <w:rPr>
          <w:rFonts w:ascii="宋体" w:hAnsi="宋体" w:cs="Arial"/>
        </w:rPr>
      </w:pPr>
      <w:bookmarkStart w:id="19" w:name="_Toc214873593"/>
      <w:r>
        <w:rPr>
          <w:rFonts w:hint="eastAsia" w:ascii="宋体" w:hAnsi="宋体" w:cs="Arial"/>
        </w:rPr>
        <w:t>1、风险管理的原则</w:t>
      </w:r>
    </w:p>
    <w:p w14:paraId="317A902F">
      <w:pPr>
        <w:widowControl/>
        <w:adjustRightInd w:val="0"/>
        <w:snapToGrid w:val="0"/>
        <w:spacing w:line="360" w:lineRule="auto"/>
        <w:ind w:firstLine="420" w:firstLineChars="200"/>
        <w:rPr>
          <w:rFonts w:ascii="宋体" w:hAnsi="宋体" w:cs="Arial"/>
        </w:rPr>
      </w:pPr>
      <w:r>
        <w:rPr>
          <w:rFonts w:hint="eastAsia" w:ascii="宋体" w:hAnsi="宋体" w:cs="Arial"/>
        </w:rPr>
        <w:t>（1）全面性原则</w:t>
      </w:r>
    </w:p>
    <w:p w14:paraId="45FA3B95">
      <w:pPr>
        <w:widowControl/>
        <w:adjustRightInd w:val="0"/>
        <w:snapToGrid w:val="0"/>
        <w:spacing w:line="360" w:lineRule="auto"/>
        <w:ind w:firstLine="420" w:firstLineChars="200"/>
        <w:rPr>
          <w:rFonts w:ascii="宋体" w:hAnsi="宋体" w:cs="Arial"/>
        </w:rPr>
      </w:pPr>
      <w:r>
        <w:rPr>
          <w:rFonts w:hint="eastAsia" w:ascii="宋体" w:hAnsi="宋体" w:cs="Arial"/>
        </w:rPr>
        <w:t>公司风险管理必须覆盖公司的所有部门和岗位，渗透各项业务过程和业务环节。</w:t>
      </w:r>
    </w:p>
    <w:p w14:paraId="2BCC9B2C">
      <w:pPr>
        <w:widowControl/>
        <w:adjustRightInd w:val="0"/>
        <w:snapToGrid w:val="0"/>
        <w:spacing w:line="360" w:lineRule="auto"/>
        <w:ind w:firstLine="420" w:firstLineChars="200"/>
        <w:rPr>
          <w:rFonts w:ascii="宋体" w:hAnsi="宋体" w:cs="Arial"/>
        </w:rPr>
      </w:pPr>
      <w:r>
        <w:rPr>
          <w:rFonts w:hint="eastAsia" w:ascii="宋体" w:hAnsi="宋体" w:cs="Arial"/>
        </w:rPr>
        <w:t>（2）独立性原则</w:t>
      </w:r>
    </w:p>
    <w:p w14:paraId="6369AADE">
      <w:pPr>
        <w:widowControl/>
        <w:adjustRightInd w:val="0"/>
        <w:snapToGrid w:val="0"/>
        <w:spacing w:line="360" w:lineRule="auto"/>
        <w:ind w:firstLine="420" w:firstLineChars="200"/>
        <w:rPr>
          <w:rFonts w:ascii="宋体" w:hAnsi="宋体" w:cs="Arial"/>
        </w:rPr>
      </w:pPr>
      <w:r>
        <w:rPr>
          <w:rFonts w:hint="eastAsia" w:ascii="宋体" w:hAnsi="宋体" w:cs="Arial"/>
        </w:rPr>
        <w:t>公司设立独立的法律合规部，法律合规部保持高度的独立性和权威性，负责对公司各部门风险控制工作进行检查。</w:t>
      </w:r>
    </w:p>
    <w:p w14:paraId="67CCF637">
      <w:pPr>
        <w:widowControl/>
        <w:adjustRightInd w:val="0"/>
        <w:snapToGrid w:val="0"/>
        <w:spacing w:line="360" w:lineRule="auto"/>
        <w:ind w:firstLine="420" w:firstLineChars="200"/>
        <w:rPr>
          <w:rFonts w:ascii="宋体" w:hAnsi="宋体" w:cs="Arial"/>
        </w:rPr>
      </w:pPr>
      <w:r>
        <w:rPr>
          <w:rFonts w:hint="eastAsia" w:ascii="宋体" w:hAnsi="宋体" w:cs="Arial"/>
        </w:rPr>
        <w:t>（3）相互制约原则</w:t>
      </w:r>
    </w:p>
    <w:p w14:paraId="3D0E8794">
      <w:pPr>
        <w:widowControl/>
        <w:adjustRightInd w:val="0"/>
        <w:snapToGrid w:val="0"/>
        <w:spacing w:line="360" w:lineRule="auto"/>
        <w:ind w:firstLine="420" w:firstLineChars="200"/>
        <w:rPr>
          <w:rFonts w:ascii="宋体" w:hAnsi="宋体" w:cs="Arial"/>
        </w:rPr>
      </w:pPr>
      <w:r>
        <w:rPr>
          <w:rFonts w:hint="eastAsia" w:ascii="宋体" w:hAnsi="宋体" w:cs="Arial"/>
        </w:rPr>
        <w:t>公司及各部门在内部组织结构的设计上要形成一种相互制约的机制，建立不同岗位之间的制衡体系。</w:t>
      </w:r>
    </w:p>
    <w:p w14:paraId="71740C4F">
      <w:pPr>
        <w:widowControl/>
        <w:adjustRightInd w:val="0"/>
        <w:snapToGrid w:val="0"/>
        <w:spacing w:line="360" w:lineRule="auto"/>
        <w:ind w:firstLine="420" w:firstLineChars="200"/>
        <w:rPr>
          <w:rFonts w:ascii="宋体" w:hAnsi="宋体" w:cs="Arial"/>
        </w:rPr>
      </w:pPr>
      <w:r>
        <w:rPr>
          <w:rFonts w:hint="eastAsia" w:ascii="宋体" w:hAnsi="宋体" w:cs="Arial"/>
        </w:rPr>
        <w:t>（4）定性和定量相结合原则</w:t>
      </w:r>
    </w:p>
    <w:p w14:paraId="0C0920D9">
      <w:pPr>
        <w:widowControl/>
        <w:adjustRightInd w:val="0"/>
        <w:snapToGrid w:val="0"/>
        <w:spacing w:line="360" w:lineRule="auto"/>
        <w:ind w:firstLine="420" w:firstLineChars="200"/>
        <w:rPr>
          <w:rFonts w:ascii="宋体" w:hAnsi="宋体" w:cs="Arial"/>
        </w:rPr>
      </w:pPr>
      <w:r>
        <w:rPr>
          <w:rFonts w:hint="eastAsia" w:ascii="宋体" w:hAnsi="宋体" w:cs="Arial"/>
        </w:rPr>
        <w:t>建立完备的风险管理指标体系，使风险管理更具客观性和操作性。</w:t>
      </w:r>
    </w:p>
    <w:p w14:paraId="553DD8E8">
      <w:pPr>
        <w:widowControl/>
        <w:adjustRightInd w:val="0"/>
        <w:snapToGrid w:val="0"/>
        <w:spacing w:line="360" w:lineRule="auto"/>
        <w:ind w:firstLine="420" w:firstLineChars="200"/>
        <w:rPr>
          <w:rFonts w:ascii="宋体" w:hAnsi="宋体" w:cs="Arial"/>
        </w:rPr>
      </w:pPr>
      <w:r>
        <w:rPr>
          <w:rFonts w:hint="eastAsia" w:ascii="宋体" w:hAnsi="宋体" w:cs="Arial"/>
        </w:rPr>
        <w:t>2、风险管理和内部风险控制体系结构</w:t>
      </w:r>
    </w:p>
    <w:p w14:paraId="40B71F56">
      <w:pPr>
        <w:widowControl/>
        <w:adjustRightInd w:val="0"/>
        <w:snapToGrid w:val="0"/>
        <w:spacing w:line="360" w:lineRule="auto"/>
        <w:ind w:firstLine="420" w:firstLineChars="200"/>
        <w:rPr>
          <w:rFonts w:ascii="宋体" w:hAnsi="宋体" w:cs="Arial"/>
        </w:rPr>
      </w:pPr>
      <w:r>
        <w:rPr>
          <w:rFonts w:hint="eastAsia" w:ascii="宋体" w:hAnsi="宋体" w:cs="Arial"/>
        </w:rPr>
        <w:t>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w:t>
      </w:r>
    </w:p>
    <w:p w14:paraId="4C3A0507">
      <w:pPr>
        <w:widowControl/>
        <w:adjustRightInd w:val="0"/>
        <w:snapToGrid w:val="0"/>
        <w:spacing w:line="360" w:lineRule="auto"/>
        <w:ind w:firstLine="420" w:firstLineChars="200"/>
        <w:rPr>
          <w:rFonts w:ascii="宋体" w:hAnsi="宋体" w:cs="Arial"/>
        </w:rPr>
      </w:pPr>
      <w:r>
        <w:rPr>
          <w:rFonts w:hint="eastAsia" w:ascii="宋体" w:hAnsi="宋体" w:cs="Arial"/>
        </w:rPr>
        <w:t>（1）董事会</w:t>
      </w:r>
    </w:p>
    <w:p w14:paraId="68DFAEC3">
      <w:pPr>
        <w:widowControl/>
        <w:adjustRightInd w:val="0"/>
        <w:snapToGrid w:val="0"/>
        <w:spacing w:line="360" w:lineRule="auto"/>
        <w:ind w:firstLine="420" w:firstLineChars="200"/>
        <w:rPr>
          <w:rFonts w:ascii="宋体" w:hAnsi="宋体" w:cs="Arial"/>
        </w:rPr>
      </w:pPr>
      <w:r>
        <w:rPr>
          <w:rFonts w:hint="eastAsia" w:ascii="宋体" w:hAnsi="宋体" w:cs="Arial"/>
        </w:rPr>
        <w:t>负责制定公司的风险管理政策，对风险管理负完全的和最终的责任。</w:t>
      </w:r>
    </w:p>
    <w:p w14:paraId="68406B25">
      <w:pPr>
        <w:widowControl/>
        <w:adjustRightInd w:val="0"/>
        <w:snapToGrid w:val="0"/>
        <w:spacing w:line="360" w:lineRule="auto"/>
        <w:ind w:firstLine="420" w:firstLineChars="200"/>
        <w:rPr>
          <w:rFonts w:ascii="宋体" w:hAnsi="宋体" w:cs="Arial"/>
        </w:rPr>
      </w:pPr>
      <w:r>
        <w:rPr>
          <w:rFonts w:hint="eastAsia" w:ascii="宋体" w:hAnsi="宋体" w:cs="Arial"/>
        </w:rPr>
        <w:t>（2）风险管理委员会</w:t>
      </w:r>
    </w:p>
    <w:p w14:paraId="0A5B5165">
      <w:pPr>
        <w:widowControl/>
        <w:adjustRightInd w:val="0"/>
        <w:snapToGrid w:val="0"/>
        <w:spacing w:line="360" w:lineRule="auto"/>
        <w:ind w:firstLine="420" w:firstLineChars="200"/>
        <w:rPr>
          <w:rFonts w:ascii="宋体" w:hAnsi="宋体" w:cs="Arial"/>
        </w:rPr>
      </w:pPr>
      <w:r>
        <w:rPr>
          <w:rFonts w:hint="eastAsia" w:ascii="宋体" w:hAnsi="宋体" w:cs="Arial"/>
        </w:rPr>
        <w:t>作为董事会下的专业委员会之一，风险管理委员会负责批准公司风险管理系统文件，即负责确保每一个部门都有合适的系统来识别、评定和监控该部门的风险，负责批准每一个部门的风险级别。负责解决重大的突发的风险。</w:t>
      </w:r>
    </w:p>
    <w:p w14:paraId="6C4E5932">
      <w:pPr>
        <w:widowControl/>
        <w:adjustRightInd w:val="0"/>
        <w:snapToGrid w:val="0"/>
        <w:spacing w:line="360" w:lineRule="auto"/>
        <w:ind w:firstLine="420" w:firstLineChars="200"/>
        <w:rPr>
          <w:rFonts w:ascii="宋体" w:hAnsi="宋体" w:cs="Arial"/>
        </w:rPr>
      </w:pPr>
      <w:r>
        <w:rPr>
          <w:rFonts w:hint="eastAsia" w:ascii="宋体" w:hAnsi="宋体" w:cs="Arial"/>
        </w:rPr>
        <w:t>（3）督察长</w:t>
      </w:r>
    </w:p>
    <w:p w14:paraId="14C0B446">
      <w:pPr>
        <w:widowControl/>
        <w:adjustRightInd w:val="0"/>
        <w:snapToGrid w:val="0"/>
        <w:spacing w:line="360" w:lineRule="auto"/>
        <w:ind w:firstLine="420" w:firstLineChars="200"/>
        <w:rPr>
          <w:rFonts w:ascii="宋体" w:hAnsi="宋体" w:cs="Arial"/>
        </w:rPr>
      </w:pPr>
      <w:r>
        <w:rPr>
          <w:rFonts w:hint="eastAsia" w:ascii="宋体" w:hAnsi="宋体" w:cs="Arial"/>
        </w:rPr>
        <w:t>独立行使督察权利；直接对董事会负责；按季向风险管理委员会提交独立的风险管理报告和风险管理建议。</w:t>
      </w:r>
    </w:p>
    <w:p w14:paraId="3FD0A47E">
      <w:pPr>
        <w:widowControl/>
        <w:adjustRightInd w:val="0"/>
        <w:snapToGrid w:val="0"/>
        <w:spacing w:line="360" w:lineRule="auto"/>
        <w:ind w:firstLine="420" w:firstLineChars="200"/>
        <w:rPr>
          <w:rFonts w:ascii="宋体" w:hAnsi="宋体" w:cs="Arial"/>
        </w:rPr>
      </w:pPr>
      <w:r>
        <w:rPr>
          <w:rFonts w:hint="eastAsia" w:ascii="宋体" w:hAnsi="宋体" w:cs="Arial"/>
        </w:rPr>
        <w:t>（4）法律合规部</w:t>
      </w:r>
    </w:p>
    <w:p w14:paraId="42433F0E">
      <w:pPr>
        <w:widowControl/>
        <w:adjustRightInd w:val="0"/>
        <w:snapToGrid w:val="0"/>
        <w:spacing w:line="360" w:lineRule="auto"/>
        <w:ind w:firstLine="420" w:firstLineChars="200"/>
        <w:rPr>
          <w:rFonts w:ascii="宋体" w:hAnsi="宋体" w:cs="Arial"/>
        </w:rPr>
      </w:pPr>
      <w:r>
        <w:rPr>
          <w:rFonts w:hint="eastAsia" w:ascii="宋体" w:hAnsi="宋体" w:cs="Arial"/>
        </w:rPr>
        <w:t>法律合规部负责对公司风险管理政策和措施的执行情况进行检查，并为每一个部门的风险管理系统的发展提供协助，使公司在一种风险管理和控制的环境中实现业务目标。</w:t>
      </w:r>
    </w:p>
    <w:p w14:paraId="28D6C84A">
      <w:pPr>
        <w:widowControl/>
        <w:adjustRightInd w:val="0"/>
        <w:snapToGrid w:val="0"/>
        <w:spacing w:line="360" w:lineRule="auto"/>
        <w:ind w:firstLine="420" w:firstLineChars="200"/>
        <w:rPr>
          <w:rFonts w:ascii="宋体" w:hAnsi="宋体" w:cs="Arial"/>
        </w:rPr>
      </w:pPr>
      <w:r>
        <w:rPr>
          <w:rFonts w:hint="eastAsia" w:ascii="宋体" w:hAnsi="宋体" w:cs="Arial"/>
        </w:rPr>
        <w:t>（5）风险管理部</w:t>
      </w:r>
    </w:p>
    <w:p w14:paraId="52CE8E4E">
      <w:pPr>
        <w:widowControl/>
        <w:adjustRightInd w:val="0"/>
        <w:snapToGrid w:val="0"/>
        <w:spacing w:line="360" w:lineRule="auto"/>
        <w:ind w:firstLine="420" w:firstLineChars="200"/>
        <w:rPr>
          <w:rFonts w:ascii="宋体" w:hAnsi="宋体" w:cs="Arial"/>
        </w:rPr>
      </w:pPr>
      <w:r>
        <w:rPr>
          <w:rFonts w:hint="eastAsia" w:ascii="宋体" w:hAnsi="宋体" w:cs="Arial"/>
        </w:rPr>
        <w:t>风险管理部负责建立和完善公司投资风险管理制度与流程，组织实施公司投资风险管理与绩效分析工作，确保公司各类投资风险得到良好监督与控制。</w:t>
      </w:r>
    </w:p>
    <w:p w14:paraId="593634DB">
      <w:pPr>
        <w:widowControl/>
        <w:adjustRightInd w:val="0"/>
        <w:snapToGrid w:val="0"/>
        <w:spacing w:line="360" w:lineRule="auto"/>
        <w:ind w:firstLine="420" w:firstLineChars="200"/>
        <w:rPr>
          <w:rFonts w:ascii="宋体" w:hAnsi="宋体" w:cs="Arial"/>
        </w:rPr>
      </w:pPr>
      <w:r>
        <w:rPr>
          <w:rFonts w:hint="eastAsia" w:ascii="宋体" w:hAnsi="宋体" w:cs="Arial"/>
        </w:rPr>
        <w:t>（6）业务部门</w:t>
      </w:r>
    </w:p>
    <w:p w14:paraId="0F968C54">
      <w:pPr>
        <w:widowControl/>
        <w:adjustRightInd w:val="0"/>
        <w:snapToGrid w:val="0"/>
        <w:spacing w:line="360" w:lineRule="auto"/>
        <w:ind w:firstLine="420" w:firstLineChars="200"/>
        <w:rPr>
          <w:rFonts w:ascii="宋体" w:hAnsi="宋体" w:cs="Arial"/>
        </w:rPr>
      </w:pPr>
      <w:r>
        <w:rPr>
          <w:rFonts w:hint="eastAsia" w:ascii="宋体" w:hAnsi="宋体" w:cs="Arial"/>
        </w:rPr>
        <w:t>风险管理是每一个业务部门最首要的责任。部门经理对本部门的风险负全部责任，负责履行公司的风险管理程序，负责本部门的风险管理系统的开发、执行和维护，用于识别、监控和降低风险。</w:t>
      </w:r>
    </w:p>
    <w:p w14:paraId="1D923308">
      <w:pPr>
        <w:widowControl/>
        <w:adjustRightInd w:val="0"/>
        <w:snapToGrid w:val="0"/>
        <w:spacing w:line="360" w:lineRule="auto"/>
        <w:ind w:firstLine="420" w:firstLineChars="200"/>
        <w:rPr>
          <w:rFonts w:ascii="宋体" w:hAnsi="宋体" w:cs="Arial"/>
        </w:rPr>
      </w:pPr>
      <w:r>
        <w:rPr>
          <w:rFonts w:hint="eastAsia" w:ascii="宋体" w:hAnsi="宋体" w:cs="Arial"/>
        </w:rPr>
        <w:t>3、风险管理和内部风险控制的措施</w:t>
      </w:r>
    </w:p>
    <w:p w14:paraId="0CBC7C72">
      <w:pPr>
        <w:widowControl/>
        <w:adjustRightInd w:val="0"/>
        <w:snapToGrid w:val="0"/>
        <w:spacing w:line="360" w:lineRule="auto"/>
        <w:ind w:firstLine="420" w:firstLineChars="200"/>
        <w:rPr>
          <w:rFonts w:ascii="宋体" w:hAnsi="宋体" w:cs="Arial"/>
        </w:rPr>
      </w:pPr>
      <w:r>
        <w:rPr>
          <w:rFonts w:hint="eastAsia" w:ascii="宋体" w:hAnsi="宋体" w:cs="Arial"/>
        </w:rPr>
        <w:t>（1）建立内控结构，完善内控制度</w:t>
      </w:r>
    </w:p>
    <w:p w14:paraId="35FEE048">
      <w:pPr>
        <w:widowControl/>
        <w:adjustRightInd w:val="0"/>
        <w:snapToGrid w:val="0"/>
        <w:spacing w:line="360" w:lineRule="auto"/>
        <w:ind w:firstLine="420" w:firstLineChars="200"/>
        <w:rPr>
          <w:rFonts w:ascii="宋体" w:hAnsi="宋体" w:cs="Arial"/>
        </w:rPr>
      </w:pPr>
      <w:r>
        <w:rPr>
          <w:rFonts w:hint="eastAsia" w:ascii="宋体" w:hAnsi="宋体" w:cs="Arial"/>
        </w:rPr>
        <w:t>公司建立、健全了内控结构，高管人员关于内控有明确的分工，确保各项业务活动有恰当的组织和授权，确保监察活动是独立的，并得到高管人员的支持，同时置备操作手册，并定期更新。</w:t>
      </w:r>
    </w:p>
    <w:p w14:paraId="0DEEECD9">
      <w:pPr>
        <w:widowControl/>
        <w:adjustRightInd w:val="0"/>
        <w:snapToGrid w:val="0"/>
        <w:spacing w:line="360" w:lineRule="auto"/>
        <w:ind w:firstLine="420" w:firstLineChars="200"/>
        <w:rPr>
          <w:rFonts w:ascii="宋体" w:hAnsi="宋体" w:cs="Arial"/>
        </w:rPr>
      </w:pPr>
      <w:r>
        <w:rPr>
          <w:rFonts w:hint="eastAsia" w:ascii="宋体" w:hAnsi="宋体" w:cs="Arial"/>
        </w:rPr>
        <w:t>（2）建立相互分离、相互制衡的内控机制</w:t>
      </w:r>
    </w:p>
    <w:p w14:paraId="2200E746">
      <w:pPr>
        <w:widowControl/>
        <w:adjustRightInd w:val="0"/>
        <w:snapToGrid w:val="0"/>
        <w:spacing w:line="360" w:lineRule="auto"/>
        <w:ind w:firstLine="420" w:firstLineChars="200"/>
        <w:rPr>
          <w:rFonts w:ascii="宋体" w:hAnsi="宋体" w:cs="Arial"/>
        </w:rPr>
      </w:pPr>
      <w:r>
        <w:rPr>
          <w:rFonts w:hint="eastAsia" w:ascii="宋体" w:hAnsi="宋体" w:cs="Arial"/>
        </w:rPr>
        <w:t>建立、健全了各项制度，做到基金经理分开，投资决策分开，基金交易集中，形成不同部门，不同岗位之间的制衡机制，从制度上减少和防范风险。</w:t>
      </w:r>
    </w:p>
    <w:p w14:paraId="17B522E0">
      <w:pPr>
        <w:widowControl/>
        <w:adjustRightInd w:val="0"/>
        <w:snapToGrid w:val="0"/>
        <w:spacing w:line="360" w:lineRule="auto"/>
        <w:ind w:firstLine="420" w:firstLineChars="200"/>
        <w:rPr>
          <w:rFonts w:ascii="宋体" w:hAnsi="宋体" w:cs="Arial"/>
        </w:rPr>
      </w:pPr>
      <w:r>
        <w:rPr>
          <w:rFonts w:hint="eastAsia" w:ascii="宋体" w:hAnsi="宋体" w:cs="Arial"/>
        </w:rPr>
        <w:t>（3）建立、健全岗位责任制</w:t>
      </w:r>
    </w:p>
    <w:p w14:paraId="1B07B8EE">
      <w:pPr>
        <w:widowControl/>
        <w:adjustRightInd w:val="0"/>
        <w:snapToGrid w:val="0"/>
        <w:spacing w:line="360" w:lineRule="auto"/>
        <w:ind w:firstLine="420" w:firstLineChars="200"/>
        <w:rPr>
          <w:rFonts w:ascii="宋体" w:hAnsi="宋体" w:cs="Arial"/>
        </w:rPr>
      </w:pPr>
      <w:r>
        <w:rPr>
          <w:rFonts w:hint="eastAsia" w:ascii="宋体" w:hAnsi="宋体" w:cs="Arial"/>
        </w:rPr>
        <w:t>建立、健全了岗位责任制，使每个员工都明确自己的任务、职责，并及时将各自工作领域中的风险隐患上报，以防范和减少风险。</w:t>
      </w:r>
    </w:p>
    <w:p w14:paraId="124E35DD">
      <w:pPr>
        <w:widowControl/>
        <w:adjustRightInd w:val="0"/>
        <w:snapToGrid w:val="0"/>
        <w:spacing w:line="360" w:lineRule="auto"/>
        <w:ind w:firstLine="420" w:firstLineChars="200"/>
        <w:rPr>
          <w:rFonts w:ascii="宋体" w:hAnsi="宋体" w:cs="Arial"/>
        </w:rPr>
      </w:pPr>
      <w:r>
        <w:rPr>
          <w:rFonts w:hint="eastAsia" w:ascii="宋体" w:hAnsi="宋体" w:cs="Arial"/>
        </w:rPr>
        <w:t>（4）建立风险分类、识别、评估、报告、提示程序</w:t>
      </w:r>
    </w:p>
    <w:p w14:paraId="5D7529FD">
      <w:pPr>
        <w:widowControl/>
        <w:adjustRightInd w:val="0"/>
        <w:snapToGrid w:val="0"/>
        <w:spacing w:line="360" w:lineRule="auto"/>
        <w:ind w:firstLine="420" w:firstLineChars="200"/>
        <w:rPr>
          <w:rFonts w:ascii="宋体" w:hAnsi="宋体" w:cs="Arial"/>
        </w:rPr>
      </w:pPr>
      <w:r>
        <w:rPr>
          <w:rFonts w:hint="eastAsia" w:ascii="宋体" w:hAnsi="宋体" w:cs="Arial"/>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72D8AC6B">
      <w:pPr>
        <w:widowControl/>
        <w:adjustRightInd w:val="0"/>
        <w:snapToGrid w:val="0"/>
        <w:spacing w:line="360" w:lineRule="auto"/>
        <w:ind w:firstLine="420" w:firstLineChars="200"/>
        <w:rPr>
          <w:rFonts w:ascii="宋体" w:hAnsi="宋体" w:cs="Arial"/>
        </w:rPr>
      </w:pPr>
      <w:r>
        <w:rPr>
          <w:rFonts w:hint="eastAsia" w:ascii="宋体" w:hAnsi="宋体" w:cs="Arial"/>
        </w:rPr>
        <w:t>（5）建立有效的内部监控系统</w:t>
      </w:r>
    </w:p>
    <w:p w14:paraId="7D5B7915">
      <w:pPr>
        <w:widowControl/>
        <w:adjustRightInd w:val="0"/>
        <w:snapToGrid w:val="0"/>
        <w:spacing w:line="360" w:lineRule="auto"/>
        <w:ind w:firstLine="420" w:firstLineChars="200"/>
        <w:rPr>
          <w:rFonts w:ascii="宋体" w:hAnsi="宋体" w:cs="Arial"/>
        </w:rPr>
      </w:pPr>
      <w:r>
        <w:rPr>
          <w:rFonts w:hint="eastAsia" w:ascii="宋体" w:hAnsi="宋体" w:cs="Arial"/>
        </w:rPr>
        <w:t>建立了足够、有效的内部监控系统，如电脑预警系统、投资监控系统，对可能出现的各种风险进行全面和实时的监控。</w:t>
      </w:r>
    </w:p>
    <w:p w14:paraId="39411058">
      <w:pPr>
        <w:widowControl/>
        <w:adjustRightInd w:val="0"/>
        <w:snapToGrid w:val="0"/>
        <w:spacing w:line="360" w:lineRule="auto"/>
        <w:ind w:firstLine="420" w:firstLineChars="200"/>
        <w:rPr>
          <w:rFonts w:ascii="宋体" w:hAnsi="宋体" w:cs="Arial"/>
        </w:rPr>
      </w:pPr>
      <w:r>
        <w:rPr>
          <w:rFonts w:hint="eastAsia" w:ascii="宋体" w:hAnsi="宋体" w:cs="Arial"/>
        </w:rPr>
        <w:t>（6）使用数量化的风险管理手段</w:t>
      </w:r>
    </w:p>
    <w:p w14:paraId="101CC13C">
      <w:pPr>
        <w:widowControl/>
        <w:adjustRightInd w:val="0"/>
        <w:snapToGrid w:val="0"/>
        <w:spacing w:line="360" w:lineRule="auto"/>
        <w:ind w:firstLine="420" w:firstLineChars="200"/>
        <w:rPr>
          <w:rFonts w:ascii="宋体" w:hAnsi="宋体" w:cs="Arial"/>
        </w:rPr>
      </w:pPr>
      <w:r>
        <w:rPr>
          <w:rFonts w:hint="eastAsia" w:ascii="宋体" w:hAnsi="宋体" w:cs="Arial"/>
        </w:rPr>
        <w:t>采取数量化、技术化的风险控制手段，建立数量化的风险管理模型，用以提示指数趋势、行业及个股的风险，以便公司及时采取有效的措施，对风险进行分散、控制和规避，尽可能地减少损失。</w:t>
      </w:r>
    </w:p>
    <w:p w14:paraId="3A2DD64A">
      <w:pPr>
        <w:widowControl/>
        <w:adjustRightInd w:val="0"/>
        <w:snapToGrid w:val="0"/>
        <w:spacing w:line="360" w:lineRule="auto"/>
        <w:ind w:firstLine="420" w:firstLineChars="200"/>
        <w:rPr>
          <w:rFonts w:ascii="宋体" w:hAnsi="宋体" w:cs="Arial"/>
        </w:rPr>
      </w:pPr>
      <w:r>
        <w:rPr>
          <w:rFonts w:hint="eastAsia" w:ascii="宋体" w:hAnsi="宋体" w:cs="Arial"/>
        </w:rPr>
        <w:t>（7）提供足够的培训</w:t>
      </w:r>
    </w:p>
    <w:p w14:paraId="0B82B744">
      <w:pPr>
        <w:widowControl/>
        <w:adjustRightInd w:val="0"/>
        <w:snapToGrid w:val="0"/>
        <w:spacing w:line="360" w:lineRule="auto"/>
        <w:ind w:firstLine="420" w:firstLineChars="200"/>
        <w:rPr>
          <w:rFonts w:ascii="宋体" w:hAnsi="宋体" w:cs="Arial"/>
        </w:rPr>
      </w:pPr>
      <w:r>
        <w:rPr>
          <w:rFonts w:hint="eastAsia" w:ascii="宋体" w:hAnsi="宋体" w:cs="Arial"/>
        </w:rPr>
        <w:t>制定了完整的培训计划，为所有员工提供足够和适当的培训，使员工明确其职责所在，控制风险。</w:t>
      </w:r>
    </w:p>
    <w:p w14:paraId="75CF3A51">
      <w:pPr>
        <w:widowControl/>
        <w:adjustRightInd w:val="0"/>
        <w:snapToGrid w:val="0"/>
        <w:spacing w:line="360" w:lineRule="auto"/>
        <w:ind w:firstLine="562" w:firstLineChars="200"/>
        <w:rPr>
          <w:rFonts w:ascii="宋体" w:hAnsi="宋体" w:cs="Arial"/>
          <w:b/>
          <w:bCs/>
          <w:sz w:val="28"/>
          <w:szCs w:val="28"/>
        </w:rPr>
        <w:sectPr>
          <w:footerReference r:id="rId18" w:type="first"/>
          <w:footerReference r:id="rId17" w:type="default"/>
          <w:pgSz w:w="11906" w:h="16838"/>
          <w:pgMar w:top="1440" w:right="1800" w:bottom="1440" w:left="1800" w:header="851" w:footer="992" w:gutter="0"/>
          <w:pgNumType w:start="1"/>
          <w:cols w:space="720" w:num="1"/>
          <w:titlePg/>
          <w:docGrid w:linePitch="312" w:charSpace="0"/>
        </w:sectPr>
      </w:pPr>
    </w:p>
    <w:p w14:paraId="6ED078A9">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20" w:name="_Toc8052741"/>
      <w:bookmarkStart w:id="21" w:name="_Toc29058"/>
      <w:bookmarkStart w:id="22" w:name="_Toc91110272"/>
      <w:r>
        <w:rPr>
          <w:rFonts w:ascii="宋体" w:hAnsi="宋体" w:eastAsia="宋体" w:cs="Arial"/>
          <w:kern w:val="0"/>
          <w:sz w:val="28"/>
          <w:szCs w:val="28"/>
        </w:rPr>
        <w:t>第四部分  基金托管人</w:t>
      </w:r>
      <w:bookmarkEnd w:id="16"/>
      <w:bookmarkEnd w:id="19"/>
      <w:bookmarkEnd w:id="20"/>
      <w:bookmarkEnd w:id="21"/>
      <w:bookmarkEnd w:id="22"/>
    </w:p>
    <w:p w14:paraId="4EB1E454">
      <w:pPr>
        <w:spacing w:line="360" w:lineRule="auto"/>
        <w:rPr>
          <w:rFonts w:ascii="宋体" w:hAnsi="宋体"/>
        </w:rPr>
      </w:pPr>
    </w:p>
    <w:p w14:paraId="19914AF3">
      <w:pPr>
        <w:pStyle w:val="45"/>
        <w:spacing w:before="50" w:after="50"/>
        <w:ind w:firstLine="422" w:firstLineChars="200"/>
        <w:rPr>
          <w:rFonts w:ascii="宋体" w:hAnsi="宋体" w:cs="宋体"/>
          <w:b/>
          <w:kern w:val="0"/>
          <w:sz w:val="21"/>
          <w:szCs w:val="21"/>
        </w:rPr>
      </w:pPr>
      <w:bookmarkStart w:id="23" w:name="_Toc8052742"/>
      <w:bookmarkStart w:id="24" w:name="_Toc214873594"/>
      <w:r>
        <w:rPr>
          <w:rFonts w:hint="eastAsia"/>
          <w:b/>
          <w:sz w:val="21"/>
          <w:szCs w:val="21"/>
        </w:rPr>
        <w:t>一、基金托管人概况</w:t>
      </w:r>
    </w:p>
    <w:p w14:paraId="75F51D59">
      <w:pPr>
        <w:widowControl/>
        <w:adjustRightInd w:val="0"/>
        <w:snapToGrid w:val="0"/>
        <w:spacing w:line="360" w:lineRule="auto"/>
        <w:ind w:firstLine="420" w:firstLineChars="200"/>
        <w:rPr>
          <w:bCs/>
        </w:rPr>
      </w:pPr>
      <w:r>
        <w:rPr>
          <w:rFonts w:hint="eastAsia"/>
          <w:bCs/>
        </w:rPr>
        <w:t>（一）基本情况</w:t>
      </w:r>
    </w:p>
    <w:p w14:paraId="5773CDB3">
      <w:pPr>
        <w:widowControl/>
        <w:adjustRightInd w:val="0"/>
        <w:snapToGrid w:val="0"/>
        <w:spacing w:line="360" w:lineRule="auto"/>
        <w:ind w:firstLine="420" w:firstLineChars="200"/>
        <w:rPr>
          <w:bCs/>
        </w:rPr>
      </w:pPr>
      <w:r>
        <w:rPr>
          <w:rFonts w:hint="eastAsia"/>
          <w:bCs/>
        </w:rPr>
        <w:t>名称：中国建设银行股份有限公司(简称：中国建设银行)</w:t>
      </w:r>
    </w:p>
    <w:p w14:paraId="10A73B4D">
      <w:pPr>
        <w:widowControl/>
        <w:adjustRightInd w:val="0"/>
        <w:snapToGrid w:val="0"/>
        <w:spacing w:line="360" w:lineRule="auto"/>
        <w:ind w:firstLine="420" w:firstLineChars="200"/>
        <w:rPr>
          <w:bCs/>
        </w:rPr>
      </w:pPr>
      <w:r>
        <w:rPr>
          <w:rFonts w:hint="eastAsia"/>
          <w:bCs/>
        </w:rPr>
        <w:t>住所：北京市西城区金融大街25号</w:t>
      </w:r>
    </w:p>
    <w:p w14:paraId="7A9AA254">
      <w:pPr>
        <w:widowControl/>
        <w:adjustRightInd w:val="0"/>
        <w:snapToGrid w:val="0"/>
        <w:spacing w:line="360" w:lineRule="auto"/>
        <w:ind w:firstLine="420" w:firstLineChars="200"/>
        <w:rPr>
          <w:bCs/>
        </w:rPr>
      </w:pPr>
      <w:r>
        <w:rPr>
          <w:rFonts w:hint="eastAsia"/>
          <w:bCs/>
        </w:rPr>
        <w:t>办公地址：北京市西城区闹市口大街1号院1号楼</w:t>
      </w:r>
    </w:p>
    <w:p w14:paraId="19527AE9">
      <w:pPr>
        <w:widowControl/>
        <w:adjustRightInd w:val="0"/>
        <w:snapToGrid w:val="0"/>
        <w:spacing w:line="360" w:lineRule="auto"/>
        <w:ind w:firstLine="420" w:firstLineChars="200"/>
        <w:rPr>
          <w:bCs/>
        </w:rPr>
      </w:pPr>
      <w:r>
        <w:rPr>
          <w:rFonts w:hint="eastAsia"/>
          <w:bCs/>
        </w:rPr>
        <w:t>法定代表人：张金良</w:t>
      </w:r>
    </w:p>
    <w:p w14:paraId="0C420301">
      <w:pPr>
        <w:widowControl/>
        <w:adjustRightInd w:val="0"/>
        <w:snapToGrid w:val="0"/>
        <w:spacing w:line="360" w:lineRule="auto"/>
        <w:ind w:firstLine="420" w:firstLineChars="200"/>
        <w:rPr>
          <w:bCs/>
        </w:rPr>
      </w:pPr>
      <w:r>
        <w:rPr>
          <w:rFonts w:hint="eastAsia"/>
          <w:bCs/>
        </w:rPr>
        <w:t>成立时间：2004年09月17日</w:t>
      </w:r>
    </w:p>
    <w:p w14:paraId="5B7A0658">
      <w:pPr>
        <w:widowControl/>
        <w:adjustRightInd w:val="0"/>
        <w:snapToGrid w:val="0"/>
        <w:spacing w:line="360" w:lineRule="auto"/>
        <w:ind w:firstLine="420" w:firstLineChars="200"/>
        <w:rPr>
          <w:bCs/>
        </w:rPr>
      </w:pPr>
      <w:r>
        <w:rPr>
          <w:rFonts w:hint="eastAsia"/>
          <w:bCs/>
        </w:rPr>
        <w:t>组织形式：股份有限公司</w:t>
      </w:r>
    </w:p>
    <w:p w14:paraId="735234A8">
      <w:pPr>
        <w:widowControl/>
        <w:adjustRightInd w:val="0"/>
        <w:snapToGrid w:val="0"/>
        <w:spacing w:line="360" w:lineRule="auto"/>
        <w:ind w:firstLine="420" w:firstLineChars="200"/>
        <w:rPr>
          <w:bCs/>
        </w:rPr>
      </w:pPr>
      <w:r>
        <w:rPr>
          <w:rFonts w:hint="eastAsia"/>
          <w:bCs/>
        </w:rPr>
        <w:t>注册资本：贰仟陆佰壹拾陆亿零叁拾捌万壹仟肆佰伍拾玖元整</w:t>
      </w:r>
    </w:p>
    <w:p w14:paraId="33BB174E">
      <w:pPr>
        <w:widowControl/>
        <w:adjustRightInd w:val="0"/>
        <w:snapToGrid w:val="0"/>
        <w:spacing w:line="360" w:lineRule="auto"/>
        <w:ind w:firstLine="420" w:firstLineChars="200"/>
        <w:rPr>
          <w:bCs/>
        </w:rPr>
      </w:pPr>
      <w:r>
        <w:rPr>
          <w:rFonts w:hint="eastAsia"/>
          <w:bCs/>
        </w:rPr>
        <w:t>存续期间：持续经营</w:t>
      </w:r>
    </w:p>
    <w:p w14:paraId="2B79D1FF">
      <w:pPr>
        <w:widowControl/>
        <w:adjustRightInd w:val="0"/>
        <w:snapToGrid w:val="0"/>
        <w:spacing w:line="360" w:lineRule="auto"/>
        <w:ind w:firstLine="420" w:firstLineChars="200"/>
        <w:rPr>
          <w:bCs/>
        </w:rPr>
      </w:pPr>
      <w:r>
        <w:rPr>
          <w:rFonts w:hint="eastAsia"/>
          <w:bCs/>
        </w:rPr>
        <w:t>基金托管资格批文及文号：中国证监会证监基字[1998]12号</w:t>
      </w:r>
    </w:p>
    <w:p w14:paraId="7B79E220">
      <w:pPr>
        <w:widowControl/>
        <w:adjustRightInd w:val="0"/>
        <w:snapToGrid w:val="0"/>
        <w:spacing w:line="360" w:lineRule="auto"/>
        <w:ind w:firstLine="420" w:firstLineChars="200"/>
        <w:rPr>
          <w:bCs/>
        </w:rPr>
      </w:pPr>
      <w:r>
        <w:rPr>
          <w:rFonts w:hint="eastAsia"/>
          <w:bCs/>
        </w:rPr>
        <w:t>联系人：王小飞</w:t>
      </w:r>
    </w:p>
    <w:p w14:paraId="0DE4D233">
      <w:pPr>
        <w:widowControl/>
        <w:adjustRightInd w:val="0"/>
        <w:snapToGrid w:val="0"/>
        <w:spacing w:line="360" w:lineRule="auto"/>
        <w:ind w:firstLine="420" w:firstLineChars="200"/>
        <w:rPr>
          <w:bCs/>
        </w:rPr>
      </w:pPr>
      <w:r>
        <w:rPr>
          <w:rFonts w:hint="eastAsia"/>
          <w:bCs/>
        </w:rPr>
        <w:t>联系电话：(021)6063 7103</w:t>
      </w:r>
    </w:p>
    <w:p w14:paraId="1E60A9A6">
      <w:pPr>
        <w:widowControl/>
        <w:adjustRightInd w:val="0"/>
        <w:snapToGrid w:val="0"/>
        <w:spacing w:line="360" w:lineRule="auto"/>
        <w:ind w:firstLine="420" w:firstLineChars="200"/>
        <w:rPr>
          <w:bCs/>
        </w:rPr>
      </w:pPr>
      <w:r>
        <w:rPr>
          <w:rFonts w:hint="eastAsia"/>
          <w:bCs/>
        </w:rPr>
        <w:t>（二）主要人员情况</w:t>
      </w:r>
    </w:p>
    <w:p w14:paraId="7D5904D7">
      <w:pPr>
        <w:widowControl/>
        <w:adjustRightInd w:val="0"/>
        <w:snapToGrid w:val="0"/>
        <w:spacing w:line="360" w:lineRule="auto"/>
        <w:ind w:firstLine="420" w:firstLineChars="200"/>
        <w:rPr>
          <w:bCs/>
        </w:rPr>
      </w:pPr>
      <w:r>
        <w:rPr>
          <w:rFonts w:hint="eastAsia"/>
          <w:bCs/>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14:paraId="5B1BAD81">
      <w:pPr>
        <w:widowControl/>
        <w:adjustRightInd w:val="0"/>
        <w:snapToGrid w:val="0"/>
        <w:spacing w:line="360" w:lineRule="auto"/>
        <w:ind w:firstLine="420" w:firstLineChars="200"/>
        <w:rPr>
          <w:bCs/>
        </w:rPr>
      </w:pPr>
      <w:r>
        <w:rPr>
          <w:rFonts w:hint="eastAsia"/>
          <w:bCs/>
        </w:rPr>
        <w:t>（三）基金托管业务经营情况</w:t>
      </w:r>
    </w:p>
    <w:p w14:paraId="4FDC2260">
      <w:pPr>
        <w:widowControl/>
        <w:adjustRightInd w:val="0"/>
        <w:snapToGrid w:val="0"/>
        <w:spacing w:line="360" w:lineRule="auto"/>
        <w:ind w:firstLine="420" w:firstLineChars="200"/>
        <w:rPr>
          <w:bCs/>
        </w:rPr>
      </w:pPr>
      <w:r>
        <w:rPr>
          <w:rFonts w:hint="eastAsia"/>
          <w:bCs/>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14:paraId="4B1FA806">
      <w:pPr>
        <w:widowControl/>
        <w:adjustRightInd w:val="0"/>
        <w:snapToGrid w:val="0"/>
        <w:spacing w:line="360" w:lineRule="auto"/>
        <w:ind w:firstLine="422" w:firstLineChars="200"/>
        <w:rPr>
          <w:b/>
        </w:rPr>
      </w:pPr>
      <w:r>
        <w:rPr>
          <w:rFonts w:hint="eastAsia"/>
          <w:b/>
        </w:rPr>
        <w:t>二、基金托管人的内部控制制度</w:t>
      </w:r>
    </w:p>
    <w:p w14:paraId="187DBE48">
      <w:pPr>
        <w:widowControl/>
        <w:adjustRightInd w:val="0"/>
        <w:snapToGrid w:val="0"/>
        <w:spacing w:line="360" w:lineRule="auto"/>
        <w:ind w:firstLine="420" w:firstLineChars="200"/>
        <w:rPr>
          <w:bCs/>
        </w:rPr>
      </w:pPr>
      <w:r>
        <w:rPr>
          <w:rFonts w:hint="eastAsia"/>
          <w:bCs/>
        </w:rPr>
        <w:t>（一）内部控制目标</w:t>
      </w:r>
    </w:p>
    <w:p w14:paraId="2AF98A4D">
      <w:pPr>
        <w:widowControl/>
        <w:adjustRightInd w:val="0"/>
        <w:snapToGrid w:val="0"/>
        <w:spacing w:line="360" w:lineRule="auto"/>
        <w:ind w:firstLine="420" w:firstLineChars="200"/>
        <w:rPr>
          <w:bCs/>
        </w:rPr>
      </w:pPr>
      <w:r>
        <w:rPr>
          <w:rFonts w:hint="eastAsia"/>
          <w:bCs/>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14:paraId="423B8403">
      <w:pPr>
        <w:widowControl/>
        <w:adjustRightInd w:val="0"/>
        <w:snapToGrid w:val="0"/>
        <w:spacing w:line="360" w:lineRule="auto"/>
        <w:ind w:firstLine="420" w:firstLineChars="200"/>
        <w:rPr>
          <w:bCs/>
        </w:rPr>
      </w:pPr>
      <w:r>
        <w:rPr>
          <w:rFonts w:hint="eastAsia"/>
          <w:bCs/>
        </w:rPr>
        <w:t>（二）内部控制组织结构</w:t>
      </w:r>
    </w:p>
    <w:p w14:paraId="00445158">
      <w:pPr>
        <w:widowControl/>
        <w:adjustRightInd w:val="0"/>
        <w:snapToGrid w:val="0"/>
        <w:spacing w:line="360" w:lineRule="auto"/>
        <w:ind w:firstLine="420" w:firstLineChars="200"/>
        <w:rPr>
          <w:bCs/>
        </w:rPr>
      </w:pPr>
      <w:r>
        <w:rPr>
          <w:rFonts w:hint="eastAsia"/>
          <w:bCs/>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14:paraId="57F13FCF">
      <w:pPr>
        <w:widowControl/>
        <w:adjustRightInd w:val="0"/>
        <w:snapToGrid w:val="0"/>
        <w:spacing w:line="360" w:lineRule="auto"/>
        <w:ind w:firstLine="420" w:firstLineChars="200"/>
        <w:rPr>
          <w:bCs/>
        </w:rPr>
      </w:pPr>
      <w:r>
        <w:rPr>
          <w:rFonts w:hint="eastAsia"/>
          <w:bCs/>
        </w:rPr>
        <w:t>（三）内部控制制度及措施</w:t>
      </w:r>
    </w:p>
    <w:p w14:paraId="5D29D3CC">
      <w:pPr>
        <w:widowControl/>
        <w:adjustRightInd w:val="0"/>
        <w:snapToGrid w:val="0"/>
        <w:spacing w:line="360" w:lineRule="auto"/>
        <w:ind w:firstLine="420" w:firstLineChars="200"/>
        <w:rPr>
          <w:bCs/>
        </w:rPr>
      </w:pPr>
      <w:r>
        <w:rPr>
          <w:rFonts w:hint="eastAsia"/>
          <w:bCs/>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14:paraId="28AF1B0B">
      <w:pPr>
        <w:widowControl/>
        <w:adjustRightInd w:val="0"/>
        <w:snapToGrid w:val="0"/>
        <w:spacing w:line="360" w:lineRule="auto"/>
        <w:ind w:firstLine="422" w:firstLineChars="200"/>
        <w:rPr>
          <w:b/>
        </w:rPr>
      </w:pPr>
      <w:r>
        <w:rPr>
          <w:rFonts w:hint="eastAsia"/>
          <w:b/>
        </w:rPr>
        <w:t>三、基金托管人对基金管理人运作基金进行监督的方法和程序</w:t>
      </w:r>
    </w:p>
    <w:p w14:paraId="60AD37FB">
      <w:pPr>
        <w:widowControl/>
        <w:adjustRightInd w:val="0"/>
        <w:snapToGrid w:val="0"/>
        <w:spacing w:line="360" w:lineRule="auto"/>
        <w:ind w:firstLine="420" w:firstLineChars="200"/>
        <w:rPr>
          <w:bCs/>
        </w:rPr>
      </w:pPr>
      <w:r>
        <w:rPr>
          <w:rFonts w:hint="eastAsia"/>
          <w:bCs/>
        </w:rPr>
        <w:t>（一）监督方法</w:t>
      </w:r>
    </w:p>
    <w:p w14:paraId="704980DB">
      <w:pPr>
        <w:widowControl/>
        <w:adjustRightInd w:val="0"/>
        <w:snapToGrid w:val="0"/>
        <w:spacing w:line="360" w:lineRule="auto"/>
        <w:ind w:firstLine="420" w:firstLineChars="200"/>
        <w:rPr>
          <w:bCs/>
        </w:rPr>
      </w:pPr>
      <w:r>
        <w:rPr>
          <w:rFonts w:hint="eastAsia"/>
          <w:bCs/>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14:paraId="4EE1483F">
      <w:pPr>
        <w:widowControl/>
        <w:adjustRightInd w:val="0"/>
        <w:snapToGrid w:val="0"/>
        <w:spacing w:line="360" w:lineRule="auto"/>
        <w:ind w:firstLine="420" w:firstLineChars="200"/>
        <w:rPr>
          <w:bCs/>
        </w:rPr>
      </w:pPr>
      <w:r>
        <w:rPr>
          <w:rFonts w:hint="eastAsia"/>
          <w:bCs/>
        </w:rPr>
        <w:t>（二）监督流程</w:t>
      </w:r>
    </w:p>
    <w:p w14:paraId="339D67F0">
      <w:pPr>
        <w:widowControl/>
        <w:adjustRightInd w:val="0"/>
        <w:snapToGrid w:val="0"/>
        <w:spacing w:line="360" w:lineRule="auto"/>
        <w:ind w:firstLine="420" w:firstLineChars="200"/>
        <w:rPr>
          <w:bCs/>
        </w:rPr>
      </w:pPr>
      <w:r>
        <w:rPr>
          <w:rFonts w:hint="eastAsia"/>
          <w:bCs/>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14:paraId="38A92DDE">
      <w:pPr>
        <w:widowControl/>
        <w:adjustRightInd w:val="0"/>
        <w:snapToGrid w:val="0"/>
        <w:spacing w:line="360" w:lineRule="auto"/>
        <w:ind w:firstLine="420" w:firstLineChars="200"/>
        <w:rPr>
          <w:bCs/>
        </w:rPr>
      </w:pPr>
      <w:r>
        <w:rPr>
          <w:rFonts w:hint="eastAsia"/>
          <w:bCs/>
        </w:rPr>
        <w:t>2.收到基金管理人的划款指令后，对指令要素等内容进行核查。</w:t>
      </w:r>
    </w:p>
    <w:p w14:paraId="4D5162A8">
      <w:pPr>
        <w:widowControl/>
        <w:adjustRightInd w:val="0"/>
        <w:snapToGrid w:val="0"/>
        <w:spacing w:line="360" w:lineRule="auto"/>
        <w:ind w:firstLine="420" w:firstLineChars="200"/>
        <w:rPr>
          <w:bCs/>
        </w:rPr>
      </w:pPr>
      <w:r>
        <w:rPr>
          <w:rFonts w:hint="eastAsia"/>
          <w:bCs/>
        </w:rPr>
        <w:t>3.通过技术或非技术手段发现基金涉嫌违规交易，电话或书面要求基金管理人进行解释或举证，如有必要将及时报告中国证监会。</w:t>
      </w:r>
    </w:p>
    <w:p w14:paraId="4642AC09">
      <w:pPr>
        <w:widowControl/>
        <w:adjustRightInd w:val="0"/>
        <w:snapToGrid w:val="0"/>
        <w:spacing w:line="360" w:lineRule="auto"/>
        <w:ind w:firstLine="420" w:firstLineChars="200"/>
        <w:rPr>
          <w:rFonts w:ascii="宋体" w:hAnsi="宋体" w:cs="Arial"/>
        </w:rPr>
      </w:pPr>
    </w:p>
    <w:p w14:paraId="06CEA96B">
      <w:pPr>
        <w:widowControl/>
        <w:adjustRightInd w:val="0"/>
        <w:snapToGrid w:val="0"/>
        <w:spacing w:line="360" w:lineRule="auto"/>
        <w:ind w:firstLine="420" w:firstLineChars="200"/>
        <w:rPr>
          <w:color w:val="000000"/>
          <w:kern w:val="0"/>
        </w:rPr>
      </w:pPr>
    </w:p>
    <w:p w14:paraId="1F951B59">
      <w:pPr>
        <w:widowControl/>
        <w:adjustRightInd w:val="0"/>
        <w:snapToGrid w:val="0"/>
        <w:spacing w:line="360" w:lineRule="auto"/>
        <w:ind w:firstLine="420" w:firstLineChars="200"/>
        <w:rPr>
          <w:color w:val="000000"/>
          <w:kern w:val="0"/>
        </w:rPr>
        <w:sectPr>
          <w:footerReference r:id="rId20" w:type="first"/>
          <w:footerReference r:id="rId19" w:type="default"/>
          <w:pgSz w:w="11906" w:h="16838"/>
          <w:pgMar w:top="1440" w:right="1800" w:bottom="1440" w:left="1800" w:header="851" w:footer="992" w:gutter="0"/>
          <w:pgNumType w:start="1"/>
          <w:cols w:space="720" w:num="1"/>
          <w:titlePg/>
          <w:docGrid w:linePitch="312" w:charSpace="0"/>
        </w:sectPr>
      </w:pPr>
    </w:p>
    <w:p w14:paraId="3A60462B">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25" w:name="_Toc5325"/>
      <w:bookmarkStart w:id="26" w:name="_Toc91110273"/>
      <w:r>
        <w:rPr>
          <w:rFonts w:ascii="宋体" w:hAnsi="宋体" w:eastAsia="宋体" w:cs="Arial"/>
          <w:kern w:val="0"/>
          <w:sz w:val="28"/>
          <w:szCs w:val="28"/>
        </w:rPr>
        <w:t>第五部分  相关服务机构</w:t>
      </w:r>
      <w:bookmarkEnd w:id="23"/>
      <w:bookmarkEnd w:id="24"/>
      <w:bookmarkEnd w:id="25"/>
      <w:bookmarkEnd w:id="26"/>
    </w:p>
    <w:p w14:paraId="1A70B7BD">
      <w:pPr>
        <w:spacing w:line="360" w:lineRule="auto"/>
        <w:rPr>
          <w:rFonts w:ascii="宋体" w:hAnsi="宋体"/>
        </w:rPr>
      </w:pPr>
    </w:p>
    <w:p w14:paraId="71459883">
      <w:pPr>
        <w:snapToGrid w:val="0"/>
        <w:spacing w:line="360" w:lineRule="auto"/>
        <w:ind w:firstLine="422" w:firstLineChars="200"/>
        <w:rPr>
          <w:rFonts w:ascii="宋体" w:hAnsi="宋体" w:cs="Arial"/>
          <w:b/>
        </w:rPr>
      </w:pPr>
      <w:r>
        <w:rPr>
          <w:rFonts w:ascii="宋体" w:hAnsi="宋体" w:cs="Arial"/>
          <w:b/>
        </w:rPr>
        <w:t>一、基金份额发售机构</w:t>
      </w:r>
    </w:p>
    <w:p w14:paraId="724C9849">
      <w:pPr>
        <w:snapToGrid w:val="0"/>
        <w:spacing w:line="360" w:lineRule="auto"/>
        <w:ind w:firstLine="420" w:firstLineChars="200"/>
        <w:rPr>
          <w:rFonts w:ascii="宋体" w:hAnsi="宋体" w:cs="Arial"/>
        </w:rPr>
      </w:pPr>
      <w:r>
        <w:rPr>
          <w:rFonts w:hint="eastAsia" w:ascii="宋体" w:hAnsi="宋体" w:cs="Arial"/>
        </w:rPr>
        <w:t>1、网下现金发售直销机构、网下股票发售直销机构</w:t>
      </w:r>
    </w:p>
    <w:p w14:paraId="7F7B202D">
      <w:pPr>
        <w:snapToGrid w:val="0"/>
        <w:spacing w:line="360" w:lineRule="auto"/>
        <w:ind w:firstLine="420" w:firstLineChars="200"/>
        <w:rPr>
          <w:rFonts w:ascii="宋体" w:hAnsi="宋体" w:cs="Arial"/>
        </w:rPr>
      </w:pPr>
      <w:r>
        <w:rPr>
          <w:rFonts w:hint="eastAsia" w:ascii="宋体" w:hAnsi="宋体" w:cs="Arial"/>
        </w:rPr>
        <w:t>名称：博时基金管理有限公司</w:t>
      </w:r>
    </w:p>
    <w:p w14:paraId="318E61B3">
      <w:pPr>
        <w:snapToGrid w:val="0"/>
        <w:spacing w:line="360" w:lineRule="auto"/>
        <w:ind w:firstLine="420" w:firstLineChars="200"/>
        <w:rPr>
          <w:rFonts w:ascii="宋体" w:hAnsi="宋体" w:cs="Arial"/>
        </w:rPr>
      </w:pPr>
      <w:r>
        <w:rPr>
          <w:rFonts w:hint="eastAsia" w:ascii="宋体" w:hAnsi="宋体" w:cs="Arial"/>
        </w:rPr>
        <w:t>住所：深圳市福田区莲花街道福新社区益田路5999号基金大厦21层</w:t>
      </w:r>
    </w:p>
    <w:p w14:paraId="3E46D38A">
      <w:pPr>
        <w:snapToGrid w:val="0"/>
        <w:spacing w:line="360" w:lineRule="auto"/>
        <w:ind w:firstLine="420" w:firstLineChars="200"/>
        <w:rPr>
          <w:rFonts w:ascii="宋体" w:hAnsi="宋体" w:cs="Arial"/>
        </w:rPr>
      </w:pPr>
      <w:r>
        <w:rPr>
          <w:rFonts w:hint="eastAsia" w:ascii="宋体" w:hAnsi="宋体" w:cs="Arial"/>
        </w:rPr>
        <w:t>办公地址：北京市东城区建国门内大街8号中粮广场C座609</w:t>
      </w:r>
    </w:p>
    <w:p w14:paraId="3E2E21DC">
      <w:pPr>
        <w:snapToGrid w:val="0"/>
        <w:spacing w:line="360" w:lineRule="auto"/>
        <w:ind w:firstLine="420" w:firstLineChars="200"/>
        <w:rPr>
          <w:rFonts w:ascii="宋体" w:hAnsi="宋体" w:cs="Arial"/>
        </w:rPr>
      </w:pPr>
      <w:r>
        <w:rPr>
          <w:rFonts w:hint="eastAsia" w:ascii="宋体" w:hAnsi="宋体" w:cs="Arial"/>
        </w:rPr>
        <w:t>电话：010-65187055</w:t>
      </w:r>
    </w:p>
    <w:p w14:paraId="0AD5CEC4">
      <w:pPr>
        <w:snapToGrid w:val="0"/>
        <w:spacing w:line="360" w:lineRule="auto"/>
        <w:ind w:firstLine="420" w:firstLineChars="200"/>
        <w:rPr>
          <w:rFonts w:ascii="宋体" w:hAnsi="宋体" w:cs="Arial"/>
        </w:rPr>
      </w:pPr>
      <w:r>
        <w:rPr>
          <w:rFonts w:hint="eastAsia" w:ascii="宋体" w:hAnsi="宋体" w:cs="Arial"/>
        </w:rPr>
        <w:t>传真：010-65187032</w:t>
      </w:r>
    </w:p>
    <w:p w14:paraId="4769E083">
      <w:pPr>
        <w:snapToGrid w:val="0"/>
        <w:spacing w:line="360" w:lineRule="auto"/>
        <w:ind w:firstLine="420" w:firstLineChars="200"/>
        <w:rPr>
          <w:rFonts w:ascii="宋体" w:hAnsi="宋体" w:cs="Arial"/>
        </w:rPr>
      </w:pPr>
      <w:r>
        <w:rPr>
          <w:rFonts w:hint="eastAsia" w:ascii="宋体" w:hAnsi="宋体" w:cs="Arial"/>
        </w:rPr>
        <w:t>联系人：韩明亮</w:t>
      </w:r>
    </w:p>
    <w:p w14:paraId="43D6DAFB">
      <w:pPr>
        <w:snapToGrid w:val="0"/>
        <w:spacing w:line="360" w:lineRule="auto"/>
        <w:ind w:firstLine="420" w:firstLineChars="200"/>
        <w:rPr>
          <w:rFonts w:ascii="宋体" w:hAnsi="宋体" w:cs="Arial"/>
        </w:rPr>
      </w:pPr>
      <w:r>
        <w:rPr>
          <w:rFonts w:hint="eastAsia" w:ascii="宋体" w:hAnsi="宋体" w:cs="Arial"/>
        </w:rPr>
        <w:t>全国统一客服热线：95105568（免长途费）</w:t>
      </w:r>
    </w:p>
    <w:p w14:paraId="249B9D69">
      <w:pPr>
        <w:snapToGrid w:val="0"/>
        <w:spacing w:line="360" w:lineRule="auto"/>
        <w:ind w:firstLine="420" w:firstLineChars="200"/>
        <w:rPr>
          <w:rFonts w:ascii="宋体" w:hAnsi="宋体" w:cs="Arial"/>
        </w:rPr>
      </w:pPr>
      <w:r>
        <w:rPr>
          <w:rFonts w:hint="eastAsia" w:ascii="宋体" w:hAnsi="宋体" w:cs="Arial"/>
        </w:rPr>
        <w:t>2、网下现金发售代理机构</w:t>
      </w:r>
    </w:p>
    <w:p w14:paraId="00F290E7">
      <w:pPr>
        <w:snapToGrid w:val="0"/>
        <w:spacing w:line="360" w:lineRule="auto"/>
        <w:ind w:firstLine="420" w:firstLineChars="200"/>
        <w:rPr>
          <w:rFonts w:ascii="宋体" w:hAnsi="宋体" w:cs="Arial"/>
        </w:rPr>
      </w:pPr>
      <w:r>
        <w:rPr>
          <w:rFonts w:hint="eastAsia" w:ascii="宋体" w:hAnsi="宋体" w:cs="Arial"/>
        </w:rPr>
        <w:t>详见基金份额发售公告。</w:t>
      </w:r>
    </w:p>
    <w:p w14:paraId="74AD9387">
      <w:pPr>
        <w:snapToGrid w:val="0"/>
        <w:spacing w:line="360" w:lineRule="auto"/>
        <w:ind w:firstLine="420" w:firstLineChars="200"/>
        <w:rPr>
          <w:rFonts w:ascii="宋体" w:hAnsi="宋体" w:cs="Arial"/>
        </w:rPr>
      </w:pPr>
      <w:r>
        <w:rPr>
          <w:rFonts w:hint="eastAsia" w:ascii="宋体" w:hAnsi="宋体" w:cs="Arial"/>
        </w:rPr>
        <w:t>3、网下股票发售代理机构</w:t>
      </w:r>
    </w:p>
    <w:p w14:paraId="4201A94A">
      <w:pPr>
        <w:snapToGrid w:val="0"/>
        <w:spacing w:line="360" w:lineRule="auto"/>
        <w:ind w:firstLine="420" w:firstLineChars="200"/>
        <w:rPr>
          <w:rFonts w:ascii="宋体" w:hAnsi="宋体" w:cs="Arial"/>
        </w:rPr>
      </w:pPr>
      <w:r>
        <w:rPr>
          <w:rFonts w:hint="eastAsia" w:ascii="宋体" w:hAnsi="宋体" w:cs="Arial"/>
        </w:rPr>
        <w:t>详见基金份额发售公告。</w:t>
      </w:r>
    </w:p>
    <w:p w14:paraId="54C85C04">
      <w:pPr>
        <w:snapToGrid w:val="0"/>
        <w:spacing w:line="360" w:lineRule="auto"/>
        <w:ind w:firstLine="420" w:firstLineChars="200"/>
        <w:rPr>
          <w:rFonts w:ascii="宋体" w:hAnsi="宋体" w:cs="Arial"/>
        </w:rPr>
      </w:pPr>
      <w:r>
        <w:rPr>
          <w:rFonts w:hint="eastAsia" w:ascii="宋体" w:hAnsi="宋体" w:cs="Arial"/>
        </w:rPr>
        <w:t>4、网上现金发售代理机构</w:t>
      </w:r>
    </w:p>
    <w:p w14:paraId="257EE104">
      <w:pPr>
        <w:snapToGrid w:val="0"/>
        <w:spacing w:line="360" w:lineRule="auto"/>
        <w:ind w:firstLine="420" w:firstLineChars="200"/>
        <w:rPr>
          <w:rFonts w:ascii="宋体" w:hAnsi="宋体" w:cs="Arial"/>
        </w:rPr>
      </w:pPr>
      <w:r>
        <w:rPr>
          <w:rFonts w:hint="eastAsia" w:ascii="宋体" w:hAnsi="宋体" w:cs="Arial"/>
        </w:rPr>
        <w:t>详见基金份额发售公告。</w:t>
      </w:r>
    </w:p>
    <w:p w14:paraId="0F8B2EF2">
      <w:pPr>
        <w:snapToGrid w:val="0"/>
        <w:spacing w:line="360" w:lineRule="auto"/>
        <w:ind w:firstLine="422" w:firstLineChars="200"/>
        <w:rPr>
          <w:rFonts w:ascii="宋体" w:hAnsi="宋体" w:cs="Arial"/>
          <w:b/>
        </w:rPr>
      </w:pPr>
      <w:r>
        <w:rPr>
          <w:rFonts w:ascii="宋体" w:hAnsi="宋体" w:cs="Arial"/>
          <w:b/>
        </w:rPr>
        <w:t>二、登记机构</w:t>
      </w:r>
    </w:p>
    <w:p w14:paraId="6994C13E">
      <w:pPr>
        <w:snapToGrid w:val="0"/>
        <w:spacing w:line="360" w:lineRule="auto"/>
        <w:ind w:firstLine="420" w:firstLineChars="200"/>
        <w:rPr>
          <w:rFonts w:ascii="宋体" w:hAnsi="宋体" w:cs="Arial"/>
        </w:rPr>
      </w:pPr>
      <w:r>
        <w:rPr>
          <w:rFonts w:hint="eastAsia" w:ascii="宋体" w:hAnsi="宋体" w:cs="Arial"/>
        </w:rPr>
        <w:t>名称</w:t>
      </w:r>
      <w:r>
        <w:rPr>
          <w:rFonts w:ascii="宋体" w:hAnsi="宋体" w:cs="Arial"/>
        </w:rPr>
        <w:t>：</w:t>
      </w:r>
      <w:r>
        <w:rPr>
          <w:rFonts w:hint="eastAsia" w:ascii="宋体" w:hAnsi="宋体" w:cs="Arial"/>
        </w:rPr>
        <w:t>中国证券登记结算有限责任公司</w:t>
      </w:r>
    </w:p>
    <w:p w14:paraId="0AC664BB">
      <w:pPr>
        <w:snapToGrid w:val="0"/>
        <w:spacing w:line="360" w:lineRule="auto"/>
        <w:ind w:firstLine="420" w:firstLineChars="200"/>
        <w:rPr>
          <w:rFonts w:ascii="宋体" w:hAnsi="宋体" w:cs="Arial"/>
        </w:rPr>
      </w:pPr>
      <w:r>
        <w:rPr>
          <w:rFonts w:hint="eastAsia" w:ascii="宋体" w:hAnsi="宋体" w:cs="Arial"/>
        </w:rPr>
        <w:t xml:space="preserve">注册地址：北京市西城区太平桥大街17号 </w:t>
      </w:r>
    </w:p>
    <w:p w14:paraId="78132169">
      <w:pPr>
        <w:snapToGrid w:val="0"/>
        <w:spacing w:line="360" w:lineRule="auto"/>
        <w:ind w:firstLine="420" w:firstLineChars="200"/>
        <w:rPr>
          <w:rFonts w:ascii="宋体" w:hAnsi="宋体" w:cs="Arial"/>
        </w:rPr>
      </w:pPr>
      <w:r>
        <w:rPr>
          <w:rFonts w:hint="eastAsia" w:ascii="宋体" w:hAnsi="宋体" w:cs="Arial"/>
        </w:rPr>
        <w:t xml:space="preserve">办公地址：北京市西城区太平桥大街17号 </w:t>
      </w:r>
    </w:p>
    <w:p w14:paraId="10F5C44A">
      <w:pPr>
        <w:snapToGrid w:val="0"/>
        <w:spacing w:line="360" w:lineRule="auto"/>
        <w:ind w:firstLine="420" w:firstLineChars="200"/>
        <w:rPr>
          <w:rFonts w:ascii="宋体" w:hAnsi="宋体" w:cs="Arial"/>
        </w:rPr>
      </w:pPr>
      <w:r>
        <w:rPr>
          <w:rFonts w:hint="eastAsia" w:ascii="宋体" w:hAnsi="宋体" w:cs="Arial"/>
        </w:rPr>
        <w:t>法定代表人：于文强</w:t>
      </w:r>
    </w:p>
    <w:p w14:paraId="3F780A33">
      <w:pPr>
        <w:snapToGrid w:val="0"/>
        <w:spacing w:line="360" w:lineRule="auto"/>
        <w:ind w:firstLine="420" w:firstLineChars="200"/>
        <w:rPr>
          <w:rFonts w:ascii="宋体" w:hAnsi="宋体" w:cs="Arial"/>
        </w:rPr>
      </w:pPr>
      <w:r>
        <w:rPr>
          <w:rFonts w:hint="eastAsia" w:ascii="宋体" w:hAnsi="宋体" w:cs="Arial"/>
        </w:rPr>
        <w:t xml:space="preserve">电 话：0755-25946013 </w:t>
      </w:r>
    </w:p>
    <w:p w14:paraId="7B2C0CA8">
      <w:pPr>
        <w:snapToGrid w:val="0"/>
        <w:spacing w:line="360" w:lineRule="auto"/>
        <w:ind w:firstLine="420" w:firstLineChars="200"/>
        <w:rPr>
          <w:rFonts w:ascii="宋体" w:hAnsi="宋体" w:cs="Arial"/>
        </w:rPr>
      </w:pPr>
      <w:r>
        <w:rPr>
          <w:rFonts w:hint="eastAsia" w:ascii="宋体" w:hAnsi="宋体" w:cs="Arial"/>
        </w:rPr>
        <w:t>传 真：0755-25987122</w:t>
      </w:r>
    </w:p>
    <w:p w14:paraId="63EE89D5">
      <w:pPr>
        <w:adjustRightInd w:val="0"/>
        <w:snapToGrid w:val="0"/>
        <w:spacing w:line="360" w:lineRule="auto"/>
        <w:ind w:firstLine="420" w:firstLineChars="200"/>
        <w:rPr>
          <w:rFonts w:ascii="宋体" w:hAnsi="宋体" w:cs="Arial"/>
        </w:rPr>
      </w:pPr>
      <w:r>
        <w:rPr>
          <w:rFonts w:hint="eastAsia" w:ascii="宋体" w:hAnsi="宋体" w:cs="Arial"/>
        </w:rPr>
        <w:t>联系人：严峰</w:t>
      </w:r>
    </w:p>
    <w:p w14:paraId="512A9382">
      <w:pPr>
        <w:snapToGrid w:val="0"/>
        <w:spacing w:line="360" w:lineRule="auto"/>
        <w:ind w:firstLine="422" w:firstLineChars="200"/>
        <w:rPr>
          <w:rFonts w:ascii="宋体" w:hAnsi="宋体" w:cs="Arial"/>
          <w:b/>
        </w:rPr>
      </w:pPr>
      <w:r>
        <w:rPr>
          <w:rFonts w:ascii="宋体" w:hAnsi="宋体" w:cs="Arial"/>
          <w:b/>
        </w:rPr>
        <w:t>三、</w:t>
      </w:r>
      <w:r>
        <w:rPr>
          <w:rFonts w:hint="eastAsia" w:ascii="宋体" w:hAnsi="宋体"/>
          <w:b/>
          <w:bCs/>
        </w:rPr>
        <w:t>出具法律意见书的律师事务所</w:t>
      </w:r>
    </w:p>
    <w:p w14:paraId="6969C7FA">
      <w:pPr>
        <w:pStyle w:val="12"/>
        <w:spacing w:before="0" w:beforeAutospacing="0" w:after="0" w:afterAutospacing="0" w:line="360" w:lineRule="auto"/>
        <w:ind w:firstLine="420"/>
        <w:jc w:val="both"/>
        <w:rPr>
          <w:sz w:val="21"/>
        </w:rPr>
      </w:pPr>
      <w:r>
        <w:rPr>
          <w:rFonts w:hint="eastAsia"/>
          <w:sz w:val="21"/>
        </w:rPr>
        <w:t>名称：上海源泰律师事务所</w:t>
      </w:r>
    </w:p>
    <w:p w14:paraId="1A29B54A">
      <w:pPr>
        <w:pStyle w:val="12"/>
        <w:spacing w:before="0" w:beforeAutospacing="0" w:after="0" w:afterAutospacing="0" w:line="360" w:lineRule="auto"/>
        <w:ind w:firstLine="420"/>
        <w:jc w:val="both"/>
        <w:rPr>
          <w:sz w:val="21"/>
        </w:rPr>
      </w:pPr>
      <w:r>
        <w:rPr>
          <w:rFonts w:hint="eastAsia"/>
          <w:sz w:val="21"/>
        </w:rPr>
        <w:t>住所：上海市浦东新区浦东南路256号华夏银行大厦14楼</w:t>
      </w:r>
    </w:p>
    <w:p w14:paraId="4D1C87D6">
      <w:pPr>
        <w:pStyle w:val="12"/>
        <w:spacing w:before="0" w:beforeAutospacing="0" w:after="0" w:afterAutospacing="0" w:line="360" w:lineRule="auto"/>
        <w:ind w:firstLine="420"/>
        <w:jc w:val="both"/>
        <w:rPr>
          <w:sz w:val="21"/>
        </w:rPr>
      </w:pPr>
      <w:r>
        <w:rPr>
          <w:rFonts w:hint="eastAsia"/>
          <w:sz w:val="21"/>
        </w:rPr>
        <w:t>办公地址：上海市浦东新区浦东南路256号华夏银行大厦14楼</w:t>
      </w:r>
    </w:p>
    <w:p w14:paraId="5A94002C">
      <w:pPr>
        <w:pStyle w:val="12"/>
        <w:spacing w:before="0" w:beforeAutospacing="0" w:after="0" w:afterAutospacing="0" w:line="360" w:lineRule="auto"/>
        <w:ind w:firstLine="420"/>
        <w:jc w:val="both"/>
        <w:rPr>
          <w:sz w:val="21"/>
        </w:rPr>
      </w:pPr>
      <w:r>
        <w:rPr>
          <w:rFonts w:hint="eastAsia"/>
          <w:sz w:val="21"/>
        </w:rPr>
        <w:t>负责人：廖海</w:t>
      </w:r>
    </w:p>
    <w:p w14:paraId="7AD7733E">
      <w:pPr>
        <w:pStyle w:val="12"/>
        <w:spacing w:before="0" w:beforeAutospacing="0" w:after="0" w:afterAutospacing="0" w:line="360" w:lineRule="auto"/>
        <w:ind w:firstLine="420"/>
        <w:jc w:val="both"/>
        <w:rPr>
          <w:sz w:val="21"/>
        </w:rPr>
      </w:pPr>
      <w:r>
        <w:rPr>
          <w:rFonts w:hint="eastAsia"/>
          <w:sz w:val="21"/>
        </w:rPr>
        <w:t>联系人：刘佳</w:t>
      </w:r>
    </w:p>
    <w:p w14:paraId="366D1ADE">
      <w:pPr>
        <w:pStyle w:val="12"/>
        <w:spacing w:before="0" w:beforeAutospacing="0" w:after="0" w:afterAutospacing="0" w:line="360" w:lineRule="auto"/>
        <w:ind w:firstLine="420"/>
        <w:jc w:val="both"/>
        <w:rPr>
          <w:sz w:val="21"/>
        </w:rPr>
      </w:pPr>
      <w:r>
        <w:rPr>
          <w:rFonts w:hint="eastAsia"/>
          <w:sz w:val="21"/>
        </w:rPr>
        <w:t>电话：（021）51150298</w:t>
      </w:r>
    </w:p>
    <w:p w14:paraId="12AC8E8B">
      <w:pPr>
        <w:pStyle w:val="12"/>
        <w:spacing w:before="0" w:beforeAutospacing="0" w:after="0" w:afterAutospacing="0" w:line="360" w:lineRule="auto"/>
        <w:ind w:firstLine="420"/>
        <w:jc w:val="both"/>
        <w:rPr>
          <w:sz w:val="21"/>
        </w:rPr>
      </w:pPr>
      <w:r>
        <w:rPr>
          <w:rFonts w:hint="eastAsia"/>
          <w:sz w:val="21"/>
        </w:rPr>
        <w:t>传真：（021）51150398</w:t>
      </w:r>
    </w:p>
    <w:p w14:paraId="00E52073">
      <w:pPr>
        <w:pStyle w:val="12"/>
        <w:snapToGrid w:val="0"/>
        <w:spacing w:before="0" w:beforeAutospacing="0" w:after="0" w:afterAutospacing="0" w:line="360" w:lineRule="auto"/>
        <w:ind w:firstLine="420" w:firstLineChars="200"/>
        <w:jc w:val="both"/>
        <w:rPr>
          <w:rFonts w:cs="Arial"/>
          <w:sz w:val="21"/>
        </w:rPr>
      </w:pPr>
      <w:r>
        <w:rPr>
          <w:rFonts w:hint="eastAsia"/>
          <w:sz w:val="21"/>
        </w:rPr>
        <w:t>经办律师：刘佳、张雯倩</w:t>
      </w:r>
    </w:p>
    <w:p w14:paraId="711A86DC">
      <w:pPr>
        <w:snapToGrid w:val="0"/>
        <w:spacing w:line="360" w:lineRule="auto"/>
        <w:ind w:firstLine="422" w:firstLineChars="200"/>
        <w:rPr>
          <w:rFonts w:ascii="宋体" w:hAnsi="宋体" w:cs="Arial"/>
          <w:kern w:val="0"/>
        </w:rPr>
      </w:pPr>
      <w:r>
        <w:rPr>
          <w:rFonts w:ascii="宋体" w:hAnsi="宋体" w:cs="Arial"/>
          <w:b/>
        </w:rPr>
        <w:t>四、</w:t>
      </w:r>
      <w:r>
        <w:rPr>
          <w:rFonts w:hint="eastAsia" w:ascii="宋体" w:hAnsi="宋体"/>
          <w:b/>
          <w:bCs/>
        </w:rPr>
        <w:t>会计师事务所和经办注册会计师</w:t>
      </w:r>
    </w:p>
    <w:p w14:paraId="316B6C30">
      <w:pPr>
        <w:snapToGrid w:val="0"/>
        <w:spacing w:line="360" w:lineRule="auto"/>
        <w:ind w:firstLine="420" w:firstLineChars="200"/>
        <w:rPr>
          <w:rFonts w:hint="eastAsia" w:ascii="宋体" w:hAnsi="宋体" w:cs="Arial"/>
          <w:kern w:val="0"/>
        </w:rPr>
      </w:pPr>
      <w:r>
        <w:rPr>
          <w:rFonts w:hint="eastAsia" w:ascii="宋体" w:hAnsi="宋体" w:cs="Arial"/>
          <w:kern w:val="0"/>
        </w:rPr>
        <w:t xml:space="preserve">本基金的法定验资机构为安永华明会计师事务所（特殊普通合伙） </w:t>
      </w:r>
    </w:p>
    <w:p w14:paraId="1DE15C68">
      <w:pPr>
        <w:snapToGrid w:val="0"/>
        <w:spacing w:line="360" w:lineRule="auto"/>
        <w:ind w:firstLine="420" w:firstLineChars="200"/>
        <w:rPr>
          <w:rFonts w:hint="eastAsia" w:ascii="宋体" w:hAnsi="宋体" w:cs="Arial"/>
          <w:kern w:val="0"/>
        </w:rPr>
      </w:pPr>
      <w:r>
        <w:rPr>
          <w:rFonts w:hint="eastAsia" w:ascii="宋体" w:hAnsi="宋体" w:cs="Arial"/>
          <w:kern w:val="0"/>
        </w:rPr>
        <w:t>名称：安永华明会计师事务所（特殊普通合伙）</w:t>
      </w:r>
    </w:p>
    <w:p w14:paraId="5DB55D74">
      <w:pPr>
        <w:snapToGrid w:val="0"/>
        <w:spacing w:line="360" w:lineRule="auto"/>
        <w:ind w:firstLine="420" w:firstLineChars="200"/>
        <w:rPr>
          <w:rFonts w:hint="eastAsia" w:ascii="宋体" w:hAnsi="宋体" w:cs="Arial"/>
          <w:kern w:val="0"/>
        </w:rPr>
      </w:pPr>
      <w:r>
        <w:rPr>
          <w:rFonts w:hint="eastAsia" w:ascii="宋体" w:hAnsi="宋体" w:cs="Arial"/>
          <w:kern w:val="0"/>
        </w:rPr>
        <w:t>住所：北京市东城区东长安街1号东方广场安永大楼17层01-12室</w:t>
      </w:r>
    </w:p>
    <w:p w14:paraId="5FE50951">
      <w:pPr>
        <w:snapToGrid w:val="0"/>
        <w:spacing w:line="360" w:lineRule="auto"/>
        <w:ind w:firstLine="420" w:firstLineChars="200"/>
        <w:rPr>
          <w:rFonts w:hint="eastAsia" w:ascii="宋体" w:hAnsi="宋体" w:cs="Arial"/>
          <w:kern w:val="0"/>
        </w:rPr>
      </w:pPr>
      <w:r>
        <w:rPr>
          <w:rFonts w:hint="eastAsia" w:ascii="宋体" w:hAnsi="宋体" w:cs="Arial"/>
          <w:kern w:val="0"/>
        </w:rPr>
        <w:t>办公地址：北京市东城区东长安街1号东方广场安永大楼17层01-12室</w:t>
      </w:r>
    </w:p>
    <w:p w14:paraId="639268DB">
      <w:pPr>
        <w:snapToGrid w:val="0"/>
        <w:spacing w:line="360" w:lineRule="auto"/>
        <w:ind w:firstLine="420" w:firstLineChars="200"/>
        <w:rPr>
          <w:rFonts w:hint="eastAsia" w:ascii="宋体" w:hAnsi="宋体" w:cs="Arial"/>
          <w:kern w:val="0"/>
        </w:rPr>
      </w:pPr>
      <w:r>
        <w:rPr>
          <w:rFonts w:hint="eastAsia" w:ascii="宋体" w:hAnsi="宋体" w:cs="Arial"/>
          <w:kern w:val="0"/>
        </w:rPr>
        <w:t>执行事务合伙人：毛鞍宁</w:t>
      </w:r>
    </w:p>
    <w:p w14:paraId="40A18D14">
      <w:pPr>
        <w:snapToGrid w:val="0"/>
        <w:spacing w:line="360" w:lineRule="auto"/>
        <w:ind w:firstLine="420" w:firstLineChars="200"/>
        <w:rPr>
          <w:rFonts w:hint="eastAsia" w:ascii="宋体" w:hAnsi="宋体" w:cs="Arial"/>
          <w:kern w:val="0"/>
        </w:rPr>
      </w:pPr>
      <w:r>
        <w:rPr>
          <w:rFonts w:hint="eastAsia" w:ascii="宋体" w:hAnsi="宋体" w:cs="Arial"/>
          <w:kern w:val="0"/>
        </w:rPr>
        <w:t>联系电话：（010）58153000</w:t>
      </w:r>
    </w:p>
    <w:p w14:paraId="10CBC52B">
      <w:pPr>
        <w:snapToGrid w:val="0"/>
        <w:spacing w:line="360" w:lineRule="auto"/>
        <w:ind w:firstLine="420" w:firstLineChars="200"/>
        <w:rPr>
          <w:rFonts w:hint="eastAsia" w:ascii="宋体" w:hAnsi="宋体" w:cs="Arial"/>
          <w:kern w:val="0"/>
        </w:rPr>
      </w:pPr>
      <w:r>
        <w:rPr>
          <w:rFonts w:hint="eastAsia" w:ascii="宋体" w:hAnsi="宋体" w:cs="Arial"/>
          <w:kern w:val="0"/>
        </w:rPr>
        <w:t>传真电话：（010）85188298</w:t>
      </w:r>
    </w:p>
    <w:p w14:paraId="073B9A3D">
      <w:pPr>
        <w:snapToGrid w:val="0"/>
        <w:spacing w:line="360" w:lineRule="auto"/>
        <w:ind w:firstLine="420" w:firstLineChars="200"/>
        <w:rPr>
          <w:rFonts w:hint="eastAsia" w:ascii="宋体" w:hAnsi="宋体" w:cs="Arial"/>
          <w:kern w:val="0"/>
        </w:rPr>
      </w:pPr>
      <w:r>
        <w:rPr>
          <w:rFonts w:hint="eastAsia" w:ascii="宋体" w:hAnsi="宋体" w:cs="Arial"/>
          <w:kern w:val="0"/>
        </w:rPr>
        <w:t>经办注册会计师： 高鹤、楼坚、王海彦</w:t>
      </w:r>
    </w:p>
    <w:p w14:paraId="4AAEE7B3">
      <w:pPr>
        <w:snapToGrid w:val="0"/>
        <w:spacing w:line="360" w:lineRule="auto"/>
        <w:ind w:firstLine="420" w:firstLineChars="200"/>
        <w:rPr>
          <w:rFonts w:hint="eastAsia" w:ascii="宋体" w:hAnsi="宋体" w:cs="Arial"/>
          <w:kern w:val="0"/>
        </w:rPr>
      </w:pPr>
      <w:r>
        <w:rPr>
          <w:rFonts w:hint="eastAsia" w:ascii="宋体" w:hAnsi="宋体" w:cs="Arial"/>
          <w:kern w:val="0"/>
        </w:rPr>
        <w:t xml:space="preserve">联系人：王海彦 </w:t>
      </w:r>
    </w:p>
    <w:p w14:paraId="398C14EA">
      <w:pPr>
        <w:snapToGrid w:val="0"/>
        <w:spacing w:line="360" w:lineRule="auto"/>
        <w:ind w:firstLine="420" w:firstLineChars="200"/>
        <w:rPr>
          <w:rFonts w:hint="eastAsia" w:ascii="宋体" w:hAnsi="宋体" w:cs="Arial"/>
          <w:kern w:val="0"/>
        </w:rPr>
      </w:pPr>
      <w:r>
        <w:rPr>
          <w:rFonts w:hint="eastAsia" w:ascii="宋体" w:hAnsi="宋体" w:cs="Arial"/>
          <w:kern w:val="0"/>
        </w:rPr>
        <w:t xml:space="preserve">本基金的年度财务报表及其他规定事项的审计机构为安永华明会计师事务所（特殊普通合伙） </w:t>
      </w:r>
    </w:p>
    <w:p w14:paraId="29740B4F">
      <w:pPr>
        <w:snapToGrid w:val="0"/>
        <w:spacing w:line="360" w:lineRule="auto"/>
        <w:ind w:firstLine="420" w:firstLineChars="200"/>
        <w:rPr>
          <w:rFonts w:hint="eastAsia" w:ascii="宋体" w:hAnsi="宋体" w:cs="Arial"/>
          <w:kern w:val="0"/>
        </w:rPr>
      </w:pPr>
      <w:r>
        <w:rPr>
          <w:rFonts w:hint="eastAsia" w:ascii="宋体" w:hAnsi="宋体" w:cs="Arial"/>
          <w:kern w:val="0"/>
        </w:rPr>
        <w:t>名称：安永华明会计师事务所（特殊普通合伙）</w:t>
      </w:r>
    </w:p>
    <w:p w14:paraId="7213560C">
      <w:pPr>
        <w:snapToGrid w:val="0"/>
        <w:spacing w:line="360" w:lineRule="auto"/>
        <w:ind w:firstLine="420" w:firstLineChars="200"/>
        <w:rPr>
          <w:rFonts w:hint="eastAsia" w:ascii="宋体" w:hAnsi="宋体" w:cs="Arial"/>
          <w:kern w:val="0"/>
        </w:rPr>
      </w:pPr>
      <w:r>
        <w:rPr>
          <w:rFonts w:hint="eastAsia" w:ascii="宋体" w:hAnsi="宋体" w:cs="Arial"/>
          <w:kern w:val="0"/>
        </w:rPr>
        <w:t>住所：北京市东城区东长安街1号东方广场安永大楼17层01-12室</w:t>
      </w:r>
    </w:p>
    <w:p w14:paraId="7A2A19D7">
      <w:pPr>
        <w:snapToGrid w:val="0"/>
        <w:spacing w:line="360" w:lineRule="auto"/>
        <w:ind w:firstLine="420" w:firstLineChars="200"/>
        <w:rPr>
          <w:rFonts w:hint="eastAsia" w:ascii="宋体" w:hAnsi="宋体" w:cs="Arial"/>
          <w:kern w:val="0"/>
        </w:rPr>
      </w:pPr>
      <w:r>
        <w:rPr>
          <w:rFonts w:hint="eastAsia" w:ascii="宋体" w:hAnsi="宋体" w:cs="Arial"/>
          <w:kern w:val="0"/>
        </w:rPr>
        <w:t>办公地址：北京市东城区东长安街1号东方广场安永大楼17层01-12室</w:t>
      </w:r>
    </w:p>
    <w:p w14:paraId="0FA7B377">
      <w:pPr>
        <w:snapToGrid w:val="0"/>
        <w:spacing w:line="360" w:lineRule="auto"/>
        <w:ind w:firstLine="420" w:firstLineChars="200"/>
        <w:rPr>
          <w:rFonts w:hint="eastAsia" w:ascii="宋体" w:hAnsi="宋体" w:cs="Arial"/>
          <w:kern w:val="0"/>
        </w:rPr>
      </w:pPr>
      <w:r>
        <w:rPr>
          <w:rFonts w:hint="eastAsia" w:ascii="宋体" w:hAnsi="宋体" w:cs="Arial"/>
          <w:kern w:val="0"/>
        </w:rPr>
        <w:t>执行事务合伙人：毛鞍宁</w:t>
      </w:r>
    </w:p>
    <w:p w14:paraId="7D604658">
      <w:pPr>
        <w:snapToGrid w:val="0"/>
        <w:spacing w:line="360" w:lineRule="auto"/>
        <w:ind w:firstLine="420" w:firstLineChars="200"/>
        <w:rPr>
          <w:rFonts w:hint="eastAsia" w:ascii="宋体" w:hAnsi="宋体" w:cs="Arial"/>
          <w:kern w:val="0"/>
        </w:rPr>
      </w:pPr>
      <w:r>
        <w:rPr>
          <w:rFonts w:hint="eastAsia" w:ascii="宋体" w:hAnsi="宋体" w:cs="Arial"/>
          <w:kern w:val="0"/>
        </w:rPr>
        <w:t>联系电话：（010）58153000</w:t>
      </w:r>
    </w:p>
    <w:p w14:paraId="0002491B">
      <w:pPr>
        <w:snapToGrid w:val="0"/>
        <w:spacing w:line="360" w:lineRule="auto"/>
        <w:ind w:firstLine="420" w:firstLineChars="200"/>
        <w:rPr>
          <w:rFonts w:hint="eastAsia" w:ascii="宋体" w:hAnsi="宋体" w:cs="Arial"/>
          <w:kern w:val="0"/>
        </w:rPr>
      </w:pPr>
      <w:r>
        <w:rPr>
          <w:rFonts w:hint="eastAsia" w:ascii="宋体" w:hAnsi="宋体" w:cs="Arial"/>
          <w:kern w:val="0"/>
        </w:rPr>
        <w:t>传真电话：（010）85188298</w:t>
      </w:r>
    </w:p>
    <w:p w14:paraId="572230C7">
      <w:pPr>
        <w:snapToGrid w:val="0"/>
        <w:spacing w:line="360" w:lineRule="auto"/>
        <w:ind w:firstLine="420" w:firstLineChars="200"/>
        <w:rPr>
          <w:rFonts w:hint="eastAsia" w:ascii="宋体" w:hAnsi="宋体" w:cs="Arial"/>
          <w:kern w:val="0"/>
        </w:rPr>
      </w:pPr>
      <w:r>
        <w:rPr>
          <w:rFonts w:hint="eastAsia" w:ascii="宋体" w:hAnsi="宋体" w:cs="Arial"/>
          <w:kern w:val="0"/>
        </w:rPr>
        <w:t>经办注册会计师： 高鹤、楼坚、王海彦</w:t>
      </w:r>
    </w:p>
    <w:p w14:paraId="7DC0A343">
      <w:pPr>
        <w:snapToGrid w:val="0"/>
        <w:spacing w:line="360" w:lineRule="auto"/>
        <w:ind w:firstLine="420" w:firstLineChars="200"/>
        <w:rPr>
          <w:rFonts w:hint="eastAsia" w:ascii="宋体" w:hAnsi="宋体" w:cs="Arial"/>
          <w:kern w:val="0"/>
        </w:rPr>
      </w:pPr>
      <w:r>
        <w:rPr>
          <w:rFonts w:hint="eastAsia" w:ascii="宋体" w:hAnsi="宋体" w:cs="Arial"/>
          <w:kern w:val="0"/>
        </w:rPr>
        <w:t>联系人：王海彦</w:t>
      </w:r>
    </w:p>
    <w:p w14:paraId="0FE3C696">
      <w:pPr>
        <w:snapToGrid w:val="0"/>
        <w:spacing w:line="360" w:lineRule="auto"/>
        <w:ind w:firstLine="420" w:firstLineChars="200"/>
        <w:rPr>
          <w:rFonts w:ascii="宋体" w:hAnsi="宋体" w:cs="Arial"/>
          <w:kern w:val="0"/>
        </w:rPr>
      </w:pPr>
    </w:p>
    <w:p w14:paraId="304618BF">
      <w:pPr>
        <w:adjustRightInd w:val="0"/>
        <w:snapToGrid w:val="0"/>
        <w:spacing w:line="360" w:lineRule="auto"/>
        <w:ind w:left="420" w:leftChars="200"/>
        <w:rPr>
          <w:rFonts w:ascii="宋体" w:hAnsi="宋体" w:cs="Arial"/>
          <w:kern w:val="0"/>
        </w:rPr>
      </w:pPr>
    </w:p>
    <w:p w14:paraId="108C6968">
      <w:pPr>
        <w:adjustRightInd w:val="0"/>
        <w:snapToGrid w:val="0"/>
        <w:spacing w:line="360" w:lineRule="auto"/>
        <w:ind w:firstLine="420" w:firstLineChars="200"/>
        <w:rPr>
          <w:rFonts w:ascii="宋体" w:hAnsi="宋体" w:cs="Arial"/>
          <w:kern w:val="0"/>
        </w:rPr>
        <w:sectPr>
          <w:footerReference r:id="rId22" w:type="first"/>
          <w:footerReference r:id="rId21" w:type="default"/>
          <w:pgSz w:w="11906" w:h="16838"/>
          <w:pgMar w:top="1440" w:right="1800" w:bottom="1440" w:left="1800" w:header="851" w:footer="992" w:gutter="0"/>
          <w:pgNumType w:start="1"/>
          <w:cols w:space="720" w:num="1"/>
          <w:titlePg/>
          <w:docGrid w:linePitch="312" w:charSpace="0"/>
        </w:sectPr>
      </w:pPr>
    </w:p>
    <w:p w14:paraId="2FBAD14C">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27" w:name="_Toc408484001"/>
      <w:bookmarkStart w:id="28" w:name="_Toc8052743"/>
      <w:bookmarkStart w:id="29" w:name="_Toc29750"/>
      <w:bookmarkStart w:id="30" w:name="_Toc91110274"/>
      <w:bookmarkStart w:id="31" w:name="_Toc147463116"/>
      <w:bookmarkStart w:id="32" w:name="_Toc12357169"/>
      <w:bookmarkStart w:id="33" w:name="_Toc21073389"/>
      <w:bookmarkStart w:id="34" w:name="_Toc214873595"/>
      <w:r>
        <w:rPr>
          <w:rFonts w:ascii="宋体" w:hAnsi="宋体" w:eastAsia="宋体" w:cs="Arial"/>
          <w:kern w:val="0"/>
          <w:sz w:val="28"/>
          <w:szCs w:val="28"/>
        </w:rPr>
        <w:t xml:space="preserve">第六部分  </w:t>
      </w:r>
      <w:r>
        <w:rPr>
          <w:rFonts w:hint="eastAsia" w:ascii="宋体" w:hAnsi="宋体" w:eastAsia="宋体" w:cs="Arial"/>
          <w:kern w:val="0"/>
          <w:sz w:val="28"/>
          <w:szCs w:val="28"/>
        </w:rPr>
        <w:t>基金份额的发售</w:t>
      </w:r>
      <w:bookmarkEnd w:id="27"/>
      <w:bookmarkEnd w:id="28"/>
      <w:bookmarkEnd w:id="29"/>
      <w:bookmarkEnd w:id="30"/>
    </w:p>
    <w:p w14:paraId="2CFC0EBA">
      <w:pPr>
        <w:spacing w:line="360" w:lineRule="auto"/>
        <w:rPr>
          <w:rFonts w:ascii="宋体" w:hAnsi="宋体"/>
        </w:rPr>
      </w:pPr>
    </w:p>
    <w:p w14:paraId="5CCDBF4C">
      <w:pPr>
        <w:autoSpaceDE w:val="0"/>
        <w:autoSpaceDN w:val="0"/>
        <w:adjustRightInd w:val="0"/>
        <w:snapToGrid w:val="0"/>
        <w:spacing w:line="360" w:lineRule="auto"/>
        <w:ind w:firstLine="420" w:firstLineChars="200"/>
        <w:rPr>
          <w:rFonts w:ascii="宋体" w:hAnsi="宋体" w:cs="Arial"/>
        </w:rPr>
      </w:pPr>
      <w:r>
        <w:rPr>
          <w:rFonts w:ascii="宋体" w:hAnsi="宋体" w:cs="Arial"/>
        </w:rPr>
        <w:t>基金管理人按照《基金法》、《运作办法》、《销售办法》、基金合同及其他有关规定募集本基金，并于</w:t>
      </w:r>
      <w:bookmarkStart w:id="35" w:name="OLE_LINK3"/>
      <w:bookmarkStart w:id="36" w:name="OLE_LINK4"/>
      <w:r>
        <w:rPr>
          <w:rFonts w:hint="eastAsia" w:ascii="宋体" w:hAnsi="宋体" w:cs="Arial"/>
        </w:rPr>
        <w:t>2026年4月27日</w:t>
      </w:r>
      <w:bookmarkEnd w:id="35"/>
      <w:bookmarkEnd w:id="36"/>
      <w:r>
        <w:rPr>
          <w:rFonts w:ascii="宋体" w:hAnsi="宋体" w:cs="Arial"/>
        </w:rPr>
        <w:t>经</w:t>
      </w:r>
      <w:r>
        <w:rPr>
          <w:rFonts w:ascii="宋体" w:hAnsi="宋体" w:cs="Arial"/>
          <w:kern w:val="0"/>
        </w:rPr>
        <w:t>中国证监会</w:t>
      </w:r>
      <w:bookmarkStart w:id="37" w:name="OLE_LINK5"/>
      <w:r>
        <w:rPr>
          <w:rFonts w:hint="eastAsia" w:ascii="宋体" w:hAnsi="宋体" w:cs="Arial"/>
          <w:kern w:val="0"/>
        </w:rPr>
        <w:t>证监许可[2026]1007号</w:t>
      </w:r>
      <w:bookmarkEnd w:id="37"/>
      <w:r>
        <w:rPr>
          <w:rFonts w:ascii="宋体" w:hAnsi="宋体" w:cs="Arial"/>
          <w:kern w:val="0"/>
        </w:rPr>
        <w:t>文</w:t>
      </w:r>
      <w:r>
        <w:rPr>
          <w:rFonts w:hint="eastAsia" w:ascii="宋体" w:hAnsi="宋体" w:cs="Arial"/>
        </w:rPr>
        <w:t>准予</w:t>
      </w:r>
      <w:r>
        <w:rPr>
          <w:rFonts w:ascii="宋体" w:hAnsi="宋体" w:cs="Arial"/>
        </w:rPr>
        <w:t>募集</w:t>
      </w:r>
      <w:r>
        <w:rPr>
          <w:rFonts w:hint="eastAsia" w:ascii="宋体" w:hAnsi="宋体" w:cs="Arial"/>
        </w:rPr>
        <w:t>注册</w:t>
      </w:r>
      <w:r>
        <w:rPr>
          <w:rFonts w:ascii="宋体" w:hAnsi="宋体" w:cs="Arial"/>
        </w:rPr>
        <w:t>。</w:t>
      </w:r>
    </w:p>
    <w:p w14:paraId="5C30BC9F">
      <w:pPr>
        <w:spacing w:line="360" w:lineRule="auto"/>
        <w:ind w:firstLine="422" w:firstLineChars="200"/>
        <w:rPr>
          <w:rFonts w:ascii="宋体" w:hAnsi="宋体" w:cs="Arial"/>
          <w:b/>
        </w:rPr>
      </w:pPr>
      <w:r>
        <w:rPr>
          <w:rFonts w:ascii="宋体" w:hAnsi="宋体" w:cs="Arial"/>
          <w:b/>
        </w:rPr>
        <w:t>一、基金名称</w:t>
      </w:r>
    </w:p>
    <w:p w14:paraId="54C0FCD2">
      <w:pPr>
        <w:spacing w:line="360" w:lineRule="auto"/>
        <w:ind w:firstLine="420" w:firstLineChars="200"/>
        <w:rPr>
          <w:rFonts w:ascii="宋体" w:hAnsi="宋体" w:cs="Arial"/>
        </w:rPr>
      </w:pPr>
      <w:r>
        <w:rPr>
          <w:rFonts w:hint="eastAsia" w:ascii="宋体" w:hAnsi="宋体" w:cs="Arial"/>
        </w:rPr>
        <w:t>博时中证全指红利质量交易型开放式指数证券投资基金</w:t>
      </w:r>
    </w:p>
    <w:p w14:paraId="0AAFF50F">
      <w:pPr>
        <w:spacing w:line="360" w:lineRule="auto"/>
        <w:ind w:firstLine="422" w:firstLineChars="200"/>
        <w:rPr>
          <w:rFonts w:ascii="宋体" w:hAnsi="宋体" w:cs="Arial"/>
          <w:b/>
        </w:rPr>
      </w:pPr>
      <w:r>
        <w:rPr>
          <w:rFonts w:ascii="宋体" w:hAnsi="宋体" w:cs="Arial"/>
          <w:b/>
        </w:rPr>
        <w:t>二、基金类型</w:t>
      </w:r>
    </w:p>
    <w:p w14:paraId="1B590217">
      <w:pPr>
        <w:spacing w:line="360" w:lineRule="auto"/>
        <w:ind w:firstLine="420" w:firstLineChars="200"/>
        <w:rPr>
          <w:rFonts w:ascii="宋体" w:hAnsi="宋体" w:cs="Arial"/>
          <w:kern w:val="0"/>
        </w:rPr>
      </w:pPr>
      <w:r>
        <w:rPr>
          <w:rFonts w:ascii="宋体" w:hAnsi="宋体" w:cs="Arial"/>
          <w:kern w:val="0"/>
        </w:rPr>
        <w:t>股票型指数基金</w:t>
      </w:r>
    </w:p>
    <w:p w14:paraId="40B1E454">
      <w:pPr>
        <w:spacing w:line="360" w:lineRule="auto"/>
        <w:ind w:firstLine="422" w:firstLineChars="200"/>
        <w:rPr>
          <w:rFonts w:ascii="宋体" w:hAnsi="宋体" w:cs="Arial"/>
          <w:b/>
        </w:rPr>
      </w:pPr>
      <w:r>
        <w:rPr>
          <w:rFonts w:hint="eastAsia" w:ascii="宋体" w:hAnsi="宋体" w:cs="Arial"/>
          <w:b/>
        </w:rPr>
        <w:t>三、基金的运作方式</w:t>
      </w:r>
    </w:p>
    <w:p w14:paraId="0391384C">
      <w:pPr>
        <w:spacing w:line="360" w:lineRule="auto"/>
        <w:ind w:firstLine="420" w:firstLineChars="200"/>
        <w:rPr>
          <w:rFonts w:ascii="宋体" w:hAnsi="宋体" w:cs="Arial"/>
        </w:rPr>
      </w:pPr>
      <w:r>
        <w:rPr>
          <w:rFonts w:hint="eastAsia" w:ascii="宋体" w:hAnsi="宋体" w:cs="Arial"/>
        </w:rPr>
        <w:t>交易型开放式</w:t>
      </w:r>
    </w:p>
    <w:p w14:paraId="75295D8D">
      <w:pPr>
        <w:spacing w:line="360" w:lineRule="auto"/>
        <w:ind w:firstLine="422" w:firstLineChars="200"/>
        <w:rPr>
          <w:rFonts w:ascii="宋体" w:hAnsi="宋体" w:cs="Arial"/>
          <w:b/>
        </w:rPr>
      </w:pPr>
      <w:r>
        <w:rPr>
          <w:rFonts w:hint="eastAsia" w:ascii="宋体" w:hAnsi="宋体" w:cs="Arial"/>
          <w:b/>
        </w:rPr>
        <w:t>四</w:t>
      </w:r>
      <w:r>
        <w:rPr>
          <w:rFonts w:ascii="宋体" w:hAnsi="宋体" w:cs="Arial"/>
          <w:b/>
        </w:rPr>
        <w:t>、基金存续期限</w:t>
      </w:r>
    </w:p>
    <w:p w14:paraId="4EF6CEED">
      <w:pPr>
        <w:spacing w:line="360" w:lineRule="auto"/>
        <w:ind w:firstLine="420" w:firstLineChars="200"/>
        <w:rPr>
          <w:rFonts w:ascii="宋体" w:hAnsi="宋体" w:cs="Arial"/>
        </w:rPr>
      </w:pPr>
      <w:r>
        <w:rPr>
          <w:rFonts w:ascii="宋体" w:hAnsi="宋体" w:cs="Arial"/>
        </w:rPr>
        <w:t>不定期</w:t>
      </w:r>
    </w:p>
    <w:p w14:paraId="6D6D38BB">
      <w:pPr>
        <w:snapToGrid w:val="0"/>
        <w:spacing w:line="360" w:lineRule="auto"/>
        <w:ind w:firstLine="420"/>
        <w:rPr>
          <w:rFonts w:ascii="宋体" w:hAnsi="宋体" w:cs="Arial"/>
          <w:b/>
        </w:rPr>
      </w:pPr>
      <w:r>
        <w:rPr>
          <w:rFonts w:hint="eastAsia" w:ascii="宋体" w:hAnsi="宋体" w:cs="Arial"/>
          <w:b/>
        </w:rPr>
        <w:t>五、发售时间与发售对象</w:t>
      </w:r>
    </w:p>
    <w:p w14:paraId="12264796">
      <w:pPr>
        <w:snapToGrid w:val="0"/>
        <w:spacing w:line="360" w:lineRule="auto"/>
        <w:ind w:firstLine="420"/>
        <w:rPr>
          <w:rFonts w:ascii="宋体" w:hAnsi="宋体" w:cs="Arial"/>
        </w:rPr>
      </w:pPr>
      <w:r>
        <w:rPr>
          <w:rFonts w:hint="eastAsia" w:ascii="宋体" w:hAnsi="宋体" w:cs="Arial"/>
        </w:rPr>
        <w:t>1、发售时间</w:t>
      </w:r>
    </w:p>
    <w:p w14:paraId="6194FD76">
      <w:pPr>
        <w:snapToGrid w:val="0"/>
        <w:spacing w:line="360" w:lineRule="auto"/>
        <w:ind w:firstLine="420"/>
        <w:rPr>
          <w:rFonts w:ascii="宋体" w:hAnsi="宋体" w:cs="Arial"/>
        </w:rPr>
      </w:pPr>
      <w:r>
        <w:rPr>
          <w:rFonts w:hint="eastAsia" w:ascii="宋体" w:hAnsi="宋体" w:cs="Arial"/>
        </w:rPr>
        <w:t>自基金份额发售之日起最长不得超过3个月，具体发售时间见基金份额发售公告。</w:t>
      </w:r>
    </w:p>
    <w:p w14:paraId="2BCC8C02">
      <w:pPr>
        <w:snapToGrid w:val="0"/>
        <w:spacing w:line="360" w:lineRule="auto"/>
        <w:ind w:firstLine="420"/>
        <w:rPr>
          <w:rFonts w:ascii="宋体" w:hAnsi="宋体" w:cs="Arial"/>
        </w:rPr>
      </w:pPr>
      <w:r>
        <w:rPr>
          <w:rFonts w:hint="eastAsia" w:ascii="宋体" w:hAnsi="宋体" w:cs="Arial"/>
        </w:rPr>
        <w:t>2、发售对象</w:t>
      </w:r>
    </w:p>
    <w:p w14:paraId="6123F10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符合法律法规规定的可投资于证券投资基金的个人投资者、机构投资者、合格境外投资者以及法律法规或中国证监会允许购买证券投资基金的其他投资人。</w:t>
      </w:r>
    </w:p>
    <w:p w14:paraId="3AE2A49C">
      <w:pPr>
        <w:snapToGrid w:val="0"/>
        <w:spacing w:line="360" w:lineRule="auto"/>
        <w:ind w:firstLine="420"/>
        <w:rPr>
          <w:rFonts w:ascii="宋体" w:hAnsi="宋体" w:cs="Arial"/>
          <w:b/>
        </w:rPr>
      </w:pPr>
      <w:r>
        <w:rPr>
          <w:rFonts w:hint="eastAsia" w:ascii="宋体" w:hAnsi="宋体" w:cs="Arial"/>
          <w:b/>
        </w:rPr>
        <w:t>六</w:t>
      </w:r>
      <w:r>
        <w:rPr>
          <w:rFonts w:ascii="宋体" w:hAnsi="宋体" w:cs="Arial"/>
          <w:b/>
        </w:rPr>
        <w:t>、</w:t>
      </w:r>
      <w:r>
        <w:rPr>
          <w:rFonts w:hint="eastAsia" w:ascii="宋体" w:hAnsi="宋体" w:cs="Arial"/>
          <w:b/>
        </w:rPr>
        <w:t>发售</w:t>
      </w:r>
      <w:r>
        <w:rPr>
          <w:rFonts w:ascii="宋体" w:hAnsi="宋体" w:cs="Arial"/>
          <w:b/>
        </w:rPr>
        <w:t>方式</w:t>
      </w:r>
      <w:r>
        <w:rPr>
          <w:rFonts w:hint="eastAsia" w:ascii="宋体" w:hAnsi="宋体" w:cs="Arial"/>
          <w:b/>
        </w:rPr>
        <w:t>与发售场所</w:t>
      </w:r>
    </w:p>
    <w:p w14:paraId="23D1D34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bookmarkStart w:id="38" w:name="_Hlk95317522"/>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投资人可选择网上现金认购、网下现金认购和网下股票认购三种方式认购本基金：</w:t>
      </w:r>
    </w:p>
    <w:p w14:paraId="43A440F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网上现金认购是指投资人通过基金管理人指定的发售代理机构通过上海证券交易所网上系统以现金进行的认购；</w:t>
      </w:r>
    </w:p>
    <w:p w14:paraId="0F5DE1B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网下现金认购是指投资人通过基金管理人及其指定的发售代理机构以现金进行的认购</w:t>
      </w:r>
      <w:r>
        <w:rPr>
          <w:rFonts w:asciiTheme="minorEastAsia" w:hAnsiTheme="minorEastAsia"/>
          <w:color w:val="0D0D0D" w:themeColor="text1" w:themeTint="F2"/>
          <w:kern w:val="0"/>
          <w14:textFill>
            <w14:solidFill>
              <w14:schemeClr w14:val="tx1">
                <w14:lumMod w14:val="95000"/>
                <w14:lumOff w14:val="5000"/>
              </w14:schemeClr>
            </w14:solidFill>
          </w14:textFill>
        </w:rPr>
        <w:t>；</w:t>
      </w:r>
    </w:p>
    <w:p w14:paraId="1FA9A923">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网下股票认购是指投资人通过基金管理人及其指定的发售代理机构以股票进行的认购。</w:t>
      </w:r>
    </w:p>
    <w:p w14:paraId="4ACA7443">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应当在基金管理人及其指定发售代理机构办理基金发售业务的营业场所，或者按基金管理人或发售代理机构提供的方式办理基金份额的认购。基金管理人、发售代理机构办理基金发售业务的具体情况和联系方式，请参见基金份额发售公告以及基金管理人网站。</w:t>
      </w:r>
    </w:p>
    <w:p w14:paraId="53DB124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基金管理人可依据实际情况增减、变更发售代理机构，发售代理机构的具体名单见基金份额发售公告以及基金管理人网站。</w:t>
      </w:r>
    </w:p>
    <w:p w14:paraId="1659ACED">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若证券交易所、中国证券登记结算有限责任公司对发售方式、发售场所有所调整的，本基金将进行相应调整。</w:t>
      </w:r>
    </w:p>
    <w:bookmarkEnd w:id="38"/>
    <w:p w14:paraId="094BC63C">
      <w:pPr>
        <w:adjustRightInd w:val="0"/>
        <w:snapToGrid w:val="0"/>
        <w:spacing w:line="360" w:lineRule="auto"/>
        <w:ind w:firstLine="422" w:firstLineChars="200"/>
        <w:rPr>
          <w:rFonts w:asciiTheme="minorEastAsia" w:hAnsiTheme="minorEastAsia"/>
          <w:b/>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b/>
          <w:color w:val="0D0D0D" w:themeColor="text1" w:themeTint="F2"/>
          <w:kern w:val="0"/>
          <w14:textFill>
            <w14:solidFill>
              <w14:schemeClr w14:val="tx1">
                <w14:lumMod w14:val="95000"/>
                <w14:lumOff w14:val="5000"/>
              </w14:schemeClr>
            </w14:solidFill>
          </w14:textFill>
        </w:rPr>
        <w:t>七、募集规模上限</w:t>
      </w:r>
    </w:p>
    <w:p w14:paraId="3B009FD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本</w:t>
      </w:r>
      <w:bookmarkStart w:id="39" w:name="_Hlk144133852"/>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基金可设置首次募集规模上限，具体募集上限及规模控制的方案详见基金份额发售公告或其他公告。若本基金设置首次募集规模上限，基金合同生效后不受此募集规模的限制</w:t>
      </w:r>
      <w:bookmarkEnd w:id="39"/>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p>
    <w:p w14:paraId="22021112">
      <w:pPr>
        <w:snapToGrid w:val="0"/>
        <w:spacing w:line="360" w:lineRule="auto"/>
        <w:ind w:firstLine="420"/>
        <w:rPr>
          <w:rFonts w:ascii="宋体" w:hAnsi="宋体" w:cs="Arial"/>
          <w:b/>
        </w:rPr>
      </w:pPr>
      <w:r>
        <w:rPr>
          <w:rFonts w:hint="eastAsia" w:ascii="宋体" w:hAnsi="宋体" w:cs="Arial"/>
          <w:b/>
        </w:rPr>
        <w:t>八</w:t>
      </w:r>
      <w:r>
        <w:rPr>
          <w:rFonts w:ascii="宋体" w:hAnsi="宋体" w:cs="Arial"/>
          <w:b/>
        </w:rPr>
        <w:t>、基金份额</w:t>
      </w:r>
      <w:r>
        <w:rPr>
          <w:rFonts w:hint="eastAsia" w:ascii="宋体" w:hAnsi="宋体" w:cs="Arial"/>
          <w:b/>
        </w:rPr>
        <w:t>发售</w:t>
      </w:r>
      <w:r>
        <w:rPr>
          <w:rFonts w:ascii="宋体" w:hAnsi="宋体" w:cs="Arial"/>
          <w:b/>
        </w:rPr>
        <w:t>面值、认购价格</w:t>
      </w:r>
    </w:p>
    <w:p w14:paraId="445597F6">
      <w:pPr>
        <w:pStyle w:val="41"/>
        <w:autoSpaceDE w:val="0"/>
        <w:autoSpaceDN w:val="0"/>
        <w:adjustRightInd w:val="0"/>
        <w:snapToGrid w:val="0"/>
        <w:ind w:firstLineChars="0"/>
        <w:rPr>
          <w:rFonts w:hAnsi="宋体" w:cs="Arial"/>
          <w:szCs w:val="24"/>
        </w:rPr>
      </w:pPr>
      <w:r>
        <w:rPr>
          <w:rFonts w:hAnsi="宋体" w:cs="Arial"/>
          <w:szCs w:val="24"/>
        </w:rPr>
        <w:t>本基金每份基金份额的</w:t>
      </w:r>
      <w:r>
        <w:rPr>
          <w:rFonts w:hint="eastAsia" w:hAnsi="宋体" w:cs="Arial"/>
          <w:szCs w:val="24"/>
        </w:rPr>
        <w:t>发售</w:t>
      </w:r>
      <w:r>
        <w:rPr>
          <w:rFonts w:hAnsi="宋体" w:cs="Arial"/>
          <w:szCs w:val="24"/>
        </w:rPr>
        <w:t>面值为人民币1.00元，认购价格为人民币1.00元。</w:t>
      </w:r>
    </w:p>
    <w:p w14:paraId="22B38997">
      <w:pPr>
        <w:snapToGrid w:val="0"/>
        <w:spacing w:line="360" w:lineRule="auto"/>
        <w:ind w:firstLine="420"/>
        <w:rPr>
          <w:rFonts w:ascii="宋体" w:hAnsi="宋体" w:cs="Arial"/>
          <w:b/>
        </w:rPr>
      </w:pPr>
      <w:r>
        <w:rPr>
          <w:rFonts w:hint="eastAsia" w:ascii="宋体" w:hAnsi="宋体" w:cs="Arial"/>
          <w:b/>
        </w:rPr>
        <w:t>九</w:t>
      </w:r>
      <w:r>
        <w:rPr>
          <w:rFonts w:ascii="宋体" w:hAnsi="宋体" w:cs="Arial"/>
          <w:b/>
        </w:rPr>
        <w:t>、</w:t>
      </w:r>
      <w:bookmarkStart w:id="40" w:name="_Toc293495078"/>
      <w:bookmarkStart w:id="41" w:name="_Toc276561307"/>
      <w:r>
        <w:rPr>
          <w:rFonts w:ascii="宋体" w:hAnsi="宋体" w:cs="Arial"/>
          <w:b/>
        </w:rPr>
        <w:t>投资人对基金份额的认购</w:t>
      </w:r>
      <w:bookmarkEnd w:id="40"/>
      <w:bookmarkEnd w:id="41"/>
    </w:p>
    <w:p w14:paraId="5CB23BCC">
      <w:pPr>
        <w:adjustRightInd w:val="0"/>
        <w:snapToGrid w:val="0"/>
        <w:spacing w:line="360" w:lineRule="auto"/>
        <w:ind w:firstLine="420"/>
        <w:rPr>
          <w:rFonts w:ascii="宋体" w:hAnsi="宋体" w:cs="Arial"/>
          <w:kern w:val="0"/>
        </w:rPr>
      </w:pPr>
      <w:r>
        <w:rPr>
          <w:rFonts w:ascii="宋体" w:hAnsi="宋体" w:cs="Arial"/>
          <w:kern w:val="0"/>
        </w:rPr>
        <w:t>1</w:t>
      </w:r>
      <w:r>
        <w:rPr>
          <w:rFonts w:hint="eastAsia" w:ascii="宋体" w:hAnsi="宋体" w:cs="Arial"/>
          <w:kern w:val="0"/>
        </w:rPr>
        <w:t>、</w:t>
      </w:r>
      <w:r>
        <w:rPr>
          <w:rFonts w:ascii="宋体" w:hAnsi="宋体" w:cs="Arial"/>
          <w:kern w:val="0"/>
        </w:rPr>
        <w:t>认购时间安排</w:t>
      </w:r>
    </w:p>
    <w:p w14:paraId="3CACE810">
      <w:pPr>
        <w:adjustRightInd w:val="0"/>
        <w:snapToGrid w:val="0"/>
        <w:spacing w:line="360" w:lineRule="auto"/>
        <w:ind w:firstLine="420"/>
        <w:rPr>
          <w:rFonts w:ascii="宋体" w:hAnsi="宋体" w:cs="Arial"/>
          <w:kern w:val="0"/>
        </w:rPr>
      </w:pPr>
      <w:r>
        <w:rPr>
          <w:rFonts w:ascii="宋体" w:hAnsi="宋体" w:cs="Arial"/>
          <w:kern w:val="0"/>
        </w:rPr>
        <w:t>本基金的募集期限不超过3个月，自基金份额开始发售之日起计算</w:t>
      </w:r>
      <w:r>
        <w:rPr>
          <w:rFonts w:hint="eastAsia" w:ascii="宋体" w:hAnsi="宋体" w:cs="Arial"/>
          <w:kern w:val="0"/>
        </w:rPr>
        <w:t>，具体发售时间见基金份额发售公告</w:t>
      </w:r>
      <w:r>
        <w:rPr>
          <w:rFonts w:ascii="宋体" w:hAnsi="宋体" w:cs="Arial"/>
          <w:kern w:val="0"/>
        </w:rPr>
        <w:t>。</w:t>
      </w:r>
    </w:p>
    <w:p w14:paraId="504F7751">
      <w:pPr>
        <w:adjustRightInd w:val="0"/>
        <w:snapToGrid w:val="0"/>
        <w:spacing w:line="360" w:lineRule="auto"/>
        <w:ind w:firstLine="420"/>
        <w:rPr>
          <w:rFonts w:ascii="宋体" w:hAnsi="宋体" w:cs="Arial"/>
        </w:rPr>
      </w:pPr>
      <w:r>
        <w:rPr>
          <w:rFonts w:ascii="宋体" w:hAnsi="宋体" w:cs="Arial"/>
        </w:rPr>
        <w:t>2</w:t>
      </w:r>
      <w:r>
        <w:rPr>
          <w:rFonts w:hint="eastAsia" w:ascii="宋体" w:hAnsi="宋体" w:cs="Arial"/>
        </w:rPr>
        <w:t>、</w:t>
      </w:r>
      <w:r>
        <w:rPr>
          <w:rFonts w:ascii="宋体" w:hAnsi="宋体" w:cs="Arial"/>
        </w:rPr>
        <w:t>认购开户</w:t>
      </w:r>
    </w:p>
    <w:p w14:paraId="13A13F89">
      <w:pPr>
        <w:adjustRightInd w:val="0"/>
        <w:snapToGrid w:val="0"/>
        <w:spacing w:line="360" w:lineRule="auto"/>
        <w:ind w:firstLine="424" w:firstLineChars="202"/>
        <w:rPr>
          <w:rFonts w:ascii="宋体" w:hAnsi="宋体" w:cs="Arial"/>
          <w:kern w:val="3"/>
        </w:rPr>
      </w:pPr>
      <w:r>
        <w:rPr>
          <w:rFonts w:ascii="宋体" w:hAnsi="宋体" w:cs="Arial"/>
          <w:kern w:val="3"/>
        </w:rPr>
        <w:t>投资人认购本基金时需具有上海证券交易所A股账户或</w:t>
      </w:r>
      <w:r>
        <w:rPr>
          <w:rFonts w:hint="eastAsia" w:ascii="宋体" w:hAnsi="宋体" w:cs="Arial"/>
          <w:kern w:val="3"/>
        </w:rPr>
        <w:t>证券投资</w:t>
      </w:r>
      <w:r>
        <w:rPr>
          <w:rFonts w:ascii="宋体" w:hAnsi="宋体" w:cs="Arial"/>
          <w:kern w:val="3"/>
        </w:rPr>
        <w:t>基金账户</w:t>
      </w:r>
      <w:r>
        <w:rPr>
          <w:rFonts w:hint="eastAsia" w:ascii="宋体" w:hAnsi="宋体" w:cs="Arial"/>
          <w:kern w:val="3"/>
        </w:rPr>
        <w:t>（以下统称“上海证券账户”）</w:t>
      </w:r>
      <w:r>
        <w:rPr>
          <w:rFonts w:ascii="宋体" w:hAnsi="宋体" w:cs="Arial"/>
          <w:kern w:val="3"/>
        </w:rPr>
        <w:t>。</w:t>
      </w:r>
    </w:p>
    <w:p w14:paraId="2C0F2DD5">
      <w:pPr>
        <w:adjustRightInd w:val="0"/>
        <w:snapToGrid w:val="0"/>
        <w:spacing w:line="360" w:lineRule="auto"/>
        <w:ind w:firstLine="424" w:firstLineChars="202"/>
        <w:rPr>
          <w:rFonts w:ascii="宋体" w:hAnsi="宋体" w:cs="Arial"/>
          <w:kern w:val="3"/>
        </w:rPr>
      </w:pPr>
      <w:r>
        <w:rPr>
          <w:rFonts w:hint="eastAsia" w:ascii="宋体" w:hAnsi="宋体" w:cs="Arial"/>
          <w:kern w:val="3"/>
        </w:rPr>
        <w:t>已有上海</w:t>
      </w:r>
      <w:r>
        <w:rPr>
          <w:rFonts w:ascii="宋体" w:hAnsi="宋体" w:cs="Arial"/>
          <w:kern w:val="3"/>
        </w:rPr>
        <w:t>证券交易所</w:t>
      </w:r>
      <w:r>
        <w:rPr>
          <w:rFonts w:hint="eastAsia" w:ascii="宋体" w:hAnsi="宋体" w:cs="Arial"/>
          <w:kern w:val="3"/>
        </w:rPr>
        <w:t>A股账户或证券投资基金账户的投资人不必再办理开户手续。</w:t>
      </w:r>
    </w:p>
    <w:p w14:paraId="5D5E0DA8">
      <w:pPr>
        <w:adjustRightInd w:val="0"/>
        <w:snapToGrid w:val="0"/>
        <w:spacing w:line="360" w:lineRule="auto"/>
        <w:ind w:firstLine="424" w:firstLineChars="202"/>
        <w:rPr>
          <w:rFonts w:ascii="宋体" w:hAnsi="宋体" w:cs="Arial"/>
          <w:kern w:val="3"/>
        </w:rPr>
      </w:pPr>
      <w:r>
        <w:rPr>
          <w:rFonts w:hint="eastAsia" w:ascii="宋体" w:hAnsi="宋体" w:cs="Arial"/>
          <w:kern w:val="3"/>
        </w:rPr>
        <w:t>尚无上海</w:t>
      </w:r>
      <w:r>
        <w:rPr>
          <w:rFonts w:ascii="宋体" w:hAnsi="宋体" w:cs="Arial"/>
          <w:kern w:val="3"/>
        </w:rPr>
        <w:t>证券交易所</w:t>
      </w:r>
      <w:r>
        <w:rPr>
          <w:rFonts w:hint="eastAsia" w:ascii="宋体" w:hAnsi="宋体" w:cs="Arial"/>
          <w:kern w:val="3"/>
        </w:rPr>
        <w:t>A股账户或证券投资基金账户的投资人，需在认购前持本人身份证到中国证券登记结算有限责任公司上海分公司的开户代理机构办理上海</w:t>
      </w:r>
      <w:r>
        <w:rPr>
          <w:rFonts w:ascii="宋体" w:hAnsi="宋体" w:cs="Arial"/>
          <w:kern w:val="3"/>
        </w:rPr>
        <w:t>证券交易所</w:t>
      </w:r>
      <w:r>
        <w:rPr>
          <w:rFonts w:hint="eastAsia" w:ascii="宋体" w:hAnsi="宋体" w:cs="Arial"/>
          <w:kern w:val="3"/>
        </w:rPr>
        <w:t>A股账户或证券投资基金账户的开户手续。有关开设上海</w:t>
      </w:r>
      <w:r>
        <w:rPr>
          <w:rFonts w:ascii="宋体" w:hAnsi="宋体" w:cs="Arial"/>
          <w:kern w:val="3"/>
        </w:rPr>
        <w:t>证券交易所</w:t>
      </w:r>
      <w:r>
        <w:rPr>
          <w:rFonts w:hint="eastAsia" w:ascii="宋体" w:hAnsi="宋体" w:cs="Arial"/>
          <w:kern w:val="3"/>
        </w:rPr>
        <w:t>A股账户和证券投资基金账户的具体程序和办法，请到各开户网点详细咨询有关规定。</w:t>
      </w:r>
    </w:p>
    <w:p w14:paraId="7C3ED898">
      <w:pPr>
        <w:adjustRightInd w:val="0"/>
        <w:snapToGrid w:val="0"/>
        <w:spacing w:line="360" w:lineRule="auto"/>
        <w:ind w:firstLine="420"/>
        <w:rPr>
          <w:rFonts w:ascii="宋体" w:hAnsi="宋体" w:cs="Arial"/>
          <w:kern w:val="3"/>
        </w:rPr>
      </w:pPr>
      <w:r>
        <w:rPr>
          <w:rFonts w:hint="eastAsia" w:ascii="宋体" w:hAnsi="宋体" w:cs="Arial"/>
          <w:kern w:val="3"/>
        </w:rPr>
        <w:t>（1）</w:t>
      </w:r>
      <w:r>
        <w:rPr>
          <w:rFonts w:ascii="宋体" w:hAnsi="宋体" w:cs="Arial"/>
          <w:kern w:val="3"/>
        </w:rPr>
        <w:t>如投资人需新开立证券账户，则应注意：</w:t>
      </w:r>
    </w:p>
    <w:p w14:paraId="12083502">
      <w:pPr>
        <w:adjustRightInd w:val="0"/>
        <w:snapToGrid w:val="0"/>
        <w:spacing w:line="360" w:lineRule="auto"/>
        <w:ind w:firstLine="420"/>
        <w:rPr>
          <w:rFonts w:ascii="宋体" w:hAnsi="宋体" w:cs="Arial"/>
          <w:kern w:val="3"/>
        </w:rPr>
      </w:pPr>
      <w:r>
        <w:rPr>
          <w:rFonts w:hint="eastAsia" w:ascii="宋体" w:hAnsi="宋体" w:cs="Arial"/>
          <w:kern w:val="3"/>
        </w:rPr>
        <w:t>①上海证券交易所证券投资基金账户只能进行基金份额的现金认购和二级市场交易</w:t>
      </w:r>
      <w:r>
        <w:rPr>
          <w:rFonts w:ascii="宋体" w:hAnsi="宋体" w:cs="Arial"/>
          <w:kern w:val="3"/>
        </w:rPr>
        <w:t>，</w:t>
      </w:r>
      <w:r>
        <w:rPr>
          <w:rFonts w:hint="eastAsia" w:ascii="宋体" w:hAnsi="宋体" w:cs="Arial"/>
          <w:kern w:val="3"/>
        </w:rPr>
        <w:t>如投资人需要使用中证全指红利质量指数成份股中的上海证券交易所上市股票参与网下股票认购或基金份额的申购、赎回，则应开立上海证券交易所</w:t>
      </w:r>
      <w:r>
        <w:rPr>
          <w:rFonts w:ascii="宋体" w:hAnsi="宋体" w:cs="Arial"/>
          <w:kern w:val="3"/>
        </w:rPr>
        <w:t>A</w:t>
      </w:r>
      <w:r>
        <w:rPr>
          <w:rFonts w:hint="eastAsia" w:ascii="宋体" w:hAnsi="宋体" w:cs="Arial"/>
          <w:kern w:val="3"/>
        </w:rPr>
        <w:t>股账户；如投资者需要使用中证全指红利质量指数成份股中的深圳证券交易所上市股票参与网下股票认购，则还应开立深圳证券交易所</w:t>
      </w:r>
      <w:r>
        <w:rPr>
          <w:rFonts w:ascii="宋体" w:hAnsi="宋体" w:cs="Arial"/>
          <w:kern w:val="3"/>
        </w:rPr>
        <w:t>A</w:t>
      </w:r>
      <w:r>
        <w:rPr>
          <w:rFonts w:hint="eastAsia" w:ascii="宋体" w:hAnsi="宋体" w:cs="Arial"/>
          <w:kern w:val="3"/>
        </w:rPr>
        <w:t>股账户。</w:t>
      </w:r>
    </w:p>
    <w:p w14:paraId="5FE655E2">
      <w:pPr>
        <w:adjustRightInd w:val="0"/>
        <w:snapToGrid w:val="0"/>
        <w:spacing w:line="360" w:lineRule="auto"/>
        <w:ind w:firstLine="420"/>
        <w:rPr>
          <w:rFonts w:ascii="宋体" w:hAnsi="宋体" w:cs="Arial"/>
          <w:kern w:val="3"/>
        </w:rPr>
      </w:pPr>
      <w:r>
        <w:rPr>
          <w:rFonts w:hint="eastAsia" w:ascii="宋体" w:hAnsi="宋体" w:cs="Arial"/>
          <w:kern w:val="3"/>
        </w:rPr>
        <w:t>②</w:t>
      </w:r>
      <w:r>
        <w:rPr>
          <w:rFonts w:ascii="宋体" w:hAnsi="宋体" w:cs="Arial"/>
          <w:kern w:val="3"/>
        </w:rPr>
        <w:t>开户当日无法办理指定交易，建议投资人在进行认购前至少2个工作日办理开户手续。</w:t>
      </w:r>
    </w:p>
    <w:p w14:paraId="227995DF">
      <w:pPr>
        <w:adjustRightInd w:val="0"/>
        <w:snapToGrid w:val="0"/>
        <w:spacing w:line="360" w:lineRule="auto"/>
        <w:ind w:firstLine="420"/>
        <w:rPr>
          <w:rFonts w:ascii="宋体" w:hAnsi="宋体" w:cs="Arial"/>
          <w:kern w:val="3"/>
        </w:rPr>
      </w:pPr>
      <w:r>
        <w:rPr>
          <w:rFonts w:hint="eastAsia" w:ascii="宋体" w:hAnsi="宋体" w:cs="Arial"/>
          <w:kern w:val="3"/>
        </w:rPr>
        <w:t>（2）</w:t>
      </w:r>
      <w:r>
        <w:rPr>
          <w:rFonts w:ascii="宋体" w:hAnsi="宋体" w:cs="Arial"/>
          <w:kern w:val="3"/>
        </w:rPr>
        <w:t>如投资人已开立</w:t>
      </w:r>
      <w:r>
        <w:rPr>
          <w:rFonts w:hint="eastAsia" w:ascii="宋体" w:hAnsi="宋体" w:cs="Arial"/>
          <w:kern w:val="3"/>
        </w:rPr>
        <w:t>上海</w:t>
      </w:r>
      <w:r>
        <w:rPr>
          <w:rFonts w:ascii="宋体" w:hAnsi="宋体" w:cs="Arial"/>
          <w:kern w:val="3"/>
        </w:rPr>
        <w:t>证券账户，则应注意：</w:t>
      </w:r>
    </w:p>
    <w:p w14:paraId="2D774C87">
      <w:pPr>
        <w:adjustRightInd w:val="0"/>
        <w:snapToGrid w:val="0"/>
        <w:spacing w:line="360" w:lineRule="auto"/>
        <w:ind w:firstLine="420"/>
        <w:rPr>
          <w:rFonts w:ascii="宋体" w:hAnsi="宋体" w:cs="Arial"/>
          <w:kern w:val="3"/>
        </w:rPr>
      </w:pPr>
      <w:r>
        <w:rPr>
          <w:rFonts w:hint="eastAsia" w:ascii="宋体" w:hAnsi="宋体" w:cs="Arial"/>
          <w:kern w:val="3"/>
        </w:rPr>
        <w:t>①</w:t>
      </w:r>
      <w:r>
        <w:rPr>
          <w:rFonts w:ascii="宋体" w:hAnsi="宋体" w:cs="Arial"/>
          <w:kern w:val="3"/>
        </w:rPr>
        <w:t>如投资人未办理指定交易或指定交易在不办理本基金发售业务的证券公司，需要指定交易或转指定交易在可办理本基金发售业务的证券公司。</w:t>
      </w:r>
    </w:p>
    <w:p w14:paraId="54BF9994">
      <w:pPr>
        <w:adjustRightInd w:val="0"/>
        <w:snapToGrid w:val="0"/>
        <w:spacing w:line="360" w:lineRule="auto"/>
        <w:ind w:firstLine="420"/>
        <w:rPr>
          <w:rFonts w:ascii="宋体" w:hAnsi="宋体" w:cs="Arial"/>
          <w:kern w:val="3"/>
        </w:rPr>
      </w:pPr>
      <w:r>
        <w:rPr>
          <w:rFonts w:hint="eastAsia" w:ascii="宋体" w:hAnsi="宋体" w:cs="Arial"/>
          <w:kern w:val="3"/>
        </w:rPr>
        <w:t>②</w:t>
      </w:r>
      <w:r>
        <w:rPr>
          <w:rFonts w:ascii="宋体" w:hAnsi="宋体" w:cs="Arial"/>
          <w:kern w:val="3"/>
        </w:rPr>
        <w:t>当日办理指定交易或转指定交易的投资人当日无法进行认购，建议投资人在进行认购前至少1个工作日办理指定交易或转指定交易手续。</w:t>
      </w:r>
    </w:p>
    <w:p w14:paraId="5573A7FE">
      <w:pPr>
        <w:adjustRightInd w:val="0"/>
        <w:snapToGrid w:val="0"/>
        <w:spacing w:line="360" w:lineRule="auto"/>
        <w:ind w:firstLine="420"/>
        <w:rPr>
          <w:rFonts w:ascii="宋体" w:hAnsi="宋体" w:cs="Arial"/>
        </w:rPr>
      </w:pPr>
      <w:r>
        <w:rPr>
          <w:rFonts w:hint="eastAsia" w:ascii="宋体" w:hAnsi="宋体" w:cs="Arial"/>
          <w:kern w:val="3"/>
        </w:rPr>
        <w:t>（3）</w:t>
      </w:r>
      <w:r>
        <w:rPr>
          <w:rFonts w:ascii="宋体" w:hAnsi="宋体" w:cs="Arial"/>
          <w:kern w:val="3"/>
        </w:rPr>
        <w:t>使用专用</w:t>
      </w:r>
      <w:r>
        <w:rPr>
          <w:rFonts w:hint="eastAsia" w:ascii="宋体" w:hAnsi="宋体" w:cs="Arial"/>
          <w:kern w:val="3"/>
        </w:rPr>
        <w:t>交易单元</w:t>
      </w:r>
      <w:r>
        <w:rPr>
          <w:rFonts w:ascii="宋体" w:hAnsi="宋体" w:cs="Arial"/>
          <w:kern w:val="3"/>
        </w:rPr>
        <w:t>的机构投资人则无需办理指定交易</w:t>
      </w:r>
      <w:r>
        <w:rPr>
          <w:rFonts w:ascii="宋体" w:hAnsi="宋体" w:cs="Arial"/>
        </w:rPr>
        <w:t>。</w:t>
      </w:r>
    </w:p>
    <w:p w14:paraId="5100A452">
      <w:pPr>
        <w:snapToGrid w:val="0"/>
        <w:spacing w:line="360" w:lineRule="auto"/>
        <w:ind w:firstLine="422" w:firstLineChars="200"/>
        <w:rPr>
          <w:rFonts w:ascii="宋体" w:hAnsi="宋体" w:cs="Arial"/>
          <w:b/>
        </w:rPr>
      </w:pPr>
      <w:r>
        <w:rPr>
          <w:rFonts w:hint="eastAsia" w:ascii="宋体" w:hAnsi="宋体" w:cs="Arial"/>
          <w:b/>
        </w:rPr>
        <w:t>十</w:t>
      </w:r>
      <w:r>
        <w:rPr>
          <w:rFonts w:ascii="宋体" w:hAnsi="宋体" w:cs="Arial"/>
          <w:b/>
        </w:rPr>
        <w:t>、认购费用</w:t>
      </w:r>
    </w:p>
    <w:p w14:paraId="20ACD0F5">
      <w:pPr>
        <w:adjustRightInd w:val="0"/>
        <w:snapToGrid w:val="0"/>
        <w:spacing w:line="360" w:lineRule="auto"/>
        <w:ind w:firstLine="420"/>
        <w:rPr>
          <w:rFonts w:ascii="宋体" w:hAnsi="宋体" w:cs="Arial"/>
          <w:kern w:val="3"/>
        </w:rPr>
      </w:pPr>
      <w:r>
        <w:rPr>
          <w:rFonts w:hint="eastAsia" w:ascii="宋体" w:hAnsi="宋体" w:cs="Arial"/>
          <w:kern w:val="3"/>
        </w:rPr>
        <w:t>本基金的认购采用份额认购的原则。认购费用由认购基金份额的投资人承担，认购费用不列入基金财产。认购费率如下表所示：</w:t>
      </w:r>
    </w:p>
    <w:p w14:paraId="20D90173">
      <w:pPr>
        <w:snapToGrid w:val="0"/>
        <w:spacing w:line="360" w:lineRule="auto"/>
        <w:ind w:firstLine="420"/>
        <w:jc w:val="center"/>
        <w:rPr>
          <w:rFonts w:ascii="宋体" w:hAnsi="宋体" w:cs="Arial"/>
        </w:rPr>
      </w:pPr>
      <w:r>
        <w:rPr>
          <w:rFonts w:hint="eastAsia" w:ascii="宋体" w:hAnsi="宋体" w:cs="Arial"/>
        </w:rPr>
        <w:t>图表1：认购费率</w:t>
      </w:r>
    </w:p>
    <w:tbl>
      <w:tblPr>
        <w:tblStyle w:val="14"/>
        <w:tblW w:w="5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26"/>
        <w:gridCol w:w="1690"/>
      </w:tblGrid>
      <w:tr w14:paraId="68345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26" w:type="dxa"/>
            <w:vAlign w:val="center"/>
          </w:tcPr>
          <w:p w14:paraId="40196654">
            <w:pPr>
              <w:autoSpaceDE w:val="0"/>
              <w:autoSpaceDN w:val="0"/>
              <w:adjustRightInd w:val="0"/>
              <w:snapToGrid w:val="0"/>
              <w:spacing w:line="360" w:lineRule="auto"/>
              <w:jc w:val="center"/>
              <w:rPr>
                <w:rFonts w:ascii="宋体" w:hAnsi="宋体" w:cs="Arial"/>
                <w:b/>
                <w:bCs/>
              </w:rPr>
            </w:pPr>
            <w:r>
              <w:rPr>
                <w:rFonts w:ascii="宋体" w:hAnsi="宋体" w:cs="Arial"/>
                <w:b/>
                <w:bCs/>
              </w:rPr>
              <w:t>认购份额</w:t>
            </w:r>
          </w:p>
        </w:tc>
        <w:tc>
          <w:tcPr>
            <w:tcW w:w="1690" w:type="dxa"/>
            <w:vAlign w:val="center"/>
          </w:tcPr>
          <w:p w14:paraId="29777E48">
            <w:pPr>
              <w:autoSpaceDE w:val="0"/>
              <w:autoSpaceDN w:val="0"/>
              <w:adjustRightInd w:val="0"/>
              <w:snapToGrid w:val="0"/>
              <w:spacing w:line="360" w:lineRule="auto"/>
              <w:jc w:val="center"/>
              <w:rPr>
                <w:rFonts w:ascii="宋体" w:hAnsi="宋体" w:cs="Arial"/>
                <w:b/>
                <w:bCs/>
              </w:rPr>
            </w:pPr>
            <w:r>
              <w:rPr>
                <w:rFonts w:ascii="宋体" w:hAnsi="宋体" w:cs="Arial"/>
                <w:b/>
                <w:bCs/>
              </w:rPr>
              <w:t>认购费率</w:t>
            </w:r>
          </w:p>
        </w:tc>
      </w:tr>
      <w:tr w14:paraId="08F8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26" w:type="dxa"/>
            <w:vAlign w:val="center"/>
          </w:tcPr>
          <w:p w14:paraId="3B8E876F">
            <w:pPr>
              <w:autoSpaceDE w:val="0"/>
              <w:autoSpaceDN w:val="0"/>
              <w:adjustRightInd w:val="0"/>
              <w:snapToGrid w:val="0"/>
              <w:spacing w:line="360" w:lineRule="auto"/>
              <w:jc w:val="center"/>
              <w:rPr>
                <w:rFonts w:ascii="宋体" w:hAnsi="宋体" w:cs="Arial"/>
              </w:rPr>
            </w:pPr>
            <w:r>
              <w:rPr>
                <w:rFonts w:hint="eastAsia" w:ascii="宋体" w:hAnsi="宋体" w:cs="Arial"/>
              </w:rPr>
              <w:t>100</w:t>
            </w:r>
            <w:r>
              <w:rPr>
                <w:rFonts w:ascii="宋体" w:hAnsi="宋体" w:cs="Arial"/>
              </w:rPr>
              <w:t>万份以下</w:t>
            </w:r>
          </w:p>
        </w:tc>
        <w:tc>
          <w:tcPr>
            <w:tcW w:w="1690" w:type="dxa"/>
            <w:vAlign w:val="center"/>
          </w:tcPr>
          <w:p w14:paraId="65EE7B2C">
            <w:pPr>
              <w:autoSpaceDE w:val="0"/>
              <w:autoSpaceDN w:val="0"/>
              <w:adjustRightInd w:val="0"/>
              <w:snapToGrid w:val="0"/>
              <w:spacing w:line="360" w:lineRule="auto"/>
              <w:jc w:val="center"/>
              <w:rPr>
                <w:rFonts w:ascii="宋体" w:hAnsi="宋体" w:cs="Arial"/>
              </w:rPr>
            </w:pPr>
            <w:r>
              <w:rPr>
                <w:rFonts w:ascii="宋体" w:hAnsi="宋体" w:cs="Arial"/>
              </w:rPr>
              <w:t>0.30%</w:t>
            </w:r>
          </w:p>
        </w:tc>
      </w:tr>
      <w:tr w14:paraId="162BF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26" w:type="dxa"/>
            <w:vAlign w:val="center"/>
          </w:tcPr>
          <w:p w14:paraId="363A8058">
            <w:pPr>
              <w:autoSpaceDE w:val="0"/>
              <w:autoSpaceDN w:val="0"/>
              <w:adjustRightInd w:val="0"/>
              <w:snapToGrid w:val="0"/>
              <w:spacing w:line="360" w:lineRule="auto"/>
              <w:jc w:val="center"/>
              <w:rPr>
                <w:rFonts w:ascii="宋体" w:hAnsi="宋体" w:cs="Arial"/>
              </w:rPr>
            </w:pPr>
            <w:r>
              <w:rPr>
                <w:rFonts w:ascii="宋体" w:hAnsi="宋体" w:cs="Arial"/>
              </w:rPr>
              <w:t>100万份以上</w:t>
            </w:r>
            <w:r>
              <w:rPr>
                <w:rFonts w:ascii="宋体" w:hAnsi="宋体" w:cs="Arial"/>
                <w:bCs/>
                <w:kern w:val="0"/>
              </w:rPr>
              <w:t>（含）</w:t>
            </w:r>
          </w:p>
        </w:tc>
        <w:tc>
          <w:tcPr>
            <w:tcW w:w="1690" w:type="dxa"/>
            <w:vAlign w:val="center"/>
          </w:tcPr>
          <w:p w14:paraId="7D5A8EF9">
            <w:pPr>
              <w:autoSpaceDE w:val="0"/>
              <w:autoSpaceDN w:val="0"/>
              <w:adjustRightInd w:val="0"/>
              <w:snapToGrid w:val="0"/>
              <w:spacing w:line="360" w:lineRule="auto"/>
              <w:jc w:val="center"/>
              <w:rPr>
                <w:rFonts w:ascii="宋体" w:hAnsi="宋体" w:cs="Arial"/>
              </w:rPr>
            </w:pPr>
            <w:r>
              <w:rPr>
                <w:rFonts w:ascii="宋体" w:hAnsi="宋体" w:cs="Arial"/>
              </w:rPr>
              <w:t>每笔</w:t>
            </w:r>
            <w:r>
              <w:rPr>
                <w:rFonts w:hint="eastAsia" w:ascii="宋体" w:hAnsi="宋体" w:cs="Arial"/>
              </w:rPr>
              <w:t>1000</w:t>
            </w:r>
            <w:r>
              <w:rPr>
                <w:rFonts w:ascii="宋体" w:hAnsi="宋体" w:cs="Arial"/>
              </w:rPr>
              <w:t>元</w:t>
            </w:r>
          </w:p>
        </w:tc>
      </w:tr>
    </w:tbl>
    <w:p w14:paraId="2F141DEF">
      <w:pPr>
        <w:autoSpaceDE w:val="0"/>
        <w:autoSpaceDN w:val="0"/>
        <w:adjustRightInd w:val="0"/>
        <w:snapToGrid w:val="0"/>
        <w:spacing w:line="360" w:lineRule="auto"/>
        <w:ind w:firstLine="420" w:firstLineChars="200"/>
        <w:rPr>
          <w:rFonts w:ascii="宋体" w:hAnsi="宋体" w:cs="Arial"/>
        </w:rPr>
      </w:pPr>
      <w:r>
        <w:rPr>
          <w:rFonts w:ascii="宋体" w:hAnsi="宋体" w:cs="Arial"/>
        </w:rPr>
        <w:t>基金管理人办理网下现金认购</w:t>
      </w:r>
      <w:r>
        <w:rPr>
          <w:rFonts w:hint="eastAsia" w:ascii="宋体" w:hAnsi="宋体" w:cs="Arial"/>
        </w:rPr>
        <w:t>和网下股票认购时不收取认购费用。</w:t>
      </w:r>
      <w:r>
        <w:rPr>
          <w:rFonts w:ascii="宋体" w:hAnsi="宋体" w:cs="Arial"/>
        </w:rPr>
        <w:t>发售代理机构办理网上现金认购、网下现金认购、网下股票认购时可参照上述费率结构收取一定的佣金。</w:t>
      </w:r>
      <w:r>
        <w:rPr>
          <w:rFonts w:hint="eastAsia" w:ascii="宋体" w:hAnsi="宋体" w:cs="Arial"/>
        </w:rPr>
        <w:t>投资人可以多次认购本基金，认购费率按每笔认购申请单独计算。</w:t>
      </w:r>
    </w:p>
    <w:p w14:paraId="31CD2281">
      <w:pPr>
        <w:autoSpaceDE w:val="0"/>
        <w:autoSpaceDN w:val="0"/>
        <w:adjustRightInd w:val="0"/>
        <w:snapToGrid w:val="0"/>
        <w:spacing w:line="360" w:lineRule="auto"/>
        <w:ind w:firstLine="420" w:firstLineChars="200"/>
        <w:rPr>
          <w:rFonts w:ascii="宋体" w:hAnsi="宋体" w:cs="Arial"/>
        </w:rPr>
      </w:pPr>
      <w:r>
        <w:rPr>
          <w:rFonts w:hint="eastAsia" w:ascii="宋体" w:hAnsi="宋体" w:cs="Arial"/>
        </w:rPr>
        <w:t>基金管理人可以针对特定投资人（如养老金客户等）开展费率优惠活动，具体见基金管理人相关公告。</w:t>
      </w:r>
    </w:p>
    <w:p w14:paraId="25B1900C">
      <w:pPr>
        <w:snapToGrid w:val="0"/>
        <w:spacing w:line="360" w:lineRule="auto"/>
        <w:ind w:firstLine="420"/>
        <w:rPr>
          <w:rFonts w:ascii="宋体" w:hAnsi="宋体" w:cs="Arial"/>
          <w:b/>
        </w:rPr>
      </w:pPr>
      <w:r>
        <w:rPr>
          <w:rFonts w:hint="eastAsia" w:ascii="宋体" w:hAnsi="宋体" w:cs="Arial"/>
          <w:b/>
        </w:rPr>
        <w:t>十一、认购申请的确认</w:t>
      </w:r>
    </w:p>
    <w:p w14:paraId="27EFE664">
      <w:pPr>
        <w:snapToGrid w:val="0"/>
        <w:spacing w:line="360" w:lineRule="auto"/>
        <w:ind w:firstLine="420"/>
        <w:rPr>
          <w:rFonts w:ascii="宋体" w:hAnsi="宋体" w:cs="Arial"/>
        </w:rPr>
      </w:pPr>
      <w:r>
        <w:rPr>
          <w:rFonts w:hint="eastAsia" w:ascii="宋体" w:hAnsi="宋体" w:cs="Arial"/>
        </w:rPr>
        <w:t>销售机构对认购申请的受理并不代表该申请一定成功，而仅代表销售机构确实接收到认购申请。认购的确认以登记机构的确认结果为准。对于认购申请及认购份额的确认情况，投资者应及时查询并妥善行使合法权利。</w:t>
      </w:r>
    </w:p>
    <w:p w14:paraId="39664F7D">
      <w:pPr>
        <w:snapToGrid w:val="0"/>
        <w:spacing w:line="360" w:lineRule="auto"/>
        <w:ind w:firstLine="420"/>
        <w:rPr>
          <w:rFonts w:ascii="宋体" w:hAnsi="宋体" w:cs="Arial"/>
          <w:b/>
        </w:rPr>
      </w:pPr>
      <w:bookmarkStart w:id="42" w:name="_Toc276561308"/>
      <w:r>
        <w:rPr>
          <w:rFonts w:ascii="宋体" w:hAnsi="宋体" w:cs="Arial"/>
          <w:b/>
        </w:rPr>
        <w:t>十</w:t>
      </w:r>
      <w:r>
        <w:rPr>
          <w:rFonts w:hint="eastAsia" w:ascii="宋体" w:hAnsi="宋体" w:cs="Arial"/>
          <w:b/>
        </w:rPr>
        <w:t>二</w:t>
      </w:r>
      <w:r>
        <w:rPr>
          <w:rFonts w:ascii="宋体" w:hAnsi="宋体" w:cs="Arial"/>
          <w:b/>
        </w:rPr>
        <w:t>、网上现金认购</w:t>
      </w:r>
      <w:bookmarkEnd w:id="42"/>
    </w:p>
    <w:p w14:paraId="25043AFD">
      <w:pPr>
        <w:adjustRightInd w:val="0"/>
        <w:snapToGrid w:val="0"/>
        <w:spacing w:line="360" w:lineRule="auto"/>
        <w:ind w:left="420"/>
        <w:rPr>
          <w:rFonts w:ascii="宋体" w:hAnsi="宋体" w:cs="Arial"/>
        </w:rPr>
      </w:pPr>
      <w:r>
        <w:rPr>
          <w:rFonts w:ascii="宋体" w:hAnsi="宋体" w:cs="Arial"/>
        </w:rPr>
        <w:t>1</w:t>
      </w:r>
      <w:r>
        <w:rPr>
          <w:rFonts w:hint="eastAsia" w:ascii="宋体" w:hAnsi="宋体" w:cs="Arial"/>
        </w:rPr>
        <w:t>、</w:t>
      </w:r>
      <w:r>
        <w:rPr>
          <w:rFonts w:ascii="宋体" w:hAnsi="宋体" w:cs="Arial"/>
        </w:rPr>
        <w:t>认购时间：</w:t>
      </w:r>
      <w:r>
        <w:rPr>
          <w:rFonts w:hint="eastAsia" w:ascii="宋体" w:hAnsi="宋体" w:cs="Arial"/>
        </w:rPr>
        <w:t>详见基金份额发售公告</w:t>
      </w:r>
      <w:r>
        <w:rPr>
          <w:rFonts w:ascii="宋体" w:hAnsi="宋体" w:cs="Arial"/>
        </w:rPr>
        <w:t>。</w:t>
      </w:r>
    </w:p>
    <w:p w14:paraId="2E57C7D0">
      <w:pPr>
        <w:adjustRightInd w:val="0"/>
        <w:snapToGrid w:val="0"/>
        <w:spacing w:line="360" w:lineRule="auto"/>
        <w:ind w:left="420"/>
        <w:rPr>
          <w:rFonts w:ascii="宋体" w:hAnsi="宋体" w:cs="Arial"/>
        </w:rPr>
      </w:pPr>
      <w:r>
        <w:rPr>
          <w:rFonts w:ascii="宋体" w:hAnsi="宋体" w:cs="Arial"/>
        </w:rPr>
        <w:t>2</w:t>
      </w:r>
      <w:r>
        <w:rPr>
          <w:rFonts w:hint="eastAsia" w:ascii="宋体" w:hAnsi="宋体" w:cs="Arial"/>
        </w:rPr>
        <w:t>、认购金额的计算：</w:t>
      </w:r>
    </w:p>
    <w:p w14:paraId="78995079">
      <w:pPr>
        <w:adjustRightInd w:val="0"/>
        <w:snapToGrid w:val="0"/>
        <w:spacing w:line="360" w:lineRule="auto"/>
        <w:ind w:firstLine="420" w:firstLineChars="200"/>
        <w:rPr>
          <w:rFonts w:ascii="宋体" w:hAnsi="宋体" w:cs="Arial"/>
        </w:rPr>
      </w:pPr>
      <w:r>
        <w:rPr>
          <w:rFonts w:hint="eastAsia" w:ascii="宋体" w:hAnsi="宋体" w:cs="Arial"/>
        </w:rPr>
        <w:t>通过发售代理机构进行网上现金认购的投资人，认购以基金份额申请，认购佣金、认购金额的计算公式为：</w:t>
      </w:r>
    </w:p>
    <w:p w14:paraId="2CB130F6">
      <w:pPr>
        <w:adjustRightInd w:val="0"/>
        <w:snapToGrid w:val="0"/>
        <w:spacing w:line="360" w:lineRule="auto"/>
        <w:ind w:left="420"/>
        <w:rPr>
          <w:rFonts w:ascii="宋体" w:hAnsi="宋体" w:cs="Arial"/>
        </w:rPr>
      </w:pPr>
      <w:r>
        <w:rPr>
          <w:rFonts w:hint="eastAsia" w:ascii="宋体" w:hAnsi="宋体" w:cs="Arial"/>
        </w:rPr>
        <w:t xml:space="preserve">认购佣金＝认购价格×认购份额×佣金比率 </w:t>
      </w:r>
      <w:r>
        <w:rPr>
          <w:rFonts w:ascii="宋体" w:hAnsi="宋体" w:cs="Arial"/>
        </w:rPr>
        <w:t xml:space="preserve"> </w:t>
      </w:r>
    </w:p>
    <w:p w14:paraId="24B022B6">
      <w:pPr>
        <w:adjustRightInd w:val="0"/>
        <w:snapToGrid w:val="0"/>
        <w:spacing w:line="360" w:lineRule="auto"/>
        <w:ind w:left="420"/>
        <w:rPr>
          <w:rFonts w:ascii="宋体" w:hAnsi="宋体" w:cs="Arial"/>
        </w:rPr>
      </w:pPr>
      <w:r>
        <w:rPr>
          <w:rFonts w:hint="eastAsia" w:ascii="宋体" w:hAnsi="宋体" w:cs="Arial"/>
        </w:rPr>
        <w:t>（或若适用固定费用的，认购佣金=固定费用）</w:t>
      </w:r>
    </w:p>
    <w:p w14:paraId="143075B0">
      <w:pPr>
        <w:adjustRightInd w:val="0"/>
        <w:snapToGrid w:val="0"/>
        <w:spacing w:line="360" w:lineRule="auto"/>
        <w:ind w:left="420"/>
        <w:rPr>
          <w:rFonts w:ascii="宋体" w:hAnsi="宋体" w:cs="Arial"/>
        </w:rPr>
      </w:pPr>
      <w:r>
        <w:rPr>
          <w:rFonts w:hint="eastAsia" w:ascii="宋体" w:hAnsi="宋体" w:cs="Arial"/>
        </w:rPr>
        <w:t>认购金额＝认购价格×认购份额×</w:t>
      </w:r>
      <w:r>
        <w:rPr>
          <w:rFonts w:ascii="宋体" w:hAnsi="宋体" w:cs="Arial"/>
        </w:rPr>
        <w:t>(1</w:t>
      </w:r>
      <w:r>
        <w:rPr>
          <w:rFonts w:hint="eastAsia" w:ascii="宋体" w:hAnsi="宋体" w:cs="Arial"/>
        </w:rPr>
        <w:t>＋佣金比率</w:t>
      </w:r>
      <w:r>
        <w:rPr>
          <w:rFonts w:ascii="宋体" w:hAnsi="宋体" w:cs="Arial"/>
        </w:rPr>
        <w:t xml:space="preserve">) </w:t>
      </w:r>
    </w:p>
    <w:p w14:paraId="221FA50D">
      <w:pPr>
        <w:adjustRightInd w:val="0"/>
        <w:snapToGrid w:val="0"/>
        <w:spacing w:line="360" w:lineRule="auto"/>
        <w:ind w:left="420"/>
        <w:rPr>
          <w:rFonts w:ascii="宋体" w:hAnsi="宋体" w:cs="Arial"/>
        </w:rPr>
      </w:pPr>
      <w:r>
        <w:rPr>
          <w:rFonts w:hint="eastAsia" w:ascii="宋体" w:hAnsi="宋体" w:cs="Arial"/>
        </w:rPr>
        <w:t>（或若适用固定费用的，认购金额＝认购价格×认购份额+固定费用）</w:t>
      </w:r>
    </w:p>
    <w:p w14:paraId="330B9B78">
      <w:pPr>
        <w:adjustRightInd w:val="0"/>
        <w:snapToGrid w:val="0"/>
        <w:spacing w:line="360" w:lineRule="auto"/>
        <w:ind w:left="420"/>
        <w:rPr>
          <w:rFonts w:hint="eastAsia" w:ascii="宋体" w:hAnsi="宋体" w:cs="Arial"/>
        </w:rPr>
      </w:pPr>
      <w:bookmarkStart w:id="43" w:name="OLE_LINK30"/>
      <w:bookmarkStart w:id="44" w:name="OLE_LINK29"/>
      <w:r>
        <w:rPr>
          <w:rFonts w:hint="eastAsia" w:ascii="宋体" w:hAnsi="宋体" w:cs="Arial"/>
        </w:rPr>
        <w:t>利息折算的份额＝利息/认购价格</w:t>
      </w:r>
    </w:p>
    <w:bookmarkEnd w:id="43"/>
    <w:bookmarkEnd w:id="44"/>
    <w:p w14:paraId="5F5829D3">
      <w:pPr>
        <w:adjustRightInd w:val="0"/>
        <w:snapToGrid w:val="0"/>
        <w:spacing w:line="360" w:lineRule="auto"/>
        <w:ind w:left="420"/>
        <w:rPr>
          <w:rFonts w:ascii="宋体" w:hAnsi="宋体" w:cs="Arial"/>
        </w:rPr>
      </w:pPr>
      <w:r>
        <w:rPr>
          <w:rFonts w:hint="eastAsia" w:ascii="宋体" w:hAnsi="宋体" w:cs="Arial"/>
        </w:rPr>
        <w:t>认购佣金由发售代理机构向投资人收取，投资人需以现金方式交纳认购佣金。</w:t>
      </w:r>
      <w:r>
        <w:rPr>
          <w:rFonts w:ascii="宋体" w:hAnsi="宋体" w:cs="Arial"/>
        </w:rPr>
        <w:t xml:space="preserve"> </w:t>
      </w:r>
    </w:p>
    <w:p w14:paraId="54497EAF">
      <w:pPr>
        <w:adjustRightInd w:val="0"/>
        <w:snapToGrid w:val="0"/>
        <w:spacing w:line="360" w:lineRule="auto"/>
        <w:ind w:firstLine="420" w:firstLineChars="200"/>
        <w:rPr>
          <w:rFonts w:ascii="宋体" w:hAnsi="宋体" w:cs="Arial"/>
        </w:rPr>
      </w:pPr>
      <w:r>
        <w:rPr>
          <w:rFonts w:hint="eastAsia" w:ascii="宋体" w:hAnsi="宋体" w:cs="Arial"/>
        </w:rPr>
        <w:t>例：某投资人通过某发售代理机构以网上现金认购方式认购</w:t>
      </w:r>
      <w:bookmarkStart w:id="45" w:name="OLE_LINK18"/>
      <w:bookmarkStart w:id="46" w:name="OLE_LINK19"/>
      <w:r>
        <w:rPr>
          <w:rFonts w:ascii="宋体" w:hAnsi="宋体" w:cs="Arial"/>
        </w:rPr>
        <w:t>1,000</w:t>
      </w:r>
      <w:bookmarkEnd w:id="45"/>
      <w:bookmarkEnd w:id="46"/>
      <w:r>
        <w:rPr>
          <w:rFonts w:hint="eastAsia" w:ascii="宋体" w:hAnsi="宋体" w:cs="Arial"/>
        </w:rPr>
        <w:t>份本基金，假设该发售代理机构确认的佣金比率为</w:t>
      </w:r>
      <w:r>
        <w:rPr>
          <w:rFonts w:ascii="宋体" w:hAnsi="宋体" w:cs="Arial"/>
        </w:rPr>
        <w:t>0.3</w:t>
      </w:r>
      <w:r>
        <w:rPr>
          <w:rFonts w:hint="eastAsia" w:ascii="宋体" w:hAnsi="宋体" w:cs="Arial"/>
        </w:rPr>
        <w:t>0</w:t>
      </w:r>
      <w:r>
        <w:rPr>
          <w:rFonts w:ascii="宋体" w:hAnsi="宋体" w:cs="Arial"/>
        </w:rPr>
        <w:t>%</w:t>
      </w:r>
      <w:r>
        <w:rPr>
          <w:rFonts w:hint="eastAsia" w:ascii="宋体" w:hAnsi="宋体" w:cs="Arial"/>
        </w:rPr>
        <w:t>，</w:t>
      </w:r>
      <w:r>
        <w:rPr>
          <w:rFonts w:hint="eastAsia" w:ascii="宋体" w:hAnsi="宋体" w:cs="Arial"/>
          <w:highlight w:val="none"/>
        </w:rPr>
        <w:t>假设</w:t>
      </w:r>
      <w:r>
        <w:rPr>
          <w:rFonts w:hint="eastAsia" w:ascii="宋体" w:hAnsi="宋体" w:cs="Arial"/>
        </w:rPr>
        <w:t>利息为2元，则投资人需支付的认购佣金和需准备的认购金额计算如下：</w:t>
      </w:r>
      <w:r>
        <w:rPr>
          <w:rFonts w:ascii="宋体" w:hAnsi="宋体" w:cs="Arial"/>
        </w:rPr>
        <w:t xml:space="preserve"> </w:t>
      </w:r>
    </w:p>
    <w:p w14:paraId="228DE328">
      <w:pPr>
        <w:adjustRightInd w:val="0"/>
        <w:snapToGrid w:val="0"/>
        <w:spacing w:line="360" w:lineRule="auto"/>
        <w:ind w:left="420"/>
        <w:rPr>
          <w:rFonts w:ascii="宋体" w:hAnsi="宋体" w:cs="Arial"/>
        </w:rPr>
      </w:pPr>
      <w:r>
        <w:rPr>
          <w:rFonts w:hint="eastAsia" w:ascii="宋体" w:hAnsi="宋体" w:cs="Arial"/>
        </w:rPr>
        <w:t>认购佣金＝</w:t>
      </w:r>
      <w:r>
        <w:rPr>
          <w:rFonts w:ascii="宋体" w:hAnsi="宋体" w:cs="Arial"/>
        </w:rPr>
        <w:t>1.00</w:t>
      </w:r>
      <w:r>
        <w:rPr>
          <w:rFonts w:hint="eastAsia" w:ascii="宋体" w:hAnsi="宋体" w:cs="Arial"/>
        </w:rPr>
        <w:t>×</w:t>
      </w:r>
      <w:r>
        <w:rPr>
          <w:rFonts w:ascii="宋体" w:hAnsi="宋体" w:cs="Arial"/>
        </w:rPr>
        <w:t>1,000</w:t>
      </w:r>
      <w:r>
        <w:rPr>
          <w:rFonts w:hint="eastAsia" w:ascii="宋体" w:hAnsi="宋体" w:cs="Arial"/>
        </w:rPr>
        <w:t>×</w:t>
      </w:r>
      <w:r>
        <w:rPr>
          <w:rFonts w:ascii="宋体" w:hAnsi="宋体" w:cs="Arial"/>
        </w:rPr>
        <w:t>0.3</w:t>
      </w:r>
      <w:r>
        <w:rPr>
          <w:rFonts w:hint="eastAsia" w:ascii="宋体" w:hAnsi="宋体" w:cs="Arial"/>
        </w:rPr>
        <w:t>0</w:t>
      </w:r>
      <w:r>
        <w:rPr>
          <w:rFonts w:ascii="宋体" w:hAnsi="宋体" w:cs="Arial"/>
        </w:rPr>
        <w:t>%</w:t>
      </w:r>
      <w:r>
        <w:rPr>
          <w:rFonts w:hint="eastAsia" w:ascii="宋体" w:hAnsi="宋体" w:cs="Arial"/>
        </w:rPr>
        <w:t>＝</w:t>
      </w:r>
      <w:r>
        <w:rPr>
          <w:rFonts w:ascii="宋体" w:hAnsi="宋体" w:cs="Arial"/>
        </w:rPr>
        <w:t>3</w:t>
      </w:r>
      <w:r>
        <w:rPr>
          <w:rFonts w:hint="eastAsia" w:ascii="宋体" w:hAnsi="宋体" w:cs="Arial"/>
        </w:rPr>
        <w:t>.00元</w:t>
      </w:r>
      <w:r>
        <w:rPr>
          <w:rFonts w:ascii="宋体" w:hAnsi="宋体" w:cs="Arial"/>
        </w:rPr>
        <w:t xml:space="preserve"> </w:t>
      </w:r>
    </w:p>
    <w:p w14:paraId="3850385E">
      <w:pPr>
        <w:adjustRightInd w:val="0"/>
        <w:snapToGrid w:val="0"/>
        <w:spacing w:line="360" w:lineRule="auto"/>
        <w:ind w:left="420"/>
        <w:rPr>
          <w:rFonts w:ascii="宋体" w:hAnsi="宋体" w:cs="Arial"/>
        </w:rPr>
      </w:pPr>
      <w:r>
        <w:rPr>
          <w:rFonts w:hint="eastAsia" w:ascii="宋体" w:hAnsi="宋体" w:cs="Arial"/>
        </w:rPr>
        <w:t>认购金额＝</w:t>
      </w:r>
      <w:r>
        <w:rPr>
          <w:rFonts w:ascii="宋体" w:hAnsi="宋体" w:cs="Arial"/>
        </w:rPr>
        <w:t>1.00</w:t>
      </w:r>
      <w:r>
        <w:rPr>
          <w:rFonts w:hint="eastAsia" w:ascii="宋体" w:hAnsi="宋体" w:cs="Arial"/>
        </w:rPr>
        <w:t>×</w:t>
      </w:r>
      <w:r>
        <w:rPr>
          <w:rFonts w:ascii="宋体" w:hAnsi="宋体" w:cs="Arial"/>
        </w:rPr>
        <w:t>1,000</w:t>
      </w:r>
      <w:r>
        <w:rPr>
          <w:rFonts w:hint="eastAsia" w:ascii="宋体" w:hAnsi="宋体" w:cs="Arial"/>
        </w:rPr>
        <w:t>×</w:t>
      </w:r>
      <w:r>
        <w:rPr>
          <w:rFonts w:ascii="宋体" w:hAnsi="宋体" w:cs="Arial"/>
        </w:rPr>
        <w:t>(1+0.3</w:t>
      </w:r>
      <w:r>
        <w:rPr>
          <w:rFonts w:hint="eastAsia" w:ascii="宋体" w:hAnsi="宋体" w:cs="Arial"/>
        </w:rPr>
        <w:t>0</w:t>
      </w:r>
      <w:r>
        <w:rPr>
          <w:rFonts w:ascii="宋体" w:hAnsi="宋体" w:cs="Arial"/>
        </w:rPr>
        <w:t>%)</w:t>
      </w:r>
      <w:r>
        <w:rPr>
          <w:rFonts w:hint="eastAsia" w:ascii="宋体" w:hAnsi="宋体" w:cs="Arial"/>
        </w:rPr>
        <w:t>＝</w:t>
      </w:r>
      <w:r>
        <w:rPr>
          <w:rFonts w:ascii="宋体" w:hAnsi="宋体" w:cs="Arial"/>
        </w:rPr>
        <w:t>1,003</w:t>
      </w:r>
      <w:r>
        <w:rPr>
          <w:rFonts w:hint="eastAsia" w:ascii="宋体" w:hAnsi="宋体" w:cs="Arial"/>
        </w:rPr>
        <w:t>.00元</w:t>
      </w:r>
      <w:r>
        <w:rPr>
          <w:rFonts w:ascii="宋体" w:hAnsi="宋体" w:cs="Arial"/>
        </w:rPr>
        <w:t xml:space="preserve"> </w:t>
      </w:r>
    </w:p>
    <w:p w14:paraId="788F48E2">
      <w:pPr>
        <w:adjustRightInd w:val="0"/>
        <w:snapToGrid w:val="0"/>
        <w:spacing w:line="360" w:lineRule="auto"/>
        <w:ind w:left="420"/>
        <w:rPr>
          <w:rFonts w:ascii="宋体" w:hAnsi="宋体" w:cs="Arial"/>
        </w:rPr>
      </w:pPr>
      <w:bookmarkStart w:id="47" w:name="OLE_LINK28"/>
      <w:bookmarkStart w:id="48" w:name="OLE_LINK27"/>
      <w:r>
        <w:rPr>
          <w:rFonts w:hint="eastAsia" w:ascii="宋体" w:hAnsi="宋体" w:cs="Arial"/>
        </w:rPr>
        <w:t>利息折算的份额=</w:t>
      </w:r>
      <w:r>
        <w:rPr>
          <w:rFonts w:ascii="宋体" w:hAnsi="宋体" w:cs="Arial"/>
        </w:rPr>
        <w:t>2</w:t>
      </w:r>
      <w:r>
        <w:rPr>
          <w:rFonts w:hint="eastAsia" w:ascii="宋体" w:hAnsi="宋体" w:cs="Arial"/>
        </w:rPr>
        <w:t>/1.00=</w:t>
      </w:r>
      <w:r>
        <w:rPr>
          <w:rFonts w:ascii="宋体" w:hAnsi="宋体" w:cs="Arial"/>
        </w:rPr>
        <w:t>2</w:t>
      </w:r>
      <w:r>
        <w:rPr>
          <w:rFonts w:hint="eastAsia" w:ascii="宋体" w:hAnsi="宋体" w:cs="Arial"/>
        </w:rPr>
        <w:t>份</w:t>
      </w:r>
    </w:p>
    <w:p w14:paraId="2BEC0508">
      <w:pPr>
        <w:adjustRightInd w:val="0"/>
        <w:snapToGrid w:val="0"/>
        <w:spacing w:line="360" w:lineRule="auto"/>
        <w:ind w:left="420"/>
        <w:rPr>
          <w:rFonts w:hint="eastAsia" w:ascii="宋体" w:hAnsi="宋体" w:cs="Arial"/>
        </w:rPr>
      </w:pPr>
      <w:r>
        <w:rPr>
          <w:rFonts w:hint="eastAsia" w:ascii="宋体" w:hAnsi="宋体" w:cs="Arial"/>
        </w:rPr>
        <w:t>投资人实际可得份额=1,000+</w:t>
      </w:r>
      <w:r>
        <w:rPr>
          <w:rFonts w:ascii="宋体" w:hAnsi="宋体" w:cs="Arial"/>
        </w:rPr>
        <w:t>2</w:t>
      </w:r>
      <w:r>
        <w:rPr>
          <w:rFonts w:hint="eastAsia" w:ascii="宋体" w:hAnsi="宋体" w:cs="Arial"/>
        </w:rPr>
        <w:t>=</w:t>
      </w:r>
      <w:bookmarkStart w:id="49" w:name="OLE_LINK24"/>
      <w:bookmarkStart w:id="50" w:name="OLE_LINK20"/>
      <w:bookmarkStart w:id="51" w:name="OLE_LINK21"/>
      <w:r>
        <w:rPr>
          <w:rFonts w:ascii="宋体" w:hAnsi="宋体" w:cs="Arial"/>
        </w:rPr>
        <w:t>1,0</w:t>
      </w:r>
      <w:bookmarkEnd w:id="49"/>
      <w:bookmarkEnd w:id="50"/>
      <w:bookmarkEnd w:id="51"/>
      <w:r>
        <w:rPr>
          <w:rFonts w:ascii="宋体" w:hAnsi="宋体" w:cs="Arial"/>
        </w:rPr>
        <w:t>02</w:t>
      </w:r>
      <w:r>
        <w:rPr>
          <w:rFonts w:hint="eastAsia" w:ascii="宋体" w:hAnsi="宋体" w:cs="Arial"/>
        </w:rPr>
        <w:t>份</w:t>
      </w:r>
    </w:p>
    <w:bookmarkEnd w:id="47"/>
    <w:bookmarkEnd w:id="48"/>
    <w:p w14:paraId="1889D25C">
      <w:pPr>
        <w:adjustRightInd w:val="0"/>
        <w:snapToGrid w:val="0"/>
        <w:spacing w:line="360" w:lineRule="auto"/>
        <w:ind w:firstLine="420" w:firstLineChars="200"/>
        <w:rPr>
          <w:rFonts w:ascii="宋体" w:hAnsi="宋体" w:cs="Arial"/>
        </w:rPr>
      </w:pPr>
      <w:r>
        <w:rPr>
          <w:rFonts w:hint="eastAsia" w:ascii="宋体" w:hAnsi="宋体" w:cs="Arial"/>
        </w:rPr>
        <w:t>即投资人需准备</w:t>
      </w:r>
      <w:r>
        <w:rPr>
          <w:rFonts w:ascii="宋体" w:hAnsi="宋体" w:cs="Arial"/>
        </w:rPr>
        <w:t>1,003</w:t>
      </w:r>
      <w:r>
        <w:rPr>
          <w:rFonts w:hint="eastAsia" w:ascii="宋体" w:hAnsi="宋体" w:cs="Arial"/>
        </w:rPr>
        <w:t>.00元资金，方可认购到</w:t>
      </w:r>
      <w:r>
        <w:rPr>
          <w:rFonts w:ascii="宋体" w:hAnsi="宋体" w:cs="Arial"/>
        </w:rPr>
        <w:t>1,000</w:t>
      </w:r>
      <w:r>
        <w:rPr>
          <w:rFonts w:hint="eastAsia" w:ascii="宋体" w:hAnsi="宋体" w:cs="Arial"/>
        </w:rPr>
        <w:t>份本基金基金份额，</w:t>
      </w:r>
      <w:r>
        <w:rPr>
          <w:rFonts w:hint="eastAsia" w:ascii="宋体" w:hAnsi="宋体" w:cs="Arial"/>
          <w:highlight w:val="none"/>
        </w:rPr>
        <w:t>假设</w:t>
      </w:r>
      <w:r>
        <w:rPr>
          <w:rFonts w:hint="eastAsia" w:ascii="宋体" w:hAnsi="宋体" w:cs="Arial"/>
        </w:rPr>
        <w:t>利息为</w:t>
      </w:r>
      <w:r>
        <w:rPr>
          <w:rFonts w:hint="eastAsia" w:ascii="宋体" w:hAnsi="宋体" w:cs="Arial"/>
          <w:lang w:val="en-US" w:eastAsia="zh-CN"/>
        </w:rPr>
        <w:t>2</w:t>
      </w:r>
      <w:r>
        <w:rPr>
          <w:rFonts w:hint="eastAsia" w:ascii="宋体" w:hAnsi="宋体" w:cs="Arial"/>
        </w:rPr>
        <w:t>元，</w:t>
      </w:r>
      <w:r>
        <w:rPr>
          <w:rFonts w:hint="eastAsia" w:ascii="宋体" w:hAnsi="宋体" w:cs="Arial"/>
          <w:lang w:val="en-US" w:eastAsia="zh-CN"/>
        </w:rPr>
        <w:t>则</w:t>
      </w:r>
      <w:r>
        <w:rPr>
          <w:rFonts w:hint="eastAsia" w:ascii="宋体" w:hAnsi="宋体" w:cs="Arial"/>
        </w:rPr>
        <w:t>其最终实际所得的基金份额为</w:t>
      </w:r>
      <w:r>
        <w:rPr>
          <w:rFonts w:ascii="宋体" w:hAnsi="宋体" w:cs="Arial"/>
        </w:rPr>
        <w:t>1,002</w:t>
      </w:r>
      <w:r>
        <w:rPr>
          <w:rFonts w:hint="eastAsia" w:ascii="宋体" w:hAnsi="宋体" w:cs="Arial"/>
        </w:rPr>
        <w:t>份。</w:t>
      </w:r>
    </w:p>
    <w:p w14:paraId="7A57CDB6">
      <w:pPr>
        <w:adjustRightInd w:val="0"/>
        <w:snapToGrid w:val="0"/>
        <w:spacing w:line="360" w:lineRule="auto"/>
        <w:ind w:firstLine="420" w:firstLineChars="200"/>
        <w:rPr>
          <w:rFonts w:ascii="宋体" w:hAnsi="宋体" w:cs="Arial"/>
        </w:rPr>
      </w:pPr>
      <w:r>
        <w:rPr>
          <w:rFonts w:hint="eastAsia" w:ascii="宋体" w:hAnsi="宋体" w:cs="Arial"/>
        </w:rPr>
        <w:t>3、</w:t>
      </w:r>
      <w:r>
        <w:rPr>
          <w:rFonts w:ascii="宋体" w:hAnsi="宋体" w:cs="Arial"/>
        </w:rPr>
        <w:t>认购限额：网上现金认购以基金份额申请。单一账户每笔认购份额须为1000份或其整数倍。投资人可多次认购，累计认购份额不设上限</w:t>
      </w:r>
      <w:r>
        <w:rPr>
          <w:rFonts w:hint="eastAsia" w:ascii="宋体" w:hAnsi="宋体" w:cs="Arial"/>
        </w:rPr>
        <w:t>，但法律法规或监管要求另有规定或基金合同另有约定的除外</w:t>
      </w:r>
      <w:r>
        <w:rPr>
          <w:rFonts w:ascii="宋体" w:hAnsi="宋体" w:cs="Arial"/>
        </w:rPr>
        <w:t>。</w:t>
      </w:r>
    </w:p>
    <w:p w14:paraId="157BCB76">
      <w:pPr>
        <w:adjustRightInd w:val="0"/>
        <w:snapToGrid w:val="0"/>
        <w:spacing w:line="360" w:lineRule="auto"/>
        <w:ind w:firstLine="420"/>
        <w:rPr>
          <w:rFonts w:ascii="宋体" w:hAnsi="宋体" w:cs="Arial"/>
        </w:rPr>
      </w:pPr>
      <w:r>
        <w:rPr>
          <w:rFonts w:hint="eastAsia" w:ascii="宋体" w:hAnsi="宋体" w:cs="Arial"/>
        </w:rPr>
        <w:t>4、</w:t>
      </w:r>
      <w:r>
        <w:rPr>
          <w:rFonts w:ascii="宋体" w:hAnsi="宋体" w:cs="Arial"/>
        </w:rPr>
        <w:t>认购</w:t>
      </w:r>
      <w:r>
        <w:rPr>
          <w:rFonts w:hint="eastAsia" w:ascii="宋体" w:hAnsi="宋体" w:cs="Arial"/>
        </w:rPr>
        <w:t>手续</w:t>
      </w:r>
      <w:r>
        <w:rPr>
          <w:rFonts w:ascii="宋体" w:hAnsi="宋体" w:cs="Arial"/>
        </w:rPr>
        <w:t>：投资人在认购本基金时，需按发售代理机构的规定，备足认购资金，办理认购手续。网上现金认购申请提交后，投资人可以在当日交易时间内</w:t>
      </w:r>
      <w:r>
        <w:rPr>
          <w:rFonts w:hint="eastAsia" w:ascii="宋体" w:hAnsi="宋体" w:cs="Arial"/>
        </w:rPr>
        <w:t>撤销</w:t>
      </w:r>
      <w:r>
        <w:rPr>
          <w:rFonts w:ascii="宋体" w:hAnsi="宋体" w:cs="Arial"/>
        </w:rPr>
        <w:t>指定的认购申请。</w:t>
      </w:r>
    </w:p>
    <w:p w14:paraId="49392996">
      <w:pPr>
        <w:adjustRightInd w:val="0"/>
        <w:snapToGrid w:val="0"/>
        <w:spacing w:line="360" w:lineRule="auto"/>
        <w:ind w:firstLine="420"/>
        <w:rPr>
          <w:rFonts w:ascii="宋体" w:hAnsi="宋体" w:cs="Arial"/>
        </w:rPr>
      </w:pPr>
      <w:r>
        <w:rPr>
          <w:rFonts w:hint="eastAsia" w:ascii="宋体" w:hAnsi="宋体" w:cs="Arial"/>
        </w:rPr>
        <w:t>5、</w:t>
      </w:r>
      <w:r>
        <w:rPr>
          <w:rFonts w:ascii="宋体" w:hAnsi="宋体" w:cs="Arial"/>
        </w:rPr>
        <w:t>清算交收：</w:t>
      </w:r>
      <w:r>
        <w:rPr>
          <w:rFonts w:hint="eastAsia" w:ascii="宋体" w:hAnsi="宋体" w:cs="Arial"/>
        </w:rPr>
        <w:t>投资者提交的认购委托，由登记机构进行有效认购款项的清算交收</w:t>
      </w:r>
      <w:r>
        <w:rPr>
          <w:rFonts w:ascii="宋体" w:hAnsi="宋体" w:cs="Arial"/>
        </w:rPr>
        <w:t>。</w:t>
      </w:r>
    </w:p>
    <w:p w14:paraId="30FD306A">
      <w:pPr>
        <w:adjustRightInd w:val="0"/>
        <w:snapToGrid w:val="0"/>
        <w:spacing w:line="360" w:lineRule="auto"/>
        <w:ind w:firstLine="420"/>
        <w:rPr>
          <w:rFonts w:ascii="宋体" w:hAnsi="宋体" w:cs="Arial"/>
        </w:rPr>
      </w:pPr>
      <w:r>
        <w:rPr>
          <w:rFonts w:ascii="宋体" w:hAnsi="宋体" w:cs="Arial"/>
        </w:rPr>
        <w:t>6</w:t>
      </w:r>
      <w:r>
        <w:rPr>
          <w:rFonts w:hint="eastAsia" w:ascii="宋体" w:hAnsi="宋体" w:cs="Arial"/>
        </w:rPr>
        <w:t>、</w:t>
      </w:r>
      <w:r>
        <w:rPr>
          <w:rFonts w:ascii="宋体" w:hAnsi="宋体" w:cs="Arial"/>
        </w:rPr>
        <w:t>认购确认：在基金合同生效后，投资人可通过其办理认购的销售网点查询认购确认情况。</w:t>
      </w:r>
    </w:p>
    <w:p w14:paraId="7C3732F0">
      <w:pPr>
        <w:snapToGrid w:val="0"/>
        <w:spacing w:line="360" w:lineRule="auto"/>
        <w:ind w:firstLine="420"/>
        <w:rPr>
          <w:rFonts w:ascii="宋体" w:hAnsi="宋体" w:cs="Arial"/>
          <w:b/>
        </w:rPr>
      </w:pPr>
      <w:bookmarkStart w:id="52" w:name="_Toc276561309"/>
      <w:r>
        <w:rPr>
          <w:rFonts w:ascii="宋体" w:hAnsi="宋体" w:cs="Arial"/>
          <w:b/>
        </w:rPr>
        <w:t>十</w:t>
      </w:r>
      <w:r>
        <w:rPr>
          <w:rFonts w:hint="eastAsia" w:ascii="宋体" w:hAnsi="宋体" w:cs="Arial"/>
          <w:b/>
        </w:rPr>
        <w:t>三</w:t>
      </w:r>
      <w:r>
        <w:rPr>
          <w:rFonts w:ascii="宋体" w:hAnsi="宋体" w:cs="Arial"/>
          <w:b/>
        </w:rPr>
        <w:t>、网下现金认购</w:t>
      </w:r>
      <w:bookmarkEnd w:id="52"/>
    </w:p>
    <w:p w14:paraId="6CAA189F">
      <w:pPr>
        <w:adjustRightInd w:val="0"/>
        <w:snapToGrid w:val="0"/>
        <w:spacing w:line="360" w:lineRule="auto"/>
        <w:ind w:firstLine="420"/>
        <w:rPr>
          <w:rFonts w:ascii="宋体" w:hAnsi="宋体" w:cs="Arial"/>
        </w:rPr>
      </w:pPr>
      <w:r>
        <w:rPr>
          <w:rFonts w:ascii="宋体" w:hAnsi="宋体" w:cs="Arial"/>
        </w:rPr>
        <w:t>1、认购时间：</w:t>
      </w:r>
      <w:r>
        <w:rPr>
          <w:rFonts w:hint="eastAsia" w:ascii="宋体" w:hAnsi="宋体" w:cs="Arial"/>
        </w:rPr>
        <w:t>详见基金份额发售公告</w:t>
      </w:r>
      <w:r>
        <w:rPr>
          <w:rFonts w:ascii="宋体" w:hAnsi="宋体" w:cs="Arial"/>
        </w:rPr>
        <w:t>。</w:t>
      </w:r>
    </w:p>
    <w:p w14:paraId="547F7A48">
      <w:pPr>
        <w:adjustRightInd w:val="0"/>
        <w:snapToGrid w:val="0"/>
        <w:spacing w:line="360" w:lineRule="auto"/>
        <w:ind w:firstLine="420"/>
        <w:rPr>
          <w:rFonts w:ascii="宋体" w:hAnsi="宋体" w:cs="Arial"/>
        </w:rPr>
      </w:pPr>
      <w:r>
        <w:rPr>
          <w:rFonts w:ascii="宋体" w:hAnsi="宋体" w:cs="Arial"/>
        </w:rPr>
        <w:t>2</w:t>
      </w:r>
      <w:r>
        <w:rPr>
          <w:rFonts w:hint="eastAsia" w:ascii="宋体" w:hAnsi="宋体" w:cs="Arial"/>
        </w:rPr>
        <w:t>、</w:t>
      </w:r>
      <w:r>
        <w:rPr>
          <w:rFonts w:ascii="宋体" w:hAnsi="宋体" w:cs="Arial"/>
        </w:rPr>
        <w:t>认购金额的计算：</w:t>
      </w:r>
    </w:p>
    <w:p w14:paraId="3982F300">
      <w:pPr>
        <w:adjustRightInd w:val="0"/>
        <w:snapToGrid w:val="0"/>
        <w:spacing w:line="360" w:lineRule="auto"/>
        <w:ind w:firstLine="420"/>
        <w:rPr>
          <w:rFonts w:ascii="宋体" w:hAnsi="宋体" w:cs="Arial"/>
        </w:rPr>
      </w:pPr>
      <w:r>
        <w:rPr>
          <w:rFonts w:hint="eastAsia" w:ascii="宋体" w:hAnsi="宋体" w:cs="Arial"/>
        </w:rPr>
        <w:t>（1）</w:t>
      </w:r>
      <w:r>
        <w:rPr>
          <w:rFonts w:ascii="宋体" w:hAnsi="宋体" w:cs="Arial"/>
        </w:rPr>
        <w:t>通过</w:t>
      </w:r>
      <w:r>
        <w:rPr>
          <w:rFonts w:hint="eastAsia" w:ascii="宋体" w:hAnsi="宋体" w:cs="Arial"/>
        </w:rPr>
        <w:t>基金管理人</w:t>
      </w:r>
      <w:r>
        <w:rPr>
          <w:rFonts w:ascii="宋体" w:hAnsi="宋体" w:cs="Arial"/>
        </w:rPr>
        <w:t>进行网下现金认购的投资人，</w:t>
      </w:r>
      <w:r>
        <w:rPr>
          <w:rFonts w:hint="eastAsia" w:ascii="宋体" w:hAnsi="宋体" w:cs="Arial"/>
        </w:rPr>
        <w:t>不收取认购费用。</w:t>
      </w:r>
      <w:r>
        <w:rPr>
          <w:rFonts w:ascii="宋体" w:hAnsi="宋体" w:cs="Arial"/>
        </w:rPr>
        <w:t>认购以基金份额申请，认购金额的计算公式为：</w:t>
      </w:r>
    </w:p>
    <w:p w14:paraId="6FB10E7B">
      <w:pPr>
        <w:adjustRightInd w:val="0"/>
        <w:snapToGrid w:val="0"/>
        <w:spacing w:line="360" w:lineRule="auto"/>
        <w:ind w:firstLine="420"/>
        <w:rPr>
          <w:rFonts w:ascii="宋体" w:hAnsi="宋体" w:cs="Arial"/>
        </w:rPr>
      </w:pPr>
      <w:r>
        <w:rPr>
          <w:rFonts w:ascii="宋体" w:hAnsi="宋体" w:cs="Arial"/>
        </w:rPr>
        <w:t>认购金额＝认购份额×</w:t>
      </w:r>
      <w:r>
        <w:rPr>
          <w:rFonts w:hint="eastAsia" w:ascii="宋体" w:hAnsi="宋体" w:cs="Arial"/>
        </w:rPr>
        <w:t>认购价格</w:t>
      </w:r>
    </w:p>
    <w:p w14:paraId="76856976">
      <w:pPr>
        <w:adjustRightInd w:val="0"/>
        <w:snapToGrid w:val="0"/>
        <w:spacing w:line="360" w:lineRule="auto"/>
        <w:ind w:firstLine="420"/>
        <w:rPr>
          <w:rFonts w:ascii="宋体" w:hAnsi="宋体" w:cs="Arial"/>
        </w:rPr>
      </w:pPr>
      <w:bookmarkStart w:id="53" w:name="OLE_LINK13"/>
      <w:bookmarkStart w:id="54" w:name="OLE_LINK12"/>
      <w:r>
        <w:rPr>
          <w:rFonts w:hint="eastAsia" w:ascii="宋体" w:hAnsi="宋体" w:cs="Arial"/>
        </w:rPr>
        <w:t>利息折算的份额＝利息/认购价格</w:t>
      </w:r>
    </w:p>
    <w:bookmarkEnd w:id="53"/>
    <w:bookmarkEnd w:id="54"/>
    <w:p w14:paraId="772BB98B">
      <w:pPr>
        <w:adjustRightInd w:val="0"/>
        <w:snapToGrid w:val="0"/>
        <w:spacing w:line="360" w:lineRule="auto"/>
        <w:ind w:firstLine="420"/>
        <w:rPr>
          <w:rFonts w:ascii="宋体" w:hAnsi="宋体" w:cs="Arial"/>
        </w:rPr>
      </w:pPr>
      <w:r>
        <w:rPr>
          <w:rFonts w:hint="eastAsia" w:ascii="宋体" w:hAnsi="宋体" w:cs="Arial"/>
        </w:rPr>
        <w:t>例：某投资人通过基金管理人以网下现金认购方式认购1</w:t>
      </w:r>
      <w:r>
        <w:rPr>
          <w:rFonts w:ascii="宋体" w:hAnsi="宋体" w:cs="Arial"/>
        </w:rPr>
        <w:t>00</w:t>
      </w:r>
      <w:r>
        <w:rPr>
          <w:rFonts w:hint="eastAsia" w:ascii="宋体" w:hAnsi="宋体" w:cs="Arial"/>
        </w:rPr>
        <w:t>,000份本基金，不收取认购费用，</w:t>
      </w:r>
      <w:bookmarkStart w:id="55" w:name="OLE_LINK31"/>
      <w:bookmarkStart w:id="56" w:name="OLE_LINK32"/>
      <w:bookmarkStart w:id="57" w:name="OLE_LINK15"/>
      <w:bookmarkStart w:id="58" w:name="OLE_LINK14"/>
      <w:r>
        <w:rPr>
          <w:rFonts w:hint="eastAsia" w:ascii="宋体" w:hAnsi="宋体" w:cs="Arial"/>
        </w:rPr>
        <w:t>利息为10元</w:t>
      </w:r>
      <w:bookmarkEnd w:id="55"/>
      <w:bookmarkEnd w:id="56"/>
      <w:r>
        <w:rPr>
          <w:rFonts w:hint="eastAsia" w:ascii="宋体" w:hAnsi="宋体" w:cs="Arial"/>
        </w:rPr>
        <w:t>，</w:t>
      </w:r>
      <w:bookmarkEnd w:id="57"/>
      <w:bookmarkEnd w:id="58"/>
      <w:r>
        <w:rPr>
          <w:rFonts w:hint="eastAsia" w:ascii="宋体" w:hAnsi="宋体" w:cs="Arial"/>
        </w:rPr>
        <w:t>则投资人需准备的认购金额计算如下：</w:t>
      </w:r>
      <w:r>
        <w:rPr>
          <w:rFonts w:ascii="宋体" w:hAnsi="宋体" w:cs="Arial"/>
        </w:rPr>
        <w:t xml:space="preserve"> </w:t>
      </w:r>
    </w:p>
    <w:p w14:paraId="6379F611">
      <w:pPr>
        <w:adjustRightInd w:val="0"/>
        <w:snapToGrid w:val="0"/>
        <w:spacing w:line="360" w:lineRule="auto"/>
        <w:ind w:firstLine="420"/>
        <w:rPr>
          <w:rFonts w:ascii="宋体" w:hAnsi="宋体" w:cs="Arial"/>
        </w:rPr>
      </w:pPr>
      <w:r>
        <w:rPr>
          <w:rFonts w:hint="eastAsia" w:ascii="宋体" w:hAnsi="宋体" w:cs="Arial"/>
        </w:rPr>
        <w:t>认购金额＝</w:t>
      </w:r>
      <w:r>
        <w:rPr>
          <w:rFonts w:ascii="宋体" w:hAnsi="宋体" w:cs="Arial"/>
        </w:rPr>
        <w:t>1.00</w:t>
      </w:r>
      <w:r>
        <w:rPr>
          <w:rFonts w:hint="eastAsia" w:ascii="宋体" w:hAnsi="宋体" w:cs="Arial"/>
        </w:rPr>
        <w:t>×</w:t>
      </w:r>
      <w:r>
        <w:rPr>
          <w:rFonts w:ascii="宋体" w:hAnsi="宋体" w:cs="Arial"/>
        </w:rPr>
        <w:t>1</w:t>
      </w:r>
      <w:r>
        <w:rPr>
          <w:rFonts w:hint="eastAsia" w:ascii="宋体" w:hAnsi="宋体" w:cs="Arial"/>
        </w:rPr>
        <w:t>00</w:t>
      </w:r>
      <w:r>
        <w:rPr>
          <w:rFonts w:ascii="宋体" w:hAnsi="宋体" w:cs="Arial"/>
        </w:rPr>
        <w:t>,000</w:t>
      </w:r>
      <w:r>
        <w:rPr>
          <w:rFonts w:hint="eastAsia" w:ascii="宋体" w:hAnsi="宋体" w:cs="Arial"/>
        </w:rPr>
        <w:t>＝100,</w:t>
      </w:r>
      <w:r>
        <w:rPr>
          <w:rFonts w:ascii="宋体" w:hAnsi="宋体" w:cs="Arial"/>
        </w:rPr>
        <w:t>0</w:t>
      </w:r>
      <w:r>
        <w:rPr>
          <w:rFonts w:hint="eastAsia" w:ascii="宋体" w:hAnsi="宋体" w:cs="Arial"/>
        </w:rPr>
        <w:t>00元</w:t>
      </w:r>
    </w:p>
    <w:p w14:paraId="58E1CBA8">
      <w:pPr>
        <w:adjustRightInd w:val="0"/>
        <w:snapToGrid w:val="0"/>
        <w:spacing w:line="360" w:lineRule="auto"/>
        <w:ind w:firstLine="420"/>
        <w:rPr>
          <w:rFonts w:ascii="宋体" w:hAnsi="宋体" w:cs="Arial"/>
        </w:rPr>
      </w:pPr>
      <w:bookmarkStart w:id="59" w:name="OLE_LINK17"/>
      <w:bookmarkStart w:id="60" w:name="OLE_LINK33"/>
      <w:bookmarkStart w:id="61" w:name="OLE_LINK16"/>
      <w:r>
        <w:rPr>
          <w:rFonts w:hint="eastAsia" w:ascii="宋体" w:hAnsi="宋体" w:cs="Arial"/>
        </w:rPr>
        <w:t>利息折算的份额=10/1.00=10份</w:t>
      </w:r>
    </w:p>
    <w:p w14:paraId="694ED1EE">
      <w:pPr>
        <w:adjustRightInd w:val="0"/>
        <w:snapToGrid w:val="0"/>
        <w:spacing w:line="360" w:lineRule="auto"/>
        <w:ind w:firstLine="420"/>
        <w:rPr>
          <w:rFonts w:ascii="宋体" w:hAnsi="宋体" w:cs="Arial"/>
        </w:rPr>
      </w:pPr>
      <w:r>
        <w:rPr>
          <w:rFonts w:hint="eastAsia" w:ascii="宋体" w:hAnsi="宋体" w:cs="Arial"/>
        </w:rPr>
        <w:t>投资人实际可得份额=100,000+10=100,010份</w:t>
      </w:r>
    </w:p>
    <w:bookmarkEnd w:id="59"/>
    <w:bookmarkEnd w:id="60"/>
    <w:bookmarkEnd w:id="61"/>
    <w:p w14:paraId="0FD898DE">
      <w:pPr>
        <w:adjustRightInd w:val="0"/>
        <w:snapToGrid w:val="0"/>
        <w:spacing w:line="360" w:lineRule="auto"/>
        <w:ind w:firstLine="420"/>
        <w:rPr>
          <w:rFonts w:ascii="宋体" w:hAnsi="宋体" w:cs="Arial"/>
        </w:rPr>
      </w:pPr>
      <w:r>
        <w:rPr>
          <w:rFonts w:hint="eastAsia" w:ascii="宋体" w:hAnsi="宋体" w:cs="Arial"/>
        </w:rPr>
        <w:t>即，</w:t>
      </w:r>
      <w:bookmarkStart w:id="62" w:name="OLE_LINK23"/>
      <w:bookmarkStart w:id="63" w:name="OLE_LINK22"/>
      <w:r>
        <w:rPr>
          <w:rFonts w:hint="eastAsia" w:ascii="宋体" w:hAnsi="宋体" w:cs="Arial"/>
        </w:rPr>
        <w:t>投资人需准备</w:t>
      </w:r>
      <w:r>
        <w:rPr>
          <w:rFonts w:ascii="宋体" w:hAnsi="宋体" w:cs="Arial"/>
        </w:rPr>
        <w:t>100</w:t>
      </w:r>
      <w:r>
        <w:rPr>
          <w:rFonts w:hint="eastAsia" w:ascii="宋体" w:hAnsi="宋体" w:cs="Arial"/>
        </w:rPr>
        <w:t>,</w:t>
      </w:r>
      <w:r>
        <w:rPr>
          <w:rFonts w:ascii="宋体" w:hAnsi="宋体" w:cs="Arial"/>
        </w:rPr>
        <w:t>0</w:t>
      </w:r>
      <w:r>
        <w:rPr>
          <w:rFonts w:hint="eastAsia" w:ascii="宋体" w:hAnsi="宋体" w:cs="Arial"/>
        </w:rPr>
        <w:t>00元资金方可认购到1</w:t>
      </w:r>
      <w:r>
        <w:rPr>
          <w:rFonts w:ascii="宋体" w:hAnsi="宋体" w:cs="Arial"/>
        </w:rPr>
        <w:t>00</w:t>
      </w:r>
      <w:r>
        <w:rPr>
          <w:rFonts w:hint="eastAsia" w:ascii="宋体" w:hAnsi="宋体" w:cs="Arial"/>
        </w:rPr>
        <w:t>,000份本基金基金份额</w:t>
      </w:r>
      <w:bookmarkStart w:id="64" w:name="OLE_LINK36"/>
      <w:bookmarkStart w:id="65" w:name="OLE_LINK37"/>
      <w:r>
        <w:rPr>
          <w:rFonts w:hint="eastAsia" w:ascii="宋体" w:hAnsi="宋体" w:cs="Arial"/>
        </w:rPr>
        <w:t>，但其最终实际所得的基金份额为100,010份</w:t>
      </w:r>
      <w:bookmarkEnd w:id="64"/>
      <w:bookmarkEnd w:id="65"/>
      <w:r>
        <w:rPr>
          <w:rFonts w:hint="eastAsia" w:ascii="宋体" w:hAnsi="宋体" w:cs="Arial"/>
        </w:rPr>
        <w:t>。</w:t>
      </w:r>
      <w:bookmarkEnd w:id="62"/>
      <w:bookmarkEnd w:id="63"/>
    </w:p>
    <w:p w14:paraId="036D245D">
      <w:pPr>
        <w:adjustRightInd w:val="0"/>
        <w:snapToGrid w:val="0"/>
        <w:spacing w:line="360" w:lineRule="auto"/>
        <w:ind w:firstLine="420"/>
        <w:rPr>
          <w:rFonts w:ascii="宋体" w:hAnsi="宋体" w:cs="Arial"/>
        </w:rPr>
      </w:pPr>
      <w:r>
        <w:rPr>
          <w:rFonts w:hint="eastAsia" w:ascii="宋体" w:hAnsi="宋体" w:cs="Arial"/>
        </w:rPr>
        <w:t>（2）</w:t>
      </w:r>
      <w:r>
        <w:rPr>
          <w:rFonts w:ascii="宋体" w:hAnsi="宋体" w:cs="Arial"/>
        </w:rPr>
        <w:t>通过发售代理机构进行网下现金认购的投资人，认购以基金份额申请，认购</w:t>
      </w:r>
      <w:r>
        <w:rPr>
          <w:rFonts w:hint="eastAsia" w:ascii="宋体" w:hAnsi="宋体" w:cs="Arial"/>
        </w:rPr>
        <w:t>佣金</w:t>
      </w:r>
      <w:r>
        <w:rPr>
          <w:rFonts w:ascii="宋体" w:hAnsi="宋体" w:cs="Arial"/>
        </w:rPr>
        <w:t>和认购金额的计算公式为：</w:t>
      </w:r>
    </w:p>
    <w:p w14:paraId="0D18C19B">
      <w:pPr>
        <w:adjustRightInd w:val="0"/>
        <w:snapToGrid w:val="0"/>
        <w:spacing w:line="360" w:lineRule="auto"/>
        <w:ind w:firstLine="420"/>
        <w:rPr>
          <w:rFonts w:ascii="宋体" w:hAnsi="宋体" w:cs="Arial"/>
        </w:rPr>
      </w:pPr>
      <w:r>
        <w:rPr>
          <w:rFonts w:ascii="宋体" w:hAnsi="宋体" w:cs="Arial"/>
        </w:rPr>
        <w:t>认购</w:t>
      </w:r>
      <w:r>
        <w:rPr>
          <w:rFonts w:hint="eastAsia" w:ascii="宋体" w:hAnsi="宋体" w:cs="Arial"/>
        </w:rPr>
        <w:t>佣金</w:t>
      </w:r>
      <w:r>
        <w:rPr>
          <w:rFonts w:ascii="宋体" w:hAnsi="宋体" w:cs="Arial"/>
        </w:rPr>
        <w:t>＝认购份额×基金份额</w:t>
      </w:r>
      <w:r>
        <w:rPr>
          <w:rFonts w:hint="eastAsia" w:ascii="宋体" w:hAnsi="宋体" w:cs="Arial"/>
        </w:rPr>
        <w:t>发售</w:t>
      </w:r>
      <w:r>
        <w:rPr>
          <w:rFonts w:ascii="宋体" w:hAnsi="宋体" w:cs="Arial"/>
        </w:rPr>
        <w:t>面值×</w:t>
      </w:r>
      <w:r>
        <w:rPr>
          <w:rFonts w:hint="eastAsia" w:ascii="宋体" w:hAnsi="宋体" w:cs="Arial"/>
        </w:rPr>
        <w:t>佣金比率</w:t>
      </w:r>
    </w:p>
    <w:p w14:paraId="09C8052B">
      <w:pPr>
        <w:adjustRightInd w:val="0"/>
        <w:snapToGrid w:val="0"/>
        <w:spacing w:line="360" w:lineRule="auto"/>
        <w:ind w:firstLine="420"/>
        <w:rPr>
          <w:rFonts w:ascii="宋体" w:hAnsi="宋体" w:cs="Arial"/>
        </w:rPr>
      </w:pPr>
      <w:r>
        <w:rPr>
          <w:rFonts w:hint="eastAsia" w:ascii="宋体" w:hAnsi="宋体" w:cs="Arial"/>
        </w:rPr>
        <w:t>（或若适用固定费用的，认购佣金=固定费用）</w:t>
      </w:r>
    </w:p>
    <w:p w14:paraId="597AFC64">
      <w:pPr>
        <w:adjustRightInd w:val="0"/>
        <w:snapToGrid w:val="0"/>
        <w:spacing w:line="360" w:lineRule="auto"/>
        <w:ind w:firstLine="420"/>
        <w:rPr>
          <w:rFonts w:ascii="宋体" w:hAnsi="宋体" w:cs="Arial"/>
        </w:rPr>
      </w:pPr>
      <w:r>
        <w:rPr>
          <w:rFonts w:ascii="宋体" w:hAnsi="宋体" w:cs="Arial"/>
        </w:rPr>
        <w:t>认购金额＝认购份额×基金份额</w:t>
      </w:r>
      <w:r>
        <w:rPr>
          <w:rFonts w:hint="eastAsia" w:ascii="宋体" w:hAnsi="宋体" w:cs="Arial"/>
        </w:rPr>
        <w:t>发售</w:t>
      </w:r>
      <w:r>
        <w:rPr>
          <w:rFonts w:ascii="宋体" w:hAnsi="宋体" w:cs="Arial"/>
        </w:rPr>
        <w:t>面值×（1＋</w:t>
      </w:r>
      <w:r>
        <w:rPr>
          <w:rFonts w:hint="eastAsia" w:ascii="宋体" w:hAnsi="宋体" w:cs="Arial"/>
        </w:rPr>
        <w:t>佣金比率</w:t>
      </w:r>
      <w:r>
        <w:rPr>
          <w:rFonts w:ascii="宋体" w:hAnsi="宋体" w:cs="Arial"/>
        </w:rPr>
        <w:t>）</w:t>
      </w:r>
    </w:p>
    <w:p w14:paraId="5E3163E4">
      <w:pPr>
        <w:adjustRightInd w:val="0"/>
        <w:snapToGrid w:val="0"/>
        <w:spacing w:line="360" w:lineRule="auto"/>
        <w:ind w:firstLine="420"/>
        <w:rPr>
          <w:rFonts w:ascii="宋体" w:hAnsi="宋体" w:cs="Arial"/>
        </w:rPr>
      </w:pPr>
      <w:r>
        <w:rPr>
          <w:rFonts w:hint="eastAsia" w:ascii="宋体" w:hAnsi="宋体" w:cs="Arial"/>
        </w:rPr>
        <w:t>（或若适用固定费用的，认购金额＝认购价格 ×认购份额+固定费用）</w:t>
      </w:r>
    </w:p>
    <w:p w14:paraId="27D1FA52">
      <w:pPr>
        <w:adjustRightInd w:val="0"/>
        <w:snapToGrid w:val="0"/>
        <w:spacing w:line="360" w:lineRule="auto"/>
        <w:ind w:firstLine="420"/>
        <w:rPr>
          <w:rFonts w:hint="eastAsia" w:ascii="宋体" w:hAnsi="宋体" w:cs="Arial"/>
        </w:rPr>
      </w:pPr>
      <w:r>
        <w:rPr>
          <w:rFonts w:hint="eastAsia" w:ascii="宋体" w:hAnsi="宋体" w:cs="Arial"/>
        </w:rPr>
        <w:t>利息折算的份额＝利息/认购价格</w:t>
      </w:r>
    </w:p>
    <w:p w14:paraId="3D7CE31F">
      <w:pPr>
        <w:adjustRightInd w:val="0"/>
        <w:snapToGrid w:val="0"/>
        <w:spacing w:line="360" w:lineRule="auto"/>
        <w:ind w:firstLine="420" w:firstLineChars="200"/>
        <w:rPr>
          <w:rFonts w:ascii="宋体" w:hAnsi="宋体" w:cs="Arial"/>
        </w:rPr>
      </w:pPr>
      <w:r>
        <w:rPr>
          <w:rFonts w:hint="eastAsia" w:ascii="宋体" w:hAnsi="宋体" w:cs="Arial"/>
        </w:rPr>
        <w:t>认购佣金由发售代理机构向投资人收取，投资人需以现金方式交纳认购佣金。</w:t>
      </w:r>
    </w:p>
    <w:p w14:paraId="7B21F31A">
      <w:pPr>
        <w:adjustRightInd w:val="0"/>
        <w:snapToGrid w:val="0"/>
        <w:spacing w:line="360" w:lineRule="auto"/>
        <w:ind w:firstLine="420" w:firstLineChars="200"/>
        <w:rPr>
          <w:rFonts w:ascii="宋体" w:hAnsi="宋体" w:cs="Arial"/>
        </w:rPr>
      </w:pPr>
      <w:r>
        <w:rPr>
          <w:rFonts w:hint="eastAsia" w:ascii="宋体" w:hAnsi="宋体" w:cs="Arial"/>
        </w:rPr>
        <w:t>例：某投资人到某发售代理机构网点认购</w:t>
      </w:r>
      <w:bookmarkStart w:id="66" w:name="OLE_LINK35"/>
      <w:bookmarkStart w:id="67" w:name="OLE_LINK34"/>
      <w:r>
        <w:rPr>
          <w:rFonts w:hint="eastAsia" w:ascii="宋体" w:hAnsi="宋体" w:cs="Arial"/>
        </w:rPr>
        <w:t>10,000</w:t>
      </w:r>
      <w:bookmarkEnd w:id="66"/>
      <w:bookmarkEnd w:id="67"/>
      <w:r>
        <w:rPr>
          <w:rFonts w:hint="eastAsia" w:ascii="宋体" w:hAnsi="宋体" w:cs="Arial"/>
        </w:rPr>
        <w:t>份本基金，假设该发售代理机构确认的佣金比率为0.</w:t>
      </w:r>
      <w:r>
        <w:rPr>
          <w:rFonts w:ascii="宋体" w:hAnsi="宋体" w:cs="Arial"/>
        </w:rPr>
        <w:t>3</w:t>
      </w:r>
      <w:r>
        <w:rPr>
          <w:rFonts w:hint="eastAsia" w:ascii="宋体" w:hAnsi="宋体" w:cs="Arial"/>
        </w:rPr>
        <w:t>0%，利息为</w:t>
      </w:r>
      <w:r>
        <w:rPr>
          <w:rFonts w:ascii="宋体" w:hAnsi="宋体" w:cs="Arial"/>
        </w:rPr>
        <w:t>5</w:t>
      </w:r>
      <w:r>
        <w:rPr>
          <w:rFonts w:hint="eastAsia" w:ascii="宋体" w:hAnsi="宋体" w:cs="Arial"/>
        </w:rPr>
        <w:t>元，则需准备的资金金额计算如下：</w:t>
      </w:r>
    </w:p>
    <w:p w14:paraId="60781A4A">
      <w:pPr>
        <w:adjustRightInd w:val="0"/>
        <w:snapToGrid w:val="0"/>
        <w:spacing w:line="360" w:lineRule="auto"/>
        <w:ind w:firstLine="420" w:firstLineChars="200"/>
        <w:rPr>
          <w:rFonts w:ascii="宋体" w:hAnsi="宋体" w:cs="Arial"/>
        </w:rPr>
      </w:pPr>
      <w:r>
        <w:rPr>
          <w:rFonts w:hint="eastAsia" w:ascii="宋体" w:hAnsi="宋体" w:cs="Arial"/>
        </w:rPr>
        <w:t>认购佣金=1.00×10,000×0.</w:t>
      </w:r>
      <w:r>
        <w:rPr>
          <w:rFonts w:ascii="宋体" w:hAnsi="宋体" w:cs="Arial"/>
        </w:rPr>
        <w:t>3</w:t>
      </w:r>
      <w:r>
        <w:rPr>
          <w:rFonts w:hint="eastAsia" w:ascii="宋体" w:hAnsi="宋体" w:cs="Arial"/>
        </w:rPr>
        <w:t>0%=</w:t>
      </w:r>
      <w:r>
        <w:rPr>
          <w:rFonts w:ascii="宋体" w:hAnsi="宋体" w:cs="Arial"/>
        </w:rPr>
        <w:t>3</w:t>
      </w:r>
      <w:r>
        <w:rPr>
          <w:rFonts w:hint="eastAsia" w:ascii="宋体" w:hAnsi="宋体" w:cs="Arial"/>
        </w:rPr>
        <w:t>0元</w:t>
      </w:r>
    </w:p>
    <w:p w14:paraId="7A956DCF">
      <w:pPr>
        <w:adjustRightInd w:val="0"/>
        <w:snapToGrid w:val="0"/>
        <w:spacing w:line="360" w:lineRule="auto"/>
        <w:ind w:firstLine="420" w:firstLineChars="200"/>
        <w:rPr>
          <w:rFonts w:ascii="宋体" w:hAnsi="宋体" w:cs="Arial"/>
        </w:rPr>
      </w:pPr>
      <w:r>
        <w:rPr>
          <w:rFonts w:hint="eastAsia" w:ascii="宋体" w:hAnsi="宋体" w:cs="Arial"/>
        </w:rPr>
        <w:t>认购金额=1.00×10,000×（1＋0.</w:t>
      </w:r>
      <w:r>
        <w:rPr>
          <w:rFonts w:ascii="宋体" w:hAnsi="宋体" w:cs="Arial"/>
        </w:rPr>
        <w:t>3</w:t>
      </w:r>
      <w:r>
        <w:rPr>
          <w:rFonts w:hint="eastAsia" w:ascii="宋体" w:hAnsi="宋体" w:cs="Arial"/>
        </w:rPr>
        <w:t>0%）＝10,0</w:t>
      </w:r>
      <w:r>
        <w:rPr>
          <w:rFonts w:ascii="宋体" w:hAnsi="宋体" w:cs="Arial"/>
        </w:rPr>
        <w:t>3</w:t>
      </w:r>
      <w:r>
        <w:rPr>
          <w:rFonts w:hint="eastAsia" w:ascii="宋体" w:hAnsi="宋体" w:cs="Arial"/>
        </w:rPr>
        <w:t>0元</w:t>
      </w:r>
    </w:p>
    <w:p w14:paraId="51A291BD">
      <w:pPr>
        <w:adjustRightInd w:val="0"/>
        <w:snapToGrid w:val="0"/>
        <w:spacing w:line="360" w:lineRule="auto"/>
        <w:ind w:firstLine="420" w:firstLineChars="200"/>
        <w:rPr>
          <w:rFonts w:ascii="宋体" w:hAnsi="宋体" w:cs="Arial"/>
        </w:rPr>
      </w:pPr>
      <w:r>
        <w:rPr>
          <w:rFonts w:hint="eastAsia" w:ascii="宋体" w:hAnsi="宋体" w:cs="Arial"/>
        </w:rPr>
        <w:t>利息折算的份额=</w:t>
      </w:r>
      <w:r>
        <w:rPr>
          <w:rFonts w:ascii="宋体" w:hAnsi="宋体" w:cs="Arial"/>
        </w:rPr>
        <w:t>5</w:t>
      </w:r>
      <w:r>
        <w:rPr>
          <w:rFonts w:hint="eastAsia" w:ascii="宋体" w:hAnsi="宋体" w:cs="Arial"/>
        </w:rPr>
        <w:t>/1.00=</w:t>
      </w:r>
      <w:r>
        <w:rPr>
          <w:rFonts w:ascii="宋体" w:hAnsi="宋体" w:cs="Arial"/>
        </w:rPr>
        <w:t>5</w:t>
      </w:r>
      <w:r>
        <w:rPr>
          <w:rFonts w:hint="eastAsia" w:ascii="宋体" w:hAnsi="宋体" w:cs="Arial"/>
        </w:rPr>
        <w:t>份</w:t>
      </w:r>
    </w:p>
    <w:p w14:paraId="64BDDD18">
      <w:pPr>
        <w:adjustRightInd w:val="0"/>
        <w:snapToGrid w:val="0"/>
        <w:spacing w:line="360" w:lineRule="auto"/>
        <w:ind w:firstLine="420" w:firstLineChars="200"/>
        <w:rPr>
          <w:rFonts w:hint="eastAsia" w:ascii="宋体" w:hAnsi="宋体" w:cs="Arial"/>
        </w:rPr>
      </w:pPr>
      <w:r>
        <w:rPr>
          <w:rFonts w:hint="eastAsia" w:ascii="宋体" w:hAnsi="宋体" w:cs="Arial"/>
        </w:rPr>
        <w:t>投资人实际可得份额=10,000+</w:t>
      </w:r>
      <w:r>
        <w:rPr>
          <w:rFonts w:ascii="宋体" w:hAnsi="宋体" w:cs="Arial"/>
        </w:rPr>
        <w:t>5</w:t>
      </w:r>
      <w:r>
        <w:rPr>
          <w:rFonts w:hint="eastAsia" w:ascii="宋体" w:hAnsi="宋体" w:cs="Arial"/>
        </w:rPr>
        <w:t>=</w:t>
      </w:r>
      <w:bookmarkStart w:id="68" w:name="OLE_LINK39"/>
      <w:bookmarkStart w:id="69" w:name="OLE_LINK38"/>
      <w:r>
        <w:rPr>
          <w:rFonts w:ascii="宋体" w:hAnsi="宋体" w:cs="Arial"/>
        </w:rPr>
        <w:t>10,005</w:t>
      </w:r>
      <w:bookmarkEnd w:id="68"/>
      <w:bookmarkEnd w:id="69"/>
      <w:r>
        <w:rPr>
          <w:rFonts w:hint="eastAsia" w:ascii="宋体" w:hAnsi="宋体" w:cs="Arial"/>
        </w:rPr>
        <w:t>份</w:t>
      </w:r>
    </w:p>
    <w:p w14:paraId="62D7CEF6">
      <w:pPr>
        <w:adjustRightInd w:val="0"/>
        <w:snapToGrid w:val="0"/>
        <w:spacing w:line="360" w:lineRule="auto"/>
        <w:ind w:firstLine="420" w:firstLineChars="200"/>
        <w:rPr>
          <w:rFonts w:ascii="宋体" w:hAnsi="宋体" w:cs="Arial"/>
        </w:rPr>
      </w:pPr>
      <w:r>
        <w:rPr>
          <w:rFonts w:hint="eastAsia" w:ascii="宋体" w:hAnsi="宋体" w:cs="Arial"/>
        </w:rPr>
        <w:t>即投资人需准备10,0</w:t>
      </w:r>
      <w:r>
        <w:rPr>
          <w:rFonts w:ascii="宋体" w:hAnsi="宋体" w:cs="Arial"/>
        </w:rPr>
        <w:t>3</w:t>
      </w:r>
      <w:r>
        <w:rPr>
          <w:rFonts w:hint="eastAsia" w:ascii="宋体" w:hAnsi="宋体" w:cs="Arial"/>
        </w:rPr>
        <w:t>0元资金，方可认购到10,000份本基金基金份额，</w:t>
      </w:r>
      <w:r>
        <w:rPr>
          <w:rFonts w:hint="eastAsia" w:ascii="宋体" w:hAnsi="宋体" w:cs="Arial"/>
          <w:highlight w:val="none"/>
        </w:rPr>
        <w:t>假设</w:t>
      </w:r>
      <w:r>
        <w:rPr>
          <w:rFonts w:hint="eastAsia" w:ascii="宋体" w:hAnsi="宋体" w:cs="Arial"/>
        </w:rPr>
        <w:t>利息为5元，</w:t>
      </w:r>
      <w:r>
        <w:rPr>
          <w:rFonts w:hint="eastAsia" w:ascii="宋体" w:hAnsi="宋体" w:cs="Arial"/>
          <w:lang w:val="en-US" w:eastAsia="zh-CN"/>
        </w:rPr>
        <w:t>则</w:t>
      </w:r>
      <w:r>
        <w:rPr>
          <w:rFonts w:hint="eastAsia" w:ascii="宋体" w:hAnsi="宋体" w:cs="Arial"/>
        </w:rPr>
        <w:t>其最终实际所得的基金份额为10,005份。</w:t>
      </w:r>
    </w:p>
    <w:p w14:paraId="0C2BAD21">
      <w:pPr>
        <w:adjustRightInd w:val="0"/>
        <w:snapToGrid w:val="0"/>
        <w:spacing w:line="360" w:lineRule="auto"/>
        <w:ind w:firstLine="420" w:firstLineChars="200"/>
        <w:rPr>
          <w:rFonts w:ascii="宋体" w:hAnsi="宋体" w:cs="Arial"/>
        </w:rPr>
      </w:pPr>
      <w:r>
        <w:rPr>
          <w:rFonts w:ascii="宋体" w:hAnsi="宋体" w:cs="Arial"/>
        </w:rPr>
        <w:t>3</w:t>
      </w:r>
      <w:r>
        <w:rPr>
          <w:rFonts w:hint="eastAsia" w:ascii="宋体" w:hAnsi="宋体" w:cs="Arial"/>
        </w:rPr>
        <w:t>、</w:t>
      </w:r>
      <w:r>
        <w:rPr>
          <w:rFonts w:ascii="宋体" w:hAnsi="宋体" w:cs="Arial"/>
        </w:rPr>
        <w:t>认购限额：网下现金认购以基金份额申请。投资人通过发售代理机构办理网下现金认购的，每笔认购份额须为1000份或其整数倍；投资人通过基金管理人办理网下现金认购的，每笔认购份额须在</w:t>
      </w:r>
      <w:r>
        <w:rPr>
          <w:rFonts w:hint="eastAsia" w:ascii="宋体" w:hAnsi="宋体" w:cs="Arial"/>
        </w:rPr>
        <w:t>5</w:t>
      </w:r>
      <w:r>
        <w:rPr>
          <w:rFonts w:ascii="宋体" w:hAnsi="宋体" w:cs="Arial"/>
        </w:rPr>
        <w:t>万份以上（含</w:t>
      </w:r>
      <w:r>
        <w:rPr>
          <w:rFonts w:hint="eastAsia" w:ascii="宋体" w:hAnsi="宋体" w:cs="Arial"/>
        </w:rPr>
        <w:t>5</w:t>
      </w:r>
      <w:r>
        <w:rPr>
          <w:rFonts w:ascii="宋体" w:hAnsi="宋体" w:cs="Arial"/>
        </w:rPr>
        <w:t>万份），投资人可多次认购，累计认购份额不设上限</w:t>
      </w:r>
      <w:r>
        <w:rPr>
          <w:rFonts w:hint="eastAsia" w:ascii="宋体" w:hAnsi="宋体" w:cs="Arial"/>
        </w:rPr>
        <w:t>，但法律法规或监管要求另有规定或基金合同另有约定的除外</w:t>
      </w:r>
      <w:r>
        <w:rPr>
          <w:rFonts w:ascii="宋体" w:hAnsi="宋体" w:cs="Arial"/>
        </w:rPr>
        <w:t>。</w:t>
      </w:r>
    </w:p>
    <w:p w14:paraId="029D84D6">
      <w:pPr>
        <w:adjustRightInd w:val="0"/>
        <w:snapToGrid w:val="0"/>
        <w:spacing w:line="360" w:lineRule="auto"/>
        <w:ind w:firstLine="420"/>
        <w:rPr>
          <w:rFonts w:ascii="宋体" w:hAnsi="宋体" w:cs="Arial"/>
        </w:rPr>
      </w:pPr>
      <w:r>
        <w:rPr>
          <w:rFonts w:ascii="宋体" w:hAnsi="宋体" w:cs="Arial"/>
        </w:rPr>
        <w:t>4</w:t>
      </w:r>
      <w:r>
        <w:rPr>
          <w:rFonts w:hint="eastAsia" w:ascii="宋体" w:hAnsi="宋体" w:cs="Arial"/>
        </w:rPr>
        <w:t>、</w:t>
      </w:r>
      <w:r>
        <w:rPr>
          <w:rFonts w:ascii="宋体" w:hAnsi="宋体" w:cs="Arial"/>
        </w:rPr>
        <w:t>认购手续：投资人在认购本基金时，需按销售机构的规定，到销售网点办理相关认购手续，并备足认购资金。网下现金认购申请提交后</w:t>
      </w:r>
      <w:r>
        <w:rPr>
          <w:rFonts w:hint="eastAsia" w:ascii="宋体" w:hAnsi="宋体" w:cs="Arial"/>
        </w:rPr>
        <w:t>在销售机构规定的时间之后</w:t>
      </w:r>
      <w:r>
        <w:rPr>
          <w:rFonts w:ascii="宋体" w:hAnsi="宋体" w:cs="Arial"/>
        </w:rPr>
        <w:t>不得</w:t>
      </w:r>
      <w:r>
        <w:rPr>
          <w:rFonts w:hint="eastAsia" w:ascii="宋体" w:hAnsi="宋体" w:cs="Arial"/>
        </w:rPr>
        <w:t>撤销</w:t>
      </w:r>
      <w:r>
        <w:rPr>
          <w:rFonts w:ascii="宋体" w:hAnsi="宋体" w:cs="Arial"/>
        </w:rPr>
        <w:t>。</w:t>
      </w:r>
    </w:p>
    <w:p w14:paraId="221FCEC0">
      <w:pPr>
        <w:adjustRightInd w:val="0"/>
        <w:snapToGrid w:val="0"/>
        <w:spacing w:line="360" w:lineRule="auto"/>
        <w:ind w:firstLine="420"/>
        <w:rPr>
          <w:rFonts w:ascii="宋体" w:hAnsi="宋体" w:cs="Arial"/>
        </w:rPr>
      </w:pPr>
      <w:r>
        <w:rPr>
          <w:rFonts w:ascii="宋体" w:hAnsi="宋体" w:cs="Arial"/>
        </w:rPr>
        <w:t>5</w:t>
      </w:r>
      <w:r>
        <w:rPr>
          <w:rFonts w:hint="eastAsia" w:ascii="宋体" w:hAnsi="宋体" w:cs="Arial"/>
        </w:rPr>
        <w:t>、</w:t>
      </w:r>
      <w:r>
        <w:rPr>
          <w:rFonts w:ascii="宋体" w:hAnsi="宋体" w:cs="Arial"/>
        </w:rPr>
        <w:t>清算交收：</w:t>
      </w:r>
      <w:r>
        <w:rPr>
          <w:rFonts w:hint="eastAsia" w:ascii="宋体" w:hAnsi="宋体" w:cs="Arial"/>
        </w:rPr>
        <w:t>通过基金管理人提交的网下现金认购申请，由基金管理人进行有效认购款项的清算交收。通过发售代理机构提交的网下现金认购申请，由登记机构进行有效认购款项的清算交收。</w:t>
      </w:r>
    </w:p>
    <w:p w14:paraId="0A074976">
      <w:pPr>
        <w:adjustRightInd w:val="0"/>
        <w:snapToGrid w:val="0"/>
        <w:spacing w:line="360" w:lineRule="auto"/>
        <w:ind w:firstLine="420"/>
        <w:rPr>
          <w:rFonts w:ascii="宋体" w:hAnsi="宋体" w:cs="Arial"/>
        </w:rPr>
      </w:pPr>
      <w:r>
        <w:rPr>
          <w:rFonts w:ascii="宋体" w:hAnsi="宋体" w:cs="Arial"/>
        </w:rPr>
        <w:t>6</w:t>
      </w:r>
      <w:r>
        <w:rPr>
          <w:rFonts w:hint="eastAsia" w:ascii="宋体" w:hAnsi="宋体" w:cs="Arial"/>
        </w:rPr>
        <w:t>、</w:t>
      </w:r>
      <w:r>
        <w:rPr>
          <w:rFonts w:ascii="宋体" w:hAnsi="宋体" w:cs="Arial"/>
        </w:rPr>
        <w:t>认购确认：</w:t>
      </w:r>
      <w:r>
        <w:rPr>
          <w:rFonts w:hint="eastAsia" w:ascii="宋体" w:hAnsi="宋体" w:cs="Arial"/>
        </w:rPr>
        <w:t>待基金合同生效后</w:t>
      </w:r>
      <w:r>
        <w:rPr>
          <w:rFonts w:ascii="宋体" w:hAnsi="宋体" w:cs="Arial"/>
        </w:rPr>
        <w:t>，投资人可通过其办理认购的销售网点查询认购确认情况。</w:t>
      </w:r>
    </w:p>
    <w:p w14:paraId="5499EA6A">
      <w:pPr>
        <w:snapToGrid w:val="0"/>
        <w:spacing w:line="360" w:lineRule="auto"/>
        <w:ind w:firstLine="420"/>
        <w:rPr>
          <w:rFonts w:ascii="宋体" w:hAnsi="宋体" w:cs="Arial"/>
          <w:b/>
        </w:rPr>
      </w:pPr>
      <w:bookmarkStart w:id="70" w:name="_Toc276561310"/>
      <w:r>
        <w:rPr>
          <w:rFonts w:ascii="宋体" w:hAnsi="宋体" w:cs="Arial"/>
          <w:b/>
        </w:rPr>
        <w:t>十</w:t>
      </w:r>
      <w:r>
        <w:rPr>
          <w:rFonts w:hint="eastAsia" w:ascii="宋体" w:hAnsi="宋体" w:cs="Arial"/>
          <w:b/>
        </w:rPr>
        <w:t>四</w:t>
      </w:r>
      <w:r>
        <w:rPr>
          <w:rFonts w:ascii="宋体" w:hAnsi="宋体" w:cs="Arial"/>
          <w:b/>
        </w:rPr>
        <w:t>、网下股票认购</w:t>
      </w:r>
      <w:bookmarkEnd w:id="70"/>
    </w:p>
    <w:p w14:paraId="2FC2C757">
      <w:pPr>
        <w:adjustRightInd w:val="0"/>
        <w:snapToGrid w:val="0"/>
        <w:spacing w:line="360" w:lineRule="auto"/>
        <w:ind w:firstLine="420" w:firstLineChars="200"/>
        <w:rPr>
          <w:rFonts w:ascii="宋体" w:hAnsi="宋体" w:cs="Arial"/>
        </w:rPr>
      </w:pPr>
      <w:r>
        <w:rPr>
          <w:rFonts w:ascii="宋体" w:hAnsi="宋体" w:cs="Arial"/>
        </w:rPr>
        <w:t>1</w:t>
      </w:r>
      <w:r>
        <w:rPr>
          <w:rFonts w:hint="eastAsia" w:ascii="宋体" w:hAnsi="宋体" w:cs="Arial"/>
        </w:rPr>
        <w:t>、</w:t>
      </w:r>
      <w:r>
        <w:rPr>
          <w:rFonts w:ascii="宋体" w:hAnsi="宋体" w:cs="Arial"/>
        </w:rPr>
        <w:t>认购时间：</w:t>
      </w:r>
      <w:r>
        <w:rPr>
          <w:rFonts w:hint="eastAsia" w:ascii="宋体" w:hAnsi="宋体" w:cs="Arial"/>
        </w:rPr>
        <w:t>详见基金份额发售公告</w:t>
      </w:r>
      <w:r>
        <w:rPr>
          <w:rFonts w:ascii="宋体" w:hAnsi="宋体" w:cs="Arial"/>
        </w:rPr>
        <w:t>。</w:t>
      </w:r>
    </w:p>
    <w:p w14:paraId="5E661E7C">
      <w:pPr>
        <w:adjustRightInd w:val="0"/>
        <w:snapToGrid w:val="0"/>
        <w:spacing w:line="360" w:lineRule="auto"/>
        <w:ind w:firstLine="420"/>
        <w:rPr>
          <w:rFonts w:ascii="宋体" w:hAnsi="宋体" w:cs="Arial"/>
        </w:rPr>
      </w:pPr>
      <w:r>
        <w:rPr>
          <w:rFonts w:ascii="宋体" w:hAnsi="宋体" w:cs="Arial"/>
        </w:rPr>
        <w:t>2</w:t>
      </w:r>
      <w:r>
        <w:rPr>
          <w:rFonts w:hint="eastAsia" w:ascii="宋体" w:hAnsi="宋体" w:cs="Arial"/>
        </w:rPr>
        <w:t>、</w:t>
      </w:r>
      <w:r>
        <w:rPr>
          <w:rFonts w:ascii="宋体" w:hAnsi="宋体" w:cs="Arial"/>
        </w:rPr>
        <w:t>认购限额：网下股票认购以单只股票股数申报，用于认购的股票必须是</w:t>
      </w:r>
      <w:r>
        <w:rPr>
          <w:rFonts w:hint="eastAsia" w:ascii="宋体" w:hAnsi="宋体" w:cs="Arial"/>
        </w:rPr>
        <w:t>中证全指红利质量指数</w:t>
      </w:r>
      <w:r>
        <w:rPr>
          <w:rFonts w:ascii="宋体" w:hAnsi="宋体" w:cs="Arial"/>
        </w:rPr>
        <w:t>的成份股和已经公告的备选成份股。单只股票最低认购申报股数为1</w:t>
      </w:r>
      <w:r>
        <w:rPr>
          <w:rFonts w:hint="eastAsia" w:ascii="宋体" w:hAnsi="宋体" w:cs="Arial"/>
        </w:rPr>
        <w:t>,</w:t>
      </w:r>
      <w:r>
        <w:rPr>
          <w:rFonts w:ascii="宋体" w:hAnsi="宋体" w:cs="Arial"/>
        </w:rPr>
        <w:t>000股，超过1</w:t>
      </w:r>
      <w:r>
        <w:rPr>
          <w:rFonts w:hint="eastAsia" w:ascii="宋体" w:hAnsi="宋体" w:cs="Arial"/>
        </w:rPr>
        <w:t>,</w:t>
      </w:r>
      <w:r>
        <w:rPr>
          <w:rFonts w:ascii="宋体" w:hAnsi="宋体" w:cs="Arial"/>
        </w:rPr>
        <w:t>000股的部分须为100股的整数倍。投资人可多次提交认购申请</w:t>
      </w:r>
      <w:r>
        <w:rPr>
          <w:rFonts w:hint="eastAsia" w:ascii="宋体" w:hAnsi="宋体" w:cs="Arial"/>
        </w:rPr>
        <w:t>，累计申报数不设上限，但法律法规或监管要求另有规定的除外</w:t>
      </w:r>
      <w:r>
        <w:rPr>
          <w:rFonts w:ascii="宋体" w:hAnsi="宋体" w:cs="Arial"/>
        </w:rPr>
        <w:t>。</w:t>
      </w:r>
    </w:p>
    <w:p w14:paraId="0EAC58A3">
      <w:pPr>
        <w:adjustRightInd w:val="0"/>
        <w:snapToGrid w:val="0"/>
        <w:spacing w:line="360" w:lineRule="auto"/>
        <w:ind w:firstLine="420"/>
        <w:rPr>
          <w:rFonts w:ascii="宋体" w:hAnsi="宋体" w:cs="Arial"/>
        </w:rPr>
      </w:pPr>
      <w:r>
        <w:rPr>
          <w:rFonts w:ascii="宋体" w:hAnsi="宋体" w:cs="Arial"/>
        </w:rPr>
        <w:t>3</w:t>
      </w:r>
      <w:r>
        <w:rPr>
          <w:rFonts w:hint="eastAsia" w:ascii="宋体" w:hAnsi="宋体" w:cs="Arial"/>
        </w:rPr>
        <w:t>、</w:t>
      </w:r>
      <w:r>
        <w:rPr>
          <w:rFonts w:ascii="宋体" w:hAnsi="宋体" w:cs="Arial"/>
        </w:rPr>
        <w:t>认购手续：投资人在认购本基金时，需按销售机构的规定，到销售网点办理认购手续，并备足认购股票。网下股票认购申请提交后</w:t>
      </w:r>
      <w:r>
        <w:rPr>
          <w:rFonts w:hint="eastAsia" w:ascii="宋体" w:hAnsi="宋体" w:cs="Arial"/>
        </w:rPr>
        <w:t>在销售机构规定的时间之后</w:t>
      </w:r>
      <w:r>
        <w:rPr>
          <w:rFonts w:ascii="宋体" w:hAnsi="宋体" w:cs="Arial"/>
        </w:rPr>
        <w:t>不得撤销。</w:t>
      </w:r>
    </w:p>
    <w:p w14:paraId="04D113AD">
      <w:pPr>
        <w:adjustRightInd w:val="0"/>
        <w:snapToGrid w:val="0"/>
        <w:spacing w:line="360" w:lineRule="auto"/>
        <w:ind w:firstLine="420" w:firstLineChars="200"/>
        <w:rPr>
          <w:rFonts w:ascii="宋体" w:hAnsi="宋体" w:cs="Arial"/>
        </w:rPr>
      </w:pPr>
      <w:r>
        <w:rPr>
          <w:rFonts w:ascii="宋体" w:hAnsi="宋体" w:cs="Arial"/>
        </w:rPr>
        <w:t>4</w:t>
      </w:r>
      <w:r>
        <w:rPr>
          <w:rFonts w:hint="eastAsia" w:ascii="宋体" w:hAnsi="宋体" w:cs="Arial"/>
        </w:rPr>
        <w:t>、</w:t>
      </w:r>
      <w:r>
        <w:rPr>
          <w:rFonts w:ascii="宋体" w:hAnsi="宋体" w:cs="Arial"/>
        </w:rPr>
        <w:t>特殊情形</w:t>
      </w:r>
    </w:p>
    <w:p w14:paraId="63EC78A3">
      <w:pPr>
        <w:adjustRightInd w:val="0"/>
        <w:snapToGrid w:val="0"/>
        <w:spacing w:line="360" w:lineRule="auto"/>
        <w:ind w:firstLine="420"/>
        <w:rPr>
          <w:rFonts w:ascii="宋体" w:hAnsi="宋体" w:cs="Arial"/>
        </w:rPr>
      </w:pPr>
      <w:r>
        <w:rPr>
          <w:rFonts w:ascii="宋体" w:hAnsi="宋体" w:cs="Arial"/>
        </w:rPr>
        <w:t>特殊情形包括但不限于以下几种情况：</w:t>
      </w:r>
    </w:p>
    <w:p w14:paraId="01DCE62D">
      <w:pPr>
        <w:numPr>
          <w:ilvl w:val="0"/>
          <w:numId w:val="2"/>
        </w:numPr>
        <w:tabs>
          <w:tab w:val="left" w:pos="993"/>
        </w:tabs>
        <w:adjustRightInd w:val="0"/>
        <w:snapToGrid w:val="0"/>
        <w:spacing w:line="360" w:lineRule="auto"/>
        <w:ind w:left="0" w:firstLine="420"/>
        <w:rPr>
          <w:rFonts w:ascii="宋体" w:hAnsi="宋体" w:cs="Arial"/>
        </w:rPr>
      </w:pPr>
      <w:r>
        <w:rPr>
          <w:rFonts w:ascii="宋体" w:hAnsi="宋体" w:cs="Arial"/>
        </w:rPr>
        <w:t>已经公告的即将被调出</w:t>
      </w:r>
      <w:r>
        <w:rPr>
          <w:rFonts w:hint="eastAsia" w:ascii="宋体" w:hAnsi="宋体" w:cs="Arial"/>
        </w:rPr>
        <w:t>中证全指红利质量指数</w:t>
      </w:r>
      <w:r>
        <w:rPr>
          <w:rFonts w:ascii="宋体" w:hAnsi="宋体" w:cs="Arial"/>
        </w:rPr>
        <w:t>的成份股不得用于认购本基金。</w:t>
      </w:r>
    </w:p>
    <w:p w14:paraId="1277017A">
      <w:pPr>
        <w:numPr>
          <w:ilvl w:val="0"/>
          <w:numId w:val="2"/>
        </w:numPr>
        <w:tabs>
          <w:tab w:val="left" w:pos="993"/>
          <w:tab w:val="left" w:pos="2552"/>
        </w:tabs>
        <w:adjustRightInd w:val="0"/>
        <w:snapToGrid w:val="0"/>
        <w:spacing w:line="360" w:lineRule="auto"/>
        <w:ind w:left="0" w:firstLine="420"/>
        <w:rPr>
          <w:rFonts w:ascii="宋体" w:hAnsi="宋体" w:cs="Arial"/>
        </w:rPr>
      </w:pPr>
      <w:r>
        <w:rPr>
          <w:rFonts w:ascii="宋体" w:hAnsi="宋体" w:cs="Arial"/>
        </w:rPr>
        <w:t>限制个股认购规模：基金管理人可根据网下股票认购日前3个月的个股的交易量、价格波动及其他异常情况，决定是否对个股认购规模进行限制，并在网下股票认购日前至少3个工作日公告限制认购规模的个股名单。</w:t>
      </w:r>
    </w:p>
    <w:p w14:paraId="7A80507A">
      <w:pPr>
        <w:numPr>
          <w:ilvl w:val="0"/>
          <w:numId w:val="2"/>
        </w:numPr>
        <w:tabs>
          <w:tab w:val="left" w:pos="993"/>
        </w:tabs>
        <w:adjustRightInd w:val="0"/>
        <w:snapToGrid w:val="0"/>
        <w:spacing w:line="360" w:lineRule="auto"/>
        <w:ind w:left="0" w:firstLine="420"/>
        <w:rPr>
          <w:rFonts w:ascii="宋体" w:hAnsi="宋体" w:cs="Arial"/>
        </w:rPr>
      </w:pPr>
      <w:r>
        <w:rPr>
          <w:rFonts w:ascii="宋体" w:hAnsi="宋体" w:cs="Arial"/>
        </w:rPr>
        <w:t>临时拒绝个股认购：对于在网下股票认购期间价格波动异常或认购申报数量异常的个股，基金管理人可不经公告，全部或部分拒绝该股票的认购申报。</w:t>
      </w:r>
    </w:p>
    <w:p w14:paraId="279C6124">
      <w:pPr>
        <w:numPr>
          <w:ilvl w:val="0"/>
          <w:numId w:val="2"/>
        </w:numPr>
        <w:tabs>
          <w:tab w:val="left" w:pos="993"/>
        </w:tabs>
        <w:adjustRightInd w:val="0"/>
        <w:snapToGrid w:val="0"/>
        <w:spacing w:line="360" w:lineRule="auto"/>
        <w:ind w:left="0" w:firstLine="420"/>
        <w:rPr>
          <w:rFonts w:ascii="宋体" w:hAnsi="宋体" w:cs="Arial"/>
        </w:rPr>
      </w:pPr>
      <w:r>
        <w:rPr>
          <w:rFonts w:hint="eastAsia" w:ascii="宋体" w:hAnsi="宋体" w:cs="Arial"/>
        </w:rPr>
        <w:t>根据法律法规本基金不得持有的标的指数成份股，将不能用于认购本基金。</w:t>
      </w:r>
    </w:p>
    <w:p w14:paraId="35476FA1">
      <w:pPr>
        <w:adjustRightInd w:val="0"/>
        <w:snapToGrid w:val="0"/>
        <w:spacing w:line="360" w:lineRule="auto"/>
        <w:ind w:firstLine="420" w:firstLineChars="200"/>
        <w:rPr>
          <w:rFonts w:ascii="宋体" w:hAnsi="宋体" w:cs="Arial"/>
        </w:rPr>
      </w:pPr>
      <w:r>
        <w:rPr>
          <w:rFonts w:ascii="宋体" w:hAnsi="宋体" w:cs="Arial"/>
        </w:rPr>
        <w:t>5</w:t>
      </w:r>
      <w:r>
        <w:rPr>
          <w:rFonts w:hint="eastAsia" w:ascii="宋体" w:hAnsi="宋体" w:cs="Arial"/>
        </w:rPr>
        <w:t>、</w:t>
      </w:r>
      <w:r>
        <w:rPr>
          <w:rFonts w:ascii="宋体" w:hAnsi="宋体" w:cs="Arial"/>
        </w:rPr>
        <w:t>清算交收</w:t>
      </w:r>
    </w:p>
    <w:p w14:paraId="10924D41">
      <w:pPr>
        <w:adjustRightInd w:val="0"/>
        <w:snapToGrid w:val="0"/>
        <w:spacing w:line="360" w:lineRule="auto"/>
        <w:ind w:firstLine="420" w:firstLineChars="200"/>
        <w:rPr>
          <w:rFonts w:ascii="宋体" w:hAnsi="宋体" w:cs="Arial"/>
        </w:rPr>
      </w:pPr>
      <w:r>
        <w:rPr>
          <w:rFonts w:ascii="Calibri" w:hAnsi="Calibri" w:cs="Calibri"/>
        </w:rPr>
        <w:t>T</w:t>
      </w:r>
      <w:r>
        <w:rPr>
          <w:rFonts w:hint="eastAsia" w:hAnsi="Calibri"/>
        </w:rPr>
        <w:t>日日终</w:t>
      </w:r>
      <w:r>
        <w:rPr>
          <w:rFonts w:hint="eastAsia" w:ascii="Calibri" w:hAnsi="Calibri" w:cs="Calibri"/>
        </w:rPr>
        <w:t>（</w:t>
      </w:r>
      <w:r>
        <w:rPr>
          <w:rFonts w:ascii="Calibri" w:hAnsi="Calibri" w:cs="Calibri"/>
        </w:rPr>
        <w:t>T</w:t>
      </w:r>
      <w:r>
        <w:rPr>
          <w:rFonts w:hint="eastAsia" w:hAnsi="Calibri"/>
        </w:rPr>
        <w:t>日为本基金发售期最后一日</w:t>
      </w:r>
      <w:r>
        <w:rPr>
          <w:rFonts w:hint="eastAsia" w:ascii="Calibri" w:hAnsi="Calibri" w:cs="Calibri"/>
        </w:rPr>
        <w:t>），</w:t>
      </w:r>
      <w:r>
        <w:rPr>
          <w:rFonts w:hint="eastAsia" w:hAnsi="Calibri"/>
        </w:rPr>
        <w:t>基金管理人初步确认各成份股的有效认购</w:t>
      </w:r>
      <w:r>
        <w:rPr>
          <w:rFonts w:hint="eastAsia" w:ascii="宋体" w:hAnsi="宋体" w:eastAsia="宋体" w:cs="宋体"/>
        </w:rPr>
        <w:t>数量。T+1日起，</w:t>
      </w:r>
      <w:r>
        <w:rPr>
          <w:rFonts w:hint="eastAsia" w:hAnsi="Calibri"/>
        </w:rPr>
        <w:t>登记机构根据基金管理人提供的确认数据</w:t>
      </w:r>
      <w:r>
        <w:rPr>
          <w:rFonts w:hint="eastAsia" w:ascii="Calibri" w:hAnsi="Calibri" w:cs="Calibri"/>
        </w:rPr>
        <w:t>，</w:t>
      </w:r>
      <w:r>
        <w:rPr>
          <w:rFonts w:hint="eastAsia" w:hAnsi="Calibri"/>
        </w:rPr>
        <w:t>冻结上海市场网下认购股票，并将深圳市场网下认购股票过户至本基金组合证券认购专户。</w:t>
      </w:r>
      <w:r>
        <w:rPr>
          <w:rFonts w:ascii="宋体" w:hAnsi="宋体" w:cs="Arial"/>
        </w:rPr>
        <w:t>基金</w:t>
      </w:r>
      <w:r>
        <w:rPr>
          <w:rFonts w:hint="eastAsia" w:ascii="宋体" w:hAnsi="宋体" w:cs="Arial"/>
        </w:rPr>
        <w:t>发售</w:t>
      </w:r>
      <w:r>
        <w:rPr>
          <w:rFonts w:ascii="宋体" w:hAnsi="宋体" w:cs="Arial"/>
        </w:rPr>
        <w:t>期结束后，基金管理人根据发售代理机构提供的数据计算投资人应以基金份额方式支付的认购</w:t>
      </w:r>
      <w:r>
        <w:rPr>
          <w:rFonts w:hint="eastAsia" w:ascii="宋体" w:hAnsi="宋体" w:cs="Arial"/>
        </w:rPr>
        <w:t>佣金</w:t>
      </w:r>
      <w:r>
        <w:rPr>
          <w:rFonts w:ascii="宋体" w:hAnsi="宋体" w:cs="Arial"/>
        </w:rPr>
        <w:t>，并从投资人的认购份额中扣除，然后将扣除的认购</w:t>
      </w:r>
      <w:r>
        <w:rPr>
          <w:rFonts w:hint="eastAsia" w:ascii="宋体" w:hAnsi="宋体" w:cs="Arial"/>
        </w:rPr>
        <w:t>佣金</w:t>
      </w:r>
      <w:r>
        <w:rPr>
          <w:rFonts w:ascii="宋体" w:hAnsi="宋体" w:cs="Arial"/>
        </w:rPr>
        <w:t>以基金份额的形式返还给发售代理机构。登记机构根据基金管理人提供的投资人净认购份额明细数据进行投资人认购份额的初始登记，并根据基金管理人报上海证券交易所确认的有效认购申请股票数据，将投资人申请认购的股票过户到基金的证券账户。</w:t>
      </w:r>
    </w:p>
    <w:p w14:paraId="57AA8151">
      <w:pPr>
        <w:adjustRightInd w:val="0"/>
        <w:snapToGrid w:val="0"/>
        <w:spacing w:line="360" w:lineRule="auto"/>
        <w:ind w:firstLine="420" w:firstLineChars="200"/>
        <w:rPr>
          <w:rFonts w:ascii="宋体" w:hAnsi="宋体"/>
        </w:rPr>
      </w:pPr>
      <w:r>
        <w:rPr>
          <w:rFonts w:hint="eastAsia" w:ascii="宋体" w:hAnsi="宋体"/>
        </w:rPr>
        <w:t>若证券交易所、登记机构对网下股票认购业务的清算交收流程有所修订或调整的，本基金将进行相应调整。</w:t>
      </w:r>
    </w:p>
    <w:p w14:paraId="432FDDF0">
      <w:pPr>
        <w:adjustRightInd w:val="0"/>
        <w:snapToGrid w:val="0"/>
        <w:spacing w:line="360" w:lineRule="auto"/>
        <w:ind w:firstLine="420" w:firstLineChars="200"/>
        <w:rPr>
          <w:rFonts w:ascii="宋体" w:hAnsi="宋体" w:cs="Arial"/>
        </w:rPr>
      </w:pPr>
      <w:r>
        <w:rPr>
          <w:rFonts w:ascii="宋体" w:hAnsi="宋体" w:cs="Arial"/>
        </w:rPr>
        <w:t>6</w:t>
      </w:r>
      <w:r>
        <w:rPr>
          <w:rFonts w:hint="eastAsia" w:ascii="宋体" w:hAnsi="宋体" w:cs="Arial"/>
        </w:rPr>
        <w:t>、</w:t>
      </w:r>
      <w:r>
        <w:rPr>
          <w:rFonts w:ascii="宋体" w:hAnsi="宋体" w:cs="Arial"/>
        </w:rPr>
        <w:t>网下股票认购份额的计算公式</w:t>
      </w:r>
    </w:p>
    <w:p w14:paraId="1E620E0A">
      <w:pPr>
        <w:adjustRightInd w:val="0"/>
        <w:snapToGrid w:val="0"/>
        <w:spacing w:line="360" w:lineRule="auto"/>
        <w:ind w:firstLine="420" w:firstLineChars="200"/>
        <w:rPr>
          <w:rFonts w:ascii="宋体" w:hAnsi="宋体" w:cs="Arial"/>
        </w:rPr>
      </w:pPr>
      <w:r>
        <w:rPr>
          <w:rFonts w:ascii="宋体" w:hAnsi="宋体" w:cs="Arial"/>
        </w:rPr>
        <w:t>认购份额＝</w:t>
      </w:r>
      <w:r>
        <w:rPr>
          <w:rFonts w:ascii="宋体" w:hAnsi="宋体" w:cs="Arial"/>
        </w:rPr>
        <w:drawing>
          <wp:inline distT="0" distB="0" distL="0" distR="0">
            <wp:extent cx="228600" cy="516255"/>
            <wp:effectExtent l="0" t="0" r="0" b="444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228600" cy="516255"/>
                    </a:xfrm>
                    <a:prstGeom prst="rect">
                      <a:avLst/>
                    </a:prstGeom>
                    <a:noFill/>
                    <a:ln>
                      <a:noFill/>
                    </a:ln>
                  </pic:spPr>
                </pic:pic>
              </a:graphicData>
            </a:graphic>
          </wp:inline>
        </w:drawing>
      </w:r>
      <w:r>
        <w:rPr>
          <w:rFonts w:ascii="宋体" w:hAnsi="宋体" w:cs="Arial"/>
        </w:rPr>
        <w:t>（第i只股票在网下股票认购期最后一日的均价×有效认购数量）／基金份额</w:t>
      </w:r>
      <w:r>
        <w:rPr>
          <w:rFonts w:hint="eastAsia" w:ascii="宋体" w:hAnsi="宋体" w:cs="Arial"/>
        </w:rPr>
        <w:t>发售</w:t>
      </w:r>
      <w:r>
        <w:rPr>
          <w:rFonts w:ascii="宋体" w:hAnsi="宋体" w:cs="Arial"/>
        </w:rPr>
        <w:t>面值</w:t>
      </w:r>
    </w:p>
    <w:p w14:paraId="32C164E8">
      <w:pPr>
        <w:adjustRightInd w:val="0"/>
        <w:snapToGrid w:val="0"/>
        <w:spacing w:line="360" w:lineRule="auto"/>
        <w:ind w:firstLine="420" w:firstLineChars="200"/>
        <w:rPr>
          <w:rFonts w:ascii="宋体" w:hAnsi="宋体" w:cs="Arial"/>
        </w:rPr>
      </w:pPr>
      <w:r>
        <w:rPr>
          <w:rFonts w:ascii="宋体" w:hAnsi="宋体" w:cs="Arial"/>
        </w:rPr>
        <w:t>其中：</w:t>
      </w:r>
    </w:p>
    <w:p w14:paraId="4048F8DD">
      <w:pPr>
        <w:adjustRightInd w:val="0"/>
        <w:snapToGrid w:val="0"/>
        <w:spacing w:line="360" w:lineRule="auto"/>
        <w:ind w:firstLine="420" w:firstLineChars="200"/>
        <w:rPr>
          <w:rFonts w:ascii="宋体" w:hAnsi="宋体" w:cs="Arial"/>
        </w:rPr>
      </w:pPr>
      <w:r>
        <w:rPr>
          <w:rFonts w:hint="eastAsia" w:ascii="宋体" w:hAnsi="宋体" w:cs="Arial"/>
        </w:rPr>
        <w:t>（1）</w:t>
      </w:r>
      <w:r>
        <w:rPr>
          <w:rFonts w:ascii="宋体" w:hAnsi="宋体" w:cs="Arial"/>
        </w:rPr>
        <w:t>i代表投资人提交认购申请的第i只股票，</w:t>
      </w:r>
      <w:r>
        <w:rPr>
          <w:rFonts w:hint="eastAsia" w:ascii="宋体" w:hAnsi="宋体" w:cs="Arial"/>
        </w:rPr>
        <w:t>n代表投资人提交的股票总只数，</w:t>
      </w:r>
      <w:r>
        <w:rPr>
          <w:rFonts w:ascii="宋体" w:hAnsi="宋体" w:cs="Arial"/>
        </w:rPr>
        <w:t>如投资人仅提交了1只股票的申请，则n＝1；</w:t>
      </w:r>
    </w:p>
    <w:p w14:paraId="4A80154B">
      <w:pPr>
        <w:adjustRightInd w:val="0"/>
        <w:snapToGrid w:val="0"/>
        <w:spacing w:line="360" w:lineRule="auto"/>
        <w:ind w:firstLine="420" w:firstLineChars="200"/>
        <w:rPr>
          <w:rFonts w:ascii="宋体" w:hAnsi="宋体" w:cs="Arial"/>
        </w:rPr>
      </w:pPr>
      <w:r>
        <w:rPr>
          <w:rFonts w:hint="eastAsia" w:ascii="宋体" w:hAnsi="宋体" w:cs="Arial"/>
        </w:rPr>
        <w:t>（2）“</w:t>
      </w:r>
      <w:r>
        <w:rPr>
          <w:rFonts w:ascii="宋体" w:hAnsi="宋体" w:cs="Arial"/>
        </w:rPr>
        <w:t>第i只股票在网下股票认购期最后一日的均价”由本基金管理人根据证券交易所的当日行情数据，以该股票的总成交金额除以总成交股数计算，以四舍五入的方法保留小数点后两位。若该股票在当日停牌或无成交，则以同样方法计算最近一个交易日的均价作为计算价格。</w:t>
      </w:r>
    </w:p>
    <w:p w14:paraId="2EBDC460">
      <w:pPr>
        <w:adjustRightInd w:val="0"/>
        <w:snapToGrid w:val="0"/>
        <w:spacing w:line="360" w:lineRule="auto"/>
        <w:ind w:firstLine="420" w:firstLineChars="200"/>
        <w:rPr>
          <w:rFonts w:ascii="宋体" w:hAnsi="宋体" w:cs="Arial"/>
        </w:rPr>
      </w:pPr>
      <w:r>
        <w:rPr>
          <w:rFonts w:ascii="宋体" w:hAnsi="宋体" w:cs="Arial"/>
        </w:rPr>
        <w:t>若某只股票在网下股票认购期最后一日至登记机构进行股票过户日的冻结期间发生了除息、送股（转增）、配股等权益变动，由于投资人获得了相应的权益，基金管理人将按如下方式对该股票在网下股票认购期最后一日的均价进行调整：</w:t>
      </w:r>
    </w:p>
    <w:p w14:paraId="41236074">
      <w:pPr>
        <w:numPr>
          <w:ilvl w:val="0"/>
          <w:numId w:val="3"/>
        </w:numPr>
        <w:adjustRightInd w:val="0"/>
        <w:snapToGrid w:val="0"/>
        <w:spacing w:line="360" w:lineRule="auto"/>
        <w:rPr>
          <w:rFonts w:ascii="宋体" w:hAnsi="宋体" w:cs="Arial"/>
        </w:rPr>
      </w:pPr>
      <w:r>
        <w:rPr>
          <w:rFonts w:ascii="宋体" w:hAnsi="宋体" w:cs="Arial"/>
        </w:rPr>
        <w:t>除息：调整后价格＝网下股票认购期最后一日均价－每股现金股利或股息</w:t>
      </w:r>
    </w:p>
    <w:p w14:paraId="05382A38">
      <w:pPr>
        <w:numPr>
          <w:ilvl w:val="0"/>
          <w:numId w:val="3"/>
        </w:numPr>
        <w:adjustRightInd w:val="0"/>
        <w:snapToGrid w:val="0"/>
        <w:spacing w:line="360" w:lineRule="auto"/>
        <w:rPr>
          <w:rFonts w:ascii="宋体" w:hAnsi="宋体" w:cs="Arial"/>
        </w:rPr>
      </w:pPr>
      <w:r>
        <w:rPr>
          <w:rFonts w:ascii="宋体" w:hAnsi="宋体" w:cs="Arial"/>
        </w:rPr>
        <w:t>送股：调整后价格＝网下股票认购期最后一日均价／（1＋每股送股比例）</w:t>
      </w:r>
    </w:p>
    <w:p w14:paraId="56B86548">
      <w:pPr>
        <w:numPr>
          <w:ilvl w:val="0"/>
          <w:numId w:val="3"/>
        </w:numPr>
        <w:adjustRightInd w:val="0"/>
        <w:snapToGrid w:val="0"/>
        <w:spacing w:line="360" w:lineRule="auto"/>
        <w:rPr>
          <w:rFonts w:ascii="宋体" w:hAnsi="宋体" w:cs="Arial"/>
        </w:rPr>
      </w:pPr>
      <w:r>
        <w:rPr>
          <w:rFonts w:ascii="宋体" w:hAnsi="宋体" w:cs="Arial"/>
        </w:rPr>
        <w:t>配股：调整后价格＝（网下股票认购期最后一日均价＋配股价×配股比例）／（1＋每股配股比例）</w:t>
      </w:r>
    </w:p>
    <w:p w14:paraId="7B126B2C">
      <w:pPr>
        <w:numPr>
          <w:ilvl w:val="0"/>
          <w:numId w:val="3"/>
        </w:numPr>
        <w:adjustRightInd w:val="0"/>
        <w:snapToGrid w:val="0"/>
        <w:spacing w:line="360" w:lineRule="auto"/>
        <w:rPr>
          <w:rFonts w:ascii="宋体" w:hAnsi="宋体" w:cs="Arial"/>
        </w:rPr>
      </w:pPr>
      <w:r>
        <w:rPr>
          <w:rFonts w:ascii="宋体" w:hAnsi="宋体" w:cs="Arial"/>
        </w:rPr>
        <w:t>送股且配股：调整后价格＝（网下股票认购期最后一日均价＋配股价×配股比例）／（1＋每股送股比例＋每股配股比例）</w:t>
      </w:r>
    </w:p>
    <w:p w14:paraId="0CA66608">
      <w:pPr>
        <w:numPr>
          <w:ilvl w:val="0"/>
          <w:numId w:val="3"/>
        </w:numPr>
        <w:adjustRightInd w:val="0"/>
        <w:snapToGrid w:val="0"/>
        <w:spacing w:line="360" w:lineRule="auto"/>
        <w:rPr>
          <w:rFonts w:ascii="宋体" w:hAnsi="宋体" w:cs="Arial"/>
        </w:rPr>
      </w:pPr>
      <w:r>
        <w:rPr>
          <w:rFonts w:hint="eastAsia" w:ascii="宋体" w:hAnsi="宋体" w:cs="Arial"/>
        </w:rPr>
        <w:t>除息且送股：调整后价格＝（网下股票认购期最后一日均价－每股现金股利或股息）/（1＋每股送股比例）</w:t>
      </w:r>
    </w:p>
    <w:p w14:paraId="66A4FBDF">
      <w:pPr>
        <w:numPr>
          <w:ilvl w:val="0"/>
          <w:numId w:val="3"/>
        </w:numPr>
        <w:adjustRightInd w:val="0"/>
        <w:snapToGrid w:val="0"/>
        <w:spacing w:line="360" w:lineRule="auto"/>
        <w:rPr>
          <w:rFonts w:ascii="宋体" w:hAnsi="宋体" w:cs="Arial"/>
        </w:rPr>
      </w:pPr>
      <w:r>
        <w:rPr>
          <w:rFonts w:hint="eastAsia" w:ascii="宋体" w:hAnsi="宋体" w:cs="Arial"/>
        </w:rPr>
        <w:t xml:space="preserve">除息且配股：调整后价格＝（网下股票认购期最后一日均价＋配股价×配股比例－每股现金股利或股息）/（1＋每股配股比例） </w:t>
      </w:r>
    </w:p>
    <w:p w14:paraId="625F9857">
      <w:pPr>
        <w:numPr>
          <w:ilvl w:val="0"/>
          <w:numId w:val="3"/>
        </w:numPr>
        <w:adjustRightInd w:val="0"/>
        <w:snapToGrid w:val="0"/>
        <w:spacing w:line="360" w:lineRule="auto"/>
        <w:rPr>
          <w:rFonts w:ascii="宋体" w:hAnsi="宋体" w:cs="Arial"/>
        </w:rPr>
      </w:pPr>
      <w:r>
        <w:rPr>
          <w:rFonts w:ascii="宋体" w:hAnsi="宋体" w:cs="Arial"/>
        </w:rPr>
        <w:t>除息、送股且配股：调整后价格＝（网下股票认购期最后一日均价＋配股价×配股比例－每股现金股利或股息）／（1＋每股送股比例＋每股配股比例）</w:t>
      </w:r>
    </w:p>
    <w:p w14:paraId="086424E4">
      <w:pPr>
        <w:adjustRightInd w:val="0"/>
        <w:snapToGrid w:val="0"/>
        <w:spacing w:line="360" w:lineRule="auto"/>
        <w:ind w:firstLine="420" w:firstLineChars="200"/>
        <w:rPr>
          <w:rFonts w:ascii="宋体" w:hAnsi="宋体" w:cs="Arial"/>
        </w:rPr>
      </w:pPr>
      <w:r>
        <w:rPr>
          <w:rFonts w:hint="eastAsia" w:ascii="宋体" w:hAnsi="宋体" w:cs="Arial"/>
        </w:rPr>
        <w:t>（3）“</w:t>
      </w:r>
      <w:r>
        <w:rPr>
          <w:rFonts w:ascii="宋体" w:hAnsi="宋体" w:cs="Arial"/>
        </w:rPr>
        <w:t>有效认购数量</w:t>
      </w:r>
      <w:r>
        <w:rPr>
          <w:rFonts w:hint="eastAsia" w:ascii="宋体" w:hAnsi="宋体" w:cs="Arial"/>
        </w:rPr>
        <w:t>”</w:t>
      </w:r>
      <w:r>
        <w:rPr>
          <w:rFonts w:ascii="宋体" w:hAnsi="宋体" w:cs="Arial"/>
        </w:rPr>
        <w:t>是指由基金管理人确认的并由登记机构完成清算交收的股票股数。其中：</w:t>
      </w:r>
    </w:p>
    <w:p w14:paraId="04E7E5CB">
      <w:pPr>
        <w:adjustRightInd w:val="0"/>
        <w:snapToGrid w:val="0"/>
        <w:spacing w:line="360" w:lineRule="auto"/>
        <w:ind w:firstLine="420" w:firstLineChars="200"/>
        <w:rPr>
          <w:rFonts w:ascii="宋体" w:hAnsi="宋体" w:cs="Arial"/>
        </w:rPr>
      </w:pPr>
      <w:r>
        <w:rPr>
          <w:rFonts w:hint="eastAsia" w:ascii="宋体" w:hAnsi="宋体" w:cs="Arial"/>
        </w:rPr>
        <w:t>1）</w:t>
      </w:r>
      <w:r>
        <w:rPr>
          <w:rFonts w:ascii="宋体" w:hAnsi="宋体" w:cs="Arial"/>
        </w:rPr>
        <w:t>对于经公告限制认购规模的个股，基金管理人可确认的认购数量上限</w:t>
      </w:r>
      <w:r>
        <w:rPr>
          <w:rFonts w:hint="eastAsia" w:ascii="宋体" w:hAnsi="宋体" w:cs="Arial"/>
        </w:rPr>
        <w:t>的计算方式详见届时相关公告。</w:t>
      </w:r>
    </w:p>
    <w:p w14:paraId="4F67619B">
      <w:pPr>
        <w:adjustRightInd w:val="0"/>
        <w:snapToGrid w:val="0"/>
        <w:spacing w:line="360" w:lineRule="auto"/>
        <w:ind w:firstLine="420" w:firstLineChars="200"/>
        <w:rPr>
          <w:rFonts w:ascii="宋体" w:hAnsi="宋体" w:cs="Arial"/>
        </w:rPr>
      </w:pPr>
      <w:r>
        <w:rPr>
          <w:rFonts w:hint="eastAsia" w:ascii="宋体" w:hAnsi="宋体" w:cs="Arial"/>
        </w:rPr>
        <w:t>2）某一股票在网下股票认购期最后一日至登记机构进行股票过户日的冻结期间发生司法执行，基金管理人将根据登记机构确认的实际过户数据对投资人的有效认购数量进行相应调整。</w:t>
      </w:r>
    </w:p>
    <w:p w14:paraId="4C184E60">
      <w:pPr>
        <w:adjustRightInd w:val="0"/>
        <w:snapToGrid w:val="0"/>
        <w:spacing w:line="360" w:lineRule="auto"/>
        <w:ind w:left="420"/>
        <w:rPr>
          <w:rFonts w:ascii="宋体" w:hAnsi="宋体" w:cs="Arial"/>
        </w:rPr>
      </w:pPr>
      <w:r>
        <w:rPr>
          <w:rFonts w:hint="eastAsia" w:ascii="宋体" w:hAnsi="宋体" w:cs="Arial"/>
        </w:rPr>
        <w:t>7、网下股票认购计算举例</w:t>
      </w:r>
    </w:p>
    <w:p w14:paraId="5B839543">
      <w:pPr>
        <w:adjustRightInd w:val="0"/>
        <w:snapToGrid w:val="0"/>
        <w:spacing w:line="360" w:lineRule="auto"/>
        <w:ind w:firstLine="420" w:firstLineChars="200"/>
        <w:rPr>
          <w:rFonts w:ascii="宋体" w:hAnsi="宋体" w:cs="Arial"/>
          <w:kern w:val="3"/>
        </w:rPr>
      </w:pPr>
      <w:r>
        <w:rPr>
          <w:rFonts w:ascii="宋体" w:hAnsi="宋体" w:cs="Arial"/>
          <w:kern w:val="3"/>
        </w:rPr>
        <w:t>通过发售代理机构进行网下股票认购的投资人，认购以单只股票股数申请，在发售代理机构允许的条件下，投资人可选择以现金或基金份额的方式支付认购佣金。认购份额和认购佣金的计算公式为：</w:t>
      </w:r>
    </w:p>
    <w:p w14:paraId="620203C1">
      <w:pPr>
        <w:adjustRightInd w:val="0"/>
        <w:snapToGrid w:val="0"/>
        <w:spacing w:line="360" w:lineRule="auto"/>
        <w:ind w:firstLine="420" w:firstLineChars="200"/>
        <w:rPr>
          <w:rFonts w:ascii="宋体" w:hAnsi="宋体" w:cs="Arial"/>
          <w:kern w:val="3"/>
        </w:rPr>
      </w:pPr>
      <w:r>
        <w:rPr>
          <w:rFonts w:hint="eastAsia" w:ascii="宋体" w:hAnsi="宋体" w:cs="Arial"/>
          <w:kern w:val="3"/>
        </w:rPr>
        <w:t>（1）</w:t>
      </w:r>
      <w:r>
        <w:rPr>
          <w:rFonts w:ascii="宋体" w:hAnsi="宋体" w:cs="Arial"/>
          <w:kern w:val="3"/>
        </w:rPr>
        <w:t>如投资人选择以现金支付认购佣金</w:t>
      </w:r>
      <w:r>
        <w:rPr>
          <w:rFonts w:hint="eastAsia" w:ascii="宋体" w:hAnsi="宋体" w:cs="Arial"/>
          <w:kern w:val="3"/>
        </w:rPr>
        <w:t>，</w:t>
      </w:r>
      <w:r>
        <w:rPr>
          <w:rFonts w:ascii="宋体" w:hAnsi="宋体" w:cs="Arial"/>
          <w:kern w:val="3"/>
        </w:rPr>
        <w:t>则其可得到的基金份额和需支付的认购佣金如下：</w:t>
      </w:r>
    </w:p>
    <w:p w14:paraId="0256E9D8">
      <w:pPr>
        <w:adjustRightInd w:val="0"/>
        <w:snapToGrid w:val="0"/>
        <w:spacing w:line="360" w:lineRule="auto"/>
        <w:ind w:firstLine="420" w:firstLineChars="200"/>
        <w:rPr>
          <w:rFonts w:ascii="宋体" w:hAnsi="宋体" w:cs="Arial"/>
        </w:rPr>
      </w:pPr>
      <w:r>
        <w:rPr>
          <w:rFonts w:ascii="宋体" w:hAnsi="宋体" w:cs="Arial"/>
        </w:rPr>
        <w:t>认购份额＝</w:t>
      </w:r>
      <w:r>
        <w:rPr>
          <w:rFonts w:ascii="宋体" w:hAnsi="宋体" w:cs="Arial"/>
        </w:rPr>
        <w:drawing>
          <wp:inline distT="0" distB="0" distL="0" distR="0">
            <wp:extent cx="228600" cy="516255"/>
            <wp:effectExtent l="0" t="0" r="0" b="444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228600" cy="516255"/>
                    </a:xfrm>
                    <a:prstGeom prst="rect">
                      <a:avLst/>
                    </a:prstGeom>
                    <a:noFill/>
                    <a:ln>
                      <a:noFill/>
                    </a:ln>
                  </pic:spPr>
                </pic:pic>
              </a:graphicData>
            </a:graphic>
          </wp:inline>
        </w:drawing>
      </w:r>
      <w:r>
        <w:rPr>
          <w:rFonts w:ascii="宋体" w:hAnsi="宋体" w:cs="Arial"/>
        </w:rPr>
        <w:t>（第i只股票在网下股票认购期最后一日的均价×有效认购数量）／基金份额</w:t>
      </w:r>
      <w:r>
        <w:rPr>
          <w:rFonts w:hint="eastAsia" w:ascii="宋体" w:hAnsi="宋体" w:cs="Arial"/>
        </w:rPr>
        <w:t>发售</w:t>
      </w:r>
      <w:r>
        <w:rPr>
          <w:rFonts w:ascii="宋体" w:hAnsi="宋体" w:cs="Arial"/>
        </w:rPr>
        <w:t>面值</w:t>
      </w:r>
    </w:p>
    <w:p w14:paraId="5B55B811">
      <w:pPr>
        <w:adjustRightInd w:val="0"/>
        <w:snapToGrid w:val="0"/>
        <w:spacing w:line="360" w:lineRule="auto"/>
        <w:ind w:firstLine="420" w:firstLineChars="200"/>
        <w:rPr>
          <w:rFonts w:ascii="宋体" w:hAnsi="宋体" w:cs="Arial"/>
          <w:kern w:val="3"/>
        </w:rPr>
      </w:pPr>
      <w:r>
        <w:rPr>
          <w:rFonts w:ascii="宋体" w:hAnsi="宋体" w:cs="Arial"/>
          <w:kern w:val="3"/>
        </w:rPr>
        <w:t>认购佣金=认购份额×</w:t>
      </w:r>
      <w:r>
        <w:rPr>
          <w:rFonts w:ascii="宋体" w:hAnsi="宋体" w:cs="Arial"/>
        </w:rPr>
        <w:t>基金份额</w:t>
      </w:r>
      <w:r>
        <w:rPr>
          <w:rFonts w:hint="eastAsia" w:ascii="宋体" w:hAnsi="宋体" w:cs="Arial"/>
        </w:rPr>
        <w:t>发售</w:t>
      </w:r>
      <w:r>
        <w:rPr>
          <w:rFonts w:ascii="宋体" w:hAnsi="宋体" w:cs="Arial"/>
        </w:rPr>
        <w:t>面值</w:t>
      </w:r>
      <w:r>
        <w:rPr>
          <w:rFonts w:ascii="宋体" w:hAnsi="宋体" w:cs="Arial"/>
          <w:kern w:val="3"/>
        </w:rPr>
        <w:t>×佣金比率</w:t>
      </w:r>
    </w:p>
    <w:p w14:paraId="028351A7">
      <w:pPr>
        <w:adjustRightInd w:val="0"/>
        <w:snapToGrid w:val="0"/>
        <w:spacing w:line="360" w:lineRule="auto"/>
        <w:ind w:firstLine="420" w:firstLineChars="200"/>
        <w:rPr>
          <w:rFonts w:ascii="宋体" w:hAnsi="宋体" w:cs="Arial"/>
          <w:kern w:val="3"/>
        </w:rPr>
      </w:pPr>
      <w:r>
        <w:rPr>
          <w:rFonts w:hint="eastAsia" w:ascii="宋体" w:hAnsi="宋体" w:cs="Arial"/>
          <w:kern w:val="3"/>
        </w:rPr>
        <w:t>（或若适用固定费用的，认购佣金=固定费用）</w:t>
      </w:r>
    </w:p>
    <w:p w14:paraId="02E02640">
      <w:pPr>
        <w:adjustRightInd w:val="0"/>
        <w:snapToGrid w:val="0"/>
        <w:spacing w:line="360" w:lineRule="auto"/>
        <w:ind w:firstLine="420" w:firstLineChars="200"/>
        <w:rPr>
          <w:rFonts w:ascii="宋体" w:hAnsi="宋体" w:cs="Arial"/>
          <w:kern w:val="3"/>
        </w:rPr>
      </w:pPr>
      <w:r>
        <w:rPr>
          <w:rFonts w:hint="eastAsia" w:ascii="宋体" w:hAnsi="宋体" w:cs="Arial"/>
          <w:kern w:val="3"/>
        </w:rPr>
        <w:t>（2）</w:t>
      </w:r>
      <w:r>
        <w:rPr>
          <w:rFonts w:ascii="宋体" w:hAnsi="宋体" w:cs="Arial"/>
          <w:kern w:val="3"/>
        </w:rPr>
        <w:t>如投资人选择以基金份额的方式交纳认购佣金</w:t>
      </w:r>
      <w:r>
        <w:rPr>
          <w:rFonts w:hint="eastAsia" w:ascii="宋体" w:hAnsi="宋体" w:cs="Arial"/>
          <w:kern w:val="3"/>
        </w:rPr>
        <w:t>，</w:t>
      </w:r>
      <w:r>
        <w:rPr>
          <w:rFonts w:ascii="宋体" w:hAnsi="宋体" w:cs="Arial"/>
          <w:kern w:val="3"/>
        </w:rPr>
        <w:t>则其可得到的基金份额和需支付的认购佣金如下：</w:t>
      </w:r>
    </w:p>
    <w:p w14:paraId="6C2809AA">
      <w:pPr>
        <w:adjustRightInd w:val="0"/>
        <w:snapToGrid w:val="0"/>
        <w:spacing w:line="360" w:lineRule="auto"/>
        <w:ind w:firstLine="420" w:firstLineChars="200"/>
        <w:rPr>
          <w:rFonts w:ascii="宋体" w:hAnsi="宋体" w:cs="Arial"/>
        </w:rPr>
      </w:pPr>
      <w:r>
        <w:rPr>
          <w:rFonts w:ascii="宋体" w:hAnsi="宋体" w:cs="Arial"/>
        </w:rPr>
        <w:t>认购份额＝</w:t>
      </w:r>
      <w:r>
        <w:rPr>
          <w:rFonts w:ascii="宋体" w:hAnsi="宋体" w:cs="Arial"/>
        </w:rPr>
        <w:drawing>
          <wp:inline distT="0" distB="0" distL="0" distR="0">
            <wp:extent cx="228600" cy="516255"/>
            <wp:effectExtent l="0" t="0" r="0"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a:xfrm>
                      <a:off x="0" y="0"/>
                      <a:ext cx="228600" cy="516255"/>
                    </a:xfrm>
                    <a:prstGeom prst="rect">
                      <a:avLst/>
                    </a:prstGeom>
                    <a:noFill/>
                    <a:ln>
                      <a:noFill/>
                    </a:ln>
                  </pic:spPr>
                </pic:pic>
              </a:graphicData>
            </a:graphic>
          </wp:inline>
        </w:drawing>
      </w:r>
      <w:r>
        <w:rPr>
          <w:rFonts w:ascii="宋体" w:hAnsi="宋体" w:cs="Arial"/>
        </w:rPr>
        <w:t>（第i只股票在网下股票认购期最后一日的均价×有效认购数量）／基金份额</w:t>
      </w:r>
      <w:r>
        <w:rPr>
          <w:rFonts w:hint="eastAsia" w:ascii="宋体" w:hAnsi="宋体" w:cs="Arial"/>
        </w:rPr>
        <w:t>发售</w:t>
      </w:r>
      <w:r>
        <w:rPr>
          <w:rFonts w:ascii="宋体" w:hAnsi="宋体" w:cs="Arial"/>
        </w:rPr>
        <w:t>面值</w:t>
      </w:r>
    </w:p>
    <w:p w14:paraId="5707BA3C">
      <w:pPr>
        <w:adjustRightInd w:val="0"/>
        <w:snapToGrid w:val="0"/>
        <w:spacing w:line="360" w:lineRule="auto"/>
        <w:ind w:firstLine="420" w:firstLineChars="200"/>
        <w:rPr>
          <w:rFonts w:ascii="宋体" w:hAnsi="宋体" w:cs="Arial"/>
          <w:kern w:val="3"/>
        </w:rPr>
      </w:pPr>
      <w:r>
        <w:rPr>
          <w:rFonts w:ascii="宋体" w:hAnsi="宋体" w:cs="Arial"/>
          <w:kern w:val="3"/>
        </w:rPr>
        <w:t>认购佣金=</w:t>
      </w:r>
      <w:r>
        <w:rPr>
          <w:rFonts w:hint="eastAsia" w:ascii="宋体" w:hAnsi="宋体" w:cs="Arial"/>
          <w:kern w:val="3"/>
        </w:rPr>
        <w:t>基金份额发售面值</w:t>
      </w:r>
      <w:r>
        <w:rPr>
          <w:rFonts w:ascii="宋体" w:hAnsi="宋体" w:cs="Arial"/>
          <w:kern w:val="3"/>
        </w:rPr>
        <w:t>×认购份额/（1＋佣金比率）×佣金比率</w:t>
      </w:r>
    </w:p>
    <w:p w14:paraId="5E806F54">
      <w:pPr>
        <w:adjustRightInd w:val="0"/>
        <w:snapToGrid w:val="0"/>
        <w:spacing w:line="360" w:lineRule="auto"/>
        <w:ind w:firstLine="420" w:firstLineChars="200"/>
        <w:rPr>
          <w:rFonts w:ascii="宋体" w:hAnsi="宋体" w:cs="Arial"/>
          <w:kern w:val="3"/>
        </w:rPr>
      </w:pPr>
      <w:r>
        <w:rPr>
          <w:rFonts w:hint="eastAsia" w:ascii="宋体" w:hAnsi="宋体" w:cs="Arial"/>
          <w:kern w:val="3"/>
        </w:rPr>
        <w:t>（或若适用固定费用的，认购佣金=固定费用）</w:t>
      </w:r>
    </w:p>
    <w:p w14:paraId="003BDA10">
      <w:pPr>
        <w:adjustRightInd w:val="0"/>
        <w:snapToGrid w:val="0"/>
        <w:spacing w:line="360" w:lineRule="auto"/>
        <w:ind w:firstLine="420" w:firstLineChars="200"/>
        <w:rPr>
          <w:rFonts w:ascii="宋体" w:hAnsi="宋体" w:cs="Arial"/>
          <w:kern w:val="3"/>
        </w:rPr>
      </w:pPr>
      <w:r>
        <w:rPr>
          <w:rFonts w:ascii="宋体" w:hAnsi="宋体" w:cs="Arial"/>
          <w:kern w:val="3"/>
        </w:rPr>
        <w:t>净认购份额=认购份额－认购佣金</w:t>
      </w:r>
      <w:r>
        <w:rPr>
          <w:rFonts w:hint="eastAsia" w:ascii="宋体" w:hAnsi="宋体" w:cs="Arial"/>
          <w:kern w:val="3"/>
        </w:rPr>
        <w:t>/</w:t>
      </w:r>
      <w:r>
        <w:rPr>
          <w:rFonts w:ascii="宋体" w:hAnsi="宋体" w:cs="Arial"/>
        </w:rPr>
        <w:t>基金份额</w:t>
      </w:r>
      <w:r>
        <w:rPr>
          <w:rFonts w:hint="eastAsia" w:ascii="宋体" w:hAnsi="宋体" w:cs="Arial"/>
        </w:rPr>
        <w:t>发售</w:t>
      </w:r>
      <w:r>
        <w:rPr>
          <w:rFonts w:ascii="宋体" w:hAnsi="宋体" w:cs="Arial"/>
        </w:rPr>
        <w:t>面值</w:t>
      </w:r>
    </w:p>
    <w:p w14:paraId="1329448C">
      <w:pPr>
        <w:adjustRightInd w:val="0"/>
        <w:snapToGrid w:val="0"/>
        <w:spacing w:line="360" w:lineRule="auto"/>
        <w:ind w:firstLine="420" w:firstLineChars="200"/>
        <w:rPr>
          <w:rFonts w:ascii="宋体" w:hAnsi="宋体" w:cs="Arial"/>
          <w:kern w:val="3"/>
        </w:rPr>
      </w:pPr>
      <w:r>
        <w:rPr>
          <w:rFonts w:ascii="宋体" w:hAnsi="宋体" w:cs="Arial"/>
          <w:kern w:val="3"/>
        </w:rPr>
        <w:t>认购佣金</w:t>
      </w:r>
      <w:r>
        <w:rPr>
          <w:rFonts w:hint="eastAsia" w:ascii="宋体" w:hAnsi="宋体" w:cs="Arial"/>
          <w:kern w:val="3"/>
        </w:rPr>
        <w:t>保留到整数位，</w:t>
      </w:r>
      <w:r>
        <w:rPr>
          <w:rFonts w:ascii="宋体" w:hAnsi="宋体" w:cs="Arial"/>
          <w:kern w:val="3"/>
        </w:rPr>
        <w:t>小数点后舍去。</w:t>
      </w:r>
    </w:p>
    <w:p w14:paraId="31377332">
      <w:pPr>
        <w:adjustRightInd w:val="0"/>
        <w:snapToGrid w:val="0"/>
        <w:spacing w:line="360" w:lineRule="auto"/>
        <w:ind w:firstLine="420" w:firstLineChars="200"/>
        <w:rPr>
          <w:rFonts w:ascii="宋体" w:hAnsi="宋体" w:cs="Arial"/>
          <w:kern w:val="3"/>
        </w:rPr>
      </w:pPr>
      <w:r>
        <w:rPr>
          <w:rFonts w:ascii="宋体" w:hAnsi="宋体" w:cs="Arial"/>
          <w:kern w:val="3"/>
        </w:rPr>
        <w:t>例：某投资人持有</w:t>
      </w:r>
      <w:r>
        <w:rPr>
          <w:rFonts w:hint="eastAsia" w:ascii="宋体" w:hAnsi="宋体" w:cs="Arial"/>
          <w:kern w:val="3"/>
        </w:rPr>
        <w:t>中证全指红利质量指数</w:t>
      </w:r>
      <w:r>
        <w:rPr>
          <w:rFonts w:ascii="宋体" w:hAnsi="宋体" w:cs="Arial"/>
          <w:kern w:val="3"/>
        </w:rPr>
        <w:t>成份股中</w:t>
      </w:r>
      <w:r>
        <w:rPr>
          <w:rFonts w:hint="eastAsia" w:ascii="宋体" w:hAnsi="宋体" w:cs="Arial"/>
          <w:kern w:val="3"/>
        </w:rPr>
        <w:t>股票A 10,000股，至某发售代理机构网点认购本基金，选择以现金支付认购佣金。假设202×年×月×日股票A的均价为25.50元，基金管理人确认的有效认购数量为10,000股股票A，发售代理机构确认的佣金比率为0.</w:t>
      </w:r>
      <w:r>
        <w:rPr>
          <w:rFonts w:ascii="宋体" w:hAnsi="宋体" w:cs="Arial"/>
          <w:kern w:val="3"/>
        </w:rPr>
        <w:t>3</w:t>
      </w:r>
      <w:r>
        <w:rPr>
          <w:rFonts w:hint="eastAsia" w:ascii="宋体" w:hAnsi="宋体" w:cs="Arial"/>
          <w:kern w:val="3"/>
        </w:rPr>
        <w:t>0%，则其可得到的基金份额和需支付的认购佣金如下：</w:t>
      </w:r>
    </w:p>
    <w:p w14:paraId="374B202F">
      <w:pPr>
        <w:adjustRightInd w:val="0"/>
        <w:snapToGrid w:val="0"/>
        <w:spacing w:line="360" w:lineRule="auto"/>
        <w:ind w:firstLine="420" w:firstLineChars="200"/>
        <w:rPr>
          <w:rFonts w:ascii="宋体" w:hAnsi="宋体" w:cs="Arial"/>
          <w:kern w:val="3"/>
        </w:rPr>
      </w:pPr>
      <w:r>
        <w:rPr>
          <w:rFonts w:hint="eastAsia" w:ascii="宋体" w:hAnsi="宋体" w:cs="Arial"/>
          <w:kern w:val="3"/>
        </w:rPr>
        <w:t>认购份额=（10,000×25.50）÷1.00＝255,000份</w:t>
      </w:r>
    </w:p>
    <w:p w14:paraId="581E8104">
      <w:pPr>
        <w:adjustRightInd w:val="0"/>
        <w:snapToGrid w:val="0"/>
        <w:spacing w:line="360" w:lineRule="auto"/>
        <w:ind w:firstLine="420" w:firstLineChars="200"/>
        <w:rPr>
          <w:rFonts w:ascii="宋体" w:hAnsi="宋体" w:cs="Arial"/>
          <w:kern w:val="3"/>
        </w:rPr>
      </w:pPr>
      <w:r>
        <w:rPr>
          <w:rFonts w:hint="eastAsia" w:ascii="宋体" w:hAnsi="宋体" w:cs="Arial"/>
          <w:kern w:val="3"/>
        </w:rPr>
        <w:t>认购佣金=</w:t>
      </w:r>
      <w:r>
        <w:rPr>
          <w:rFonts w:ascii="宋体" w:hAnsi="宋体" w:cs="Arial"/>
          <w:kern w:val="3"/>
        </w:rPr>
        <w:t>1.00</w:t>
      </w:r>
      <w:r>
        <w:rPr>
          <w:rFonts w:hint="eastAsia" w:ascii="宋体" w:hAnsi="宋体" w:cs="Arial"/>
          <w:kern w:val="3"/>
        </w:rPr>
        <w:t>×255,000×0.</w:t>
      </w:r>
      <w:r>
        <w:rPr>
          <w:rFonts w:ascii="宋体" w:hAnsi="宋体" w:cs="Arial"/>
          <w:kern w:val="3"/>
        </w:rPr>
        <w:t>3</w:t>
      </w:r>
      <w:r>
        <w:rPr>
          <w:rFonts w:hint="eastAsia" w:ascii="宋体" w:hAnsi="宋体" w:cs="Arial"/>
          <w:kern w:val="3"/>
        </w:rPr>
        <w:t>0%＝</w:t>
      </w:r>
      <w:r>
        <w:rPr>
          <w:rFonts w:ascii="宋体" w:hAnsi="宋体" w:cs="Arial"/>
          <w:kern w:val="3"/>
        </w:rPr>
        <w:t>765</w:t>
      </w:r>
      <w:r>
        <w:rPr>
          <w:rFonts w:hint="eastAsia" w:ascii="宋体" w:hAnsi="宋体" w:cs="Arial"/>
          <w:kern w:val="3"/>
        </w:rPr>
        <w:t>元</w:t>
      </w:r>
    </w:p>
    <w:p w14:paraId="25485D68">
      <w:pPr>
        <w:adjustRightInd w:val="0"/>
        <w:snapToGrid w:val="0"/>
        <w:spacing w:line="360" w:lineRule="auto"/>
        <w:ind w:firstLine="420" w:firstLineChars="200"/>
        <w:rPr>
          <w:rFonts w:ascii="宋体" w:hAnsi="宋体" w:cs="Arial"/>
          <w:kern w:val="3"/>
        </w:rPr>
      </w:pPr>
      <w:r>
        <w:rPr>
          <w:rFonts w:hint="eastAsia" w:ascii="宋体" w:hAnsi="宋体" w:cs="Arial"/>
          <w:kern w:val="3"/>
        </w:rPr>
        <w:t>即投资人可认购到255,000份本基金基金份额，并需另行支付</w:t>
      </w:r>
      <w:r>
        <w:rPr>
          <w:rFonts w:ascii="宋体" w:hAnsi="宋体" w:cs="Arial"/>
          <w:kern w:val="3"/>
        </w:rPr>
        <w:t>765</w:t>
      </w:r>
      <w:r>
        <w:rPr>
          <w:rFonts w:hint="eastAsia" w:ascii="宋体" w:hAnsi="宋体" w:cs="Arial"/>
          <w:kern w:val="3"/>
        </w:rPr>
        <w:t>元的认购佣金。</w:t>
      </w:r>
    </w:p>
    <w:p w14:paraId="64342849">
      <w:pPr>
        <w:adjustRightInd w:val="0"/>
        <w:snapToGrid w:val="0"/>
        <w:spacing w:line="360" w:lineRule="auto"/>
        <w:ind w:firstLine="420" w:firstLineChars="200"/>
        <w:rPr>
          <w:rFonts w:ascii="宋体" w:hAnsi="宋体" w:cs="Arial"/>
          <w:kern w:val="3"/>
        </w:rPr>
      </w:pPr>
      <w:r>
        <w:rPr>
          <w:rFonts w:hint="eastAsia" w:ascii="宋体" w:hAnsi="宋体" w:cs="Arial"/>
          <w:kern w:val="3"/>
        </w:rPr>
        <w:t>续上例：假设该投资人选择以基金份额的方式交纳认购佣金，则投资人最终可得的净认购份额为：</w:t>
      </w:r>
    </w:p>
    <w:p w14:paraId="3FFA59A0">
      <w:pPr>
        <w:adjustRightInd w:val="0"/>
        <w:snapToGrid w:val="0"/>
        <w:spacing w:line="360" w:lineRule="auto"/>
        <w:ind w:firstLine="420" w:firstLineChars="200"/>
        <w:rPr>
          <w:rFonts w:ascii="宋体" w:hAnsi="宋体" w:cs="Arial"/>
          <w:kern w:val="3"/>
        </w:rPr>
      </w:pPr>
      <w:r>
        <w:rPr>
          <w:rFonts w:hint="eastAsia" w:ascii="宋体" w:hAnsi="宋体" w:cs="Arial"/>
          <w:kern w:val="3"/>
        </w:rPr>
        <w:t>认购份额=（10,000×25.50）÷1.00=255,000份</w:t>
      </w:r>
    </w:p>
    <w:p w14:paraId="024D388E">
      <w:pPr>
        <w:adjustRightInd w:val="0"/>
        <w:snapToGrid w:val="0"/>
        <w:spacing w:line="360" w:lineRule="auto"/>
        <w:ind w:firstLine="420" w:firstLineChars="200"/>
        <w:rPr>
          <w:rFonts w:ascii="宋体" w:hAnsi="宋体" w:cs="Arial"/>
          <w:kern w:val="3"/>
        </w:rPr>
      </w:pPr>
      <w:r>
        <w:rPr>
          <w:rFonts w:hint="eastAsia" w:ascii="宋体" w:hAnsi="宋体" w:cs="Arial"/>
          <w:kern w:val="3"/>
        </w:rPr>
        <w:t>认购佣金=1.00×255,000÷（1+0.</w:t>
      </w:r>
      <w:r>
        <w:rPr>
          <w:rFonts w:ascii="宋体" w:hAnsi="宋体" w:cs="Arial"/>
          <w:kern w:val="3"/>
        </w:rPr>
        <w:t>3</w:t>
      </w:r>
      <w:r>
        <w:rPr>
          <w:rFonts w:hint="eastAsia" w:ascii="宋体" w:hAnsi="宋体" w:cs="Arial"/>
          <w:kern w:val="3"/>
        </w:rPr>
        <w:t>0%）×0.</w:t>
      </w:r>
      <w:r>
        <w:rPr>
          <w:rFonts w:ascii="宋体" w:hAnsi="宋体" w:cs="Arial"/>
          <w:kern w:val="3"/>
        </w:rPr>
        <w:t>3</w:t>
      </w:r>
      <w:r>
        <w:rPr>
          <w:rFonts w:hint="eastAsia" w:ascii="宋体" w:hAnsi="宋体" w:cs="Arial"/>
          <w:kern w:val="3"/>
        </w:rPr>
        <w:t>0%=</w:t>
      </w:r>
      <w:r>
        <w:rPr>
          <w:rFonts w:ascii="宋体" w:hAnsi="宋体" w:cs="Arial"/>
          <w:kern w:val="3"/>
        </w:rPr>
        <w:t>762</w:t>
      </w:r>
      <w:r>
        <w:rPr>
          <w:rFonts w:hint="eastAsia" w:ascii="宋体" w:hAnsi="宋体" w:cs="Arial"/>
          <w:kern w:val="3"/>
        </w:rPr>
        <w:t>元</w:t>
      </w:r>
    </w:p>
    <w:p w14:paraId="677F4280">
      <w:pPr>
        <w:adjustRightInd w:val="0"/>
        <w:snapToGrid w:val="0"/>
        <w:spacing w:line="360" w:lineRule="auto"/>
        <w:ind w:firstLine="420" w:firstLineChars="200"/>
        <w:rPr>
          <w:rFonts w:ascii="宋体" w:hAnsi="宋体" w:cs="Arial"/>
          <w:kern w:val="3"/>
        </w:rPr>
      </w:pPr>
      <w:r>
        <w:rPr>
          <w:rFonts w:hint="eastAsia" w:ascii="宋体" w:hAnsi="宋体" w:cs="Arial"/>
          <w:kern w:val="3"/>
        </w:rPr>
        <w:t>净认购份额＝255,000－</w:t>
      </w:r>
      <w:r>
        <w:rPr>
          <w:rFonts w:ascii="宋体" w:hAnsi="宋体" w:cs="Arial"/>
          <w:kern w:val="3"/>
        </w:rPr>
        <w:t>762</w:t>
      </w:r>
      <w:r>
        <w:rPr>
          <w:rFonts w:hint="eastAsia" w:ascii="宋体" w:hAnsi="宋体" w:cs="Arial"/>
          <w:kern w:val="3"/>
        </w:rPr>
        <w:t>÷1.00＝</w:t>
      </w:r>
      <w:r>
        <w:rPr>
          <w:rFonts w:ascii="宋体" w:hAnsi="宋体" w:cs="Arial"/>
          <w:kern w:val="3"/>
        </w:rPr>
        <w:t>254,238</w:t>
      </w:r>
      <w:r>
        <w:rPr>
          <w:rFonts w:hint="eastAsia" w:ascii="宋体" w:hAnsi="宋体" w:cs="Arial"/>
          <w:kern w:val="3"/>
        </w:rPr>
        <w:t>份</w:t>
      </w:r>
    </w:p>
    <w:p w14:paraId="18271B12">
      <w:pPr>
        <w:adjustRightInd w:val="0"/>
        <w:snapToGrid w:val="0"/>
        <w:spacing w:line="360" w:lineRule="auto"/>
        <w:ind w:firstLine="420" w:firstLineChars="200"/>
        <w:rPr>
          <w:rFonts w:ascii="宋体" w:hAnsi="宋体" w:cs="Arial"/>
          <w:kern w:val="3"/>
        </w:rPr>
      </w:pPr>
      <w:r>
        <w:rPr>
          <w:rFonts w:hint="eastAsia" w:ascii="宋体" w:hAnsi="宋体" w:cs="Arial"/>
          <w:kern w:val="3"/>
        </w:rPr>
        <w:t>即该投资人可确认得到</w:t>
      </w:r>
      <w:r>
        <w:rPr>
          <w:rFonts w:ascii="宋体" w:hAnsi="宋体" w:cs="Arial"/>
          <w:kern w:val="3"/>
        </w:rPr>
        <w:t>254,238</w:t>
      </w:r>
      <w:r>
        <w:rPr>
          <w:rFonts w:hint="eastAsia" w:ascii="宋体" w:hAnsi="宋体" w:cs="Arial"/>
          <w:kern w:val="3"/>
        </w:rPr>
        <w:t>份基金份额，并已通过基金份额方式支付了</w:t>
      </w:r>
      <w:r>
        <w:rPr>
          <w:rFonts w:ascii="宋体" w:hAnsi="宋体" w:cs="Arial"/>
          <w:kern w:val="3"/>
        </w:rPr>
        <w:t>762</w:t>
      </w:r>
      <w:r>
        <w:rPr>
          <w:rFonts w:hint="eastAsia" w:ascii="宋体" w:hAnsi="宋体" w:cs="Arial"/>
          <w:kern w:val="3"/>
        </w:rPr>
        <w:t>元的认购佣金。</w:t>
      </w:r>
    </w:p>
    <w:p w14:paraId="2F46419B">
      <w:pPr>
        <w:adjustRightInd w:val="0"/>
        <w:snapToGrid w:val="0"/>
        <w:spacing w:line="360" w:lineRule="auto"/>
        <w:ind w:firstLine="420" w:firstLineChars="200"/>
        <w:rPr>
          <w:rFonts w:ascii="宋体" w:hAnsi="宋体" w:cs="Arial"/>
        </w:rPr>
      </w:pPr>
      <w:r>
        <w:rPr>
          <w:rFonts w:hint="eastAsia" w:ascii="宋体" w:hAnsi="宋体" w:cs="Arial"/>
          <w:kern w:val="3"/>
        </w:rPr>
        <w:t>如果投资人申报的个股认购数量总额大于基金管理人可确认的认购数量上限，基金管理人则按照各投资人的认购申报数量同比例收取投资人提交认购的股票。</w:t>
      </w:r>
    </w:p>
    <w:p w14:paraId="354F9666">
      <w:pPr>
        <w:snapToGrid w:val="0"/>
        <w:spacing w:line="360" w:lineRule="auto"/>
        <w:ind w:firstLine="420"/>
        <w:rPr>
          <w:rFonts w:ascii="宋体" w:hAnsi="宋体" w:cs="Arial"/>
          <w:b/>
        </w:rPr>
      </w:pPr>
      <w:bookmarkStart w:id="71" w:name="_Toc276561311"/>
      <w:r>
        <w:rPr>
          <w:rFonts w:ascii="宋体" w:hAnsi="宋体" w:cs="Arial"/>
          <w:b/>
        </w:rPr>
        <w:t>十</w:t>
      </w:r>
      <w:r>
        <w:rPr>
          <w:rFonts w:hint="eastAsia" w:ascii="宋体" w:hAnsi="宋体" w:cs="Arial"/>
          <w:b/>
        </w:rPr>
        <w:t>五</w:t>
      </w:r>
      <w:r>
        <w:rPr>
          <w:rFonts w:ascii="宋体" w:hAnsi="宋体" w:cs="Arial"/>
          <w:b/>
        </w:rPr>
        <w:t>、募集资金利息与募集股票权益的处理方式</w:t>
      </w:r>
      <w:bookmarkEnd w:id="71"/>
    </w:p>
    <w:p w14:paraId="49499EA5">
      <w:pPr>
        <w:snapToGrid w:val="0"/>
        <w:spacing w:line="360" w:lineRule="auto"/>
        <w:ind w:firstLine="420"/>
        <w:rPr>
          <w:rFonts w:ascii="宋体" w:hAnsi="宋体" w:cs="Arial"/>
          <w:bCs/>
        </w:rPr>
      </w:pPr>
      <w:r>
        <w:rPr>
          <w:rFonts w:hint="eastAsia" w:ascii="宋体" w:hAnsi="宋体" w:cs="Arial"/>
          <w:bCs/>
        </w:rPr>
        <w:t>网下现金认购及网上现金认购的有效认购资金在募集期间产生的利息将折算为基金份额归基金份额持有人所有。募集的股票自认购日至登记机构进行股票过户日的期间所产生的权益归投资人所有。</w:t>
      </w:r>
    </w:p>
    <w:p w14:paraId="285806BF">
      <w:pPr>
        <w:snapToGrid w:val="0"/>
        <w:spacing w:line="360" w:lineRule="auto"/>
        <w:ind w:firstLine="420"/>
        <w:rPr>
          <w:rFonts w:ascii="宋体" w:hAnsi="宋体" w:cs="Arial"/>
          <w:b/>
        </w:rPr>
      </w:pPr>
      <w:r>
        <w:rPr>
          <w:rFonts w:hint="eastAsia" w:ascii="宋体" w:hAnsi="宋体" w:cs="Arial"/>
          <w:b/>
        </w:rPr>
        <w:t>十六、募集资金、股票与费用</w:t>
      </w:r>
      <w:r>
        <w:rPr>
          <w:rFonts w:ascii="宋体" w:hAnsi="宋体" w:cs="Arial"/>
          <w:b/>
        </w:rPr>
        <w:t xml:space="preserve"> </w:t>
      </w:r>
    </w:p>
    <w:p w14:paraId="540788F4">
      <w:pPr>
        <w:adjustRightInd w:val="0"/>
        <w:snapToGrid w:val="0"/>
        <w:spacing w:line="360" w:lineRule="auto"/>
        <w:ind w:firstLine="422" w:firstLineChars="201"/>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基金募集期间募集的资金存入专门账户，在基金募集行为结束前，任何人不得动用。网下股票认购募集的股票，在基金募集行为结束前任何人不得动用。</w:t>
      </w:r>
    </w:p>
    <w:p w14:paraId="401DE1FD">
      <w:pPr>
        <w:adjustRightInd w:val="0"/>
        <w:snapToGrid w:val="0"/>
        <w:spacing w:line="360" w:lineRule="auto"/>
        <w:ind w:firstLine="420" w:firstLineChars="200"/>
        <w:rPr>
          <w:rFonts w:ascii="宋体" w:hAnsi="宋体"/>
        </w:rPr>
      </w:pPr>
      <w:r>
        <w:rPr>
          <w:rFonts w:hint="eastAsia" w:ascii="宋体" w:hAnsi="宋体" w:cs="宋体"/>
          <w:kern w:val="0"/>
        </w:rPr>
        <w:t>基金募集期间的信息披露费、会计师费、律师费以及其他费用，不得从基金财产中列支。</w:t>
      </w:r>
    </w:p>
    <w:p w14:paraId="55738F96">
      <w:pPr>
        <w:adjustRightInd w:val="0"/>
        <w:snapToGrid w:val="0"/>
        <w:spacing w:line="360" w:lineRule="auto"/>
        <w:ind w:firstLine="422" w:firstLineChars="200"/>
        <w:rPr>
          <w:rFonts w:ascii="宋体" w:hAnsi="宋体" w:cs="Arial"/>
          <w:b/>
          <w:bCs/>
        </w:rPr>
      </w:pPr>
      <w:r>
        <w:rPr>
          <w:rFonts w:hint="eastAsia" w:ascii="宋体" w:hAnsi="宋体" w:cs="Arial"/>
          <w:b/>
          <w:bCs/>
        </w:rPr>
        <w:t>十七、增设新的份额类别或发行联接基金等相关业务</w:t>
      </w:r>
    </w:p>
    <w:p w14:paraId="4D583DD1">
      <w:pPr>
        <w:spacing w:line="360" w:lineRule="auto"/>
        <w:ind w:firstLine="420" w:firstLineChars="200"/>
        <w:rPr>
          <w:rFonts w:cs="Arial" w:asciiTheme="minorEastAsia" w:hAnsiTheme="minorEastAsia"/>
          <w:color w:val="0D0D0D" w:themeColor="text1" w:themeTint="F2"/>
          <w14:textFill>
            <w14:solidFill>
              <w14:schemeClr w14:val="tx1">
                <w14:lumMod w14:val="95000"/>
                <w14:lumOff w14:val="5000"/>
              </w14:schemeClr>
            </w14:solidFill>
          </w14:textFill>
        </w:rPr>
      </w:pPr>
      <w:r>
        <w:rPr>
          <w:rFonts w:hint="eastAsia" w:cs="Arial" w:asciiTheme="minorEastAsia" w:hAnsiTheme="minorEastAsia"/>
          <w:color w:val="0D0D0D" w:themeColor="text1" w:themeTint="F2"/>
          <w14:textFill>
            <w14:solidFill>
              <w14:schemeClr w14:val="tx1">
                <w14:lumMod w14:val="95000"/>
                <w14:lumOff w14:val="5000"/>
              </w14:schemeClr>
            </w14:solidFill>
          </w14:textFill>
        </w:rPr>
        <w:t>在不违反法律法规及对基金份额持有人利益无实质性不利影响的前提下，基金管理人可根据基金发展需要，经与基金托管人协商一致并履行相关程序后，为本基金增设新的份额类别或开通场外申购、赎回相关业务并制定相应的业务规则，或募集并管理以本基金为目标ETF的一只或多只联接基金，无需召开基金份额持有人大会审议。</w:t>
      </w:r>
    </w:p>
    <w:bookmarkEnd w:id="31"/>
    <w:bookmarkEnd w:id="32"/>
    <w:bookmarkEnd w:id="33"/>
    <w:bookmarkEnd w:id="34"/>
    <w:p w14:paraId="6D963AC7">
      <w:pPr>
        <w:adjustRightInd w:val="0"/>
        <w:snapToGrid w:val="0"/>
        <w:spacing w:line="360" w:lineRule="auto"/>
        <w:ind w:firstLine="420" w:firstLineChars="200"/>
        <w:rPr>
          <w:rFonts w:ascii="宋体" w:hAnsi="宋体" w:cs="Arial"/>
        </w:rPr>
        <w:sectPr>
          <w:footerReference r:id="rId24" w:type="first"/>
          <w:footerReference r:id="rId23" w:type="default"/>
          <w:pgSz w:w="11906" w:h="16838"/>
          <w:pgMar w:top="1440" w:right="1800" w:bottom="1440" w:left="1800" w:header="851" w:footer="992" w:gutter="0"/>
          <w:pgNumType w:start="1"/>
          <w:cols w:space="720" w:num="1"/>
          <w:titlePg/>
          <w:docGrid w:linePitch="312" w:charSpace="0"/>
        </w:sectPr>
      </w:pPr>
      <w:bookmarkStart w:id="72" w:name="_Toc355947447"/>
      <w:bookmarkStart w:id="73" w:name="_Toc237176223"/>
      <w:bookmarkStart w:id="74" w:name="_Toc12357171"/>
      <w:bookmarkStart w:id="75" w:name="_Toc147463118"/>
      <w:bookmarkStart w:id="76" w:name="_Toc21073391"/>
      <w:bookmarkStart w:id="77" w:name="_Toc214873597"/>
    </w:p>
    <w:p w14:paraId="694AC77F">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78" w:name="_Toc214873596"/>
      <w:bookmarkStart w:id="79" w:name="_Toc26124"/>
      <w:bookmarkStart w:id="80" w:name="_Toc91110275"/>
      <w:bookmarkStart w:id="81" w:name="_Toc8052744"/>
      <w:bookmarkStart w:id="82" w:name="_Toc408484002"/>
      <w:r>
        <w:rPr>
          <w:rFonts w:ascii="宋体" w:hAnsi="宋体" w:eastAsia="宋体" w:cs="Arial"/>
          <w:kern w:val="0"/>
          <w:sz w:val="28"/>
          <w:szCs w:val="28"/>
        </w:rPr>
        <w:t>第</w:t>
      </w:r>
      <w:r>
        <w:rPr>
          <w:rFonts w:hint="eastAsia" w:ascii="宋体" w:hAnsi="宋体" w:eastAsia="宋体" w:cs="Arial"/>
          <w:kern w:val="0"/>
          <w:sz w:val="28"/>
          <w:szCs w:val="28"/>
        </w:rPr>
        <w:t>七</w:t>
      </w:r>
      <w:r>
        <w:rPr>
          <w:rFonts w:ascii="宋体" w:hAnsi="宋体" w:eastAsia="宋体" w:cs="Arial"/>
          <w:kern w:val="0"/>
          <w:sz w:val="28"/>
          <w:szCs w:val="28"/>
        </w:rPr>
        <w:t xml:space="preserve">部分  </w:t>
      </w:r>
      <w:bookmarkEnd w:id="78"/>
      <w:r>
        <w:rPr>
          <w:rFonts w:hint="eastAsia" w:ascii="宋体" w:hAnsi="宋体" w:eastAsia="宋体" w:cs="Arial"/>
          <w:kern w:val="0"/>
          <w:sz w:val="28"/>
          <w:szCs w:val="28"/>
        </w:rPr>
        <w:t>基金合同的生效</w:t>
      </w:r>
      <w:bookmarkEnd w:id="79"/>
      <w:bookmarkEnd w:id="80"/>
      <w:bookmarkEnd w:id="81"/>
      <w:bookmarkEnd w:id="82"/>
    </w:p>
    <w:p w14:paraId="74D43E82">
      <w:pPr>
        <w:spacing w:line="360" w:lineRule="auto"/>
        <w:rPr>
          <w:rFonts w:ascii="宋体" w:hAnsi="宋体"/>
        </w:rPr>
      </w:pPr>
    </w:p>
    <w:p w14:paraId="0D6EE63C">
      <w:pPr>
        <w:adjustRightInd w:val="0"/>
        <w:snapToGrid w:val="0"/>
        <w:spacing w:line="360" w:lineRule="auto"/>
        <w:ind w:firstLine="422" w:firstLineChars="200"/>
        <w:rPr>
          <w:rFonts w:ascii="宋体" w:hAnsi="宋体" w:cs="Arial"/>
          <w:b/>
          <w:kern w:val="0"/>
        </w:rPr>
      </w:pPr>
      <w:bookmarkStart w:id="83" w:name="_Hlk106302822"/>
      <w:r>
        <w:rPr>
          <w:rFonts w:ascii="宋体" w:hAnsi="宋体" w:cs="Arial"/>
          <w:b/>
          <w:kern w:val="0"/>
        </w:rPr>
        <w:t>一、基金备案的条件</w:t>
      </w:r>
    </w:p>
    <w:p w14:paraId="72833993">
      <w:pPr>
        <w:adjustRightInd w:val="0"/>
        <w:snapToGrid w:val="0"/>
        <w:spacing w:line="360" w:lineRule="auto"/>
        <w:ind w:firstLine="420" w:firstLineChars="200"/>
        <w:rPr>
          <w:rFonts w:ascii="宋体" w:hAnsi="宋体" w:cs="Arial"/>
          <w:kern w:val="0"/>
        </w:rPr>
      </w:pPr>
      <w:r>
        <w:rPr>
          <w:rFonts w:hint="eastAsia" w:ascii="宋体" w:hAnsi="宋体" w:cs="Arial"/>
          <w:kern w:val="0"/>
        </w:rPr>
        <w:t>本基金自基金份额发售之日起3个月内，在基金募集份额总额不少于2亿份，基金募集金额（含网下股票认购所募集的股票按基金合同约定的估值方法计算的价值）不少于2亿元人民币且基金认购人数不少于200人的条件下，基金募集期届满或基金管理人依据法律法规及招募说明书可以决定停止基金发售，并在10日内聘请法定验资机构验资，自收到验资报告之日起10日内，向中国证监会办理基金备案手续。</w:t>
      </w:r>
    </w:p>
    <w:p w14:paraId="2F44BBEF">
      <w:pPr>
        <w:adjustRightInd w:val="0"/>
        <w:snapToGrid w:val="0"/>
        <w:spacing w:line="360" w:lineRule="auto"/>
        <w:ind w:firstLine="420" w:firstLineChars="200"/>
        <w:rPr>
          <w:rFonts w:ascii="宋体" w:hAnsi="宋体" w:cs="Arial"/>
          <w:kern w:val="0"/>
        </w:rPr>
      </w:pPr>
      <w:r>
        <w:rPr>
          <w:rFonts w:hint="eastAsia" w:ascii="宋体" w:hAnsi="宋体" w:cs="Arial"/>
          <w:kern w:val="0"/>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w:t>
      </w:r>
    </w:p>
    <w:p w14:paraId="7AEA794A">
      <w:pPr>
        <w:adjustRightInd w:val="0"/>
        <w:snapToGrid w:val="0"/>
        <w:spacing w:line="360" w:lineRule="auto"/>
        <w:ind w:firstLine="420" w:firstLineChars="200"/>
        <w:rPr>
          <w:rFonts w:ascii="宋体" w:hAnsi="宋体" w:cs="Arial"/>
          <w:kern w:val="0"/>
        </w:rPr>
      </w:pPr>
      <w:r>
        <w:rPr>
          <w:rFonts w:hint="eastAsia" w:ascii="宋体" w:hAnsi="宋体" w:cs="Arial"/>
          <w:kern w:val="0"/>
        </w:rPr>
        <w:t>基金管理人应将基金募集期间募集的资金存入专门账户，在基金募集行为结束前，任何人不得动用。网下股票认购募集的股票，在基金募集行为结束前任何人不得动用。</w:t>
      </w:r>
    </w:p>
    <w:p w14:paraId="103C184D">
      <w:pPr>
        <w:adjustRightInd w:val="0"/>
        <w:snapToGrid w:val="0"/>
        <w:spacing w:line="360" w:lineRule="auto"/>
        <w:ind w:firstLine="422" w:firstLineChars="200"/>
        <w:rPr>
          <w:rFonts w:ascii="宋体" w:hAnsi="宋体"/>
          <w:b/>
        </w:rPr>
      </w:pPr>
      <w:r>
        <w:rPr>
          <w:rFonts w:hint="eastAsia" w:ascii="宋体" w:hAnsi="宋体" w:cs="Arial"/>
          <w:b/>
          <w:kern w:val="0"/>
        </w:rPr>
        <w:t>二、</w:t>
      </w:r>
      <w:r>
        <w:rPr>
          <w:rFonts w:hint="eastAsia" w:ascii="宋体" w:hAnsi="宋体"/>
          <w:b/>
        </w:rPr>
        <w:t>基金合同不能生效时募集资金及</w:t>
      </w:r>
      <w:r>
        <w:rPr>
          <w:rFonts w:ascii="宋体" w:hAnsi="宋体"/>
          <w:b/>
        </w:rPr>
        <w:t>股票</w:t>
      </w:r>
      <w:r>
        <w:rPr>
          <w:rFonts w:hint="eastAsia" w:ascii="宋体" w:hAnsi="宋体"/>
          <w:b/>
        </w:rPr>
        <w:t>的处理方式</w:t>
      </w:r>
    </w:p>
    <w:p w14:paraId="6C7D04B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如果募集期限届满，未满足基金备案条件，基金管理人应当承担下列责任：</w:t>
      </w:r>
    </w:p>
    <w:p w14:paraId="132B7412">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1、以其固有财产承担因募集行为而产生的债务和费用；</w:t>
      </w:r>
    </w:p>
    <w:p w14:paraId="05108D04">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2、在基金募集期限届满后30日内返还投资者已交纳的款项，并加计银行同期活期存款利息，同时将已冻结的股票解冻，基金管理人不承担相关股票冻结期间交易价格波动的责任；</w:t>
      </w:r>
    </w:p>
    <w:p w14:paraId="66FE87F3">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3、如基金募集失败，基金管理人、基金托管人及销售机构不得请求报酬。</w:t>
      </w:r>
    </w:p>
    <w:p w14:paraId="4DB269A4">
      <w:pPr>
        <w:snapToGrid w:val="0"/>
        <w:spacing w:line="360" w:lineRule="auto"/>
        <w:ind w:firstLine="42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基金管理人、基金托管人和销售机构为基金募集支付之一切费用应由各方各自承担。</w:t>
      </w:r>
    </w:p>
    <w:p w14:paraId="508B95CA">
      <w:pPr>
        <w:snapToGrid w:val="0"/>
        <w:spacing w:line="360" w:lineRule="auto"/>
        <w:ind w:firstLine="420"/>
        <w:rPr>
          <w:rFonts w:ascii="宋体" w:hAnsi="宋体" w:cs="Arial"/>
          <w:b/>
          <w:kern w:val="0"/>
        </w:rPr>
      </w:pPr>
      <w:r>
        <w:rPr>
          <w:rFonts w:hint="eastAsia" w:ascii="宋体" w:hAnsi="宋体" w:cs="Arial"/>
          <w:b/>
          <w:kern w:val="0"/>
        </w:rPr>
        <w:t>三、</w:t>
      </w:r>
      <w:r>
        <w:rPr>
          <w:rFonts w:ascii="宋体" w:hAnsi="宋体" w:cs="Arial"/>
          <w:b/>
          <w:kern w:val="0"/>
        </w:rPr>
        <w:t>基金存续期内的基金份额持有人数量和资产规模</w:t>
      </w:r>
    </w:p>
    <w:bookmarkEnd w:id="72"/>
    <w:p w14:paraId="15FE3EBA">
      <w:pPr>
        <w:adjustRightInd w:val="0"/>
        <w:snapToGrid w:val="0"/>
        <w:spacing w:line="360" w:lineRule="auto"/>
        <w:ind w:firstLine="420" w:firstLineChars="200"/>
        <w:rPr>
          <w:rFonts w:asciiTheme="minorEastAsia" w:hAnsiTheme="minorEastAsia"/>
          <w:bCs/>
        </w:rPr>
      </w:pPr>
      <w:bookmarkStart w:id="84" w:name="_Toc408484003"/>
      <w:bookmarkStart w:id="85" w:name="_Toc8052745"/>
      <w:r>
        <w:rPr>
          <w:rFonts w:hint="eastAsia" w:asciiTheme="minorEastAsia" w:hAnsiTheme="minorEastAsia"/>
          <w:bCs/>
        </w:rPr>
        <w:t>《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w:t>
      </w:r>
    </w:p>
    <w:p w14:paraId="55B91EF7">
      <w:pPr>
        <w:adjustRightInd w:val="0"/>
        <w:snapToGrid w:val="0"/>
        <w:spacing w:line="360" w:lineRule="auto"/>
        <w:ind w:firstLine="420" w:firstLineChars="200"/>
        <w:rPr>
          <w:rFonts w:asciiTheme="minorEastAsia" w:hAnsiTheme="minorEastAsia"/>
          <w:bCs/>
        </w:rPr>
      </w:pPr>
      <w:r>
        <w:rPr>
          <w:rFonts w:hint="eastAsia" w:asciiTheme="minorEastAsia" w:hAnsiTheme="minorEastAsia"/>
          <w:bCs/>
        </w:rPr>
        <w:t>法律法规或中国证监会另有规定时，从其规定。</w:t>
      </w:r>
    </w:p>
    <w:p w14:paraId="629E47A4">
      <w:pPr>
        <w:adjustRightInd w:val="0"/>
        <w:snapToGrid w:val="0"/>
        <w:spacing w:line="360" w:lineRule="auto"/>
        <w:ind w:firstLine="420" w:firstLineChars="200"/>
        <w:rPr>
          <w:rFonts w:asciiTheme="minorEastAsia" w:hAnsiTheme="minorEastAsia"/>
          <w:bCs/>
        </w:rPr>
        <w:sectPr>
          <w:footerReference r:id="rId25" w:type="default"/>
          <w:pgSz w:w="11906" w:h="16838"/>
          <w:pgMar w:top="1440" w:right="1800" w:bottom="1440" w:left="1800" w:header="851" w:footer="992" w:gutter="0"/>
          <w:pgNumType w:start="1"/>
          <w:cols w:space="425" w:num="1"/>
          <w:docGrid w:type="lines" w:linePitch="312" w:charSpace="0"/>
        </w:sectPr>
      </w:pPr>
    </w:p>
    <w:bookmarkEnd w:id="83"/>
    <w:p w14:paraId="3F55C0A9">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86" w:name="_Toc91110276"/>
      <w:bookmarkStart w:id="87" w:name="_Toc23688"/>
      <w:r>
        <w:rPr>
          <w:rFonts w:hint="eastAsia" w:ascii="宋体" w:hAnsi="宋体" w:eastAsia="宋体" w:cs="Arial"/>
          <w:kern w:val="0"/>
          <w:sz w:val="28"/>
          <w:szCs w:val="28"/>
        </w:rPr>
        <w:t>第八部分  基金份额折算与变更登记</w:t>
      </w:r>
      <w:bookmarkEnd w:id="84"/>
      <w:bookmarkEnd w:id="85"/>
      <w:bookmarkEnd w:id="86"/>
      <w:bookmarkEnd w:id="87"/>
    </w:p>
    <w:p w14:paraId="57CCD8DA">
      <w:pPr>
        <w:rPr>
          <w:rFonts w:ascii="宋体" w:hAnsi="宋体"/>
        </w:rPr>
      </w:pPr>
    </w:p>
    <w:p w14:paraId="68A80BA5">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bookmarkStart w:id="88" w:name="_Hlk106302861"/>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基金合同生效后，本基金可以进行份额折算。</w:t>
      </w:r>
    </w:p>
    <w:p w14:paraId="11D39AB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一、基金份额折算的时间</w:t>
      </w:r>
    </w:p>
    <w:p w14:paraId="7DE3869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基金管理人应事先确定基金份额折算日，并依照《信息披露办法》的有关规定进行公告。</w:t>
      </w:r>
    </w:p>
    <w:p w14:paraId="1CB04C51">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二、基金份额折算的原则</w:t>
      </w:r>
    </w:p>
    <w:p w14:paraId="326C8F13">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基金份额折算由基金管理人向登记机构申请办理，并由登记机构进行基金份额的变更登记。基金份额折算的比例和具体安排见基金管理人届时发布的相关公告。</w:t>
      </w:r>
    </w:p>
    <w:p w14:paraId="09B9A8F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因尾数处理而产生的损益不视为实质性影响），无需召开基金份额持有人大会审议。基金份额折算后，基金份额持有人将按照折算后的基金份额享有权利并承担义务。</w:t>
      </w:r>
    </w:p>
    <w:p w14:paraId="3293D623">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如果基金份额折算过程中发生不可抗力等特殊情形，基金管理人可延迟办理基金份额折算。</w:t>
      </w:r>
    </w:p>
    <w:p w14:paraId="6C8ABE5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三、基金份额折算的方法</w:t>
      </w:r>
    </w:p>
    <w:p w14:paraId="59976D45">
      <w:pPr>
        <w:ind w:firstLine="360"/>
        <w:sectPr>
          <w:footerReference r:id="rId26" w:type="default"/>
          <w:pgSz w:w="11906" w:h="16838"/>
          <w:pgMar w:top="1440" w:right="1800" w:bottom="1440" w:left="1800" w:header="851" w:footer="992" w:gutter="0"/>
          <w:pgNumType w:start="1"/>
          <w:cols w:space="720" w:num="1"/>
          <w:docGrid w:linePitch="312" w:charSpace="0"/>
        </w:sect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基金份额折算的具体方法在份额折算公告中列示。</w:t>
      </w:r>
      <w:bookmarkEnd w:id="88"/>
    </w:p>
    <w:p w14:paraId="46583DC2">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89" w:name="_Toc91110277"/>
      <w:bookmarkStart w:id="90" w:name="_Toc8052746"/>
      <w:bookmarkStart w:id="91" w:name="_Toc24718"/>
      <w:r>
        <w:rPr>
          <w:rFonts w:ascii="宋体" w:hAnsi="宋体" w:eastAsia="宋体" w:cs="Arial"/>
          <w:kern w:val="0"/>
          <w:sz w:val="28"/>
          <w:szCs w:val="28"/>
        </w:rPr>
        <w:t>第</w:t>
      </w:r>
      <w:r>
        <w:rPr>
          <w:rFonts w:hint="eastAsia" w:ascii="宋体" w:hAnsi="宋体" w:eastAsia="宋体" w:cs="Arial"/>
          <w:kern w:val="0"/>
          <w:sz w:val="28"/>
          <w:szCs w:val="28"/>
        </w:rPr>
        <w:t>九</w:t>
      </w:r>
      <w:r>
        <w:rPr>
          <w:rFonts w:ascii="宋体" w:hAnsi="宋体" w:eastAsia="宋体" w:cs="Arial"/>
          <w:kern w:val="0"/>
          <w:sz w:val="28"/>
          <w:szCs w:val="28"/>
        </w:rPr>
        <w:t>部分  基金份额的</w:t>
      </w:r>
      <w:r>
        <w:rPr>
          <w:rFonts w:hint="eastAsia" w:ascii="宋体" w:hAnsi="宋体" w:eastAsia="宋体" w:cs="Arial"/>
          <w:kern w:val="0"/>
          <w:sz w:val="28"/>
          <w:szCs w:val="28"/>
        </w:rPr>
        <w:t>上市</w:t>
      </w:r>
      <w:r>
        <w:rPr>
          <w:rFonts w:ascii="宋体" w:hAnsi="宋体" w:eastAsia="宋体" w:cs="Arial"/>
          <w:kern w:val="0"/>
          <w:sz w:val="28"/>
          <w:szCs w:val="28"/>
        </w:rPr>
        <w:t>交易</w:t>
      </w:r>
      <w:bookmarkEnd w:id="73"/>
      <w:bookmarkEnd w:id="89"/>
      <w:bookmarkEnd w:id="90"/>
      <w:bookmarkEnd w:id="91"/>
    </w:p>
    <w:p w14:paraId="42460AC0">
      <w:pPr>
        <w:adjustRightInd w:val="0"/>
        <w:snapToGrid w:val="0"/>
        <w:spacing w:line="360" w:lineRule="auto"/>
        <w:ind w:firstLine="422" w:firstLineChars="200"/>
        <w:rPr>
          <w:rFonts w:ascii="宋体" w:hAnsi="宋体" w:cs="Arial"/>
          <w:b/>
          <w:bCs/>
          <w:kern w:val="0"/>
        </w:rPr>
      </w:pPr>
      <w:bookmarkStart w:id="92" w:name="_Hlk106302895"/>
      <w:r>
        <w:rPr>
          <w:rFonts w:hint="eastAsia" w:ascii="宋体" w:hAnsi="宋体" w:cs="Arial"/>
          <w:b/>
          <w:bCs/>
          <w:kern w:val="0"/>
        </w:rPr>
        <w:t>一、基金上市</w:t>
      </w:r>
    </w:p>
    <w:p w14:paraId="14174856">
      <w:pPr>
        <w:adjustRightInd w:val="0"/>
        <w:snapToGrid w:val="0"/>
        <w:spacing w:line="360" w:lineRule="auto"/>
        <w:ind w:firstLine="420" w:firstLineChars="200"/>
        <w:rPr>
          <w:rFonts w:ascii="宋体" w:hAnsi="宋体" w:cs="Arial"/>
          <w:kern w:val="0"/>
        </w:rPr>
      </w:pPr>
      <w:r>
        <w:rPr>
          <w:rFonts w:hint="eastAsia" w:ascii="宋体" w:hAnsi="宋体" w:cs="Arial"/>
          <w:kern w:val="0"/>
        </w:rPr>
        <w:t>基金合同生效后，如基金具备如下条件，在符合上海证券交易所相关规定的条件下，本基金可申请在上海证券交易所上市交易。</w:t>
      </w:r>
    </w:p>
    <w:p w14:paraId="5C3EC3E3">
      <w:pPr>
        <w:adjustRightInd w:val="0"/>
        <w:snapToGrid w:val="0"/>
        <w:spacing w:line="360" w:lineRule="auto"/>
        <w:ind w:firstLine="420" w:firstLineChars="200"/>
        <w:rPr>
          <w:rFonts w:ascii="宋体" w:hAnsi="宋体" w:cs="Arial"/>
          <w:kern w:val="0"/>
        </w:rPr>
      </w:pPr>
      <w:r>
        <w:rPr>
          <w:rFonts w:hint="eastAsia" w:ascii="宋体" w:hAnsi="宋体" w:cs="Arial"/>
          <w:kern w:val="0"/>
        </w:rPr>
        <w:t>1、本基金场内资产净值不少于2亿元；</w:t>
      </w:r>
    </w:p>
    <w:p w14:paraId="6EEDC197">
      <w:pPr>
        <w:adjustRightInd w:val="0"/>
        <w:snapToGrid w:val="0"/>
        <w:spacing w:line="360" w:lineRule="auto"/>
        <w:ind w:firstLine="420" w:firstLineChars="200"/>
        <w:rPr>
          <w:rFonts w:ascii="宋体" w:hAnsi="宋体" w:cs="Arial"/>
          <w:kern w:val="0"/>
        </w:rPr>
      </w:pPr>
      <w:r>
        <w:rPr>
          <w:rFonts w:hint="eastAsia" w:ascii="宋体" w:hAnsi="宋体" w:cs="Arial"/>
          <w:kern w:val="0"/>
        </w:rPr>
        <w:t>2、本基金场内份额持有人不少于1000人；</w:t>
      </w:r>
    </w:p>
    <w:p w14:paraId="3228ADCD">
      <w:pPr>
        <w:adjustRightInd w:val="0"/>
        <w:snapToGrid w:val="0"/>
        <w:spacing w:line="360" w:lineRule="auto"/>
        <w:ind w:firstLine="420" w:firstLineChars="200"/>
        <w:rPr>
          <w:rFonts w:ascii="宋体" w:hAnsi="宋体" w:cs="Arial"/>
          <w:kern w:val="0"/>
        </w:rPr>
      </w:pPr>
      <w:r>
        <w:rPr>
          <w:rFonts w:hint="eastAsia" w:ascii="宋体" w:hAnsi="宋体" w:cs="Arial"/>
          <w:kern w:val="0"/>
        </w:rPr>
        <w:t>3、符合法律法规或上海证券交易所规定的其他条件。</w:t>
      </w:r>
    </w:p>
    <w:p w14:paraId="5DA05355">
      <w:pPr>
        <w:adjustRightInd w:val="0"/>
        <w:snapToGrid w:val="0"/>
        <w:spacing w:line="360" w:lineRule="auto"/>
        <w:ind w:firstLine="420" w:firstLineChars="200"/>
        <w:rPr>
          <w:rFonts w:ascii="宋体" w:hAnsi="宋体" w:cs="Arial"/>
          <w:kern w:val="0"/>
        </w:rPr>
      </w:pPr>
      <w:r>
        <w:rPr>
          <w:rFonts w:hint="eastAsia" w:ascii="宋体" w:hAnsi="宋体" w:cs="Arial"/>
          <w:kern w:val="0"/>
        </w:rPr>
        <w:t>基金上市前，基金管理人应与上海证券交易所签订上市协议书。基金获准在上海证券交易所上市的，基金管理人应按照相关规定发布基金上市交易公告书。</w:t>
      </w:r>
    </w:p>
    <w:p w14:paraId="6AA9D71E">
      <w:pPr>
        <w:adjustRightInd w:val="0"/>
        <w:snapToGrid w:val="0"/>
        <w:spacing w:line="360" w:lineRule="auto"/>
        <w:ind w:firstLine="422" w:firstLineChars="200"/>
        <w:rPr>
          <w:rFonts w:ascii="宋体" w:hAnsi="宋体" w:cs="Arial"/>
          <w:b/>
          <w:bCs/>
          <w:kern w:val="0"/>
        </w:rPr>
      </w:pPr>
      <w:r>
        <w:rPr>
          <w:rFonts w:hint="eastAsia" w:ascii="宋体" w:hAnsi="宋体" w:cs="Arial"/>
          <w:b/>
          <w:bCs/>
          <w:kern w:val="0"/>
        </w:rPr>
        <w:t>二、基金份额的上市交易</w:t>
      </w:r>
    </w:p>
    <w:p w14:paraId="10AE81AD">
      <w:pPr>
        <w:adjustRightInd w:val="0"/>
        <w:snapToGrid w:val="0"/>
        <w:spacing w:line="360" w:lineRule="auto"/>
        <w:ind w:firstLine="420" w:firstLineChars="200"/>
        <w:rPr>
          <w:rFonts w:ascii="宋体" w:hAnsi="宋体" w:cs="Arial"/>
          <w:kern w:val="0"/>
        </w:rPr>
      </w:pPr>
      <w:r>
        <w:rPr>
          <w:rFonts w:hint="eastAsia" w:ascii="宋体" w:hAnsi="宋体" w:cs="Arial"/>
          <w:kern w:val="0"/>
        </w:rPr>
        <w:t>基金份额在上海证券交易所的上市交易应遵照《</w:t>
      </w:r>
      <w:bookmarkStart w:id="93" w:name="OLE_LINK1"/>
      <w:bookmarkStart w:id="94" w:name="OLE_LINK2"/>
      <w:r>
        <w:rPr>
          <w:rFonts w:hint="eastAsia" w:ascii="宋体" w:hAnsi="宋体" w:cs="Arial"/>
          <w:kern w:val="0"/>
        </w:rPr>
        <w:t>上海证券交易所交易规则</w:t>
      </w:r>
      <w:bookmarkEnd w:id="93"/>
      <w:bookmarkEnd w:id="94"/>
      <w:r>
        <w:rPr>
          <w:rFonts w:hint="eastAsia" w:ascii="宋体" w:hAnsi="宋体" w:cs="Arial"/>
          <w:kern w:val="0"/>
        </w:rPr>
        <w:t>》、《上海证券交易所证券投资基金上市规则》、《上海证券交易所交易型开放式指数基金业务实施细则》等有关规定。</w:t>
      </w:r>
    </w:p>
    <w:p w14:paraId="11B19348">
      <w:pPr>
        <w:adjustRightInd w:val="0"/>
        <w:snapToGrid w:val="0"/>
        <w:spacing w:line="360" w:lineRule="auto"/>
        <w:ind w:firstLine="422" w:firstLineChars="200"/>
        <w:rPr>
          <w:rFonts w:ascii="宋体" w:hAnsi="宋体" w:cs="Arial"/>
          <w:b/>
          <w:bCs/>
          <w:kern w:val="0"/>
        </w:rPr>
      </w:pPr>
      <w:r>
        <w:rPr>
          <w:rFonts w:hint="eastAsia" w:ascii="宋体" w:hAnsi="宋体" w:cs="Arial"/>
          <w:b/>
          <w:bCs/>
          <w:kern w:val="0"/>
        </w:rPr>
        <w:t>三、终止上市交易</w:t>
      </w:r>
    </w:p>
    <w:p w14:paraId="646BE4EE">
      <w:pPr>
        <w:adjustRightInd w:val="0"/>
        <w:snapToGrid w:val="0"/>
        <w:spacing w:line="360" w:lineRule="auto"/>
        <w:ind w:firstLine="420" w:firstLineChars="200"/>
        <w:rPr>
          <w:rFonts w:ascii="宋体" w:hAnsi="宋体" w:cs="Arial"/>
          <w:kern w:val="0"/>
        </w:rPr>
      </w:pPr>
      <w:r>
        <w:rPr>
          <w:rFonts w:hint="eastAsia" w:ascii="宋体" w:hAnsi="宋体" w:cs="Arial"/>
          <w:kern w:val="0"/>
        </w:rPr>
        <w:t>基金份额上市交易后，有下列情形之一的，上海证券交易所可终止基金的上市交易：</w:t>
      </w:r>
    </w:p>
    <w:p w14:paraId="1A3A6C02">
      <w:pPr>
        <w:adjustRightInd w:val="0"/>
        <w:snapToGrid w:val="0"/>
        <w:spacing w:line="360" w:lineRule="auto"/>
        <w:ind w:firstLine="420" w:firstLineChars="200"/>
        <w:rPr>
          <w:rFonts w:ascii="宋体" w:hAnsi="宋体" w:cs="Arial"/>
          <w:kern w:val="0"/>
        </w:rPr>
      </w:pPr>
      <w:r>
        <w:rPr>
          <w:rFonts w:hint="eastAsia" w:ascii="宋体" w:hAnsi="宋体" w:cs="Arial"/>
          <w:kern w:val="0"/>
        </w:rPr>
        <w:t>1、不再具备本部分第一条规定的上市条件；</w:t>
      </w:r>
    </w:p>
    <w:p w14:paraId="4E4E51A2">
      <w:pPr>
        <w:adjustRightInd w:val="0"/>
        <w:snapToGrid w:val="0"/>
        <w:spacing w:line="360" w:lineRule="auto"/>
        <w:ind w:firstLine="420" w:firstLineChars="200"/>
        <w:rPr>
          <w:rFonts w:ascii="宋体" w:hAnsi="宋体" w:cs="Arial"/>
          <w:kern w:val="0"/>
        </w:rPr>
      </w:pPr>
      <w:r>
        <w:rPr>
          <w:rFonts w:hint="eastAsia" w:ascii="宋体" w:hAnsi="宋体" w:cs="Arial"/>
          <w:kern w:val="0"/>
        </w:rPr>
        <w:t>2、基金合同终止；</w:t>
      </w:r>
    </w:p>
    <w:p w14:paraId="2D9E8394">
      <w:pPr>
        <w:adjustRightInd w:val="0"/>
        <w:snapToGrid w:val="0"/>
        <w:spacing w:line="360" w:lineRule="auto"/>
        <w:ind w:firstLine="420" w:firstLineChars="200"/>
        <w:rPr>
          <w:rFonts w:ascii="宋体" w:hAnsi="宋体" w:cs="Arial"/>
          <w:kern w:val="0"/>
        </w:rPr>
      </w:pPr>
      <w:r>
        <w:rPr>
          <w:rFonts w:hint="eastAsia" w:ascii="宋体" w:hAnsi="宋体" w:cs="Arial"/>
          <w:kern w:val="0"/>
        </w:rPr>
        <w:t>3、基金份额持有人大会决定终止上市；</w:t>
      </w:r>
    </w:p>
    <w:p w14:paraId="352A826F">
      <w:pPr>
        <w:adjustRightInd w:val="0"/>
        <w:snapToGrid w:val="0"/>
        <w:spacing w:line="360" w:lineRule="auto"/>
        <w:ind w:firstLine="420" w:firstLineChars="200"/>
        <w:rPr>
          <w:rFonts w:ascii="宋体" w:hAnsi="宋体" w:cs="Arial"/>
          <w:kern w:val="0"/>
        </w:rPr>
      </w:pPr>
      <w:r>
        <w:rPr>
          <w:rFonts w:hint="eastAsia" w:ascii="宋体" w:hAnsi="宋体" w:cs="Arial"/>
          <w:kern w:val="0"/>
        </w:rPr>
        <w:t>4、基金合同约定的终止上市的其他情形；</w:t>
      </w:r>
    </w:p>
    <w:p w14:paraId="3ADAA29C">
      <w:pPr>
        <w:adjustRightInd w:val="0"/>
        <w:snapToGrid w:val="0"/>
        <w:spacing w:line="360" w:lineRule="auto"/>
        <w:ind w:firstLine="420" w:firstLineChars="200"/>
        <w:rPr>
          <w:rFonts w:ascii="宋体" w:hAnsi="宋体" w:cs="Arial"/>
          <w:kern w:val="0"/>
        </w:rPr>
      </w:pPr>
      <w:r>
        <w:rPr>
          <w:rFonts w:hint="eastAsia" w:ascii="宋体" w:hAnsi="宋体" w:cs="Arial"/>
          <w:kern w:val="0"/>
        </w:rPr>
        <w:t xml:space="preserve">5、上海证券交易所认为应当终止上市的其他情形。 </w:t>
      </w:r>
    </w:p>
    <w:p w14:paraId="709CFCAE">
      <w:pPr>
        <w:adjustRightInd w:val="0"/>
        <w:snapToGrid w:val="0"/>
        <w:spacing w:line="360" w:lineRule="auto"/>
        <w:ind w:firstLine="420" w:firstLineChars="200"/>
        <w:rPr>
          <w:rFonts w:ascii="宋体" w:hAnsi="宋体" w:cs="Arial"/>
          <w:kern w:val="0"/>
        </w:rPr>
      </w:pPr>
      <w:r>
        <w:rPr>
          <w:rFonts w:hint="eastAsia" w:ascii="宋体" w:hAnsi="宋体" w:cs="Arial"/>
          <w:kern w:val="0"/>
        </w:rPr>
        <w:t xml:space="preserve">基金管理人应当在收到上海证券交易所终止基金上市的决定之日起依照《信息披露办法》发布基金终止上市公告。 </w:t>
      </w:r>
    </w:p>
    <w:p w14:paraId="5196A063">
      <w:pPr>
        <w:adjustRightInd w:val="0"/>
        <w:snapToGrid w:val="0"/>
        <w:spacing w:line="360" w:lineRule="auto"/>
        <w:ind w:firstLine="420" w:firstLineChars="200"/>
        <w:rPr>
          <w:rFonts w:ascii="宋体" w:hAnsi="宋体" w:cs="Arial"/>
          <w:kern w:val="0"/>
        </w:rPr>
      </w:pPr>
      <w:r>
        <w:rPr>
          <w:rFonts w:hint="eastAsia" w:ascii="宋体" w:hAnsi="宋体" w:cs="Arial"/>
          <w:kern w:val="0"/>
        </w:rPr>
        <w:t>若因上述1、4、5项等原因使本基金不再具备上市条件而被上海证券交易所终止上市的，本基金将由交易型开放式基金变更为跟踪标的指数的非上市的开放式指数基金，而无需召开基金份额持有人大会。若届时本基金管理人已有以该指数作为标的指数的指数基金，则本基金将本着维护投资者合法权益的原则，履行适当的程序后与该指数基金合并或选取其他合适的指数作为标的指数。</w:t>
      </w:r>
    </w:p>
    <w:p w14:paraId="1A93D580">
      <w:pPr>
        <w:adjustRightInd w:val="0"/>
        <w:snapToGrid w:val="0"/>
        <w:spacing w:line="360" w:lineRule="auto"/>
        <w:ind w:firstLine="422" w:firstLineChars="200"/>
        <w:rPr>
          <w:rFonts w:ascii="宋体" w:hAnsi="宋体" w:cs="Arial"/>
          <w:b/>
          <w:kern w:val="0"/>
        </w:rPr>
      </w:pPr>
      <w:r>
        <w:rPr>
          <w:rFonts w:hint="eastAsia" w:ascii="宋体" w:hAnsi="宋体" w:cs="Arial"/>
          <w:b/>
          <w:kern w:val="0"/>
        </w:rPr>
        <w:t>四</w:t>
      </w:r>
      <w:r>
        <w:rPr>
          <w:rFonts w:ascii="宋体" w:hAnsi="宋体" w:cs="Arial"/>
          <w:b/>
          <w:kern w:val="0"/>
        </w:rPr>
        <w:t>、</w:t>
      </w:r>
      <w:r>
        <w:rPr>
          <w:rFonts w:hint="eastAsia" w:ascii="宋体" w:hAnsi="宋体" w:cs="Arial"/>
          <w:b/>
          <w:kern w:val="0"/>
        </w:rPr>
        <w:t>基金份额参考净值的计算与公告</w:t>
      </w:r>
    </w:p>
    <w:p w14:paraId="347259A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基金管理人在每一个交易日开市前向上海证券交易所提供当日的申购、赎回清单，基金管理人或</w:t>
      </w:r>
      <w:r>
        <w:rPr>
          <w:rFonts w:hint="eastAsia"/>
        </w:rPr>
        <w:t>基金管理人委托的指数服务机构</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在开市后根据申购、赎回清单和组合证券内各只证券的实时成交数据，计算基金份额参考净值，并将计算结果向上海证券交易所发送，由上海证券交易所对外发布，仅供投资者交易、申购、赎回基金份额时参考。</w:t>
      </w:r>
    </w:p>
    <w:p w14:paraId="21E73B4F">
      <w:pPr>
        <w:adjustRightInd w:val="0"/>
        <w:snapToGrid w:val="0"/>
        <w:spacing w:line="360" w:lineRule="auto"/>
        <w:ind w:firstLine="420" w:firstLineChars="200"/>
        <w:rPr>
          <w:rFonts w:ascii="宋体" w:hAnsi="宋体" w:cs="Arial"/>
          <w:kern w:val="0"/>
        </w:rPr>
      </w:pPr>
      <w:r>
        <w:rPr>
          <w:rFonts w:hint="eastAsia" w:ascii="宋体" w:hAnsi="宋体" w:cs="Arial"/>
          <w:kern w:val="0"/>
        </w:rPr>
        <w:t>（1）基金份额参考净值的计算公式：</w:t>
      </w:r>
    </w:p>
    <w:p w14:paraId="3EDB0A09">
      <w:pPr>
        <w:adjustRightInd w:val="0"/>
        <w:snapToGrid w:val="0"/>
        <w:spacing w:line="360" w:lineRule="auto"/>
        <w:ind w:left="2268" w:leftChars="200" w:hanging="1848" w:hangingChars="880"/>
        <w:rPr>
          <w:rFonts w:ascii="宋体" w:hAnsi="宋体" w:cs="Arial"/>
          <w:kern w:val="0"/>
        </w:rPr>
      </w:pPr>
      <w:r>
        <w:rPr>
          <w:rFonts w:hint="eastAsia" w:ascii="宋体" w:hAnsi="宋体" w:cs="Arial"/>
          <w:kern w:val="0"/>
        </w:rPr>
        <w:t>基金份额参考净值＝（申购赎回清单中必须用现金替代的固定替代金额总额+申购赎回清单中可以用现金替代的所有成份证券的数量与其最新成交价乘积之和＋申购赎回清单中禁止用现金替代的所有成份证券的数量与其最新成交价乘积之和＋申购赎回清单中的预估现金部分）／最小申购赎回单位所对应的基金份额</w:t>
      </w:r>
    </w:p>
    <w:p w14:paraId="741CC7EB">
      <w:pPr>
        <w:adjustRightInd w:val="0"/>
        <w:snapToGrid w:val="0"/>
        <w:spacing w:line="360" w:lineRule="auto"/>
        <w:ind w:firstLine="420" w:firstLineChars="200"/>
        <w:rPr>
          <w:rFonts w:ascii="宋体" w:hAnsi="宋体" w:cs="Arial"/>
          <w:kern w:val="0"/>
        </w:rPr>
      </w:pPr>
      <w:r>
        <w:rPr>
          <w:rFonts w:hint="eastAsia" w:ascii="宋体" w:hAnsi="宋体" w:cs="Arial"/>
          <w:kern w:val="0"/>
        </w:rPr>
        <w:t>（2）基金份额参考净值的计算以四舍五入的方法保留小数点后4位。</w:t>
      </w:r>
    </w:p>
    <w:p w14:paraId="0F2E7B9C">
      <w:pPr>
        <w:adjustRightInd w:val="0"/>
        <w:snapToGrid w:val="0"/>
        <w:spacing w:line="360" w:lineRule="auto"/>
        <w:ind w:firstLine="420" w:firstLineChars="200"/>
        <w:rPr>
          <w:rFonts w:ascii="宋体" w:hAnsi="宋体" w:cs="Arial"/>
          <w:kern w:val="0"/>
        </w:rPr>
      </w:pPr>
      <w:r>
        <w:rPr>
          <w:rFonts w:hint="eastAsia" w:ascii="宋体" w:hAnsi="宋体" w:cs="Arial"/>
          <w:kern w:val="0"/>
        </w:rPr>
        <w:t>（3）上海证券交易所和基金管理人可以调整基金份额参考净值的计算方法及保留的小数点位数，并予以公告。</w:t>
      </w:r>
    </w:p>
    <w:p w14:paraId="0548BF41">
      <w:pPr>
        <w:adjustRightInd w:val="0"/>
        <w:snapToGrid w:val="0"/>
        <w:spacing w:line="360" w:lineRule="auto"/>
        <w:ind w:firstLine="422"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b/>
          <w:bCs/>
          <w:color w:val="0D0D0D" w:themeColor="text1" w:themeTint="F2"/>
          <w:kern w:val="0"/>
          <w14:textFill>
            <w14:solidFill>
              <w14:schemeClr w14:val="tx1">
                <w14:lumMod w14:val="95000"/>
                <w14:lumOff w14:val="5000"/>
              </w14:schemeClr>
            </w14:solidFill>
          </w14:textFill>
        </w:rPr>
        <w:t>五</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r>
        <w:rPr>
          <w:rFonts w:hint="eastAsia"/>
          <w:bCs/>
        </w:rPr>
        <w:t>在不违反法律法规及不损害基金份额持有人利益的前提下，基金管理人在履行适当的程序后，本基金可以申请在其他证券交易所（含境外证券交易所）上市交易，而无需召开基金份额持有人大会审议。</w:t>
      </w:r>
    </w:p>
    <w:p w14:paraId="52DDE133">
      <w:pPr>
        <w:adjustRightInd w:val="0"/>
        <w:snapToGrid w:val="0"/>
        <w:spacing w:line="360" w:lineRule="auto"/>
        <w:ind w:firstLine="422"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b/>
          <w:bCs/>
          <w:color w:val="0D0D0D" w:themeColor="text1" w:themeTint="F2"/>
          <w:kern w:val="0"/>
          <w14:textFill>
            <w14:solidFill>
              <w14:schemeClr w14:val="tx1">
                <w14:lumMod w14:val="95000"/>
                <w14:lumOff w14:val="5000"/>
              </w14:schemeClr>
            </w14:solidFill>
          </w14:textFill>
        </w:rPr>
        <w:t>六</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、若上海证券交易所、中国证券登记结算有限责任公司增加了基金上市交易的新功能，基金管理人可以在履行适当的程序后增加相应功能。</w:t>
      </w:r>
    </w:p>
    <w:p w14:paraId="25155166">
      <w:pPr>
        <w:adjustRightInd w:val="0"/>
        <w:snapToGrid w:val="0"/>
        <w:spacing w:line="360" w:lineRule="auto"/>
        <w:ind w:firstLine="422" w:firstLineChars="200"/>
        <w:rPr>
          <w:rFonts w:ascii="宋体" w:hAnsi="宋体" w:cs="宋体"/>
        </w:rPr>
      </w:pPr>
      <w:r>
        <w:rPr>
          <w:rFonts w:hint="eastAsia" w:ascii="宋体" w:hAnsi="宋体" w:cs="Arial"/>
          <w:b/>
          <w:kern w:val="0"/>
        </w:rPr>
        <w:t>七、</w:t>
      </w:r>
      <w:r>
        <w:rPr>
          <w:rFonts w:hint="eastAsia" w:ascii="宋体" w:hAnsi="宋体" w:cs="宋体"/>
          <w:bCs/>
        </w:rPr>
        <w:t>相关法律法规、中国证监会、登记机构及上海证券交易所对基金上市交易的规则等相关规定内容进行调整的，</w:t>
      </w:r>
      <w:bookmarkStart w:id="95" w:name="_Hlk91107345"/>
      <w:r>
        <w:rPr>
          <w:rFonts w:hint="eastAsia" w:ascii="宋体" w:hAnsi="宋体" w:cs="宋体"/>
          <w:bCs/>
        </w:rPr>
        <w:t>本基金按照新规定执行，若由此需要对基金合同</w:t>
      </w:r>
      <w:bookmarkStart w:id="96" w:name="_Hlk91107298"/>
      <w:r>
        <w:rPr>
          <w:rFonts w:hint="eastAsia" w:ascii="宋体" w:hAnsi="宋体" w:cs="宋体"/>
          <w:bCs/>
        </w:rPr>
        <w:t>及招募说明书</w:t>
      </w:r>
      <w:bookmarkEnd w:id="96"/>
      <w:r>
        <w:rPr>
          <w:rFonts w:hint="eastAsia" w:ascii="宋体" w:hAnsi="宋体" w:cs="宋体"/>
          <w:bCs/>
        </w:rPr>
        <w:t>相应予以修改的，</w:t>
      </w:r>
      <w:bookmarkEnd w:id="95"/>
      <w:r>
        <w:rPr>
          <w:rFonts w:hint="eastAsia" w:ascii="宋体" w:hAnsi="宋体" w:cs="宋体"/>
          <w:bCs/>
        </w:rPr>
        <w:t>此项修改无需召开基金份额持有人大会。</w:t>
      </w:r>
    </w:p>
    <w:bookmarkEnd w:id="92"/>
    <w:p w14:paraId="3DE070CD">
      <w:pPr>
        <w:adjustRightInd w:val="0"/>
        <w:snapToGrid w:val="0"/>
        <w:spacing w:line="360" w:lineRule="auto"/>
        <w:ind w:firstLine="420" w:firstLineChars="200"/>
        <w:rPr>
          <w:rFonts w:ascii="宋体" w:hAnsi="宋体"/>
        </w:rPr>
      </w:pPr>
    </w:p>
    <w:p w14:paraId="6B315B33">
      <w:pPr>
        <w:adjustRightInd w:val="0"/>
        <w:snapToGrid w:val="0"/>
        <w:spacing w:line="360" w:lineRule="auto"/>
        <w:ind w:firstLine="562" w:firstLineChars="200"/>
        <w:rPr>
          <w:rFonts w:ascii="宋体" w:hAnsi="宋体" w:cs="Arial"/>
          <w:b/>
          <w:bCs/>
          <w:sz w:val="28"/>
          <w:szCs w:val="28"/>
        </w:rPr>
        <w:sectPr>
          <w:footerReference r:id="rId28" w:type="first"/>
          <w:footerReference r:id="rId27" w:type="default"/>
          <w:pgSz w:w="11906" w:h="16838"/>
          <w:pgMar w:top="1440" w:right="1800" w:bottom="1440" w:left="1800" w:header="851" w:footer="992" w:gutter="0"/>
          <w:pgNumType w:start="1"/>
          <w:cols w:space="720" w:num="1"/>
          <w:titlePg/>
          <w:docGrid w:linePitch="312" w:charSpace="0"/>
        </w:sectPr>
      </w:pPr>
    </w:p>
    <w:p w14:paraId="4616F00D">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97" w:name="_Toc8052748"/>
      <w:bookmarkStart w:id="98" w:name="_Toc91110278"/>
      <w:bookmarkStart w:id="99" w:name="_Toc31672"/>
      <w:r>
        <w:rPr>
          <w:rFonts w:ascii="宋体" w:hAnsi="宋体" w:eastAsia="宋体" w:cs="Arial"/>
          <w:kern w:val="0"/>
          <w:sz w:val="28"/>
          <w:szCs w:val="28"/>
        </w:rPr>
        <w:t>第</w:t>
      </w:r>
      <w:r>
        <w:rPr>
          <w:rFonts w:hint="eastAsia" w:ascii="宋体" w:hAnsi="宋体" w:eastAsia="宋体" w:cs="Arial"/>
          <w:kern w:val="0"/>
          <w:sz w:val="28"/>
          <w:szCs w:val="28"/>
        </w:rPr>
        <w:t>十</w:t>
      </w:r>
      <w:r>
        <w:rPr>
          <w:rFonts w:ascii="宋体" w:hAnsi="宋体" w:eastAsia="宋体" w:cs="Arial"/>
          <w:kern w:val="0"/>
          <w:sz w:val="28"/>
          <w:szCs w:val="28"/>
        </w:rPr>
        <w:t>部分  基金份额的申购与赎回</w:t>
      </w:r>
      <w:bookmarkEnd w:id="74"/>
      <w:bookmarkEnd w:id="75"/>
      <w:bookmarkEnd w:id="76"/>
      <w:bookmarkEnd w:id="77"/>
      <w:bookmarkEnd w:id="97"/>
      <w:bookmarkEnd w:id="98"/>
      <w:bookmarkEnd w:id="99"/>
    </w:p>
    <w:p w14:paraId="7903EEEC">
      <w:pPr>
        <w:spacing w:line="360" w:lineRule="auto"/>
        <w:rPr>
          <w:rFonts w:ascii="宋体" w:hAnsi="宋体"/>
        </w:rPr>
      </w:pPr>
    </w:p>
    <w:p w14:paraId="26F1C986">
      <w:pPr>
        <w:spacing w:line="360" w:lineRule="auto"/>
        <w:ind w:firstLine="422"/>
        <w:rPr>
          <w:rFonts w:ascii="宋体" w:hAnsi="宋体" w:cs="Arial"/>
          <w:b/>
          <w:kern w:val="0"/>
        </w:rPr>
      </w:pPr>
      <w:bookmarkStart w:id="100" w:name="_Hlk106302951"/>
      <w:bookmarkStart w:id="101" w:name="_Hlk106303020"/>
      <w:r>
        <w:rPr>
          <w:rFonts w:ascii="宋体" w:hAnsi="宋体" w:cs="Arial"/>
          <w:b/>
          <w:kern w:val="0"/>
        </w:rPr>
        <w:t>一</w:t>
      </w:r>
      <w:r>
        <w:rPr>
          <w:rFonts w:hint="eastAsia" w:ascii="宋体" w:hAnsi="宋体" w:cs="Arial"/>
          <w:b/>
          <w:kern w:val="0"/>
        </w:rPr>
        <w:t>、</w:t>
      </w:r>
      <w:r>
        <w:rPr>
          <w:rFonts w:ascii="宋体" w:hAnsi="宋体" w:cs="Arial"/>
          <w:b/>
          <w:kern w:val="0"/>
        </w:rPr>
        <w:t>申购和赎回场所</w:t>
      </w:r>
    </w:p>
    <w:p w14:paraId="24CCE1D6">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本基金投资人应当在申购赎回代理券商办理基金申购、赎回业务的营业场所或按申购赎回代理券商提供的其他方式办理本基金的申购和赎回。</w:t>
      </w:r>
    </w:p>
    <w:p w14:paraId="6300A582">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在开始申购、赎回业务前公告申购赎回代理券商的名单，并可依据实际情况变更申购赎回代理券商，并在基金管理人网站公示。基金管理人在确定、变更申购赎回代理券商名单时，均应在公告之前报请上海证券交易所认可。</w:t>
      </w:r>
    </w:p>
    <w:p w14:paraId="2ADA531B">
      <w:pPr>
        <w:tabs>
          <w:tab w:val="left" w:pos="3780"/>
        </w:tabs>
        <w:autoSpaceDE w:val="0"/>
        <w:autoSpaceDN w:val="0"/>
        <w:adjustRightInd w:val="0"/>
        <w:snapToGrid w:val="0"/>
        <w:spacing w:line="360" w:lineRule="auto"/>
        <w:ind w:firstLine="420" w:firstLineChars="200"/>
        <w:textAlignment w:val="bottom"/>
        <w:rPr>
          <w:rFonts w:ascii="宋体" w:hAnsi="宋体"/>
          <w:kern w:val="0"/>
        </w:rPr>
      </w:pPr>
      <w:r>
        <w:rPr>
          <w:rFonts w:hint="eastAsia" w:ascii="宋体" w:hAnsi="宋体" w:cs="Arial"/>
          <w:kern w:val="0"/>
        </w:rPr>
        <w:t>在法律法规、</w:t>
      </w:r>
      <w:r>
        <w:rPr>
          <w:rFonts w:hint="eastAsia" w:ascii="宋体" w:hAnsi="宋体"/>
          <w:kern w:val="0"/>
        </w:rPr>
        <w:t>基金</w:t>
      </w:r>
      <w:r>
        <w:rPr>
          <w:rFonts w:hint="eastAsia" w:ascii="宋体" w:hAnsi="宋体" w:cs="Arial"/>
          <w:kern w:val="0"/>
        </w:rPr>
        <w:t>合同及未来条件允许</w:t>
      </w:r>
      <w:r>
        <w:rPr>
          <w:rFonts w:hint="eastAsia" w:ascii="宋体" w:hAnsi="宋体"/>
          <w:kern w:val="0"/>
        </w:rPr>
        <w:t>的</w:t>
      </w:r>
      <w:r>
        <w:rPr>
          <w:rFonts w:hint="eastAsia" w:ascii="宋体" w:hAnsi="宋体" w:cs="Arial"/>
          <w:kern w:val="0"/>
        </w:rPr>
        <w:t>情况下，基金管理人直销机构可以开通申购赎回业务，具体业务的办理时间及办理方式基金管理人将另行公告</w:t>
      </w:r>
      <w:r>
        <w:rPr>
          <w:rFonts w:hint="eastAsia" w:ascii="宋体" w:hAnsi="宋体"/>
          <w:kern w:val="0"/>
        </w:rPr>
        <w:t>。</w:t>
      </w:r>
    </w:p>
    <w:p w14:paraId="14B2F559">
      <w:pPr>
        <w:tabs>
          <w:tab w:val="left" w:pos="3780"/>
        </w:tabs>
        <w:autoSpaceDE w:val="0"/>
        <w:autoSpaceDN w:val="0"/>
        <w:adjustRightInd w:val="0"/>
        <w:snapToGrid w:val="0"/>
        <w:spacing w:line="360" w:lineRule="auto"/>
        <w:ind w:firstLine="422" w:firstLineChars="200"/>
        <w:textAlignment w:val="bottom"/>
        <w:rPr>
          <w:rFonts w:ascii="宋体" w:hAnsi="宋体" w:cs="Arial"/>
          <w:b/>
          <w:kern w:val="0"/>
        </w:rPr>
      </w:pPr>
      <w:r>
        <w:rPr>
          <w:rFonts w:ascii="宋体" w:hAnsi="宋体" w:cs="Arial"/>
          <w:b/>
          <w:kern w:val="0"/>
        </w:rPr>
        <w:t>二</w:t>
      </w:r>
      <w:r>
        <w:rPr>
          <w:rFonts w:hint="eastAsia" w:ascii="宋体" w:hAnsi="宋体" w:cs="Arial"/>
          <w:b/>
          <w:kern w:val="0"/>
        </w:rPr>
        <w:t>、</w:t>
      </w:r>
      <w:r>
        <w:rPr>
          <w:rFonts w:ascii="宋体" w:hAnsi="宋体" w:cs="Arial"/>
          <w:b/>
          <w:kern w:val="0"/>
        </w:rPr>
        <w:t>申购和赎回的开放日及时间</w:t>
      </w:r>
    </w:p>
    <w:p w14:paraId="307B1633">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1、开放日及开放时间</w:t>
      </w:r>
    </w:p>
    <w:p w14:paraId="7D0F6536">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14:paraId="52AABBC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14:paraId="7AF2C889">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2、申购、赎回开始日及业务办理时间</w:t>
      </w:r>
    </w:p>
    <w:p w14:paraId="4F042AA7">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基金管理人可根据实际情况依法决定本基金开始办理申购的具体日期，具体业务办理时间在申购开始公告中规定。</w:t>
      </w:r>
    </w:p>
    <w:p w14:paraId="6DE51E4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基金管理人自基金合同生效之日起不超过</w:t>
      </w:r>
      <w:r>
        <w:rPr>
          <w:rFonts w:asciiTheme="minorEastAsia" w:hAnsi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个月开始办理赎回，具体业务办理时间在赎回开始公告中规定。</w:t>
      </w:r>
    </w:p>
    <w:p w14:paraId="09C8AE25">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在确定申购开始与赎回开始时间后，基金管理人应在申购、赎回开放日前依照《信息披露办法》的有关规定在规定媒介上公告申购与赎回的开始时间。</w:t>
      </w:r>
    </w:p>
    <w:p w14:paraId="72CD7537">
      <w:pPr>
        <w:tabs>
          <w:tab w:val="left" w:pos="3780"/>
        </w:tabs>
        <w:autoSpaceDE w:val="0"/>
        <w:autoSpaceDN w:val="0"/>
        <w:adjustRightInd w:val="0"/>
        <w:snapToGrid w:val="0"/>
        <w:spacing w:line="360" w:lineRule="auto"/>
        <w:ind w:firstLine="422" w:firstLineChars="200"/>
        <w:textAlignment w:val="bottom"/>
        <w:rPr>
          <w:rFonts w:ascii="宋体" w:hAnsi="宋体" w:cs="Arial"/>
          <w:b/>
          <w:bCs/>
        </w:rPr>
      </w:pPr>
      <w:r>
        <w:rPr>
          <w:rFonts w:ascii="宋体" w:hAnsi="宋体" w:cs="Arial"/>
          <w:b/>
          <w:bCs/>
        </w:rPr>
        <w:t>三</w:t>
      </w:r>
      <w:r>
        <w:rPr>
          <w:rFonts w:hint="eastAsia" w:ascii="宋体" w:hAnsi="宋体" w:cs="Arial"/>
          <w:b/>
          <w:bCs/>
        </w:rPr>
        <w:t>、</w:t>
      </w:r>
      <w:r>
        <w:rPr>
          <w:rFonts w:ascii="宋体" w:hAnsi="宋体" w:cs="Arial"/>
          <w:b/>
          <w:bCs/>
        </w:rPr>
        <w:t>申购与赎回的原则</w:t>
      </w:r>
    </w:p>
    <w:p w14:paraId="4F16AC86">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、“份额申购、份额赎回”原则，即申购、赎回均以份额申请；</w:t>
      </w:r>
    </w:p>
    <w:p w14:paraId="33E58019">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、本基金的申购对价、赎回对价包括组合证券、现金替代、现金差额及其他对价；</w:t>
      </w:r>
    </w:p>
    <w:p w14:paraId="06701CB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3</w:t>
      </w:r>
      <w:r>
        <w:rPr>
          <w:rFonts w:asciiTheme="minorEastAsia" w:hAnsiTheme="minorEastAsia"/>
          <w:color w:val="0D0D0D" w:themeColor="text1" w:themeTint="F2"/>
          <w:kern w:val="0"/>
          <w14:textFill>
            <w14:solidFill>
              <w14:schemeClr w14:val="tx1">
                <w14:lumMod w14:val="95000"/>
                <w14:lumOff w14:val="5000"/>
              </w14:schemeClr>
            </w14:solidFill>
          </w14:textFill>
        </w:rPr>
        <w:t>、申购、赎回</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申请</w:t>
      </w:r>
      <w:r>
        <w:rPr>
          <w:rFonts w:asciiTheme="minorEastAsia" w:hAnsiTheme="minorEastAsia"/>
          <w:color w:val="0D0D0D" w:themeColor="text1" w:themeTint="F2"/>
          <w:kern w:val="0"/>
          <w14:textFill>
            <w14:solidFill>
              <w14:schemeClr w14:val="tx1">
                <w14:lumMod w14:val="95000"/>
                <w14:lumOff w14:val="5000"/>
              </w14:schemeClr>
            </w14:solidFill>
          </w14:textFill>
        </w:rPr>
        <w:t>提交后不得</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撤销；</w:t>
      </w:r>
    </w:p>
    <w:p w14:paraId="160B80D0">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4</w:t>
      </w:r>
      <w:r>
        <w:rPr>
          <w:rFonts w:asciiTheme="minorEastAsia" w:hAnsiTheme="minorEastAsia"/>
          <w:color w:val="0D0D0D" w:themeColor="text1" w:themeTint="F2"/>
          <w:kern w:val="0"/>
          <w14:textFill>
            <w14:solidFill>
              <w14:schemeClr w14:val="tx1">
                <w14:lumMod w14:val="95000"/>
                <w14:lumOff w14:val="5000"/>
              </w14:schemeClr>
            </w14:solidFill>
          </w14:textFill>
        </w:rPr>
        <w:t>、申购、赎回应遵守业务规则及其他相关规定</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p>
    <w:p w14:paraId="5259729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5、办理申购、赎回业务时，应当遵循基金份额持有人利益优先原则，确保投资者的合法权益不受损害并得到公平对待。</w:t>
      </w:r>
    </w:p>
    <w:p w14:paraId="4C8E128D">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基金管理人可在法律法规允许的情况下，对上述原则进行调整。基金管理人必须在新规则开始实施前依照《信息披露办法》的有关规定在规定媒介上公告。</w:t>
      </w:r>
    </w:p>
    <w:p w14:paraId="016A8331">
      <w:pPr>
        <w:tabs>
          <w:tab w:val="left" w:pos="3780"/>
        </w:tabs>
        <w:autoSpaceDE w:val="0"/>
        <w:autoSpaceDN w:val="0"/>
        <w:adjustRightInd w:val="0"/>
        <w:snapToGrid w:val="0"/>
        <w:spacing w:line="360" w:lineRule="auto"/>
        <w:ind w:firstLine="422" w:firstLineChars="200"/>
        <w:textAlignment w:val="bottom"/>
        <w:rPr>
          <w:rFonts w:ascii="宋体" w:hAnsi="宋体" w:cs="Arial"/>
          <w:b/>
          <w:bCs/>
        </w:rPr>
      </w:pPr>
      <w:r>
        <w:rPr>
          <w:rFonts w:ascii="宋体" w:hAnsi="宋体" w:cs="Arial"/>
          <w:b/>
          <w:bCs/>
        </w:rPr>
        <w:t>四</w:t>
      </w:r>
      <w:r>
        <w:rPr>
          <w:rFonts w:hint="eastAsia" w:ascii="宋体" w:hAnsi="宋体" w:cs="Arial"/>
          <w:b/>
          <w:bCs/>
        </w:rPr>
        <w:t>、</w:t>
      </w:r>
      <w:r>
        <w:rPr>
          <w:rFonts w:ascii="宋体" w:hAnsi="宋体" w:cs="Arial"/>
          <w:b/>
          <w:bCs/>
        </w:rPr>
        <w:t>申购与赎回的程序</w:t>
      </w:r>
    </w:p>
    <w:p w14:paraId="6E37ABB7">
      <w:pPr>
        <w:adjustRightInd w:val="0"/>
        <w:snapToGrid w:val="0"/>
        <w:spacing w:line="360" w:lineRule="auto"/>
        <w:ind w:firstLine="420" w:firstLineChars="200"/>
        <w:rPr>
          <w:rFonts w:ascii="宋体" w:hAnsi="宋体" w:cs="Arial"/>
          <w:kern w:val="0"/>
        </w:rPr>
      </w:pPr>
      <w:r>
        <w:rPr>
          <w:rFonts w:hint="eastAsia" w:ascii="宋体" w:hAnsi="宋体" w:cs="Arial"/>
          <w:kern w:val="0"/>
        </w:rPr>
        <w:t>1、申购和赎回的申请方式</w:t>
      </w:r>
    </w:p>
    <w:p w14:paraId="68C37F2B">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投资人必须根据申购、赎回代理券商或基金管理人规定的程序，在开放日的具体业务办理时间内提出申购或赎回的申请。</w:t>
      </w:r>
    </w:p>
    <w:p w14:paraId="2EF28B62">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投资人交付申购对价，申购成立；登记机构确认申请时，申购生效。投资人在提交赎回申请时有足够的基金份额余额和现金，则赎回申请成立，登记机构确认赎回时，赎回生效。投资人在提交申购申请时须按申购赎回清单的规定备足申购对价，投资人在提交赎回申请时须持有足够的基金份额余额和现金，否则所提交的申购、赎回申请不成立。</w:t>
      </w:r>
    </w:p>
    <w:p w14:paraId="29DA049F">
      <w:pPr>
        <w:tabs>
          <w:tab w:val="left" w:pos="3780"/>
        </w:tabs>
        <w:autoSpaceDE w:val="0"/>
        <w:autoSpaceDN w:val="0"/>
        <w:adjustRightInd w:val="0"/>
        <w:snapToGrid w:val="0"/>
        <w:spacing w:line="360" w:lineRule="auto"/>
        <w:ind w:firstLine="420" w:firstLineChars="200"/>
        <w:textAlignment w:val="bottom"/>
        <w:rPr>
          <w:rFonts w:ascii="宋体" w:hAnsi="宋体" w:cs="Arial"/>
          <w:bCs/>
          <w:kern w:val="0"/>
        </w:rPr>
      </w:pPr>
      <w:r>
        <w:rPr>
          <w:rFonts w:ascii="宋体" w:hAnsi="宋体" w:cs="Arial"/>
          <w:bCs/>
          <w:kern w:val="0"/>
        </w:rPr>
        <w:t>2、申购和赎回申请的确认</w:t>
      </w:r>
    </w:p>
    <w:p w14:paraId="2BF00F52">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投资人申购、赎回申请在受理当日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w:t>
      </w:r>
    </w:p>
    <w:p w14:paraId="3388822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申购</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color w:val="0D0D0D" w:themeColor="text1" w:themeTint="F2"/>
          <w:kern w:val="0"/>
          <w14:textFill>
            <w14:solidFill>
              <w14:schemeClr w14:val="tx1">
                <w14:lumMod w14:val="95000"/>
                <w14:lumOff w14:val="5000"/>
              </w14:schemeClr>
            </w14:solidFill>
          </w14:textFill>
        </w:rPr>
        <w:t>赎回代理</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券商对申购、赎回申请的受理并不代表该申请一定成功，而仅代表</w:t>
      </w:r>
      <w:r>
        <w:rPr>
          <w:rFonts w:asciiTheme="minorEastAsia" w:hAnsiTheme="minorEastAsia"/>
          <w:color w:val="0D0D0D" w:themeColor="text1" w:themeTint="F2"/>
          <w:kern w:val="0"/>
          <w14:textFill>
            <w14:solidFill>
              <w14:schemeClr w14:val="tx1">
                <w14:lumMod w14:val="95000"/>
                <w14:lumOff w14:val="5000"/>
              </w14:schemeClr>
            </w14:solidFill>
          </w14:textFill>
        </w:rPr>
        <w:t>申购</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color w:val="0D0D0D" w:themeColor="text1" w:themeTint="F2"/>
          <w:kern w:val="0"/>
          <w14:textFill>
            <w14:solidFill>
              <w14:schemeClr w14:val="tx1">
                <w14:lumMod w14:val="95000"/>
                <w14:lumOff w14:val="5000"/>
              </w14:schemeClr>
            </w14:solidFill>
          </w14:textFill>
        </w:rPr>
        <w:t>赎回代理</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券商确实接收到该申请。申购、赎回的确认以登记机构的确认结果为准。对于申购、赎回申请的确认情况，投资人应及时查询并妥善行使合法权利。</w:t>
      </w:r>
    </w:p>
    <w:p w14:paraId="16F6B37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宋体" w:hAnsi="宋体" w:cs="Arial"/>
          <w:bCs/>
          <w:kern w:val="0"/>
        </w:rPr>
        <w:t>基金投资人申购的基金份额当日起可</w:t>
      </w:r>
      <w:bookmarkStart w:id="102" w:name="OLE_LINK7"/>
      <w:bookmarkStart w:id="103" w:name="OLE_LINK8"/>
      <w:r>
        <w:rPr>
          <w:rFonts w:hint="eastAsia" w:ascii="宋体" w:hAnsi="宋体" w:cs="Arial"/>
          <w:bCs/>
          <w:kern w:val="0"/>
        </w:rPr>
        <w:t>卖出</w:t>
      </w:r>
      <w:bookmarkEnd w:id="102"/>
      <w:bookmarkEnd w:id="103"/>
      <w:r>
        <w:rPr>
          <w:rFonts w:hint="eastAsia" w:ascii="宋体" w:hAnsi="宋体" w:cs="Arial"/>
          <w:bCs/>
          <w:kern w:val="0"/>
        </w:rPr>
        <w:t>，投资人赎回获得的股票当日起可卖出。</w:t>
      </w:r>
    </w:p>
    <w:p w14:paraId="114FC223">
      <w:pPr>
        <w:tabs>
          <w:tab w:val="left" w:pos="3780"/>
        </w:tabs>
        <w:autoSpaceDE w:val="0"/>
        <w:autoSpaceDN w:val="0"/>
        <w:adjustRightInd w:val="0"/>
        <w:snapToGrid w:val="0"/>
        <w:spacing w:line="360" w:lineRule="auto"/>
        <w:ind w:firstLine="420" w:firstLineChars="200"/>
        <w:textAlignment w:val="bottom"/>
        <w:rPr>
          <w:rFonts w:ascii="宋体" w:hAnsi="宋体" w:cs="Arial"/>
          <w:bCs/>
          <w:kern w:val="0"/>
        </w:rPr>
      </w:pPr>
      <w:r>
        <w:rPr>
          <w:rFonts w:hint="eastAsia"/>
        </w:rPr>
        <w:t>如上海证券交易所、中国证券登记结算有限责任公司修改或更新上述规则并适用于本基金的，则按照新的规则执行，并在本招募说明书中进行更新。</w:t>
      </w:r>
    </w:p>
    <w:p w14:paraId="3BD76D64">
      <w:pPr>
        <w:tabs>
          <w:tab w:val="left" w:pos="3780"/>
        </w:tabs>
        <w:autoSpaceDE w:val="0"/>
        <w:autoSpaceDN w:val="0"/>
        <w:adjustRightInd w:val="0"/>
        <w:snapToGrid w:val="0"/>
        <w:spacing w:line="360" w:lineRule="auto"/>
        <w:ind w:firstLine="420" w:firstLineChars="200"/>
        <w:textAlignment w:val="bottom"/>
        <w:rPr>
          <w:rFonts w:ascii="宋体" w:hAnsi="宋体" w:cs="Arial"/>
          <w:bCs/>
          <w:kern w:val="0"/>
        </w:rPr>
      </w:pPr>
      <w:r>
        <w:rPr>
          <w:rFonts w:ascii="宋体" w:hAnsi="宋体" w:cs="Arial"/>
          <w:bCs/>
          <w:kern w:val="0"/>
        </w:rPr>
        <w:t>3、申购和赎回的清算交收与登记</w:t>
      </w:r>
    </w:p>
    <w:p w14:paraId="528C6367">
      <w:pPr>
        <w:spacing w:line="360" w:lineRule="auto"/>
        <w:ind w:firstLine="420" w:firstLineChars="200"/>
        <w:rPr>
          <w:rFonts w:ascii="宋体" w:hAnsi="宋体"/>
        </w:rPr>
      </w:pPr>
      <w:r>
        <w:rPr>
          <w:rFonts w:hint="eastAsia" w:ascii="宋体" w:hAnsi="宋体"/>
        </w:rPr>
        <w:t>本基金申购赎回过程中涉及的基金份额、组合证券、现金替代、现金差额及其他对价的清算交收适用相关业务规则和参与各方相关协议的有关规定。对于本基金的申购、赎回业务涉及的基金份额、上海证券交易所上市的成份股</w:t>
      </w:r>
      <w:r>
        <w:rPr>
          <w:rFonts w:ascii="宋体" w:hAnsi="宋体"/>
        </w:rPr>
        <w:t>及其</w:t>
      </w:r>
      <w:r>
        <w:rPr>
          <w:rFonts w:hint="eastAsia" w:ascii="宋体" w:hAnsi="宋体"/>
        </w:rPr>
        <w:t>现金替代、深圳证券交易所上市的成份股的现金替代</w:t>
      </w:r>
      <w:r>
        <w:rPr>
          <w:rFonts w:hint="eastAsia"/>
        </w:rPr>
        <w:t>、北京证券交易所上市的成份股的现金替代</w:t>
      </w:r>
      <w:r>
        <w:rPr>
          <w:rFonts w:hint="eastAsia" w:ascii="宋体" w:hAnsi="宋体"/>
        </w:rPr>
        <w:t>采用净额结算的方式，申购赎回业务涉及的现金差额和现金替代退补款采用代收代付。</w:t>
      </w:r>
      <w:r>
        <w:rPr>
          <w:rFonts w:ascii="宋体" w:hAnsi="宋体"/>
        </w:rPr>
        <w:t xml:space="preserve"> </w:t>
      </w:r>
    </w:p>
    <w:p w14:paraId="6ECE4A98">
      <w:pPr>
        <w:spacing w:line="360" w:lineRule="auto"/>
        <w:ind w:firstLine="420" w:firstLineChars="200"/>
        <w:rPr>
          <w:rFonts w:ascii="宋体" w:hAnsi="宋体"/>
        </w:rPr>
      </w:pPr>
      <w:r>
        <w:rPr>
          <w:rFonts w:hint="eastAsia" w:ascii="宋体" w:hAnsi="宋体"/>
        </w:rPr>
        <w:t>投资者</w:t>
      </w:r>
      <w:r>
        <w:rPr>
          <w:rFonts w:ascii="宋体" w:hAnsi="宋体"/>
        </w:rPr>
        <w:t>T日申购成功后，登记机构在T日收市后为投资者办理上海证券交易所上市的</w:t>
      </w:r>
      <w:r>
        <w:rPr>
          <w:rFonts w:hint="eastAsia" w:ascii="宋体" w:hAnsi="宋体"/>
        </w:rPr>
        <w:t>成份股交收与基金份额的交收登记以及现金替代的清算；在</w:t>
      </w:r>
      <w:r>
        <w:rPr>
          <w:rFonts w:ascii="宋体" w:hAnsi="宋体"/>
        </w:rPr>
        <w:t>T+</w:t>
      </w:r>
      <w:r>
        <w:rPr>
          <w:rFonts w:hint="eastAsia" w:ascii="宋体" w:hAnsi="宋体"/>
        </w:rPr>
        <w:t>2</w:t>
      </w:r>
      <w:r>
        <w:rPr>
          <w:rFonts w:ascii="宋体" w:hAnsi="宋体"/>
        </w:rPr>
        <w:t>日</w:t>
      </w:r>
      <w:r>
        <w:rPr>
          <w:rFonts w:hint="eastAsia" w:ascii="宋体" w:hAnsi="宋体"/>
        </w:rPr>
        <w:t>内</w:t>
      </w:r>
      <w:r>
        <w:rPr>
          <w:rFonts w:ascii="宋体" w:hAnsi="宋体"/>
        </w:rPr>
        <w:t>办理现金替代的交</w:t>
      </w:r>
      <w:r>
        <w:rPr>
          <w:rFonts w:hint="eastAsia" w:ascii="宋体" w:hAnsi="宋体"/>
        </w:rPr>
        <w:t>收以及现金差额的清算</w:t>
      </w:r>
      <w:r>
        <w:rPr>
          <w:rFonts w:ascii="宋体" w:hAnsi="宋体"/>
        </w:rPr>
        <w:t>交收，并将结果发送给申购赎回代理券商、基金管理人和基金托管人。投资者T日赎回成功后，登记机构在T日收市后办理上海证券</w:t>
      </w:r>
      <w:r>
        <w:rPr>
          <w:rFonts w:hint="eastAsia" w:ascii="宋体" w:hAnsi="宋体"/>
        </w:rPr>
        <w:t>交易所上市的成份股交收与基金份额的注销以及现金替代的清算；在</w:t>
      </w:r>
      <w:r>
        <w:rPr>
          <w:rFonts w:ascii="宋体" w:hAnsi="宋体"/>
        </w:rPr>
        <w:t>T+</w:t>
      </w:r>
      <w:r>
        <w:rPr>
          <w:rFonts w:hint="eastAsia" w:ascii="宋体" w:hAnsi="宋体"/>
        </w:rPr>
        <w:t>2</w:t>
      </w:r>
      <w:r>
        <w:rPr>
          <w:rFonts w:ascii="宋体" w:hAnsi="宋体"/>
        </w:rPr>
        <w:t>日</w:t>
      </w:r>
      <w:r>
        <w:rPr>
          <w:rFonts w:hint="eastAsia" w:ascii="宋体" w:hAnsi="宋体"/>
        </w:rPr>
        <w:t>内</w:t>
      </w:r>
      <w:r>
        <w:rPr>
          <w:rFonts w:ascii="宋体" w:hAnsi="宋体"/>
        </w:rPr>
        <w:t>办理现金替代的交</w:t>
      </w:r>
      <w:r>
        <w:rPr>
          <w:rFonts w:hint="eastAsia" w:ascii="宋体" w:hAnsi="宋体"/>
        </w:rPr>
        <w:t>收以及现金差额的清算</w:t>
      </w:r>
      <w:r>
        <w:rPr>
          <w:rFonts w:ascii="宋体" w:hAnsi="宋体"/>
        </w:rPr>
        <w:t>交收，并将结果发送给申购赎回代理券商、基金管理人和基金托管人。</w:t>
      </w:r>
    </w:p>
    <w:p w14:paraId="7B10A3CC">
      <w:pPr>
        <w:tabs>
          <w:tab w:val="left" w:pos="3780"/>
        </w:tabs>
        <w:autoSpaceDE w:val="0"/>
        <w:autoSpaceDN w:val="0"/>
        <w:adjustRightInd w:val="0"/>
        <w:snapToGrid w:val="0"/>
        <w:spacing w:line="360" w:lineRule="auto"/>
        <w:ind w:firstLine="420" w:firstLineChars="200"/>
        <w:textAlignment w:val="bottom"/>
        <w:rPr>
          <w:rFonts w:ascii="宋体" w:hAnsi="宋体"/>
        </w:rPr>
      </w:pPr>
      <w:r>
        <w:rPr>
          <w:rFonts w:hint="eastAsia" w:ascii="宋体" w:hAnsi="宋体"/>
        </w:rPr>
        <w:t>如果登记机构、基金管理人、申购赎回代理券商之间在清算交收时发现不能正常履约的情形，则依据相关业务规则和参与各方相关协议的有关规定进行处理。</w:t>
      </w:r>
    </w:p>
    <w:p w14:paraId="4868CF9B">
      <w:pPr>
        <w:tabs>
          <w:tab w:val="left" w:pos="3780"/>
        </w:tabs>
        <w:autoSpaceDE w:val="0"/>
        <w:autoSpaceDN w:val="0"/>
        <w:adjustRightInd w:val="0"/>
        <w:snapToGrid w:val="0"/>
        <w:spacing w:line="360" w:lineRule="auto"/>
        <w:ind w:firstLine="420" w:firstLineChars="200"/>
        <w:textAlignment w:val="bottom"/>
        <w:rPr>
          <w:rFonts w:ascii="宋体" w:hAnsi="宋体"/>
        </w:rPr>
      </w:pPr>
      <w:r>
        <w:rPr>
          <w:rFonts w:hint="eastAsia" w:ascii="宋体" w:hAnsi="宋体"/>
        </w:rPr>
        <w:t>投资人应按照基金合同的约定和申购、赎回代理券商的规定按时足额支付应付的现金差额和现金替代退补款。因投资人原因导致现金差额或现金替代退补款未能按时足额交收的，基金管理人有权为基金的利益向该投资人追偿，并要求其承担由此导致的其他基金份额持有人或基金资产的损失。</w:t>
      </w:r>
    </w:p>
    <w:p w14:paraId="77F148F1">
      <w:pPr>
        <w:tabs>
          <w:tab w:val="left" w:pos="3780"/>
        </w:tabs>
        <w:autoSpaceDE w:val="0"/>
        <w:autoSpaceDN w:val="0"/>
        <w:adjustRightInd w:val="0"/>
        <w:snapToGrid w:val="0"/>
        <w:spacing w:line="360" w:lineRule="auto"/>
        <w:ind w:firstLine="420" w:firstLineChars="200"/>
        <w:textAlignment w:val="bottom"/>
        <w:rPr>
          <w:rFonts w:ascii="宋体" w:hAnsi="宋体"/>
        </w:rPr>
      </w:pPr>
      <w:r>
        <w:rPr>
          <w:rFonts w:hint="eastAsia" w:ascii="宋体" w:hAnsi="宋体"/>
        </w:rPr>
        <w:t>基金管理人、登记机构可在法律法规允许的范围内，对清算交收和登记的办理时间、方式进行调整，并最迟于开始实施日前按照《信息披露办法》的有关规定在中国证监会规定媒介公告。</w:t>
      </w:r>
    </w:p>
    <w:p w14:paraId="7E884B5F">
      <w:pPr>
        <w:tabs>
          <w:tab w:val="left" w:pos="3780"/>
        </w:tabs>
        <w:autoSpaceDE w:val="0"/>
        <w:autoSpaceDN w:val="0"/>
        <w:adjustRightInd w:val="0"/>
        <w:snapToGrid w:val="0"/>
        <w:spacing w:line="360" w:lineRule="auto"/>
        <w:ind w:firstLine="420" w:firstLineChars="200"/>
        <w:textAlignment w:val="bottom"/>
        <w:rPr>
          <w:rFonts w:ascii="宋体" w:hAnsi="宋体" w:cs="Arial"/>
          <w:bCs/>
          <w:kern w:val="0"/>
        </w:rPr>
      </w:pPr>
      <w:r>
        <w:rPr>
          <w:rFonts w:hint="eastAsia" w:ascii="宋体" w:hAnsi="宋体" w:cs="Arial"/>
          <w:bCs/>
          <w:kern w:val="0"/>
        </w:rPr>
        <w:t>本基金获批后，若上海证券交易所和中国证券登记结算有限责任公司针对跨市场交易型开放式指数证券投资基金推出新的清算交收与登记模式并引入新的申购、赎回方式，在履行适当程序后，本基金管理人有权调整本基金的清算交收与登记模式及申购、赎回方式，或新增本基金的清算交收与登记模式并引入新的申购、赎回方式，届时将发布公告予以披露并对本基金的基金合同和招募说明书予以更新，无需召开基金份额持有人大会审议。</w:t>
      </w:r>
      <w:bookmarkEnd w:id="100"/>
    </w:p>
    <w:bookmarkEnd w:id="101"/>
    <w:p w14:paraId="4DC0653C">
      <w:pPr>
        <w:tabs>
          <w:tab w:val="left" w:pos="3780"/>
        </w:tabs>
        <w:autoSpaceDE w:val="0"/>
        <w:autoSpaceDN w:val="0"/>
        <w:adjustRightInd w:val="0"/>
        <w:snapToGrid w:val="0"/>
        <w:spacing w:line="360" w:lineRule="auto"/>
        <w:ind w:firstLine="422" w:firstLineChars="200"/>
        <w:textAlignment w:val="bottom"/>
        <w:rPr>
          <w:rFonts w:ascii="宋体" w:hAnsi="宋体" w:cs="Arial"/>
          <w:b/>
          <w:bCs/>
        </w:rPr>
      </w:pPr>
      <w:r>
        <w:rPr>
          <w:rFonts w:hint="eastAsia" w:ascii="宋体" w:hAnsi="宋体" w:cs="Arial"/>
          <w:b/>
          <w:bCs/>
        </w:rPr>
        <w:t>五、</w:t>
      </w:r>
      <w:r>
        <w:rPr>
          <w:rFonts w:ascii="宋体" w:hAnsi="宋体" w:cs="Arial"/>
          <w:b/>
          <w:bCs/>
        </w:rPr>
        <w:t>申购</w:t>
      </w:r>
      <w:r>
        <w:rPr>
          <w:rFonts w:hint="eastAsia" w:ascii="宋体" w:hAnsi="宋体" w:cs="Arial"/>
          <w:b/>
          <w:bCs/>
        </w:rPr>
        <w:t>和</w:t>
      </w:r>
      <w:r>
        <w:rPr>
          <w:rFonts w:ascii="宋体" w:hAnsi="宋体" w:cs="Arial"/>
          <w:b/>
          <w:bCs/>
        </w:rPr>
        <w:t>赎回的数额限制</w:t>
      </w:r>
    </w:p>
    <w:p w14:paraId="68F89406">
      <w:pPr>
        <w:adjustRightInd w:val="0"/>
        <w:snapToGrid w:val="0"/>
        <w:spacing w:line="360" w:lineRule="auto"/>
        <w:ind w:firstLine="420" w:firstLineChars="200"/>
        <w:rPr>
          <w:rFonts w:ascii="宋体" w:hAnsi="宋体" w:cs="Arial"/>
          <w:kern w:val="0"/>
        </w:rPr>
      </w:pPr>
      <w:r>
        <w:rPr>
          <w:rFonts w:hint="eastAsia" w:ascii="宋体" w:hAnsi="宋体" w:cs="Arial"/>
          <w:kern w:val="0"/>
        </w:rPr>
        <w:t>1、</w:t>
      </w:r>
      <w:r>
        <w:rPr>
          <w:rFonts w:ascii="宋体" w:hAnsi="宋体" w:cs="Arial"/>
          <w:kern w:val="0"/>
        </w:rPr>
        <w:t>投资者申购、赎回的基金份额需为最小申购、赎回单位的整数倍。</w:t>
      </w:r>
    </w:p>
    <w:p w14:paraId="2353933B">
      <w:pPr>
        <w:adjustRightInd w:val="0"/>
        <w:snapToGrid w:val="0"/>
        <w:spacing w:line="360" w:lineRule="auto"/>
        <w:ind w:firstLine="420" w:firstLineChars="200"/>
        <w:rPr>
          <w:rFonts w:ascii="宋体" w:hAnsi="宋体" w:cs="Arial"/>
        </w:rPr>
      </w:pPr>
      <w:r>
        <w:rPr>
          <w:rFonts w:hint="eastAsia" w:ascii="宋体" w:hAnsi="宋体" w:cs="Arial"/>
        </w:rPr>
        <w:t>本基金的最小申购赎回单位为150万份。基金管理人可根据基金运作情况、市场变化以及投资者需求等因素对基金的最小申购赎回单位进行调整，并在调整实施前依照《信息披露办法》的有关规定在规定媒介公告。</w:t>
      </w:r>
    </w:p>
    <w:p w14:paraId="58440B3C">
      <w:pPr>
        <w:adjustRightInd w:val="0"/>
        <w:snapToGrid w:val="0"/>
        <w:spacing w:line="360" w:lineRule="auto"/>
        <w:ind w:firstLine="420" w:firstLineChars="200"/>
        <w:rPr>
          <w:rFonts w:ascii="宋体" w:hAnsi="宋体" w:cs="Arial"/>
          <w:bCs/>
        </w:rPr>
      </w:pPr>
      <w:r>
        <w:rPr>
          <w:rFonts w:hint="eastAsia" w:ascii="宋体" w:hAnsi="宋体" w:cs="Arial"/>
          <w:bCs/>
        </w:rPr>
        <w:t>2、基金管理人可以规定本基金当日申购份额及当日赎回份额上限，具体规定详见申购、赎回清单。</w:t>
      </w:r>
    </w:p>
    <w:p w14:paraId="456FDD9B">
      <w:pPr>
        <w:adjustRightInd w:val="0"/>
        <w:snapToGrid w:val="0"/>
        <w:spacing w:line="360" w:lineRule="auto"/>
        <w:ind w:firstLine="420" w:firstLineChars="200"/>
        <w:rPr>
          <w:rFonts w:ascii="宋体" w:hAnsi="宋体" w:cs="Arial"/>
          <w:bCs/>
        </w:rPr>
      </w:pPr>
      <w:r>
        <w:rPr>
          <w:rFonts w:hint="eastAsia" w:ascii="宋体" w:hAnsi="宋体" w:cs="Arial"/>
          <w:bCs/>
        </w:rPr>
        <w:t>3、基金管理人可以规定投资人每个交易账户的最低基金份额余额，具体规定请参见更新的招募说明书或相关公告。</w:t>
      </w:r>
    </w:p>
    <w:p w14:paraId="6F9550DB">
      <w:pPr>
        <w:adjustRightInd w:val="0"/>
        <w:snapToGrid w:val="0"/>
        <w:spacing w:line="360" w:lineRule="auto"/>
        <w:ind w:firstLine="420" w:firstLineChars="200"/>
        <w:rPr>
          <w:rFonts w:ascii="宋体" w:hAnsi="宋体" w:cs="Arial"/>
          <w:bCs/>
        </w:rPr>
      </w:pPr>
      <w:r>
        <w:rPr>
          <w:rFonts w:hint="eastAsia" w:ascii="宋体" w:hAnsi="宋体" w:cs="Arial"/>
          <w:bCs/>
        </w:rPr>
        <w:t>4、基金管理人可以规定单个投资人累计持有的基金份额上限，具体规定请参见更新的招募说明书或相关公告。</w:t>
      </w:r>
    </w:p>
    <w:p w14:paraId="4E4BE1A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宋体" w:hAnsi="宋体" w:cs="Arial"/>
          <w:bCs/>
        </w:rPr>
        <w:t>5、</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当接受申购申请对存量基金份额持有人利益构成潜在重大不利影响时，基金管理人可以采取设定单一投资者申购份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501DE7C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基金管理人可根据市场情况，在法律法规允许的情况下，调整上述规定数量或比例等限制。基金管理人必须在调整实施前依照《信息披露办法》的有关规定在规定媒介上公告（其中上述第</w:t>
      </w:r>
      <w:r>
        <w:rPr>
          <w:rFonts w:asciiTheme="minorEastAsia" w:hAnsiTheme="minorEastAsia"/>
          <w:color w:val="0D0D0D" w:themeColor="text1" w:themeTint="F2"/>
          <w:kern w:val="0"/>
          <w14:textFill>
            <w14:solidFill>
              <w14:schemeClr w14:val="tx1">
                <w14:lumMod w14:val="95000"/>
                <w14:lumOff w14:val="5000"/>
              </w14:schemeClr>
            </w14:solidFill>
          </w14:textFill>
        </w:rPr>
        <w:t>2</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color w:val="0D0D0D" w:themeColor="text1" w:themeTint="F2"/>
          <w:kern w:val="0"/>
          <w14:textFill>
            <w14:solidFill>
              <w14:schemeClr w14:val="tx1">
                <w14:lumMod w14:val="95000"/>
                <w14:lumOff w14:val="5000"/>
              </w14:schemeClr>
            </w14:solidFill>
          </w14:textFill>
        </w:rPr>
        <w:t>3、4</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条基金管理人须于前一交易日设定并在当日基金申购、赎回清单上公布，而不必在规定媒介上公告也无需报中国证监会备案）。</w:t>
      </w:r>
    </w:p>
    <w:p w14:paraId="26521BD5">
      <w:pPr>
        <w:tabs>
          <w:tab w:val="left" w:pos="3780"/>
        </w:tabs>
        <w:autoSpaceDE w:val="0"/>
        <w:autoSpaceDN w:val="0"/>
        <w:adjustRightInd w:val="0"/>
        <w:snapToGrid w:val="0"/>
        <w:spacing w:line="360" w:lineRule="auto"/>
        <w:ind w:firstLine="422" w:firstLineChars="200"/>
        <w:textAlignment w:val="bottom"/>
        <w:rPr>
          <w:rFonts w:ascii="宋体" w:hAnsi="宋体" w:cs="Arial"/>
          <w:b/>
          <w:bCs/>
        </w:rPr>
      </w:pPr>
      <w:r>
        <w:rPr>
          <w:rFonts w:hint="eastAsia" w:ascii="宋体" w:hAnsi="宋体" w:cs="Arial"/>
          <w:b/>
          <w:bCs/>
        </w:rPr>
        <w:t>六、</w:t>
      </w:r>
      <w:r>
        <w:rPr>
          <w:rFonts w:ascii="宋体" w:hAnsi="宋体" w:cs="Arial"/>
          <w:b/>
          <w:bCs/>
        </w:rPr>
        <w:t>申购与赎回的对价和费用</w:t>
      </w:r>
    </w:p>
    <w:p w14:paraId="37027FFD">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bookmarkStart w:id="104" w:name="_Hlk106303110"/>
      <w:r>
        <w:rPr>
          <w:rFonts w:hint="eastAsia" w:ascii="宋体" w:hAnsi="宋体" w:cs="Arial"/>
          <w:kern w:val="0"/>
        </w:rPr>
        <w:t>1、</w:t>
      </w:r>
      <w:bookmarkStart w:id="105" w:name="_Hlk95333310"/>
      <w:r>
        <w:rPr>
          <w:rFonts w:hint="eastAsia" w:ascii="宋体" w:hAnsi="宋体" w:cs="Arial"/>
          <w:bCs/>
          <w:kern w:val="0"/>
        </w:rPr>
        <w:t>申购对价、赎回对价根据申购、赎回清单和投资人申购、赎回的基金份额数额确定。申购对价是指投资人申购基金份额时应交付的组合证券、现金替代、现金差额和/或其他对价。赎回对价是指投资人赎回基金份额时，基金管理人应交付给投资人的组合证券、现金替代、现金差额和/或其他对价</w:t>
      </w:r>
      <w:bookmarkEnd w:id="105"/>
      <w:r>
        <w:rPr>
          <w:rFonts w:hint="eastAsia" w:ascii="宋体" w:hAnsi="宋体" w:cs="Arial"/>
          <w:bCs/>
          <w:kern w:val="0"/>
        </w:rPr>
        <w:t>。</w:t>
      </w:r>
    </w:p>
    <w:p w14:paraId="75F4DCEE">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2、申购、赎回清单由基金管理人编制。T日的申购、赎回清单在当日上海证券交易所开市前公告。如遇特殊情况，可以适当延迟计算或公告。申购赎回清单的内容与格式见下文“七、申购赎回清单的内容与格式”或相关公告。</w:t>
      </w:r>
    </w:p>
    <w:p w14:paraId="4DCC965D">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3、投资人</w:t>
      </w:r>
      <w:bookmarkStart w:id="106" w:name="_Hlk95333359"/>
      <w:r>
        <w:rPr>
          <w:rFonts w:hint="eastAsia" w:ascii="宋体" w:hAnsi="宋体" w:cs="Arial"/>
          <w:kern w:val="0"/>
        </w:rPr>
        <w:t>在申购基金份额时，申购赎回代理券商可按照</w:t>
      </w:r>
      <w:r>
        <w:rPr>
          <w:rFonts w:ascii="宋体" w:hAnsi="宋体" w:cs="Arial"/>
        </w:rPr>
        <w:t>不超过0.3</w:t>
      </w:r>
      <w:r>
        <w:rPr>
          <w:rFonts w:hint="eastAsia" w:ascii="宋体" w:hAnsi="宋体" w:cs="Arial"/>
        </w:rPr>
        <w:t>0</w:t>
      </w:r>
      <w:r>
        <w:rPr>
          <w:rFonts w:ascii="宋体" w:hAnsi="宋体" w:cs="Arial"/>
        </w:rPr>
        <w:t>%的</w:t>
      </w:r>
      <w:r>
        <w:rPr>
          <w:rFonts w:hint="eastAsia" w:ascii="宋体" w:hAnsi="宋体" w:cs="Arial"/>
        </w:rPr>
        <w:t>标准</w:t>
      </w:r>
      <w:r>
        <w:rPr>
          <w:rFonts w:hint="eastAsia" w:ascii="宋体" w:hAnsi="宋体" w:cs="Arial"/>
          <w:kern w:val="0"/>
        </w:rPr>
        <w:t>收取佣金，投资人在赎回本基金份额时，申购赎回代理券商可按照不超过0.</w:t>
      </w:r>
      <w:r>
        <w:rPr>
          <w:rFonts w:ascii="宋体" w:hAnsi="宋体" w:cs="Arial"/>
          <w:kern w:val="0"/>
        </w:rPr>
        <w:t>50</w:t>
      </w:r>
      <w:r>
        <w:rPr>
          <w:rFonts w:hint="eastAsia" w:ascii="宋体" w:hAnsi="宋体" w:cs="Arial"/>
          <w:kern w:val="0"/>
        </w:rPr>
        <w:t>%的标准收取佣金，其中包含证券交易所、登记机构等收取的相关费用</w:t>
      </w:r>
      <w:bookmarkEnd w:id="106"/>
      <w:r>
        <w:rPr>
          <w:rFonts w:hint="eastAsia" w:ascii="宋体" w:hAnsi="宋体" w:cs="Arial"/>
          <w:kern w:val="0"/>
        </w:rPr>
        <w:t>。</w:t>
      </w:r>
    </w:p>
    <w:p w14:paraId="3CB14A06">
      <w:pPr>
        <w:adjustRightInd w:val="0"/>
        <w:snapToGrid w:val="0"/>
        <w:spacing w:line="360" w:lineRule="auto"/>
        <w:ind w:firstLine="420" w:firstLineChars="200"/>
        <w:rPr>
          <w:rFonts w:ascii="宋体" w:hAnsi="宋体" w:cs="Arial"/>
          <w:bCs/>
          <w:kern w:val="0"/>
        </w:rPr>
      </w:pPr>
      <w:r>
        <w:rPr>
          <w:rFonts w:hint="eastAsia" w:ascii="宋体" w:hAnsi="宋体" w:cs="Arial"/>
          <w:kern w:val="0"/>
        </w:rPr>
        <w:t>4、本基金份额净值的计算，保留到小数点后4位，小数点后第5位四舍五入，由此产生的收益或损失由基金财产承担。T日的基金份额净值在当天收市后计算，并按照基金合同的约定公告。遇特殊情况，经履行适当</w:t>
      </w:r>
      <w:r>
        <w:rPr>
          <w:rFonts w:ascii="宋体" w:hAnsi="宋体" w:cs="Arial"/>
          <w:kern w:val="0"/>
        </w:rPr>
        <w:t>程序</w:t>
      </w:r>
      <w:r>
        <w:rPr>
          <w:rFonts w:hint="eastAsia" w:ascii="宋体" w:hAnsi="宋体" w:cs="Arial"/>
          <w:kern w:val="0"/>
        </w:rPr>
        <w:t>，可以适当延迟计算或公告。</w:t>
      </w:r>
    </w:p>
    <w:p w14:paraId="787192A8">
      <w:pPr>
        <w:adjustRightInd w:val="0"/>
        <w:snapToGrid w:val="0"/>
        <w:spacing w:line="360" w:lineRule="auto"/>
        <w:ind w:firstLine="420" w:firstLineChars="200"/>
        <w:rPr>
          <w:rFonts w:ascii="宋体" w:hAnsi="宋体" w:cs="Arial"/>
          <w:kern w:val="0"/>
        </w:rPr>
      </w:pPr>
      <w:r>
        <w:rPr>
          <w:rFonts w:hint="eastAsia" w:ascii="宋体" w:hAnsi="宋体" w:cs="Arial"/>
          <w:bCs/>
          <w:kern w:val="0"/>
        </w:rPr>
        <w:t>5、</w:t>
      </w:r>
      <w:r>
        <w:rPr>
          <w:rFonts w:ascii="宋体" w:hAnsi="宋体" w:cs="Arial"/>
          <w:bCs/>
          <w:kern w:val="0"/>
        </w:rPr>
        <w:t>基金管理人可以在不违反相关法律法规的情况下对基金份额净值、申购赎回清单计算和公告时间进行调整并提前公告。</w:t>
      </w:r>
    </w:p>
    <w:bookmarkEnd w:id="104"/>
    <w:p w14:paraId="38142600">
      <w:pPr>
        <w:adjustRightInd w:val="0"/>
        <w:snapToGrid w:val="0"/>
        <w:spacing w:line="360" w:lineRule="auto"/>
        <w:ind w:firstLine="420"/>
        <w:rPr>
          <w:rFonts w:ascii="宋体" w:hAnsi="宋体" w:cs="Arial"/>
          <w:b/>
          <w:kern w:val="0"/>
        </w:rPr>
      </w:pPr>
      <w:r>
        <w:rPr>
          <w:rFonts w:hint="eastAsia" w:ascii="宋体" w:hAnsi="宋体" w:cs="Arial"/>
          <w:b/>
          <w:kern w:val="0"/>
        </w:rPr>
        <w:t>七、</w:t>
      </w:r>
      <w:r>
        <w:rPr>
          <w:rFonts w:ascii="宋体" w:hAnsi="宋体" w:cs="Arial"/>
          <w:b/>
          <w:kern w:val="0"/>
        </w:rPr>
        <w:t>申购赎回清单的内容与格式</w:t>
      </w:r>
    </w:p>
    <w:p w14:paraId="7802A849">
      <w:pPr>
        <w:adjustRightInd w:val="0"/>
        <w:snapToGrid w:val="0"/>
        <w:spacing w:line="360" w:lineRule="auto"/>
        <w:ind w:firstLine="420"/>
        <w:rPr>
          <w:rFonts w:ascii="宋体" w:hAnsi="宋体" w:cs="Arial"/>
        </w:rPr>
      </w:pPr>
      <w:r>
        <w:rPr>
          <w:rFonts w:hint="eastAsia" w:ascii="宋体" w:hAnsi="宋体" w:cs="Arial"/>
        </w:rPr>
        <w:t>1、</w:t>
      </w:r>
      <w:r>
        <w:rPr>
          <w:rFonts w:ascii="宋体" w:hAnsi="宋体" w:cs="Arial"/>
        </w:rPr>
        <w:t>申购赎回清单的内容</w:t>
      </w:r>
    </w:p>
    <w:p w14:paraId="18FEF401">
      <w:pPr>
        <w:adjustRightInd w:val="0"/>
        <w:snapToGrid w:val="0"/>
        <w:spacing w:line="360" w:lineRule="auto"/>
        <w:ind w:firstLine="420"/>
        <w:rPr>
          <w:rFonts w:ascii="宋体" w:hAnsi="宋体" w:cs="Arial"/>
        </w:rPr>
      </w:pPr>
      <w:r>
        <w:rPr>
          <w:rFonts w:ascii="宋体" w:hAnsi="宋体" w:cs="Arial"/>
        </w:rPr>
        <w:t>T日申购赎回清单公告内容包括最小申购、赎回单位所对应的组合证券内各成份证券数据、现金替代、T日预估现金部分、T</w:t>
      </w:r>
      <w:r>
        <w:rPr>
          <w:rFonts w:hint="eastAsia" w:ascii="宋体" w:hAnsi="宋体" w:cs="Arial"/>
        </w:rPr>
        <w:t>-</w:t>
      </w:r>
      <w:r>
        <w:rPr>
          <w:rFonts w:ascii="宋体" w:hAnsi="宋体" w:cs="Arial"/>
        </w:rPr>
        <w:t>1日的现金差额、基金份额净值及其他相关内容。</w:t>
      </w:r>
    </w:p>
    <w:p w14:paraId="07E38B08">
      <w:pPr>
        <w:adjustRightInd w:val="0"/>
        <w:snapToGrid w:val="0"/>
        <w:spacing w:line="360" w:lineRule="auto"/>
        <w:ind w:firstLine="420"/>
        <w:rPr>
          <w:rFonts w:ascii="宋体" w:hAnsi="宋体" w:cs="Arial"/>
        </w:rPr>
      </w:pPr>
      <w:r>
        <w:rPr>
          <w:rFonts w:hint="eastAsia" w:ascii="宋体" w:hAnsi="宋体" w:cs="Arial"/>
        </w:rPr>
        <w:t>2、</w:t>
      </w:r>
      <w:r>
        <w:rPr>
          <w:rFonts w:ascii="宋体" w:hAnsi="宋体" w:cs="Arial"/>
        </w:rPr>
        <w:t>组合证券相关内容</w:t>
      </w:r>
    </w:p>
    <w:p w14:paraId="3F595C04">
      <w:pPr>
        <w:adjustRightInd w:val="0"/>
        <w:snapToGrid w:val="0"/>
        <w:spacing w:line="360" w:lineRule="auto"/>
        <w:ind w:firstLine="420"/>
        <w:rPr>
          <w:rFonts w:ascii="宋体" w:hAnsi="宋体" w:cs="Arial"/>
        </w:rPr>
      </w:pPr>
      <w:r>
        <w:rPr>
          <w:rFonts w:ascii="宋体" w:hAnsi="宋体" w:cs="Arial"/>
        </w:rPr>
        <w:t>组合证券是指本基金标的指数所包含的全部或部分证券。申购赎回清单将公告最小申购赎回单位所对应的各成份证券名称、证券代码及数量。</w:t>
      </w:r>
    </w:p>
    <w:p w14:paraId="622BE270">
      <w:pPr>
        <w:adjustRightInd w:val="0"/>
        <w:snapToGrid w:val="0"/>
        <w:spacing w:line="360" w:lineRule="auto"/>
        <w:ind w:firstLine="420"/>
        <w:rPr>
          <w:rFonts w:ascii="宋体" w:hAnsi="宋体" w:cs="Arial"/>
        </w:rPr>
      </w:pPr>
      <w:r>
        <w:rPr>
          <w:rFonts w:hint="eastAsia" w:ascii="宋体" w:hAnsi="宋体" w:cs="Arial"/>
        </w:rPr>
        <w:t>3、</w:t>
      </w:r>
      <w:r>
        <w:rPr>
          <w:rFonts w:ascii="宋体" w:hAnsi="宋体" w:cs="Arial"/>
        </w:rPr>
        <w:t>现金替代相关内容</w:t>
      </w:r>
    </w:p>
    <w:p w14:paraId="489ACC7C">
      <w:pPr>
        <w:adjustRightInd w:val="0"/>
        <w:snapToGrid w:val="0"/>
        <w:spacing w:line="360" w:lineRule="auto"/>
        <w:ind w:firstLine="420"/>
        <w:rPr>
          <w:rFonts w:ascii="宋体" w:hAnsi="宋体" w:cs="Arial"/>
        </w:rPr>
      </w:pPr>
      <w:r>
        <w:rPr>
          <w:rFonts w:ascii="宋体" w:hAnsi="宋体" w:cs="Arial"/>
        </w:rPr>
        <w:t>现金替代是指申购、赎回过程中，投资人按基金合同和招募说明书规定的原则，用于替代组合证券中部分证券的一定数量的现金。</w:t>
      </w:r>
    </w:p>
    <w:p w14:paraId="75A39D2A">
      <w:pPr>
        <w:adjustRightInd w:val="0"/>
        <w:snapToGrid w:val="0"/>
        <w:spacing w:line="360" w:lineRule="auto"/>
        <w:ind w:firstLine="420"/>
        <w:rPr>
          <w:rFonts w:ascii="宋体" w:hAnsi="宋体" w:cs="Arial"/>
        </w:rPr>
      </w:pPr>
      <w:r>
        <w:rPr>
          <w:rFonts w:ascii="宋体" w:hAnsi="宋体" w:cs="Arial"/>
        </w:rPr>
        <w:t>现金替代分为</w:t>
      </w:r>
      <w:r>
        <w:rPr>
          <w:rFonts w:hint="eastAsia" w:ascii="宋体" w:hAnsi="宋体" w:cs="Arial"/>
        </w:rPr>
        <w:t>3</w:t>
      </w:r>
      <w:r>
        <w:rPr>
          <w:rFonts w:ascii="宋体" w:hAnsi="宋体" w:cs="Arial"/>
        </w:rPr>
        <w:t>种类型：禁止现金替代（标志为</w:t>
      </w:r>
      <w:r>
        <w:rPr>
          <w:rFonts w:hint="eastAsia" w:ascii="宋体" w:hAnsi="宋体" w:cs="Arial"/>
        </w:rPr>
        <w:t>“</w:t>
      </w:r>
      <w:r>
        <w:rPr>
          <w:rFonts w:ascii="宋体" w:hAnsi="宋体" w:cs="Arial"/>
        </w:rPr>
        <w:t>禁止</w:t>
      </w:r>
      <w:r>
        <w:rPr>
          <w:rFonts w:hint="eastAsia" w:ascii="宋体" w:hAnsi="宋体" w:cs="Arial"/>
        </w:rPr>
        <w:t>”</w:t>
      </w:r>
      <w:r>
        <w:rPr>
          <w:rFonts w:ascii="宋体" w:hAnsi="宋体" w:cs="Arial"/>
        </w:rPr>
        <w:t>）、可以现金替代（标志为</w:t>
      </w:r>
      <w:r>
        <w:rPr>
          <w:rFonts w:hint="eastAsia" w:ascii="宋体" w:hAnsi="宋体" w:cs="Arial"/>
        </w:rPr>
        <w:t>“</w:t>
      </w:r>
      <w:r>
        <w:rPr>
          <w:rFonts w:ascii="宋体" w:hAnsi="宋体" w:cs="Arial"/>
        </w:rPr>
        <w:t>允许</w:t>
      </w:r>
      <w:r>
        <w:rPr>
          <w:rFonts w:hint="eastAsia" w:ascii="宋体" w:hAnsi="宋体" w:cs="Arial"/>
        </w:rPr>
        <w:t>”</w:t>
      </w:r>
      <w:r>
        <w:rPr>
          <w:rFonts w:ascii="宋体" w:hAnsi="宋体" w:cs="Arial"/>
        </w:rPr>
        <w:t>）</w:t>
      </w:r>
      <w:r>
        <w:rPr>
          <w:rFonts w:hint="eastAsia" w:ascii="宋体" w:hAnsi="宋体" w:cs="Arial"/>
        </w:rPr>
        <w:t>、</w:t>
      </w:r>
      <w:r>
        <w:rPr>
          <w:rFonts w:ascii="宋体" w:hAnsi="宋体" w:cs="Arial"/>
        </w:rPr>
        <w:t>必须现金替代（标志为</w:t>
      </w:r>
      <w:r>
        <w:rPr>
          <w:rFonts w:hint="eastAsia" w:ascii="宋体" w:hAnsi="宋体" w:cs="Arial"/>
        </w:rPr>
        <w:t>“</w:t>
      </w:r>
      <w:r>
        <w:rPr>
          <w:rFonts w:ascii="宋体" w:hAnsi="宋体" w:cs="Arial"/>
        </w:rPr>
        <w:t>必须</w:t>
      </w:r>
      <w:r>
        <w:rPr>
          <w:rFonts w:hint="eastAsia" w:ascii="宋体" w:hAnsi="宋体" w:cs="Arial"/>
        </w:rPr>
        <w:t>”</w:t>
      </w:r>
      <w:r>
        <w:rPr>
          <w:rFonts w:ascii="宋体" w:hAnsi="宋体" w:cs="Arial"/>
        </w:rPr>
        <w:t>）</w:t>
      </w:r>
      <w:r>
        <w:rPr>
          <w:rFonts w:hint="eastAsia" w:ascii="宋体" w:hAnsi="宋体" w:cs="Arial"/>
        </w:rPr>
        <w:t>。</w:t>
      </w:r>
    </w:p>
    <w:p w14:paraId="20D15895">
      <w:pPr>
        <w:pStyle w:val="12"/>
        <w:spacing w:before="0" w:beforeAutospacing="0" w:after="0" w:afterAutospacing="0" w:line="360" w:lineRule="auto"/>
        <w:ind w:firstLine="420"/>
        <w:rPr>
          <w:sz w:val="21"/>
        </w:rPr>
      </w:pPr>
      <w:r>
        <w:rPr>
          <w:rFonts w:hint="eastAsia"/>
          <w:sz w:val="21"/>
        </w:rPr>
        <w:t>对于上交所上市的成份股（“沪市成份证券”），现金替代的类型可以设为：“禁止”、“允许”和“必须”。</w:t>
      </w:r>
    </w:p>
    <w:p w14:paraId="1A401D94">
      <w:pPr>
        <w:pStyle w:val="12"/>
        <w:spacing w:before="0" w:beforeAutospacing="0" w:after="0" w:afterAutospacing="0" w:line="360" w:lineRule="auto"/>
        <w:ind w:firstLine="420"/>
        <w:rPr>
          <w:rFonts w:cs="Arial"/>
        </w:rPr>
      </w:pPr>
      <w:r>
        <w:rPr>
          <w:rFonts w:hint="eastAsia"/>
          <w:sz w:val="21"/>
        </w:rPr>
        <w:t>对于非上交所上市的成份股（“非沪市成份证券”），可以设为：“允许”和“必须”。</w:t>
      </w:r>
    </w:p>
    <w:p w14:paraId="28BB7B40">
      <w:pPr>
        <w:adjustRightInd w:val="0"/>
        <w:snapToGrid w:val="0"/>
        <w:spacing w:line="360" w:lineRule="auto"/>
        <w:ind w:firstLine="420"/>
        <w:rPr>
          <w:rFonts w:ascii="宋体" w:hAnsi="宋体" w:cs="Arial"/>
        </w:rPr>
      </w:pPr>
      <w:r>
        <w:rPr>
          <w:rFonts w:ascii="宋体" w:hAnsi="宋体" w:cs="Arial"/>
        </w:rPr>
        <w:t>禁止现金替代</w:t>
      </w:r>
      <w:r>
        <w:rPr>
          <w:rFonts w:hint="eastAsia" w:ascii="宋体" w:hAnsi="宋体" w:cs="Arial"/>
        </w:rPr>
        <w:t>适用于上海证券交易所上市的成份股，</w:t>
      </w:r>
      <w:r>
        <w:rPr>
          <w:rFonts w:ascii="宋体" w:hAnsi="宋体" w:cs="Arial"/>
        </w:rPr>
        <w:t>是指在申购、赎回基金份额时，该成份证券不允许使用现金作为替代。</w:t>
      </w:r>
    </w:p>
    <w:p w14:paraId="3B7420D7">
      <w:pPr>
        <w:adjustRightInd w:val="0"/>
        <w:snapToGrid w:val="0"/>
        <w:spacing w:line="360" w:lineRule="auto"/>
        <w:ind w:firstLine="420"/>
        <w:rPr>
          <w:rFonts w:ascii="宋体" w:hAnsi="宋体" w:cs="Arial"/>
        </w:rPr>
      </w:pPr>
      <w:r>
        <w:rPr>
          <w:rFonts w:hint="eastAsia" w:ascii="宋体" w:hAnsi="宋体" w:cs="Arial"/>
        </w:rPr>
        <w:t>可以现金替代适用于所有成份股。当可以现金替代适用于上交所上市的成份股时，可以现金替代是指在申购基金份额时，允许使用现金作为全部或部分该成份证券的替代，但在赎回基金份额时，该成份证券不允许使用现金作为替代。当可以现金替代适用于非上交所上市的成份股，是指在申购赎回基金份额时，该成份证券必须使用现金作为替代，根据基金管理人买卖情况，与投资者进行退款或补款。</w:t>
      </w:r>
    </w:p>
    <w:p w14:paraId="711CA2BB">
      <w:pPr>
        <w:adjustRightInd w:val="0"/>
        <w:snapToGrid w:val="0"/>
        <w:spacing w:line="360" w:lineRule="auto"/>
        <w:ind w:firstLine="420"/>
        <w:rPr>
          <w:rFonts w:ascii="宋体" w:hAnsi="宋体" w:cs="Arial"/>
        </w:rPr>
      </w:pPr>
      <w:r>
        <w:rPr>
          <w:rFonts w:ascii="宋体" w:hAnsi="宋体" w:cs="Arial"/>
        </w:rPr>
        <w:t>必须现金替代</w:t>
      </w:r>
      <w:r>
        <w:rPr>
          <w:rFonts w:hint="eastAsia" w:ascii="宋体" w:hAnsi="宋体" w:cs="Arial"/>
        </w:rPr>
        <w:t>适用于所有成份股，</w:t>
      </w:r>
      <w:r>
        <w:rPr>
          <w:rFonts w:ascii="宋体" w:hAnsi="宋体" w:cs="Arial"/>
        </w:rPr>
        <w:t>是指在申购、赎回基金份额时，该成份证券必须使用现金作为替代</w:t>
      </w:r>
      <w:r>
        <w:rPr>
          <w:rFonts w:hint="eastAsia" w:ascii="宋体" w:hAnsi="宋体" w:cs="Arial"/>
        </w:rPr>
        <w:t>。</w:t>
      </w:r>
    </w:p>
    <w:p w14:paraId="729BDCD6">
      <w:pPr>
        <w:adjustRightInd w:val="0"/>
        <w:snapToGrid w:val="0"/>
        <w:spacing w:line="360" w:lineRule="auto"/>
        <w:ind w:firstLine="420"/>
        <w:rPr>
          <w:rFonts w:ascii="宋体" w:hAnsi="宋体" w:cs="Arial"/>
          <w:b/>
        </w:rPr>
      </w:pPr>
      <w:r>
        <w:rPr>
          <w:rFonts w:hint="eastAsia" w:ascii="宋体" w:hAnsi="宋体" w:cs="Arial"/>
          <w:b/>
        </w:rPr>
        <w:t>（1）</w:t>
      </w:r>
      <w:r>
        <w:rPr>
          <w:rFonts w:ascii="宋体" w:hAnsi="宋体" w:cs="Arial"/>
          <w:b/>
        </w:rPr>
        <w:t>关于可以现金替代</w:t>
      </w:r>
    </w:p>
    <w:p w14:paraId="6073F626">
      <w:pPr>
        <w:pStyle w:val="12"/>
        <w:spacing w:before="0" w:beforeAutospacing="0" w:after="0" w:afterAutospacing="0" w:line="360" w:lineRule="auto"/>
        <w:ind w:firstLine="420"/>
        <w:rPr>
          <w:rFonts w:cs="Arial"/>
          <w:kern w:val="2"/>
          <w:sz w:val="21"/>
        </w:rPr>
      </w:pPr>
      <w:r>
        <w:rPr>
          <w:rFonts w:cs="Arial"/>
          <w:kern w:val="2"/>
          <w:sz w:val="21"/>
        </w:rPr>
        <w:t>可以现金替代的组合证券分为：沪市成份证券和非沪市成份证券。</w:t>
      </w:r>
    </w:p>
    <w:p w14:paraId="5BB70C1C">
      <w:pPr>
        <w:adjustRightInd w:val="0"/>
        <w:snapToGrid w:val="0"/>
        <w:spacing w:line="360" w:lineRule="auto"/>
        <w:ind w:firstLine="420"/>
        <w:rPr>
          <w:rFonts w:ascii="宋体" w:hAnsi="宋体" w:cs="Arial"/>
        </w:rPr>
      </w:pPr>
      <w:r>
        <w:rPr>
          <w:rFonts w:ascii="宋体" w:hAnsi="宋体" w:cs="Arial"/>
        </w:rPr>
        <w:t>【1】对于沪市成份证券</w:t>
      </w:r>
    </w:p>
    <w:p w14:paraId="18587520">
      <w:pPr>
        <w:adjustRightInd w:val="0"/>
        <w:snapToGrid w:val="0"/>
        <w:spacing w:line="360" w:lineRule="auto"/>
        <w:ind w:firstLine="420"/>
        <w:rPr>
          <w:rFonts w:ascii="宋体" w:hAnsi="宋体" w:cs="Arial"/>
        </w:rPr>
      </w:pPr>
      <w:r>
        <w:rPr>
          <w:rFonts w:hint="eastAsia" w:ascii="宋体" w:hAnsi="宋体" w:cs="Arial"/>
        </w:rPr>
        <w:t>1）</w:t>
      </w:r>
      <w:r>
        <w:rPr>
          <w:rFonts w:ascii="宋体" w:hAnsi="宋体" w:cs="Arial"/>
        </w:rPr>
        <w:t>适用情形：出于证券停牌等原因导致投资人无法在申购时买入证券或基金管理人认为可以适用的其他情形。</w:t>
      </w:r>
    </w:p>
    <w:p w14:paraId="14921622">
      <w:pPr>
        <w:adjustRightInd w:val="0"/>
        <w:snapToGrid w:val="0"/>
        <w:spacing w:line="360" w:lineRule="auto"/>
        <w:ind w:firstLine="420"/>
        <w:rPr>
          <w:rFonts w:ascii="宋体" w:hAnsi="宋体" w:cs="Arial"/>
        </w:rPr>
      </w:pPr>
      <w:r>
        <w:rPr>
          <w:rFonts w:hint="eastAsia" w:ascii="宋体" w:hAnsi="宋体" w:cs="Arial"/>
        </w:rPr>
        <w:t>2）</w:t>
      </w:r>
      <w:r>
        <w:rPr>
          <w:rFonts w:ascii="宋体" w:hAnsi="宋体" w:cs="Arial"/>
        </w:rPr>
        <w:t>替代金额：对于可以现金替代的证券，替代金额的计算公式为：</w:t>
      </w:r>
    </w:p>
    <w:p w14:paraId="4367D118">
      <w:pPr>
        <w:adjustRightInd w:val="0"/>
        <w:snapToGrid w:val="0"/>
        <w:spacing w:line="360" w:lineRule="auto"/>
        <w:ind w:firstLine="420"/>
        <w:rPr>
          <w:rFonts w:ascii="宋体" w:hAnsi="宋体" w:cs="Arial"/>
        </w:rPr>
      </w:pPr>
      <w:r>
        <w:rPr>
          <w:rFonts w:ascii="宋体" w:hAnsi="宋体" w:cs="Arial"/>
        </w:rPr>
        <w:t>替代金额＝替代证券数量×该证券</w:t>
      </w:r>
      <w:r>
        <w:rPr>
          <w:rFonts w:hint="eastAsia" w:ascii="宋体" w:hAnsi="宋体" w:cs="Arial"/>
        </w:rPr>
        <w:t>参考</w:t>
      </w:r>
      <w:r>
        <w:rPr>
          <w:rFonts w:ascii="宋体" w:hAnsi="宋体" w:cs="Arial"/>
        </w:rPr>
        <w:t>价格×（1＋</w:t>
      </w:r>
      <w:r>
        <w:rPr>
          <w:rFonts w:hint="eastAsia" w:ascii="宋体" w:hAnsi="宋体" w:cs="Arial"/>
        </w:rPr>
        <w:t>申购</w:t>
      </w:r>
      <w:r>
        <w:rPr>
          <w:rFonts w:ascii="宋体" w:hAnsi="宋体" w:cs="Arial"/>
        </w:rPr>
        <w:t>现金替代溢价比例）</w:t>
      </w:r>
    </w:p>
    <w:p w14:paraId="00CD6F26">
      <w:pPr>
        <w:adjustRightInd w:val="0"/>
        <w:snapToGrid w:val="0"/>
        <w:spacing w:line="360" w:lineRule="auto"/>
        <w:ind w:firstLine="420"/>
        <w:rPr>
          <w:rFonts w:ascii="宋体" w:hAnsi="宋体" w:cs="Arial"/>
        </w:rPr>
      </w:pPr>
      <w:r>
        <w:rPr>
          <w:rFonts w:ascii="宋体" w:hAnsi="宋体" w:cs="Arial"/>
        </w:rPr>
        <w:t>其中，</w:t>
      </w:r>
      <w:r>
        <w:rPr>
          <w:rFonts w:hint="eastAsia" w:ascii="宋体" w:hAnsi="宋体" w:cs="Arial"/>
        </w:rPr>
        <w:t>“该证券参考</w:t>
      </w:r>
      <w:r>
        <w:rPr>
          <w:rFonts w:ascii="宋体" w:hAnsi="宋体" w:cs="Arial"/>
        </w:rPr>
        <w:t>价格</w:t>
      </w:r>
      <w:r>
        <w:rPr>
          <w:rFonts w:hint="eastAsia" w:ascii="宋体" w:hAnsi="宋体" w:cs="Arial"/>
        </w:rPr>
        <w:t>” 定义为“该证券前一交易日除权除息后的收盘价”。</w:t>
      </w:r>
    </w:p>
    <w:p w14:paraId="642DA7B8">
      <w:pPr>
        <w:adjustRightInd w:val="0"/>
        <w:snapToGrid w:val="0"/>
        <w:spacing w:line="360" w:lineRule="auto"/>
        <w:ind w:firstLine="420"/>
        <w:rPr>
          <w:rFonts w:ascii="宋体" w:hAnsi="宋体"/>
        </w:rPr>
      </w:pPr>
      <w:r>
        <w:rPr>
          <w:rFonts w:ascii="宋体" w:hAnsi="宋体"/>
        </w:rPr>
        <w:t>如果上海证券交易所参考价格确定原则发生变化，以上海证券交易所通知规定的参考价格为准</w:t>
      </w:r>
      <w:r>
        <w:rPr>
          <w:rFonts w:hint="eastAsia" w:ascii="宋体" w:hAnsi="宋体"/>
        </w:rPr>
        <w:t>。</w:t>
      </w:r>
    </w:p>
    <w:p w14:paraId="46883069">
      <w:pPr>
        <w:adjustRightInd w:val="0"/>
        <w:snapToGrid w:val="0"/>
        <w:spacing w:line="360" w:lineRule="auto"/>
        <w:ind w:firstLine="420"/>
        <w:rPr>
          <w:rFonts w:ascii="宋体" w:hAnsi="宋体" w:cs="Arial"/>
        </w:rPr>
      </w:pPr>
      <w:r>
        <w:rPr>
          <w:rFonts w:ascii="宋体" w:hAnsi="宋体" w:cs="Arial"/>
        </w:rPr>
        <w:t>收取</w:t>
      </w:r>
      <w:r>
        <w:rPr>
          <w:rFonts w:hint="eastAsia" w:ascii="宋体" w:hAnsi="宋体" w:cs="Arial"/>
        </w:rPr>
        <w:t>申购</w:t>
      </w:r>
      <w:r>
        <w:rPr>
          <w:rFonts w:ascii="宋体" w:hAnsi="宋体" w:cs="Arial"/>
        </w:rPr>
        <w:t>现金替代溢价的原因是，对于使用现金替代的证券，基金管理人需在该部分证券恢复交易后买入，而实际买入价格加上相关交易费用后与申购时的</w:t>
      </w:r>
      <w:r>
        <w:rPr>
          <w:rFonts w:hint="eastAsia" w:ascii="宋体" w:hAnsi="宋体" w:cs="Arial"/>
        </w:rPr>
        <w:t>参考</w:t>
      </w:r>
      <w:r>
        <w:rPr>
          <w:rFonts w:ascii="宋体" w:hAnsi="宋体" w:cs="Arial"/>
        </w:rPr>
        <w:t>价格可能有所差异。为便于操作，基金管理人在申购赎回清单中预先确定</w:t>
      </w:r>
      <w:r>
        <w:rPr>
          <w:rFonts w:hint="eastAsia" w:ascii="宋体" w:hAnsi="宋体" w:cs="Arial"/>
        </w:rPr>
        <w:t>申购</w:t>
      </w:r>
      <w:r>
        <w:rPr>
          <w:rFonts w:ascii="宋体" w:hAnsi="宋体" w:cs="Arial"/>
        </w:rPr>
        <w:t>现金替代溢价比例，并据此收取替代金额。如果预先收取的金额高于基金买入该部分证券的实际成本，则基金管理人将退还多收取的差额；如果预先收取的金额低于基金买入该部分证券的实际成本，则基金管理人将向投资人收取欠缺的差额。</w:t>
      </w:r>
    </w:p>
    <w:p w14:paraId="71B60708">
      <w:pPr>
        <w:adjustRightInd w:val="0"/>
        <w:snapToGrid w:val="0"/>
        <w:spacing w:line="360" w:lineRule="auto"/>
        <w:ind w:firstLine="420" w:firstLineChars="200"/>
        <w:rPr>
          <w:rFonts w:ascii="宋体" w:hAnsi="宋体" w:cs="Arial"/>
        </w:rPr>
      </w:pPr>
      <w:r>
        <w:rPr>
          <w:rFonts w:hint="eastAsia" w:ascii="宋体" w:hAnsi="宋体" w:cs="Arial"/>
        </w:rPr>
        <w:t>3）</w:t>
      </w:r>
      <w:r>
        <w:rPr>
          <w:rFonts w:ascii="宋体" w:hAnsi="宋体" w:cs="Arial"/>
        </w:rPr>
        <w:t>替代金额的处理程序如下：</w:t>
      </w:r>
    </w:p>
    <w:p w14:paraId="6F38A468">
      <w:pPr>
        <w:adjustRightInd w:val="0"/>
        <w:snapToGrid w:val="0"/>
        <w:spacing w:line="360" w:lineRule="auto"/>
        <w:ind w:firstLine="420"/>
        <w:rPr>
          <w:rFonts w:ascii="宋体" w:hAnsi="宋体" w:cs="Arial"/>
        </w:rPr>
      </w:pPr>
      <w:r>
        <w:rPr>
          <w:rFonts w:ascii="宋体" w:hAnsi="宋体" w:cs="Arial"/>
        </w:rPr>
        <w:t>T日，基金管理人在申购赎回清单中公布</w:t>
      </w:r>
      <w:r>
        <w:rPr>
          <w:rFonts w:hint="eastAsia" w:ascii="宋体" w:hAnsi="宋体" w:cs="Arial"/>
        </w:rPr>
        <w:t>申购</w:t>
      </w:r>
      <w:r>
        <w:rPr>
          <w:rFonts w:ascii="宋体" w:hAnsi="宋体" w:cs="Arial"/>
        </w:rPr>
        <w:t>现金替代溢价比例，并据此收取替代金额。</w:t>
      </w:r>
    </w:p>
    <w:p w14:paraId="6B081633">
      <w:pPr>
        <w:adjustRightInd w:val="0"/>
        <w:snapToGrid w:val="0"/>
        <w:spacing w:line="360" w:lineRule="auto"/>
        <w:ind w:firstLine="420"/>
        <w:rPr>
          <w:rFonts w:ascii="宋体" w:hAnsi="宋体" w:cs="Arial"/>
        </w:rPr>
      </w:pPr>
      <w:r>
        <w:rPr>
          <w:rFonts w:ascii="宋体" w:hAnsi="宋体" w:cs="Arial"/>
        </w:rPr>
        <w:t>在T日后被替代的部分证券有正常交易的2个交易日（即T＋2日）内，基金管理人将以收到的替代金额买入被替代的部分证券。</w:t>
      </w:r>
      <w:r>
        <w:rPr>
          <w:rFonts w:hint="eastAsia" w:ascii="宋体" w:hAnsi="宋体" w:cs="Arial"/>
        </w:rPr>
        <w:t>基金管理人有权根据基金投资的需要自主决定不买入部分被替代证券，或者不进行任何买入证券的操作。</w:t>
      </w:r>
    </w:p>
    <w:p w14:paraId="30489C70">
      <w:pPr>
        <w:adjustRightInd w:val="0"/>
        <w:snapToGrid w:val="0"/>
        <w:spacing w:line="360" w:lineRule="auto"/>
        <w:ind w:firstLine="420"/>
        <w:rPr>
          <w:rFonts w:ascii="宋体" w:hAnsi="宋体" w:cs="Arial"/>
        </w:rPr>
      </w:pPr>
      <w:r>
        <w:rPr>
          <w:rFonts w:ascii="宋体" w:hAnsi="宋体" w:cs="Arial"/>
        </w:rPr>
        <w:t>T＋2日日终，若基金管理人已购入全部被替代的证券，则以替代金额与被替代证券的实际买入成本（包括买入价格和交易费用）的差额，确定基金应退还投资人或投资人应补交的款项；若基金管理人未能购入全部被替代的证券，则以替代金额与所购入的部分被替代证券的实际买入成本加上按照T＋2日收盘价计算的未购入部分被替代证券价值的差额，确定基金应退还投资人或投资人应补交的款项。</w:t>
      </w:r>
    </w:p>
    <w:p w14:paraId="6CA63C8B">
      <w:pPr>
        <w:adjustRightInd w:val="0"/>
        <w:snapToGrid w:val="0"/>
        <w:spacing w:line="360" w:lineRule="auto"/>
        <w:ind w:firstLine="420"/>
        <w:rPr>
          <w:rFonts w:ascii="宋体" w:hAnsi="宋体" w:cs="Arial"/>
        </w:rPr>
      </w:pPr>
      <w:r>
        <w:rPr>
          <w:rFonts w:ascii="宋体" w:hAnsi="宋体" w:cs="Arial"/>
        </w:rPr>
        <w:t>特殊情况：若自T日起，上海证券交易所正常交易日已达20日而该部分证券的正常交易日低于2日，则以替代金额与所购入的部分被替代证券的实际购入成本加上按照最近一次收盘价计算的未购入的部分被替代证券价值的差额，确定基金应退还投资人或投资人应补交的款项。</w:t>
      </w:r>
    </w:p>
    <w:p w14:paraId="406D81C1">
      <w:pPr>
        <w:adjustRightInd w:val="0"/>
        <w:snapToGrid w:val="0"/>
        <w:spacing w:line="360" w:lineRule="auto"/>
        <w:ind w:firstLine="420" w:firstLineChars="200"/>
        <w:rPr>
          <w:rFonts w:ascii="宋体" w:hAnsi="宋体" w:cs="Arial"/>
        </w:rPr>
      </w:pPr>
      <w:r>
        <w:rPr>
          <w:rFonts w:ascii="宋体" w:hAnsi="宋体" w:cs="Arial"/>
        </w:rPr>
        <w:t>若现金替代日（T日）后至T＋2日（在特殊情况下则为T日起的第20个正常交易日）期间被替代的证券发生除息、送股（转增）、配股，以及由于股权分置改革等发生的其他权益变动，则进行相应调整。</w:t>
      </w:r>
    </w:p>
    <w:p w14:paraId="44179A43">
      <w:pPr>
        <w:adjustRightInd w:val="0"/>
        <w:snapToGrid w:val="0"/>
        <w:spacing w:line="360" w:lineRule="auto"/>
        <w:ind w:firstLine="420"/>
        <w:rPr>
          <w:rFonts w:ascii="宋体" w:hAnsi="宋体" w:cs="Arial"/>
        </w:rPr>
      </w:pPr>
      <w:r>
        <w:rPr>
          <w:rFonts w:ascii="宋体" w:hAnsi="宋体" w:cs="Arial"/>
        </w:rPr>
        <w:t>T＋2日后的第1个市场交易日（在特殊情况下则为T日起的第21个市场交易日），基金管理人将应退款和应补款的明细及汇总数据发送给相关申购赎回代理券商和基金托管人，相关款项的清算交收，将于此后3个工作日内完成。</w:t>
      </w:r>
    </w:p>
    <w:p w14:paraId="5885CB50">
      <w:pPr>
        <w:adjustRightInd w:val="0"/>
        <w:snapToGrid w:val="0"/>
        <w:spacing w:line="360" w:lineRule="auto"/>
        <w:ind w:firstLine="420"/>
      </w:pPr>
      <w:r>
        <w:rPr>
          <w:rFonts w:hint="eastAsia" w:ascii="宋体" w:hAnsi="宋体" w:cs="Arial"/>
        </w:rPr>
        <w:t>4）</w:t>
      </w:r>
      <w:r>
        <w:rPr>
          <w:rFonts w:ascii="宋体" w:hAnsi="宋体" w:cs="Arial"/>
        </w:rPr>
        <w:t>替代限制：为有效控制基金的跟踪偏离度和跟踪误差，基金管理人可规定投资人使用可以现金替代的比例合计不得超过申购基金份额资产净值的一定比例。现金替代比例的计算公式为：</w:t>
      </w:r>
    </w:p>
    <w:p w14:paraId="1FD5A723">
      <w:pPr>
        <w:adjustRightInd w:val="0"/>
        <w:snapToGrid w:val="0"/>
        <w:spacing w:line="360" w:lineRule="auto"/>
        <w:ind w:firstLine="420"/>
      </w:pPr>
      <w:r>
        <w:rPr>
          <w:rFonts w:hint="eastAsia"/>
        </w:rPr>
        <w:drawing>
          <wp:inline distT="0" distB="0" distL="114300" distR="114300">
            <wp:extent cx="5266690" cy="415290"/>
            <wp:effectExtent l="0" t="0" r="0" b="0"/>
            <wp:docPr id="3" name="图片 3" descr="clipbord_1758019658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lipbord_1758019658547"/>
                    <pic:cNvPicPr>
                      <a:picLocks noChangeAspect="1"/>
                    </pic:cNvPicPr>
                  </pic:nvPicPr>
                  <pic:blipFill>
                    <a:blip r:embed="rId51"/>
                    <a:stretch>
                      <a:fillRect/>
                    </a:stretch>
                  </pic:blipFill>
                  <pic:spPr>
                    <a:xfrm>
                      <a:off x="0" y="0"/>
                      <a:ext cx="5266690" cy="415290"/>
                    </a:xfrm>
                    <a:prstGeom prst="rect">
                      <a:avLst/>
                    </a:prstGeom>
                  </pic:spPr>
                </pic:pic>
              </a:graphicData>
            </a:graphic>
          </wp:inline>
        </w:drawing>
      </w:r>
    </w:p>
    <w:p w14:paraId="6279B2D8">
      <w:pPr>
        <w:adjustRightInd w:val="0"/>
        <w:snapToGrid w:val="0"/>
        <w:spacing w:line="360" w:lineRule="auto"/>
        <w:ind w:firstLine="420"/>
        <w:rPr>
          <w:rFonts w:ascii="宋体" w:hAnsi="宋体"/>
          <w:kern w:val="0"/>
        </w:rPr>
      </w:pPr>
      <w:r>
        <w:rPr>
          <w:rFonts w:hint="eastAsia" w:ascii="宋体" w:hAnsi="宋体"/>
        </w:rPr>
        <w:t>公式中，“该证券参考价格”的确定原则与可以现金替代情况下，替代金额的计算公式中的该证券参考价格确定原则相同。基金份额参考净值目前为本基金前一交易日除权除息后的收盘价，如果基金份额参考净值计算方式</w:t>
      </w:r>
      <w:r>
        <w:rPr>
          <w:rFonts w:hint="eastAsia" w:ascii="宋体" w:hAnsi="宋体"/>
          <w:kern w:val="0"/>
        </w:rPr>
        <w:t>发生变化，以上海证券交易所发布的基金份额参考净值为准。</w:t>
      </w:r>
    </w:p>
    <w:p w14:paraId="71CEED18">
      <w:pPr>
        <w:pStyle w:val="12"/>
        <w:spacing w:before="0" w:beforeAutospacing="0" w:after="0" w:afterAutospacing="0" w:line="360" w:lineRule="auto"/>
        <w:ind w:firstLine="420"/>
        <w:rPr>
          <w:sz w:val="21"/>
        </w:rPr>
      </w:pPr>
      <w:r>
        <w:rPr>
          <w:rFonts w:hint="eastAsia"/>
          <w:sz w:val="21"/>
        </w:rPr>
        <w:t>【2】对于非沪市成份证券</w:t>
      </w:r>
    </w:p>
    <w:p w14:paraId="2A6AAFC0">
      <w:pPr>
        <w:adjustRightInd w:val="0"/>
        <w:snapToGrid w:val="0"/>
        <w:spacing w:line="360" w:lineRule="auto"/>
        <w:ind w:firstLine="420"/>
        <w:rPr>
          <w:rFonts w:ascii="宋体" w:hAnsi="宋体"/>
        </w:rPr>
      </w:pPr>
      <w:r>
        <w:rPr>
          <w:rFonts w:hint="eastAsia" w:ascii="宋体" w:hAnsi="宋体"/>
        </w:rPr>
        <w:t>1）适用情形：</w:t>
      </w:r>
      <w:r>
        <w:rPr>
          <w:rFonts w:hint="eastAsia"/>
        </w:rPr>
        <w:t>投资者申购和赎回时的非沪市成份证券。</w:t>
      </w:r>
    </w:p>
    <w:p w14:paraId="59E5204E">
      <w:pPr>
        <w:adjustRightInd w:val="0"/>
        <w:snapToGrid w:val="0"/>
        <w:spacing w:line="360" w:lineRule="auto"/>
        <w:ind w:firstLine="420"/>
        <w:rPr>
          <w:rFonts w:ascii="宋体" w:hAnsi="宋体"/>
        </w:rPr>
      </w:pPr>
      <w:r>
        <w:rPr>
          <w:rFonts w:hint="eastAsia" w:ascii="宋体" w:hAnsi="宋体"/>
        </w:rPr>
        <w:t>2）替代金额：对于可以现金替代的证券，替代金额的计算公式为：</w:t>
      </w:r>
    </w:p>
    <w:p w14:paraId="46153C15">
      <w:pPr>
        <w:adjustRightInd w:val="0"/>
        <w:snapToGrid w:val="0"/>
        <w:spacing w:line="360" w:lineRule="auto"/>
        <w:ind w:firstLine="420"/>
        <w:rPr>
          <w:rFonts w:ascii="宋体" w:hAnsi="宋体"/>
        </w:rPr>
      </w:pPr>
      <w:r>
        <w:rPr>
          <w:rFonts w:hint="eastAsia" w:ascii="宋体" w:hAnsi="宋体"/>
        </w:rPr>
        <w:t>申购的替代金额＝替代证券数量</w:t>
      </w:r>
      <w:r>
        <w:rPr>
          <w:rFonts w:ascii="宋体" w:hAnsi="宋体"/>
        </w:rPr>
        <w:t>×</w:t>
      </w:r>
      <w:r>
        <w:rPr>
          <w:rFonts w:hint="eastAsia" w:ascii="宋体" w:hAnsi="宋体"/>
        </w:rPr>
        <w:t>该证券调整后</w:t>
      </w:r>
      <w:r>
        <w:rPr>
          <w:rFonts w:ascii="宋体" w:hAnsi="宋体"/>
        </w:rPr>
        <w:t>T</w:t>
      </w:r>
      <w:r>
        <w:rPr>
          <w:rFonts w:hint="eastAsia" w:ascii="宋体" w:hAnsi="宋体"/>
        </w:rPr>
        <w:t>日开盘参考价</w:t>
      </w:r>
      <w:r>
        <w:rPr>
          <w:rFonts w:ascii="宋体" w:hAnsi="宋体"/>
        </w:rPr>
        <w:t>×</w:t>
      </w:r>
      <w:r>
        <w:rPr>
          <w:rFonts w:hint="eastAsia" w:ascii="宋体" w:hAnsi="宋体"/>
        </w:rPr>
        <w:t>（</w:t>
      </w:r>
      <w:r>
        <w:rPr>
          <w:rFonts w:ascii="宋体" w:hAnsi="宋体"/>
        </w:rPr>
        <w:t>1+</w:t>
      </w:r>
      <w:r>
        <w:rPr>
          <w:rFonts w:hint="eastAsia" w:ascii="宋体" w:hAnsi="宋体"/>
        </w:rPr>
        <w:t>申购现金替代溢价比例）。</w:t>
      </w:r>
    </w:p>
    <w:p w14:paraId="37AED31D">
      <w:pPr>
        <w:adjustRightInd w:val="0"/>
        <w:snapToGrid w:val="0"/>
        <w:spacing w:line="360" w:lineRule="auto"/>
        <w:ind w:firstLine="420"/>
        <w:rPr>
          <w:rFonts w:ascii="宋体" w:hAnsi="宋体"/>
        </w:rPr>
      </w:pPr>
      <w:r>
        <w:rPr>
          <w:rFonts w:hint="eastAsia" w:ascii="宋体" w:hAnsi="宋体"/>
        </w:rPr>
        <w:t>赎回的替代金额＝替代证券数量</w:t>
      </w:r>
      <w:r>
        <w:rPr>
          <w:rFonts w:ascii="宋体" w:hAnsi="宋体"/>
        </w:rPr>
        <w:t>×</w:t>
      </w:r>
      <w:r>
        <w:rPr>
          <w:rFonts w:hint="eastAsia" w:ascii="宋体" w:hAnsi="宋体"/>
        </w:rPr>
        <w:t>该证券调整后</w:t>
      </w:r>
      <w:r>
        <w:rPr>
          <w:rFonts w:ascii="宋体" w:hAnsi="宋体"/>
        </w:rPr>
        <w:t>T</w:t>
      </w:r>
      <w:r>
        <w:rPr>
          <w:rFonts w:hint="eastAsia" w:ascii="宋体" w:hAnsi="宋体"/>
        </w:rPr>
        <w:t>日开盘参考价</w:t>
      </w:r>
      <w:r>
        <w:rPr>
          <w:rFonts w:ascii="宋体" w:hAnsi="宋体"/>
        </w:rPr>
        <w:t>×</w:t>
      </w:r>
      <w:r>
        <w:rPr>
          <w:rFonts w:hint="eastAsia" w:ascii="宋体" w:hAnsi="宋体"/>
        </w:rPr>
        <w:t>（</w:t>
      </w:r>
      <w:r>
        <w:rPr>
          <w:rFonts w:ascii="宋体" w:hAnsi="宋体"/>
        </w:rPr>
        <w:t>1-</w:t>
      </w:r>
      <w:r>
        <w:rPr>
          <w:rFonts w:hint="eastAsia" w:ascii="宋体" w:hAnsi="宋体"/>
        </w:rPr>
        <w:t>赎回现金替代折价比例）。</w:t>
      </w:r>
    </w:p>
    <w:p w14:paraId="48E5BF13">
      <w:pPr>
        <w:adjustRightInd w:val="0"/>
        <w:snapToGrid w:val="0"/>
        <w:spacing w:line="360" w:lineRule="auto"/>
        <w:ind w:firstLine="420"/>
        <w:rPr>
          <w:rFonts w:ascii="宋体" w:hAnsi="宋体"/>
        </w:rPr>
      </w:pPr>
      <w:r>
        <w:rPr>
          <w:rFonts w:hint="eastAsia" w:ascii="宋体" w:hAnsi="宋体"/>
        </w:rPr>
        <w:t>3）替代金额的处理程序</w:t>
      </w:r>
    </w:p>
    <w:p w14:paraId="30E016F1">
      <w:pPr>
        <w:adjustRightInd w:val="0"/>
        <w:snapToGrid w:val="0"/>
        <w:spacing w:line="360" w:lineRule="auto"/>
        <w:ind w:firstLine="420"/>
        <w:rPr>
          <w:rFonts w:ascii="宋体" w:hAnsi="宋体"/>
        </w:rPr>
      </w:pPr>
      <w:r>
        <w:rPr>
          <w:rFonts w:hint="eastAsia" w:ascii="宋体" w:hAnsi="宋体"/>
        </w:rPr>
        <w:t>对可以现金替代而言，申购时收取现金替代溢价的原因是，对于使用现金替代的证券，基金管理人将买入该证券，实际买入价格加上相关交易费用后与该证券调整后</w:t>
      </w:r>
      <w:r>
        <w:rPr>
          <w:rFonts w:ascii="宋体" w:hAnsi="宋体"/>
        </w:rPr>
        <w:t>T</w:t>
      </w:r>
      <w:r>
        <w:rPr>
          <w:rFonts w:hint="eastAsia" w:ascii="宋体" w:hAnsi="宋体"/>
        </w:rPr>
        <w:t>日开盘参考价可能有所差异。为便于操作，基金管理人在申购赎回清单中预先确定申购现金替代溢价比例，并据此收取替代金额。如果预先收取的金额高于基金购入该部分证券的实际成本，则基金管理人将退还多收取的差额；如果预先收取的金额低于基金购入该部分证券的实际成本，则基金管理人将向投资者收取欠缺的差额。</w:t>
      </w:r>
    </w:p>
    <w:p w14:paraId="1FDCE9A1">
      <w:pPr>
        <w:adjustRightInd w:val="0"/>
        <w:snapToGrid w:val="0"/>
        <w:spacing w:line="360" w:lineRule="auto"/>
        <w:ind w:firstLine="420"/>
        <w:rPr>
          <w:rFonts w:ascii="宋体" w:hAnsi="宋体"/>
        </w:rPr>
      </w:pPr>
      <w:r>
        <w:rPr>
          <w:rFonts w:hint="eastAsia" w:ascii="宋体" w:hAnsi="宋体"/>
        </w:rPr>
        <w:t>对可以现金替代而言，赎回时扣除现金替代折价的原因是，对于使用现金替代的证券，基金管理人将卖出该证券，实际卖出价格扣除相关交易费用后与该证券调整后</w:t>
      </w:r>
      <w:r>
        <w:rPr>
          <w:rFonts w:ascii="宋体" w:hAnsi="宋体"/>
        </w:rPr>
        <w:t>T</w:t>
      </w:r>
      <w:r>
        <w:rPr>
          <w:rFonts w:hint="eastAsia" w:ascii="宋体" w:hAnsi="宋体"/>
        </w:rPr>
        <w:t>日开盘参考价可能有所差异。为便于操作，基金管理人在申购赎回清单中预先确定赎回现金替代折价比例，并据此支付替代金额。如果预先支付的金额低于基金卖出该部分证券的实际收入，则基金管理人将退还少支付的差额；如果预先支付的金额高于基金卖出该部分证券的实际收入，则基金管理人将向投资者收取多支付的差额。</w:t>
      </w:r>
    </w:p>
    <w:p w14:paraId="78FB834D">
      <w:pPr>
        <w:adjustRightInd w:val="0"/>
        <w:snapToGrid w:val="0"/>
        <w:spacing w:line="360" w:lineRule="auto"/>
        <w:ind w:firstLine="420"/>
        <w:rPr>
          <w:rFonts w:ascii="宋体" w:hAnsi="宋体"/>
        </w:rPr>
      </w:pPr>
      <w:r>
        <w:rPr>
          <w:rFonts w:hint="eastAsia" w:ascii="宋体" w:hAnsi="宋体"/>
        </w:rPr>
        <w:t>基金管理人将自</w:t>
      </w:r>
      <w:r>
        <w:rPr>
          <w:rFonts w:ascii="宋体" w:hAnsi="宋体"/>
        </w:rPr>
        <w:t>T</w:t>
      </w:r>
      <w:r>
        <w:rPr>
          <w:rFonts w:hint="eastAsia" w:ascii="宋体" w:hAnsi="宋体"/>
        </w:rPr>
        <w:t>日起在收到申购交易确认后按照“时间优先、实时申报”的原则依次买入申购被替代的部分证券，在收到赎回交易确认后按照“时间优先、实时申报”的原则依次卖出赎回被替代的部分证券。</w:t>
      </w:r>
      <w:r>
        <w:rPr>
          <w:rFonts w:ascii="宋体" w:hAnsi="宋体"/>
        </w:rPr>
        <w:t>T</w:t>
      </w:r>
      <w:r>
        <w:rPr>
          <w:rFonts w:hint="eastAsia" w:ascii="宋体" w:hAnsi="宋体"/>
        </w:rPr>
        <w:t>日未完成的交易，基金管理人在</w:t>
      </w:r>
      <w:r>
        <w:rPr>
          <w:rFonts w:ascii="宋体" w:hAnsi="宋体"/>
        </w:rPr>
        <w:t>T</w:t>
      </w:r>
      <w:r>
        <w:rPr>
          <w:rFonts w:hint="eastAsia" w:ascii="宋体" w:hAnsi="宋体"/>
        </w:rPr>
        <w:t>日后被替代的成份证券有正常交易的</w:t>
      </w:r>
      <w:r>
        <w:rPr>
          <w:rFonts w:ascii="宋体" w:hAnsi="宋体"/>
        </w:rPr>
        <w:t>2</w:t>
      </w:r>
      <w:r>
        <w:rPr>
          <w:rFonts w:hint="eastAsia" w:ascii="宋体" w:hAnsi="宋体"/>
        </w:rPr>
        <w:t>个交易日（简称为</w:t>
      </w:r>
      <w:r>
        <w:rPr>
          <w:rFonts w:ascii="宋体" w:hAnsi="宋体"/>
        </w:rPr>
        <w:t>T+2</w:t>
      </w:r>
      <w:r>
        <w:rPr>
          <w:rFonts w:hint="eastAsia" w:ascii="宋体" w:hAnsi="宋体"/>
        </w:rPr>
        <w:t>日）内完成上述交易。</w:t>
      </w:r>
    </w:p>
    <w:p w14:paraId="63E91B8E">
      <w:pPr>
        <w:adjustRightInd w:val="0"/>
        <w:snapToGrid w:val="0"/>
        <w:spacing w:line="360" w:lineRule="auto"/>
        <w:ind w:firstLine="420"/>
        <w:rPr>
          <w:rFonts w:ascii="宋体" w:hAnsi="宋体"/>
        </w:rPr>
      </w:pPr>
      <w:r>
        <w:rPr>
          <w:rFonts w:hint="eastAsia" w:ascii="宋体" w:hAnsi="宋体"/>
        </w:rPr>
        <w:t>时间优先的原则为：申购赎回方向相同的，先确认成交者优先于后确认成交者。先后顺序按照上海证券交易所确认申购赎回的时间确定。</w:t>
      </w:r>
    </w:p>
    <w:p w14:paraId="00D2F6B9">
      <w:pPr>
        <w:adjustRightInd w:val="0"/>
        <w:snapToGrid w:val="0"/>
        <w:spacing w:line="360" w:lineRule="auto"/>
        <w:ind w:firstLine="420"/>
        <w:rPr>
          <w:rFonts w:ascii="宋体" w:hAnsi="宋体"/>
        </w:rPr>
      </w:pPr>
      <w:r>
        <w:rPr>
          <w:rFonts w:hint="eastAsia" w:ascii="宋体" w:hAnsi="宋体"/>
        </w:rPr>
        <w:t>实时申报的原则为：基金管理人在被替代证券上市交易的证券交易所连续竞价期间，根据收到的上海证券交易所申购赎回确认记录，在技术系统允许的情况下实时向被替代证券上市交易的证券交易所申报被替代证券的交易指令。</w:t>
      </w:r>
    </w:p>
    <w:p w14:paraId="384FCC68">
      <w:pPr>
        <w:adjustRightInd w:val="0"/>
        <w:snapToGrid w:val="0"/>
        <w:spacing w:line="360" w:lineRule="auto"/>
        <w:ind w:firstLine="420"/>
        <w:rPr>
          <w:rFonts w:ascii="宋体" w:hAnsi="宋体"/>
        </w:rPr>
      </w:pPr>
      <w:r>
        <w:rPr>
          <w:rFonts w:ascii="宋体" w:hAnsi="宋体"/>
        </w:rPr>
        <w:t>T</w:t>
      </w:r>
      <w:r>
        <w:rPr>
          <w:rFonts w:hint="eastAsia" w:ascii="宋体" w:hAnsi="宋体"/>
        </w:rPr>
        <w:t>日基金管理人按照“时间优先”的原则依次与申购投资者确定基金应退还投资者或投资者应补交的款项，即按照申购时间顺序，以替代金额与被替代证券的依次实际购入成本（包括买入价格与交易费用）的差额，确定基金应退还申购投资者或申购投资者应补交的款项；按照“时间优先”的原则依次与赎回投资者确定基金应退还投资者或投资者应补交的款项，即按照赎回时间顺序，以替代金额与被替代证券的依次实际卖出收入（卖出价格扣除交易费用）的差额，确定基金应退还赎回投资者或赎回投资者应补交的款项。</w:t>
      </w:r>
    </w:p>
    <w:p w14:paraId="68618A45">
      <w:pPr>
        <w:adjustRightInd w:val="0"/>
        <w:snapToGrid w:val="0"/>
        <w:spacing w:line="360" w:lineRule="auto"/>
        <w:ind w:firstLine="420"/>
        <w:rPr>
          <w:rFonts w:ascii="宋体" w:hAnsi="宋体"/>
        </w:rPr>
      </w:pPr>
      <w:r>
        <w:rPr>
          <w:rFonts w:hint="eastAsia" w:ascii="宋体" w:hAnsi="宋体"/>
        </w:rPr>
        <w:t>对于</w:t>
      </w:r>
      <w:r>
        <w:rPr>
          <w:rFonts w:ascii="宋体" w:hAnsi="宋体"/>
        </w:rPr>
        <w:t>T</w:t>
      </w:r>
      <w:r>
        <w:rPr>
          <w:rFonts w:hint="eastAsia" w:ascii="宋体" w:hAnsi="宋体"/>
        </w:rPr>
        <w:t>日因停牌或流动性不足等原因未购入和未卖出的被替代的部分证券，</w:t>
      </w:r>
      <w:r>
        <w:rPr>
          <w:rFonts w:ascii="宋体" w:hAnsi="宋体"/>
        </w:rPr>
        <w:t>T</w:t>
      </w:r>
      <w:r>
        <w:rPr>
          <w:rFonts w:hint="eastAsia" w:ascii="宋体" w:hAnsi="宋体"/>
        </w:rPr>
        <w:t>日后基金管理人可以继续进行被替代证券的买入和卖出，按照前述原则确定基金应退还投资者或投资者应补交的款项。</w:t>
      </w:r>
    </w:p>
    <w:p w14:paraId="0102723B">
      <w:pPr>
        <w:adjustRightInd w:val="0"/>
        <w:snapToGrid w:val="0"/>
        <w:spacing w:line="360" w:lineRule="auto"/>
        <w:ind w:firstLine="420"/>
        <w:rPr>
          <w:rFonts w:ascii="宋体" w:hAnsi="宋体"/>
        </w:rPr>
      </w:pPr>
      <w:r>
        <w:rPr>
          <w:rFonts w:ascii="宋体" w:hAnsi="宋体"/>
        </w:rPr>
        <w:t>T+2</w:t>
      </w:r>
      <w:r>
        <w:rPr>
          <w:rFonts w:hint="eastAsia" w:ascii="宋体" w:hAnsi="宋体"/>
        </w:rPr>
        <w:t>日日终，若已购入全部被替代的证券，则以替代金额与被替代证券的实际购入成本（包括买入价格与交易费用）的差额，确定基金应退还申购投资者或申购投资者应补交的款项；若未能购入全部被替代的证券，则以替代金额与所购入的部分被替代证券实际购入成本（包括买入价格与交易费用）加上按照</w:t>
      </w:r>
      <w:r>
        <w:rPr>
          <w:rFonts w:ascii="宋体" w:hAnsi="宋体"/>
        </w:rPr>
        <w:t>T+2</w:t>
      </w:r>
      <w:r>
        <w:rPr>
          <w:rFonts w:hint="eastAsia" w:ascii="宋体" w:hAnsi="宋体"/>
        </w:rPr>
        <w:t>日收盘价计算的未购入的部分被替代证券价值的差额，确定基金应退还申购投资者或申购投资者应补交的款项。</w:t>
      </w:r>
    </w:p>
    <w:p w14:paraId="55E4E9E5">
      <w:pPr>
        <w:adjustRightInd w:val="0"/>
        <w:snapToGrid w:val="0"/>
        <w:spacing w:line="360" w:lineRule="auto"/>
        <w:ind w:firstLine="420"/>
        <w:rPr>
          <w:rFonts w:ascii="宋体" w:hAnsi="宋体"/>
        </w:rPr>
      </w:pPr>
      <w:r>
        <w:rPr>
          <w:rFonts w:ascii="宋体" w:hAnsi="宋体"/>
        </w:rPr>
        <w:t>T+2</w:t>
      </w:r>
      <w:r>
        <w:rPr>
          <w:rFonts w:hint="eastAsia" w:ascii="宋体" w:hAnsi="宋体"/>
        </w:rPr>
        <w:t>日日终，若已卖出全部被替代的证券，则以替代金额与被替代证券的实际卖出收入（卖出价格扣除交易费用）的差额，确定基金应退还赎回投资者或赎回投资者应补交的款项；若未能卖出全部被替代的证券，以替代金额与所卖出的部分被替代证券实际卖出收入（卖出价格扣除交易费用）加上按照</w:t>
      </w:r>
      <w:r>
        <w:rPr>
          <w:rFonts w:ascii="宋体" w:hAnsi="宋体"/>
        </w:rPr>
        <w:t>T+2</w:t>
      </w:r>
      <w:r>
        <w:rPr>
          <w:rFonts w:hint="eastAsia" w:ascii="宋体" w:hAnsi="宋体"/>
        </w:rPr>
        <w:t>日收盘价计算的未卖出的部分被替代证券价值的差额，确定基金应退还赎回投资者或赎回投资者应补交的款项。</w:t>
      </w:r>
    </w:p>
    <w:p w14:paraId="49EDD354">
      <w:pPr>
        <w:adjustRightInd w:val="0"/>
        <w:snapToGrid w:val="0"/>
        <w:spacing w:line="360" w:lineRule="auto"/>
        <w:ind w:firstLine="420"/>
        <w:rPr>
          <w:rFonts w:ascii="宋体" w:hAnsi="宋体"/>
        </w:rPr>
      </w:pPr>
      <w:r>
        <w:rPr>
          <w:rFonts w:hint="eastAsia" w:ascii="宋体" w:hAnsi="宋体"/>
        </w:rPr>
        <w:t>特例情况：若自</w:t>
      </w:r>
      <w:r>
        <w:rPr>
          <w:rFonts w:ascii="宋体" w:hAnsi="宋体"/>
        </w:rPr>
        <w:t>T</w:t>
      </w:r>
      <w:r>
        <w:rPr>
          <w:rFonts w:hint="eastAsia" w:ascii="宋体" w:hAnsi="宋体"/>
        </w:rPr>
        <w:t>日起，被替代证券上市交易的证券交易所正常交易日已达到</w:t>
      </w:r>
      <w:r>
        <w:rPr>
          <w:rFonts w:ascii="宋体" w:hAnsi="宋体"/>
        </w:rPr>
        <w:t>20</w:t>
      </w:r>
      <w:r>
        <w:rPr>
          <w:rFonts w:hint="eastAsia" w:ascii="宋体" w:hAnsi="宋体"/>
        </w:rPr>
        <w:t>日而该证券正常交易日低于</w:t>
      </w:r>
      <w:r>
        <w:rPr>
          <w:rFonts w:ascii="宋体" w:hAnsi="宋体"/>
        </w:rPr>
        <w:t>2</w:t>
      </w:r>
      <w:r>
        <w:rPr>
          <w:rFonts w:hint="eastAsia" w:ascii="宋体" w:hAnsi="宋体"/>
        </w:rPr>
        <w:t>日，则以替代金额与所购入的部分被替代证券实际购入成本（包括买入价格与交易费用）加上按照最近一次收盘价计算的未购入的部分被替代证券价值的差额，确定基金应退还申购投资者或申购投资者应补交的款项，以替代金额与所卖出的部分被替代证券实际卖出收入（卖出价格扣除交易费用）加上按照最近一次收盘价计算的未卖出的部分被替代证券价值的差额，确定基金应退还赎回投资者或赎回投资者应补交的款项。</w:t>
      </w:r>
    </w:p>
    <w:p w14:paraId="43D11A5A">
      <w:pPr>
        <w:adjustRightInd w:val="0"/>
        <w:snapToGrid w:val="0"/>
        <w:spacing w:line="360" w:lineRule="auto"/>
        <w:ind w:firstLine="420"/>
        <w:rPr>
          <w:rFonts w:ascii="宋体" w:hAnsi="宋体"/>
        </w:rPr>
      </w:pPr>
      <w:r>
        <w:rPr>
          <w:rFonts w:hint="eastAsia" w:ascii="宋体" w:hAnsi="宋体"/>
        </w:rPr>
        <w:t>若现金替代日（</w:t>
      </w:r>
      <w:r>
        <w:rPr>
          <w:rFonts w:ascii="宋体" w:hAnsi="宋体"/>
        </w:rPr>
        <w:t>T</w:t>
      </w:r>
      <w:r>
        <w:rPr>
          <w:rFonts w:hint="eastAsia" w:ascii="宋体" w:hAnsi="宋体"/>
        </w:rPr>
        <w:t>日）后至</w:t>
      </w:r>
      <w:r>
        <w:rPr>
          <w:rFonts w:ascii="宋体" w:hAnsi="宋体"/>
        </w:rPr>
        <w:t>T+2</w:t>
      </w:r>
      <w:r>
        <w:rPr>
          <w:rFonts w:hint="eastAsia" w:ascii="宋体" w:hAnsi="宋体"/>
        </w:rPr>
        <w:t>日（若在特例情况下，则为T日起第20个交易日）期间发生除息、送股（转增）、配股等权益变动，则进行相应调整。</w:t>
      </w:r>
    </w:p>
    <w:p w14:paraId="47ECCA8F">
      <w:pPr>
        <w:adjustRightInd w:val="0"/>
        <w:snapToGrid w:val="0"/>
        <w:spacing w:line="360" w:lineRule="auto"/>
        <w:ind w:firstLine="420"/>
        <w:rPr>
          <w:rFonts w:ascii="宋体" w:hAnsi="宋体"/>
        </w:rPr>
      </w:pPr>
      <w:r>
        <w:rPr>
          <w:rFonts w:ascii="宋体" w:hAnsi="宋体"/>
        </w:rPr>
        <w:t>T+2</w:t>
      </w:r>
      <w:r>
        <w:rPr>
          <w:rFonts w:hint="eastAsia" w:ascii="宋体" w:hAnsi="宋体"/>
        </w:rPr>
        <w:t>日后第</w:t>
      </w:r>
      <w:r>
        <w:rPr>
          <w:rFonts w:ascii="宋体" w:hAnsi="宋体"/>
        </w:rPr>
        <w:t>1</w:t>
      </w:r>
      <w:r>
        <w:rPr>
          <w:rFonts w:hint="eastAsia" w:ascii="宋体" w:hAnsi="宋体"/>
        </w:rPr>
        <w:t>个工作日（若在特例情况下，则为T日起第21个交易日），基金管理人将应退款和补款的明细及汇总数据发送给相关申购赎回代理机构和基金托管人，相关款项的清算交收将于此后</w:t>
      </w:r>
      <w:r>
        <w:rPr>
          <w:rFonts w:ascii="宋体" w:hAnsi="宋体"/>
        </w:rPr>
        <w:t>3</w:t>
      </w:r>
      <w:r>
        <w:rPr>
          <w:rFonts w:hint="eastAsia" w:ascii="宋体" w:hAnsi="宋体"/>
        </w:rPr>
        <w:t>个工作日内完成。</w:t>
      </w:r>
    </w:p>
    <w:p w14:paraId="62239DF3">
      <w:pPr>
        <w:adjustRightInd w:val="0"/>
        <w:snapToGrid w:val="0"/>
        <w:spacing w:line="360" w:lineRule="auto"/>
        <w:ind w:firstLine="420"/>
        <w:rPr>
          <w:rFonts w:ascii="宋体" w:hAnsi="宋体" w:cs="Arial"/>
          <w:b/>
        </w:rPr>
      </w:pPr>
      <w:r>
        <w:rPr>
          <w:rFonts w:hint="eastAsia" w:ascii="宋体" w:hAnsi="宋体" w:cs="Arial"/>
          <w:b/>
        </w:rPr>
        <w:t>（2）</w:t>
      </w:r>
      <w:r>
        <w:rPr>
          <w:rFonts w:ascii="宋体" w:hAnsi="宋体" w:cs="Arial"/>
          <w:b/>
        </w:rPr>
        <w:t>关于必须现金替代</w:t>
      </w:r>
    </w:p>
    <w:p w14:paraId="0B6F507E">
      <w:pPr>
        <w:adjustRightInd w:val="0"/>
        <w:snapToGrid w:val="0"/>
        <w:spacing w:line="360" w:lineRule="auto"/>
        <w:ind w:firstLine="420"/>
        <w:rPr>
          <w:rFonts w:ascii="宋体" w:hAnsi="宋体" w:cs="Arial"/>
        </w:rPr>
      </w:pPr>
      <w:r>
        <w:rPr>
          <w:rFonts w:ascii="宋体" w:hAnsi="宋体" w:cs="Arial"/>
        </w:rPr>
        <w:t>1）适用情形：必须现金替代的证券一般是由于标的指数调整将被剔除的成份证券</w:t>
      </w:r>
      <w:r>
        <w:rPr>
          <w:rFonts w:hint="eastAsia" w:ascii="宋体" w:hAnsi="宋体" w:cs="Arial"/>
        </w:rPr>
        <w:t>以及处于停牌的股票，或因法律法规限制投资的成份证券</w:t>
      </w:r>
      <w:r>
        <w:rPr>
          <w:rFonts w:ascii="宋体" w:hAnsi="宋体" w:cs="Arial"/>
        </w:rPr>
        <w:t>，或出于保护基金持有人利益等目的基金管理人认为有必要实行必须现金替代的成份证券。</w:t>
      </w:r>
    </w:p>
    <w:p w14:paraId="486FA3C0">
      <w:pPr>
        <w:adjustRightInd w:val="0"/>
        <w:snapToGrid w:val="0"/>
        <w:spacing w:line="360" w:lineRule="auto"/>
        <w:ind w:firstLine="420"/>
        <w:rPr>
          <w:rFonts w:ascii="宋体" w:hAnsi="宋体" w:cs="Arial"/>
        </w:rPr>
      </w:pPr>
      <w:r>
        <w:rPr>
          <w:rFonts w:ascii="宋体" w:hAnsi="宋体" w:cs="Arial"/>
        </w:rPr>
        <w:t>2）替代金额：对于必须现金替代的证券，基金管理人将在申购赎回清单中公告替代的一定数量的现金，即</w:t>
      </w:r>
      <w:r>
        <w:rPr>
          <w:rFonts w:hint="eastAsia" w:ascii="宋体" w:hAnsi="宋体" w:cs="Arial"/>
        </w:rPr>
        <w:t>“</w:t>
      </w:r>
      <w:r>
        <w:rPr>
          <w:rFonts w:ascii="宋体" w:hAnsi="宋体" w:cs="Arial"/>
        </w:rPr>
        <w:t>固定替代金额</w:t>
      </w:r>
      <w:r>
        <w:rPr>
          <w:rFonts w:hint="eastAsia" w:ascii="宋体" w:hAnsi="宋体" w:cs="Arial"/>
        </w:rPr>
        <w:t>”</w:t>
      </w:r>
      <w:r>
        <w:rPr>
          <w:rFonts w:ascii="宋体" w:hAnsi="宋体" w:cs="Arial"/>
        </w:rPr>
        <w:t>。固定替代金额的计算方法为申购赎回清单中该证券的数量乘以其T日预估开盘价。</w:t>
      </w:r>
    </w:p>
    <w:p w14:paraId="7DE9DC81">
      <w:pPr>
        <w:adjustRightInd w:val="0"/>
        <w:snapToGrid w:val="0"/>
        <w:spacing w:line="360" w:lineRule="auto"/>
        <w:ind w:firstLine="420"/>
        <w:rPr>
          <w:rFonts w:ascii="宋体" w:hAnsi="宋体"/>
          <w:b/>
        </w:rPr>
      </w:pPr>
      <w:r>
        <w:rPr>
          <w:rFonts w:hint="eastAsia" w:ascii="宋体" w:hAnsi="宋体"/>
          <w:b/>
        </w:rPr>
        <w:t>（3）</w:t>
      </w:r>
      <w:r>
        <w:rPr>
          <w:rFonts w:ascii="宋体" w:hAnsi="宋体"/>
          <w:b/>
        </w:rPr>
        <w:t>预估现金部分相关内容</w:t>
      </w:r>
    </w:p>
    <w:p w14:paraId="0FBD4650">
      <w:pPr>
        <w:adjustRightInd w:val="0"/>
        <w:snapToGrid w:val="0"/>
        <w:spacing w:line="360" w:lineRule="auto"/>
        <w:ind w:firstLine="420"/>
        <w:rPr>
          <w:rFonts w:ascii="宋体" w:hAnsi="宋体" w:cs="Arial"/>
        </w:rPr>
      </w:pPr>
      <w:r>
        <w:rPr>
          <w:rFonts w:ascii="宋体" w:hAnsi="宋体" w:cs="Arial"/>
        </w:rPr>
        <w:t>预估现金部分是指，为便于计算基金份额参考净值及申购赎回代理券商预先冻结申请申购、赎回的投资人的相应资金，由基金管理人计算的现金数额。</w:t>
      </w:r>
    </w:p>
    <w:p w14:paraId="6B3F31DE">
      <w:pPr>
        <w:adjustRightInd w:val="0"/>
        <w:snapToGrid w:val="0"/>
        <w:spacing w:line="360" w:lineRule="auto"/>
        <w:ind w:firstLine="420"/>
        <w:rPr>
          <w:rFonts w:ascii="宋体" w:hAnsi="宋体" w:cs="Arial"/>
        </w:rPr>
      </w:pPr>
      <w:r>
        <w:rPr>
          <w:rFonts w:ascii="宋体" w:hAnsi="宋体" w:cs="Arial"/>
        </w:rPr>
        <w:t>T日申购赎回清单中公告T日预估现金部分，其计算公式为：</w:t>
      </w:r>
    </w:p>
    <w:p w14:paraId="72690470">
      <w:pPr>
        <w:adjustRightInd w:val="0"/>
        <w:snapToGrid w:val="0"/>
        <w:spacing w:line="360" w:lineRule="auto"/>
        <w:ind w:left="1890" w:hanging="1470"/>
        <w:rPr>
          <w:rFonts w:ascii="宋体" w:hAnsi="宋体" w:cs="Arial"/>
        </w:rPr>
      </w:pPr>
      <w:r>
        <w:rPr>
          <w:rFonts w:ascii="宋体" w:hAnsi="宋体" w:cs="Arial"/>
        </w:rPr>
        <w:t>T日预估现金部分＝T</w:t>
      </w:r>
      <w:r>
        <w:rPr>
          <w:rFonts w:hint="eastAsia" w:ascii="宋体" w:hAnsi="宋体" w:cs="Arial"/>
        </w:rPr>
        <w:t>—</w:t>
      </w:r>
      <w:r>
        <w:rPr>
          <w:rFonts w:ascii="宋体" w:hAnsi="宋体" w:cs="Arial"/>
        </w:rPr>
        <w:t>1日最小申购赎回单位的基金资产净值－（申购赎回清单中必须用现金替代的固定替代金额总额＋申购赎回清单中可以用现金替代的所有成份证券的数量与</w:t>
      </w:r>
      <w:r>
        <w:rPr>
          <w:rFonts w:hint="eastAsia" w:ascii="宋体" w:hAnsi="宋体" w:cs="Arial"/>
        </w:rPr>
        <w:t>该证券调整后</w:t>
      </w:r>
      <w:r>
        <w:rPr>
          <w:rFonts w:ascii="宋体" w:hAnsi="宋体" w:cs="Arial"/>
        </w:rPr>
        <w:t>T日开盘</w:t>
      </w:r>
      <w:r>
        <w:rPr>
          <w:rFonts w:hint="eastAsia" w:ascii="宋体" w:hAnsi="宋体" w:cs="Arial"/>
        </w:rPr>
        <w:t>参考</w:t>
      </w:r>
      <w:r>
        <w:rPr>
          <w:rFonts w:ascii="宋体" w:hAnsi="宋体" w:cs="Arial"/>
        </w:rPr>
        <w:t>价乘积之和＋申购赎回清单中禁止用现金替代的所有成份证券的数量与</w:t>
      </w:r>
      <w:r>
        <w:rPr>
          <w:rFonts w:hint="eastAsia" w:ascii="宋体" w:hAnsi="宋体" w:cs="Arial"/>
        </w:rPr>
        <w:t>该证券调整后</w:t>
      </w:r>
      <w:r>
        <w:rPr>
          <w:rFonts w:ascii="宋体" w:hAnsi="宋体" w:cs="Arial"/>
        </w:rPr>
        <w:t>T日开盘</w:t>
      </w:r>
      <w:r>
        <w:rPr>
          <w:rFonts w:hint="eastAsia" w:ascii="宋体" w:hAnsi="宋体" w:cs="Arial"/>
        </w:rPr>
        <w:t>参考</w:t>
      </w:r>
      <w:r>
        <w:rPr>
          <w:rFonts w:ascii="宋体" w:hAnsi="宋体" w:cs="Arial"/>
        </w:rPr>
        <w:t>价乘积之和）</w:t>
      </w:r>
    </w:p>
    <w:p w14:paraId="41DC2104">
      <w:pPr>
        <w:adjustRightInd w:val="0"/>
        <w:snapToGrid w:val="0"/>
        <w:spacing w:line="360" w:lineRule="auto"/>
        <w:ind w:firstLine="420"/>
        <w:rPr>
          <w:rFonts w:ascii="宋体" w:hAnsi="宋体" w:cs="Arial"/>
        </w:rPr>
      </w:pPr>
      <w:r>
        <w:rPr>
          <w:rFonts w:ascii="宋体" w:hAnsi="宋体" w:cs="Arial"/>
        </w:rPr>
        <w:t>其中</w:t>
      </w:r>
      <w:r>
        <w:rPr>
          <w:rFonts w:hint="eastAsia" w:ascii="宋体" w:hAnsi="宋体" w:cs="Arial"/>
        </w:rPr>
        <w:t>，该证券调整后</w:t>
      </w:r>
      <w:r>
        <w:rPr>
          <w:rFonts w:ascii="宋体" w:hAnsi="宋体" w:cs="Arial"/>
        </w:rPr>
        <w:t>T</w:t>
      </w:r>
      <w:r>
        <w:rPr>
          <w:rFonts w:hint="eastAsia" w:ascii="宋体" w:hAnsi="宋体" w:cs="Arial"/>
        </w:rPr>
        <w:t>日开盘参考价主要根据中证指数有限公司提供的标的指数成份证券的调整后开盘参考价确定</w:t>
      </w:r>
      <w:r>
        <w:rPr>
          <w:rFonts w:ascii="宋体" w:hAnsi="宋体" w:cs="Arial"/>
        </w:rPr>
        <w:t>。另外，若T日为基金分红除息日，则计算公式中的</w:t>
      </w:r>
      <w:r>
        <w:rPr>
          <w:rFonts w:hint="eastAsia" w:ascii="宋体" w:hAnsi="宋体" w:cs="Arial"/>
        </w:rPr>
        <w:t>“</w:t>
      </w:r>
      <w:r>
        <w:rPr>
          <w:rFonts w:ascii="宋体" w:hAnsi="宋体" w:cs="Arial"/>
        </w:rPr>
        <w:t>T－1日最小申购赎回单位的基金资产净值</w:t>
      </w:r>
      <w:r>
        <w:rPr>
          <w:rFonts w:hint="eastAsia" w:ascii="宋体" w:hAnsi="宋体" w:cs="Arial"/>
        </w:rPr>
        <w:t>”</w:t>
      </w:r>
      <w:r>
        <w:rPr>
          <w:rFonts w:ascii="宋体" w:hAnsi="宋体" w:cs="Arial"/>
        </w:rPr>
        <w:t>需要扣减相应的收益分配数额</w:t>
      </w:r>
      <w:r>
        <w:rPr>
          <w:rFonts w:hint="eastAsia" w:ascii="宋体" w:hAnsi="宋体" w:cs="Arial"/>
        </w:rPr>
        <w:t>；若T日为基金最小申购、赎回单位调整生效日，则计算公式中的“T-1日最小申购、赎回单位的基金资产净值”需根据调整后最小申购、赎回单位按比例计算</w:t>
      </w:r>
      <w:r>
        <w:rPr>
          <w:rFonts w:ascii="宋体" w:hAnsi="宋体" w:cs="Arial"/>
        </w:rPr>
        <w:t>。</w:t>
      </w:r>
    </w:p>
    <w:p w14:paraId="34EB78AF">
      <w:pPr>
        <w:adjustRightInd w:val="0"/>
        <w:snapToGrid w:val="0"/>
        <w:spacing w:line="360" w:lineRule="auto"/>
        <w:ind w:firstLine="420"/>
        <w:rPr>
          <w:rFonts w:ascii="宋体" w:hAnsi="宋体" w:cs="Arial"/>
        </w:rPr>
      </w:pPr>
      <w:r>
        <w:rPr>
          <w:rFonts w:ascii="宋体" w:hAnsi="宋体" w:cs="Arial"/>
        </w:rPr>
        <w:t>预估现金部分的数值可能为正、为负或为零。</w:t>
      </w:r>
    </w:p>
    <w:p w14:paraId="4881B06F">
      <w:pPr>
        <w:adjustRightInd w:val="0"/>
        <w:snapToGrid w:val="0"/>
        <w:spacing w:line="360" w:lineRule="auto"/>
        <w:ind w:firstLine="426" w:firstLineChars="202"/>
        <w:rPr>
          <w:rFonts w:ascii="宋体" w:hAnsi="宋体" w:cs="Arial"/>
          <w:b/>
        </w:rPr>
      </w:pPr>
      <w:r>
        <w:rPr>
          <w:rFonts w:hint="eastAsia" w:ascii="宋体" w:hAnsi="宋体" w:cs="Arial"/>
          <w:b/>
        </w:rPr>
        <w:t>（4）</w:t>
      </w:r>
      <w:r>
        <w:rPr>
          <w:rFonts w:ascii="宋体" w:hAnsi="宋体" w:cs="Arial"/>
          <w:b/>
        </w:rPr>
        <w:t>现金差额相关内容</w:t>
      </w:r>
    </w:p>
    <w:p w14:paraId="325A6A84">
      <w:pPr>
        <w:adjustRightInd w:val="0"/>
        <w:snapToGrid w:val="0"/>
        <w:spacing w:line="360" w:lineRule="auto"/>
        <w:ind w:firstLine="420"/>
        <w:rPr>
          <w:rFonts w:ascii="宋体" w:hAnsi="宋体" w:cs="Arial"/>
        </w:rPr>
      </w:pPr>
      <w:r>
        <w:rPr>
          <w:rFonts w:ascii="宋体" w:hAnsi="宋体" w:cs="Arial"/>
        </w:rPr>
        <w:t>T日现金差额在T＋1日的申购赎回清单中公告，其计算公式为：</w:t>
      </w:r>
    </w:p>
    <w:p w14:paraId="51B51BC6">
      <w:pPr>
        <w:adjustRightInd w:val="0"/>
        <w:snapToGrid w:val="0"/>
        <w:spacing w:line="360" w:lineRule="auto"/>
        <w:ind w:left="1890" w:hanging="1470"/>
        <w:rPr>
          <w:rFonts w:ascii="宋体" w:hAnsi="宋体" w:cs="Arial"/>
        </w:rPr>
      </w:pPr>
      <w:r>
        <w:rPr>
          <w:rFonts w:ascii="宋体" w:hAnsi="宋体" w:cs="Arial"/>
        </w:rPr>
        <w:t>T日现金差额＝T日最小申购赎回单位的基金资产净值－（申购赎回清单中必须用现金替代的固定替代金额总额＋申购赎回清单中可以用现金替代的所有成份证券的数量与其T日收盘价乘积之和＋申购赎回清单中禁止用现金替代的所有成份证券的数量与其T日收盘价乘积之和）</w:t>
      </w:r>
    </w:p>
    <w:p w14:paraId="2BF76242">
      <w:pPr>
        <w:adjustRightInd w:val="0"/>
        <w:snapToGrid w:val="0"/>
        <w:spacing w:line="360" w:lineRule="auto"/>
        <w:ind w:firstLine="420"/>
        <w:rPr>
          <w:rFonts w:ascii="宋体" w:hAnsi="宋体" w:cs="Arial"/>
        </w:rPr>
      </w:pPr>
      <w:r>
        <w:rPr>
          <w:rFonts w:ascii="宋体" w:hAnsi="宋体" w:cs="Arial"/>
        </w:rPr>
        <w:t>T日投资人申购、赎回基金份额时，需按T＋1日公告的T日现金差额进行资金的清算交收。现金差额的数值可能为正、为负或为零。在投资人申购时，如现金差额为正数，则投资人应根据其申购的基金份额支付相应的现金，如现金差额为负数，则投资人将根据其申购的基金份额获得相应的现金；在投资人赎回时，如现金差额为正数，则投资人将根据其赎回的基金份额获得相应的现金，如现金差额为负数，则投资人应根据其赎回的基金份额支付相应的现金。</w:t>
      </w:r>
    </w:p>
    <w:p w14:paraId="4C8143F6">
      <w:pPr>
        <w:adjustRightInd w:val="0"/>
        <w:snapToGrid w:val="0"/>
        <w:spacing w:line="360" w:lineRule="auto"/>
        <w:ind w:firstLine="420"/>
        <w:rPr>
          <w:rFonts w:ascii="宋体" w:hAnsi="宋体" w:cs="Arial"/>
          <w:b/>
        </w:rPr>
      </w:pPr>
      <w:r>
        <w:rPr>
          <w:rFonts w:hint="eastAsia" w:ascii="宋体" w:hAnsi="宋体" w:cs="Arial"/>
          <w:b/>
        </w:rPr>
        <w:t>（5）</w:t>
      </w:r>
      <w:r>
        <w:rPr>
          <w:rFonts w:ascii="宋体" w:hAnsi="宋体" w:cs="Arial"/>
          <w:b/>
        </w:rPr>
        <w:t>申购赎回清单的格式</w:t>
      </w:r>
    </w:p>
    <w:tbl>
      <w:tblPr>
        <w:tblStyle w:val="1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8"/>
        <w:gridCol w:w="1329"/>
        <w:gridCol w:w="688"/>
        <w:gridCol w:w="466"/>
        <w:gridCol w:w="825"/>
        <w:gridCol w:w="1145"/>
        <w:gridCol w:w="1145"/>
        <w:gridCol w:w="817"/>
        <w:gridCol w:w="779"/>
      </w:tblGrid>
      <w:tr w14:paraId="58432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9"/>
          </w:tcPr>
          <w:p w14:paraId="161900DF">
            <w:pPr>
              <w:rPr>
                <w:rFonts w:ascii="宋体" w:hAnsi="宋体" w:eastAsia="宋体" w:cs="宋体"/>
                <w:sz w:val="24"/>
                <w:szCs w:val="24"/>
              </w:rPr>
            </w:pPr>
            <w:r>
              <w:rPr>
                <w:rFonts w:hint="eastAsia" w:ascii="宋体" w:hAnsi="宋体" w:eastAsia="宋体"/>
              </w:rPr>
              <w:t xml:space="preserve">基本信息 </w:t>
            </w:r>
          </w:p>
        </w:tc>
      </w:tr>
      <w:tr w14:paraId="7CCA7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249334F3">
            <w:pPr>
              <w:rPr>
                <w:rFonts w:ascii="宋体" w:hAnsi="宋体" w:eastAsia="宋体" w:cs="宋体"/>
                <w:sz w:val="24"/>
                <w:szCs w:val="24"/>
              </w:rPr>
            </w:pPr>
            <w:r>
              <w:rPr>
                <w:rFonts w:hint="eastAsia" w:ascii="宋体" w:hAnsi="宋体" w:eastAsia="宋体"/>
              </w:rPr>
              <w:t xml:space="preserve">最新公告日期 </w:t>
            </w:r>
          </w:p>
        </w:tc>
        <w:tc>
          <w:tcPr>
            <w:tcW w:w="5177" w:type="dxa"/>
            <w:gridSpan w:val="6"/>
          </w:tcPr>
          <w:p w14:paraId="3E63268B">
            <w:pPr>
              <w:pStyle w:val="12"/>
              <w:rPr>
                <w:rFonts w:eastAsia="宋体" w:cs="宋体"/>
                <w:szCs w:val="24"/>
              </w:rPr>
            </w:pPr>
            <w:r>
              <w:rPr>
                <w:rFonts w:hint="eastAsia" w:eastAsia="宋体"/>
                <w:kern w:val="2"/>
                <w:sz w:val="21"/>
              </w:rPr>
              <w:t>20XX年 月 日 </w:t>
            </w:r>
          </w:p>
        </w:tc>
      </w:tr>
      <w:tr w14:paraId="4BFA7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7EE882B9">
            <w:pPr>
              <w:rPr>
                <w:rFonts w:ascii="宋体" w:hAnsi="宋体" w:eastAsia="宋体" w:cs="宋体"/>
                <w:sz w:val="24"/>
                <w:szCs w:val="24"/>
              </w:rPr>
            </w:pPr>
            <w:r>
              <w:rPr>
                <w:rFonts w:hint="eastAsia" w:ascii="宋体" w:hAnsi="宋体" w:eastAsia="宋体"/>
              </w:rPr>
              <w:t xml:space="preserve">基金名称 </w:t>
            </w:r>
          </w:p>
        </w:tc>
        <w:tc>
          <w:tcPr>
            <w:tcW w:w="5177" w:type="dxa"/>
            <w:gridSpan w:val="6"/>
            <w:vAlign w:val="center"/>
          </w:tcPr>
          <w:p w14:paraId="38EBDFEE">
            <w:pPr>
              <w:widowControl/>
              <w:jc w:val="left"/>
              <w:rPr>
                <w:rFonts w:ascii="宋体" w:hAnsi="宋体" w:eastAsia="宋体"/>
              </w:rPr>
            </w:pPr>
            <w:r>
              <w:rPr>
                <w:rFonts w:hint="eastAsia" w:ascii="宋体" w:hAnsi="宋体" w:eastAsia="宋体"/>
              </w:rPr>
              <w:t>博时中证全指红利质量交易型开放式指数证券投资基金</w:t>
            </w:r>
          </w:p>
        </w:tc>
      </w:tr>
      <w:tr w14:paraId="4976D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62A1839D">
            <w:pPr>
              <w:rPr>
                <w:rFonts w:ascii="宋体" w:hAnsi="宋体" w:eastAsia="宋体" w:cs="宋体"/>
                <w:sz w:val="24"/>
                <w:szCs w:val="24"/>
              </w:rPr>
            </w:pPr>
            <w:r>
              <w:rPr>
                <w:rFonts w:hint="eastAsia" w:ascii="宋体" w:hAnsi="宋体" w:eastAsia="宋体"/>
              </w:rPr>
              <w:t xml:space="preserve">基金管理公司名称 </w:t>
            </w:r>
          </w:p>
        </w:tc>
        <w:tc>
          <w:tcPr>
            <w:tcW w:w="5177" w:type="dxa"/>
            <w:gridSpan w:val="6"/>
            <w:vAlign w:val="center"/>
          </w:tcPr>
          <w:p w14:paraId="6942F9D2">
            <w:pPr>
              <w:widowControl/>
              <w:jc w:val="left"/>
              <w:rPr>
                <w:rFonts w:ascii="宋体" w:hAnsi="宋体" w:eastAsia="宋体"/>
              </w:rPr>
            </w:pPr>
            <w:r>
              <w:rPr>
                <w:rFonts w:hint="eastAsia" w:ascii="宋体" w:hAnsi="宋体" w:eastAsia="宋体"/>
              </w:rPr>
              <w:t>博时基金管理有限公司</w:t>
            </w:r>
          </w:p>
        </w:tc>
      </w:tr>
      <w:tr w14:paraId="1A11A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6FB04CE7">
            <w:pPr>
              <w:rPr>
                <w:rFonts w:ascii="宋体" w:hAnsi="宋体" w:eastAsia="宋体" w:cs="宋体"/>
                <w:sz w:val="24"/>
                <w:szCs w:val="24"/>
              </w:rPr>
            </w:pPr>
            <w:r>
              <w:rPr>
                <w:rFonts w:hint="eastAsia" w:ascii="宋体" w:hAnsi="宋体" w:eastAsia="宋体"/>
              </w:rPr>
              <w:t xml:space="preserve">基金代码 </w:t>
            </w:r>
          </w:p>
        </w:tc>
        <w:tc>
          <w:tcPr>
            <w:tcW w:w="5177" w:type="dxa"/>
            <w:gridSpan w:val="6"/>
            <w:vAlign w:val="center"/>
          </w:tcPr>
          <w:p w14:paraId="5983383F">
            <w:pPr>
              <w:widowControl/>
              <w:jc w:val="left"/>
              <w:rPr>
                <w:rFonts w:ascii="宋体" w:hAnsi="宋体" w:eastAsia="宋体" w:cs="宋体"/>
                <w:sz w:val="24"/>
                <w:szCs w:val="24"/>
              </w:rPr>
            </w:pPr>
            <w:r>
              <w:rPr>
                <w:rFonts w:hint="eastAsia" w:ascii="宋体" w:hAnsi="宋体" w:eastAsia="宋体"/>
              </w:rPr>
              <w:t xml:space="preserve">XXXXXX </w:t>
            </w:r>
          </w:p>
        </w:tc>
      </w:tr>
      <w:tr w14:paraId="00CB9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9"/>
          </w:tcPr>
          <w:p w14:paraId="330C7AB1">
            <w:pPr>
              <w:rPr>
                <w:rFonts w:ascii="宋体" w:hAnsi="宋体" w:eastAsia="宋体" w:cs="宋体"/>
                <w:sz w:val="24"/>
                <w:szCs w:val="24"/>
              </w:rPr>
            </w:pPr>
            <w:r>
              <w:rPr>
                <w:rFonts w:hint="eastAsia" w:ascii="宋体" w:hAnsi="宋体" w:eastAsia="宋体"/>
              </w:rPr>
              <w:t xml:space="preserve">T－1日内容信息 </w:t>
            </w:r>
          </w:p>
        </w:tc>
      </w:tr>
      <w:tr w14:paraId="7ABDB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1D1CD331">
            <w:pPr>
              <w:rPr>
                <w:rFonts w:ascii="宋体" w:hAnsi="宋体" w:eastAsia="宋体" w:cs="宋体"/>
                <w:sz w:val="24"/>
                <w:szCs w:val="24"/>
              </w:rPr>
            </w:pPr>
            <w:r>
              <w:rPr>
                <w:rFonts w:hint="eastAsia" w:ascii="宋体" w:hAnsi="宋体" w:eastAsia="宋体"/>
              </w:rPr>
              <w:t xml:space="preserve">现金差额（单位：元） </w:t>
            </w:r>
          </w:p>
        </w:tc>
        <w:tc>
          <w:tcPr>
            <w:tcW w:w="5177" w:type="dxa"/>
            <w:gridSpan w:val="6"/>
          </w:tcPr>
          <w:p w14:paraId="75DEADC7">
            <w:pPr>
              <w:rPr>
                <w:rFonts w:ascii="宋体" w:hAnsi="宋体" w:eastAsia="宋体" w:cs="宋体"/>
                <w:sz w:val="24"/>
                <w:szCs w:val="24"/>
              </w:rPr>
            </w:pPr>
            <w:r>
              <w:rPr>
                <w:rFonts w:hint="eastAsia" w:ascii="宋体" w:hAnsi="宋体" w:eastAsia="宋体"/>
              </w:rPr>
              <w:t xml:space="preserve">XXXX.XX </w:t>
            </w:r>
          </w:p>
        </w:tc>
      </w:tr>
      <w:tr w14:paraId="6CF41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5A7E5C5D">
            <w:pPr>
              <w:rPr>
                <w:rFonts w:ascii="宋体" w:hAnsi="宋体" w:eastAsia="宋体" w:cs="宋体"/>
                <w:sz w:val="24"/>
                <w:szCs w:val="24"/>
              </w:rPr>
            </w:pPr>
            <w:r>
              <w:rPr>
                <w:rFonts w:hint="eastAsia" w:ascii="宋体" w:hAnsi="宋体" w:eastAsia="宋体"/>
              </w:rPr>
              <w:t xml:space="preserve">最小申购、赎回单位净值（单位：元） </w:t>
            </w:r>
          </w:p>
        </w:tc>
        <w:tc>
          <w:tcPr>
            <w:tcW w:w="5177" w:type="dxa"/>
            <w:gridSpan w:val="6"/>
          </w:tcPr>
          <w:p w14:paraId="3CAA510C">
            <w:pPr>
              <w:rPr>
                <w:rFonts w:ascii="宋体" w:hAnsi="宋体" w:eastAsia="宋体" w:cs="宋体"/>
                <w:sz w:val="24"/>
                <w:szCs w:val="24"/>
              </w:rPr>
            </w:pPr>
            <w:r>
              <w:rPr>
                <w:rFonts w:hint="eastAsia" w:ascii="宋体" w:hAnsi="宋体" w:eastAsia="宋体"/>
              </w:rPr>
              <w:t xml:space="preserve">XXXX.XX </w:t>
            </w:r>
          </w:p>
        </w:tc>
      </w:tr>
      <w:tr w14:paraId="20D43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6C1B2B7B">
            <w:pPr>
              <w:rPr>
                <w:rFonts w:ascii="宋体" w:hAnsi="宋体" w:eastAsia="宋体" w:cs="宋体"/>
                <w:sz w:val="24"/>
                <w:szCs w:val="24"/>
              </w:rPr>
            </w:pPr>
            <w:r>
              <w:rPr>
                <w:rFonts w:hint="eastAsia" w:ascii="宋体" w:hAnsi="宋体" w:eastAsia="宋体"/>
              </w:rPr>
              <w:t xml:space="preserve">基金份额净值（单位：元） </w:t>
            </w:r>
          </w:p>
        </w:tc>
        <w:tc>
          <w:tcPr>
            <w:tcW w:w="5177" w:type="dxa"/>
            <w:gridSpan w:val="6"/>
          </w:tcPr>
          <w:p w14:paraId="695FF203">
            <w:pPr>
              <w:rPr>
                <w:rFonts w:ascii="宋体" w:hAnsi="宋体" w:eastAsia="宋体" w:cs="宋体"/>
                <w:sz w:val="24"/>
                <w:szCs w:val="24"/>
              </w:rPr>
            </w:pPr>
            <w:r>
              <w:rPr>
                <w:rFonts w:hint="eastAsia" w:ascii="宋体" w:hAnsi="宋体" w:eastAsia="宋体"/>
              </w:rPr>
              <w:t xml:space="preserve">X.XXXX </w:t>
            </w:r>
          </w:p>
        </w:tc>
      </w:tr>
      <w:tr w14:paraId="2961B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9"/>
          </w:tcPr>
          <w:p w14:paraId="098E0BA7">
            <w:pPr>
              <w:rPr>
                <w:rFonts w:ascii="宋体" w:hAnsi="宋体" w:eastAsia="宋体"/>
                <w:szCs w:val="22"/>
              </w:rPr>
            </w:pPr>
            <w:r>
              <w:rPr>
                <w:rFonts w:hint="eastAsia" w:ascii="宋体" w:hAnsi="宋体" w:eastAsia="宋体"/>
              </w:rPr>
              <w:t xml:space="preserve">T日内容信息 </w:t>
            </w:r>
          </w:p>
        </w:tc>
      </w:tr>
      <w:tr w14:paraId="0AAAD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24C954F6">
            <w:pPr>
              <w:pStyle w:val="12"/>
              <w:spacing w:before="0" w:after="0"/>
              <w:rPr>
                <w:rFonts w:eastAsia="宋体"/>
                <w:kern w:val="2"/>
                <w:sz w:val="21"/>
                <w:szCs w:val="22"/>
              </w:rPr>
            </w:pPr>
            <w:r>
              <w:rPr>
                <w:rFonts w:hint="eastAsia" w:eastAsia="宋体"/>
                <w:kern w:val="2"/>
                <w:sz w:val="21"/>
                <w:szCs w:val="22"/>
              </w:rPr>
              <w:t xml:space="preserve">最小申购、赎回单位的预估现金部分（单位：元） </w:t>
            </w:r>
          </w:p>
        </w:tc>
        <w:tc>
          <w:tcPr>
            <w:tcW w:w="5177" w:type="dxa"/>
            <w:gridSpan w:val="6"/>
          </w:tcPr>
          <w:p w14:paraId="5ACD2254">
            <w:pPr>
              <w:pStyle w:val="12"/>
              <w:spacing w:before="0" w:after="0"/>
              <w:rPr>
                <w:rFonts w:eastAsia="宋体"/>
                <w:kern w:val="2"/>
                <w:sz w:val="21"/>
                <w:szCs w:val="22"/>
              </w:rPr>
            </w:pPr>
            <w:r>
              <w:rPr>
                <w:rFonts w:hint="eastAsia" w:eastAsia="宋体"/>
                <w:kern w:val="2"/>
                <w:sz w:val="21"/>
                <w:szCs w:val="22"/>
              </w:rPr>
              <w:t xml:space="preserve">XXXX.XX </w:t>
            </w:r>
          </w:p>
        </w:tc>
      </w:tr>
      <w:tr w14:paraId="353CA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57E7D6C9">
            <w:pPr>
              <w:pStyle w:val="12"/>
              <w:spacing w:before="0" w:after="0"/>
              <w:rPr>
                <w:rFonts w:eastAsia="宋体"/>
                <w:kern w:val="2"/>
                <w:sz w:val="21"/>
                <w:szCs w:val="22"/>
              </w:rPr>
            </w:pPr>
            <w:r>
              <w:rPr>
                <w:rFonts w:hint="eastAsia" w:eastAsia="宋体"/>
                <w:kern w:val="2"/>
                <w:sz w:val="21"/>
                <w:szCs w:val="22"/>
              </w:rPr>
              <w:t xml:space="preserve">现金替代比例上限 </w:t>
            </w:r>
          </w:p>
        </w:tc>
        <w:tc>
          <w:tcPr>
            <w:tcW w:w="5177" w:type="dxa"/>
            <w:gridSpan w:val="6"/>
          </w:tcPr>
          <w:p w14:paraId="7427C850">
            <w:pPr>
              <w:pStyle w:val="12"/>
              <w:spacing w:before="0" w:after="0"/>
              <w:rPr>
                <w:rFonts w:eastAsia="宋体"/>
                <w:kern w:val="2"/>
                <w:sz w:val="21"/>
                <w:szCs w:val="22"/>
              </w:rPr>
            </w:pPr>
            <w:r>
              <w:rPr>
                <w:rFonts w:hint="eastAsia" w:eastAsia="宋体"/>
                <w:kern w:val="2"/>
                <w:sz w:val="21"/>
                <w:szCs w:val="22"/>
              </w:rPr>
              <w:t xml:space="preserve">XXX </w:t>
            </w:r>
          </w:p>
        </w:tc>
      </w:tr>
      <w:tr w14:paraId="4F7D8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733DEC34">
            <w:pPr>
              <w:pStyle w:val="12"/>
              <w:spacing w:before="0" w:after="0"/>
              <w:rPr>
                <w:rFonts w:eastAsia="宋体"/>
                <w:kern w:val="2"/>
                <w:sz w:val="21"/>
                <w:szCs w:val="22"/>
              </w:rPr>
            </w:pPr>
            <w:r>
              <w:rPr>
                <w:rFonts w:hint="eastAsia" w:eastAsia="宋体"/>
                <w:kern w:val="2"/>
                <w:sz w:val="21"/>
                <w:szCs w:val="22"/>
              </w:rPr>
              <w:t xml:space="preserve">当日累计可申购的基金份额上限 </w:t>
            </w:r>
          </w:p>
        </w:tc>
        <w:tc>
          <w:tcPr>
            <w:tcW w:w="5177" w:type="dxa"/>
            <w:gridSpan w:val="6"/>
          </w:tcPr>
          <w:p w14:paraId="299B8D04">
            <w:pPr>
              <w:pStyle w:val="12"/>
              <w:spacing w:before="0" w:after="0"/>
              <w:rPr>
                <w:rFonts w:eastAsia="宋体"/>
                <w:kern w:val="2"/>
                <w:sz w:val="21"/>
                <w:szCs w:val="22"/>
              </w:rPr>
            </w:pPr>
            <w:r>
              <w:rPr>
                <w:rFonts w:hint="eastAsia" w:eastAsia="宋体"/>
                <w:kern w:val="2"/>
                <w:sz w:val="21"/>
                <w:szCs w:val="22"/>
              </w:rPr>
              <w:t xml:space="preserve">XXX </w:t>
            </w:r>
          </w:p>
        </w:tc>
      </w:tr>
      <w:tr w14:paraId="6CE35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1E56C3D3">
            <w:pPr>
              <w:pStyle w:val="12"/>
              <w:spacing w:before="0" w:after="0"/>
              <w:rPr>
                <w:rFonts w:eastAsia="宋体"/>
                <w:kern w:val="2"/>
                <w:sz w:val="21"/>
                <w:szCs w:val="22"/>
              </w:rPr>
            </w:pPr>
            <w:r>
              <w:rPr>
                <w:rFonts w:hint="eastAsia" w:eastAsia="宋体"/>
                <w:kern w:val="2"/>
                <w:sz w:val="21"/>
                <w:szCs w:val="22"/>
              </w:rPr>
              <w:t xml:space="preserve">当日累计可赎回的基金份额上限 </w:t>
            </w:r>
          </w:p>
        </w:tc>
        <w:tc>
          <w:tcPr>
            <w:tcW w:w="5177" w:type="dxa"/>
            <w:gridSpan w:val="6"/>
          </w:tcPr>
          <w:p w14:paraId="01A332DF">
            <w:pPr>
              <w:pStyle w:val="12"/>
              <w:spacing w:before="0" w:after="0"/>
              <w:rPr>
                <w:rFonts w:eastAsia="宋体"/>
                <w:kern w:val="2"/>
                <w:sz w:val="21"/>
                <w:szCs w:val="22"/>
              </w:rPr>
            </w:pPr>
            <w:r>
              <w:rPr>
                <w:rFonts w:hint="eastAsia" w:eastAsia="宋体"/>
                <w:kern w:val="2"/>
                <w:sz w:val="21"/>
                <w:szCs w:val="22"/>
              </w:rPr>
              <w:t xml:space="preserve">XXX </w:t>
            </w:r>
          </w:p>
        </w:tc>
      </w:tr>
      <w:tr w14:paraId="48201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68ADFA92">
            <w:pPr>
              <w:pStyle w:val="12"/>
              <w:spacing w:before="0" w:after="0"/>
              <w:rPr>
                <w:rFonts w:eastAsia="宋体"/>
                <w:kern w:val="2"/>
                <w:sz w:val="21"/>
                <w:szCs w:val="22"/>
              </w:rPr>
            </w:pPr>
            <w:r>
              <w:rPr>
                <w:rFonts w:hint="eastAsia" w:eastAsia="宋体"/>
                <w:kern w:val="2"/>
                <w:sz w:val="21"/>
                <w:szCs w:val="22"/>
              </w:rPr>
              <w:t xml:space="preserve">当日净申购的基金份额上限 </w:t>
            </w:r>
          </w:p>
        </w:tc>
        <w:tc>
          <w:tcPr>
            <w:tcW w:w="5177" w:type="dxa"/>
            <w:gridSpan w:val="6"/>
          </w:tcPr>
          <w:p w14:paraId="75729737">
            <w:pPr>
              <w:pStyle w:val="12"/>
              <w:spacing w:before="0" w:after="0"/>
              <w:rPr>
                <w:rFonts w:eastAsia="宋体"/>
                <w:kern w:val="2"/>
                <w:sz w:val="21"/>
                <w:szCs w:val="22"/>
              </w:rPr>
            </w:pPr>
            <w:r>
              <w:rPr>
                <w:rFonts w:hint="eastAsia" w:eastAsia="宋体"/>
                <w:kern w:val="2"/>
                <w:sz w:val="21"/>
                <w:szCs w:val="22"/>
              </w:rPr>
              <w:t xml:space="preserve">XXX </w:t>
            </w:r>
          </w:p>
        </w:tc>
      </w:tr>
      <w:tr w14:paraId="50DBF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119B5B73">
            <w:pPr>
              <w:pStyle w:val="12"/>
              <w:spacing w:before="0" w:after="0"/>
              <w:rPr>
                <w:rFonts w:eastAsia="宋体"/>
                <w:kern w:val="2"/>
                <w:sz w:val="21"/>
                <w:szCs w:val="22"/>
              </w:rPr>
            </w:pPr>
            <w:r>
              <w:rPr>
                <w:rFonts w:hint="eastAsia" w:eastAsia="宋体"/>
                <w:kern w:val="2"/>
                <w:sz w:val="21"/>
                <w:szCs w:val="22"/>
              </w:rPr>
              <w:t xml:space="preserve">当日净赎回的基金份额上限 </w:t>
            </w:r>
          </w:p>
        </w:tc>
        <w:tc>
          <w:tcPr>
            <w:tcW w:w="5177" w:type="dxa"/>
            <w:gridSpan w:val="6"/>
          </w:tcPr>
          <w:p w14:paraId="100FFFFB">
            <w:pPr>
              <w:pStyle w:val="12"/>
              <w:spacing w:before="0" w:after="0"/>
              <w:rPr>
                <w:rFonts w:eastAsia="宋体"/>
                <w:kern w:val="2"/>
                <w:sz w:val="21"/>
                <w:szCs w:val="22"/>
              </w:rPr>
            </w:pPr>
            <w:r>
              <w:rPr>
                <w:rFonts w:hint="eastAsia" w:eastAsia="宋体"/>
                <w:kern w:val="2"/>
                <w:sz w:val="21"/>
                <w:szCs w:val="22"/>
              </w:rPr>
              <w:t xml:space="preserve">XXX </w:t>
            </w:r>
          </w:p>
        </w:tc>
      </w:tr>
      <w:tr w14:paraId="45C26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20EBAE65">
            <w:pPr>
              <w:pStyle w:val="12"/>
              <w:spacing w:before="0" w:after="0"/>
              <w:rPr>
                <w:rFonts w:eastAsia="宋体"/>
                <w:kern w:val="2"/>
                <w:sz w:val="21"/>
                <w:szCs w:val="22"/>
              </w:rPr>
            </w:pPr>
            <w:r>
              <w:rPr>
                <w:rFonts w:hint="eastAsia" w:eastAsia="宋体"/>
                <w:kern w:val="2"/>
                <w:sz w:val="21"/>
                <w:szCs w:val="22"/>
              </w:rPr>
              <w:t xml:space="preserve">单个证券账户当日净申购的基金份额上限 </w:t>
            </w:r>
          </w:p>
        </w:tc>
        <w:tc>
          <w:tcPr>
            <w:tcW w:w="5177" w:type="dxa"/>
            <w:gridSpan w:val="6"/>
          </w:tcPr>
          <w:p w14:paraId="0C8E2F89">
            <w:pPr>
              <w:pStyle w:val="12"/>
              <w:spacing w:before="0" w:after="0"/>
              <w:rPr>
                <w:rFonts w:eastAsia="宋体"/>
                <w:kern w:val="2"/>
                <w:sz w:val="21"/>
                <w:szCs w:val="22"/>
              </w:rPr>
            </w:pPr>
            <w:r>
              <w:rPr>
                <w:rFonts w:hint="eastAsia" w:eastAsia="宋体"/>
                <w:kern w:val="2"/>
                <w:sz w:val="21"/>
                <w:szCs w:val="22"/>
              </w:rPr>
              <w:t xml:space="preserve">XXX </w:t>
            </w:r>
          </w:p>
        </w:tc>
      </w:tr>
      <w:tr w14:paraId="629EA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4D401607">
            <w:pPr>
              <w:pStyle w:val="12"/>
              <w:spacing w:before="0" w:after="0"/>
              <w:rPr>
                <w:rFonts w:eastAsia="宋体"/>
                <w:kern w:val="2"/>
                <w:sz w:val="21"/>
                <w:szCs w:val="22"/>
              </w:rPr>
            </w:pPr>
            <w:r>
              <w:rPr>
                <w:rFonts w:hint="eastAsia" w:eastAsia="宋体"/>
                <w:kern w:val="2"/>
                <w:sz w:val="21"/>
                <w:szCs w:val="22"/>
              </w:rPr>
              <w:t>单个证券账户当日净赎回的基金份额上限</w:t>
            </w:r>
          </w:p>
        </w:tc>
        <w:tc>
          <w:tcPr>
            <w:tcW w:w="5177" w:type="dxa"/>
            <w:gridSpan w:val="6"/>
          </w:tcPr>
          <w:p w14:paraId="2E99F026">
            <w:pPr>
              <w:pStyle w:val="12"/>
              <w:spacing w:before="0" w:after="0"/>
              <w:rPr>
                <w:rFonts w:eastAsia="宋体"/>
                <w:kern w:val="2"/>
                <w:sz w:val="21"/>
                <w:szCs w:val="22"/>
              </w:rPr>
            </w:pPr>
            <w:r>
              <w:rPr>
                <w:rFonts w:hint="eastAsia" w:eastAsia="宋体"/>
                <w:kern w:val="2"/>
                <w:sz w:val="21"/>
                <w:szCs w:val="22"/>
              </w:rPr>
              <w:t>XXX</w:t>
            </w:r>
          </w:p>
        </w:tc>
      </w:tr>
      <w:tr w14:paraId="14BF4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7A9228A6">
            <w:pPr>
              <w:pStyle w:val="12"/>
              <w:spacing w:before="0" w:after="0"/>
              <w:rPr>
                <w:rFonts w:eastAsia="宋体"/>
                <w:kern w:val="2"/>
                <w:sz w:val="21"/>
                <w:szCs w:val="22"/>
              </w:rPr>
            </w:pPr>
            <w:r>
              <w:rPr>
                <w:rFonts w:hint="eastAsia" w:eastAsia="宋体"/>
                <w:kern w:val="2"/>
                <w:sz w:val="21"/>
                <w:szCs w:val="22"/>
              </w:rPr>
              <w:t>单个证券账户当日累计可申购的基金份额上限</w:t>
            </w:r>
          </w:p>
        </w:tc>
        <w:tc>
          <w:tcPr>
            <w:tcW w:w="5177" w:type="dxa"/>
            <w:gridSpan w:val="6"/>
          </w:tcPr>
          <w:p w14:paraId="542E7159">
            <w:pPr>
              <w:pStyle w:val="12"/>
              <w:spacing w:before="0" w:after="0"/>
              <w:rPr>
                <w:rFonts w:eastAsia="宋体"/>
                <w:kern w:val="2"/>
                <w:sz w:val="21"/>
                <w:szCs w:val="22"/>
              </w:rPr>
            </w:pPr>
            <w:r>
              <w:rPr>
                <w:rFonts w:hint="eastAsia" w:eastAsia="宋体"/>
                <w:kern w:val="2"/>
                <w:sz w:val="21"/>
                <w:szCs w:val="22"/>
              </w:rPr>
              <w:t>XXX</w:t>
            </w:r>
          </w:p>
        </w:tc>
      </w:tr>
      <w:tr w14:paraId="18F38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08E243EB">
            <w:pPr>
              <w:pStyle w:val="12"/>
              <w:spacing w:before="0" w:after="0"/>
              <w:rPr>
                <w:rFonts w:eastAsia="宋体"/>
                <w:kern w:val="2"/>
                <w:sz w:val="21"/>
                <w:szCs w:val="22"/>
              </w:rPr>
            </w:pPr>
            <w:r>
              <w:rPr>
                <w:rFonts w:hint="eastAsia" w:eastAsia="宋体"/>
                <w:kern w:val="2"/>
                <w:sz w:val="21"/>
                <w:szCs w:val="22"/>
              </w:rPr>
              <w:t>单个证券账户当日累计可赎回的基金份额上限</w:t>
            </w:r>
          </w:p>
        </w:tc>
        <w:tc>
          <w:tcPr>
            <w:tcW w:w="5177" w:type="dxa"/>
            <w:gridSpan w:val="6"/>
          </w:tcPr>
          <w:p w14:paraId="6B5437F4">
            <w:pPr>
              <w:pStyle w:val="12"/>
              <w:spacing w:before="0" w:after="0"/>
              <w:rPr>
                <w:rFonts w:eastAsia="宋体"/>
                <w:kern w:val="2"/>
                <w:sz w:val="21"/>
                <w:szCs w:val="22"/>
              </w:rPr>
            </w:pPr>
            <w:r>
              <w:rPr>
                <w:rFonts w:hint="eastAsia" w:eastAsia="宋体"/>
                <w:kern w:val="2"/>
                <w:sz w:val="21"/>
                <w:szCs w:val="22"/>
              </w:rPr>
              <w:t>XXX</w:t>
            </w:r>
          </w:p>
        </w:tc>
      </w:tr>
      <w:tr w14:paraId="17DA2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5131DBD6">
            <w:pPr>
              <w:pStyle w:val="12"/>
              <w:spacing w:before="0" w:after="0"/>
              <w:rPr>
                <w:rFonts w:eastAsia="宋体"/>
                <w:kern w:val="2"/>
                <w:sz w:val="21"/>
                <w:szCs w:val="22"/>
              </w:rPr>
            </w:pPr>
            <w:r>
              <w:rPr>
                <w:rFonts w:hint="eastAsia" w:eastAsia="宋体"/>
                <w:kern w:val="2"/>
                <w:sz w:val="21"/>
                <w:szCs w:val="22"/>
              </w:rPr>
              <w:t>是否需要公布IOPV</w:t>
            </w:r>
          </w:p>
        </w:tc>
        <w:tc>
          <w:tcPr>
            <w:tcW w:w="5177" w:type="dxa"/>
            <w:gridSpan w:val="6"/>
          </w:tcPr>
          <w:p w14:paraId="00CB71D2">
            <w:pPr>
              <w:pStyle w:val="12"/>
              <w:spacing w:before="0" w:after="0"/>
              <w:rPr>
                <w:rFonts w:eastAsia="宋体"/>
                <w:kern w:val="2"/>
                <w:sz w:val="21"/>
                <w:szCs w:val="22"/>
              </w:rPr>
            </w:pPr>
            <w:r>
              <w:rPr>
                <w:rFonts w:hint="eastAsia" w:eastAsia="宋体"/>
                <w:kern w:val="2"/>
                <w:sz w:val="21"/>
                <w:szCs w:val="22"/>
              </w:rPr>
              <w:t>XXX</w:t>
            </w:r>
          </w:p>
        </w:tc>
      </w:tr>
      <w:tr w14:paraId="341C2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271467A8">
            <w:pPr>
              <w:pStyle w:val="12"/>
              <w:spacing w:before="0" w:after="0"/>
              <w:rPr>
                <w:rFonts w:eastAsia="宋体"/>
                <w:kern w:val="2"/>
                <w:sz w:val="21"/>
                <w:szCs w:val="22"/>
              </w:rPr>
            </w:pPr>
            <w:r>
              <w:rPr>
                <w:rFonts w:hint="eastAsia" w:eastAsia="宋体"/>
                <w:kern w:val="2"/>
                <w:sz w:val="21"/>
                <w:szCs w:val="22"/>
              </w:rPr>
              <w:t>最小申购、赎回单位（单位：份）</w:t>
            </w:r>
          </w:p>
        </w:tc>
        <w:tc>
          <w:tcPr>
            <w:tcW w:w="5177" w:type="dxa"/>
            <w:gridSpan w:val="6"/>
          </w:tcPr>
          <w:p w14:paraId="54D96C4A">
            <w:pPr>
              <w:pStyle w:val="12"/>
              <w:spacing w:before="0" w:after="0"/>
              <w:rPr>
                <w:rFonts w:eastAsia="宋体"/>
                <w:kern w:val="2"/>
                <w:sz w:val="21"/>
                <w:szCs w:val="22"/>
              </w:rPr>
            </w:pPr>
            <w:r>
              <w:rPr>
                <w:rFonts w:hint="eastAsia" w:eastAsia="宋体"/>
                <w:kern w:val="2"/>
                <w:sz w:val="21"/>
                <w:szCs w:val="22"/>
              </w:rPr>
              <w:t>XXX</w:t>
            </w:r>
          </w:p>
        </w:tc>
      </w:tr>
      <w:tr w14:paraId="51191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3683C713">
            <w:pPr>
              <w:pStyle w:val="12"/>
              <w:spacing w:before="0" w:after="0"/>
              <w:rPr>
                <w:rFonts w:eastAsia="宋体"/>
                <w:kern w:val="2"/>
                <w:sz w:val="21"/>
                <w:szCs w:val="22"/>
              </w:rPr>
            </w:pPr>
            <w:r>
              <w:rPr>
                <w:rFonts w:hint="eastAsia" w:eastAsia="宋体"/>
                <w:kern w:val="2"/>
                <w:sz w:val="21"/>
                <w:szCs w:val="22"/>
              </w:rPr>
              <w:t>申购赎回的允许情况</w:t>
            </w:r>
          </w:p>
        </w:tc>
        <w:tc>
          <w:tcPr>
            <w:tcW w:w="5177" w:type="dxa"/>
            <w:gridSpan w:val="6"/>
          </w:tcPr>
          <w:p w14:paraId="7878E5E9">
            <w:pPr>
              <w:pStyle w:val="12"/>
              <w:spacing w:before="0" w:after="0"/>
              <w:rPr>
                <w:rFonts w:eastAsia="宋体"/>
                <w:kern w:val="2"/>
                <w:sz w:val="21"/>
                <w:szCs w:val="22"/>
              </w:rPr>
            </w:pPr>
            <w:r>
              <w:rPr>
                <w:rFonts w:hint="eastAsia" w:eastAsia="宋体"/>
                <w:kern w:val="2"/>
                <w:sz w:val="21"/>
                <w:szCs w:val="22"/>
              </w:rPr>
              <w:t>XXX</w:t>
            </w:r>
          </w:p>
        </w:tc>
      </w:tr>
      <w:tr w14:paraId="54276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45" w:type="dxa"/>
            <w:gridSpan w:val="3"/>
          </w:tcPr>
          <w:p w14:paraId="4B7383D2">
            <w:pPr>
              <w:pStyle w:val="12"/>
              <w:spacing w:before="0" w:after="0"/>
              <w:rPr>
                <w:rFonts w:eastAsia="宋体"/>
                <w:kern w:val="2"/>
                <w:sz w:val="21"/>
                <w:szCs w:val="22"/>
              </w:rPr>
            </w:pPr>
            <w:r>
              <w:rPr>
                <w:rFonts w:hint="eastAsia" w:eastAsia="宋体"/>
                <w:kern w:val="2"/>
                <w:sz w:val="21"/>
                <w:szCs w:val="22"/>
              </w:rPr>
              <w:t>申购赎回模式</w:t>
            </w:r>
          </w:p>
        </w:tc>
        <w:tc>
          <w:tcPr>
            <w:tcW w:w="5177" w:type="dxa"/>
            <w:gridSpan w:val="6"/>
          </w:tcPr>
          <w:p w14:paraId="2994FFD5">
            <w:pPr>
              <w:pStyle w:val="12"/>
              <w:spacing w:before="0" w:after="0"/>
              <w:rPr>
                <w:rFonts w:eastAsia="宋体"/>
                <w:kern w:val="2"/>
                <w:sz w:val="21"/>
                <w:szCs w:val="22"/>
              </w:rPr>
            </w:pPr>
            <w:r>
              <w:rPr>
                <w:rFonts w:hint="eastAsia" w:eastAsia="宋体"/>
                <w:kern w:val="2"/>
                <w:sz w:val="21"/>
                <w:szCs w:val="22"/>
              </w:rPr>
              <w:t>XXX</w:t>
            </w:r>
          </w:p>
        </w:tc>
      </w:tr>
      <w:tr w14:paraId="15BD7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9"/>
          </w:tcPr>
          <w:p w14:paraId="05D349A9">
            <w:pPr>
              <w:rPr>
                <w:rFonts w:ascii="宋体" w:hAnsi="宋体" w:eastAsia="宋体"/>
                <w:szCs w:val="22"/>
              </w:rPr>
            </w:pPr>
            <w:r>
              <w:rPr>
                <w:rFonts w:hint="eastAsia" w:ascii="宋体" w:hAnsi="宋体" w:eastAsia="宋体"/>
              </w:rPr>
              <w:t xml:space="preserve">成份股信息内容 </w:t>
            </w:r>
          </w:p>
        </w:tc>
      </w:tr>
      <w:tr w14:paraId="39733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8" w:type="dxa"/>
          </w:tcPr>
          <w:p w14:paraId="21B1D272">
            <w:pPr>
              <w:widowControl/>
              <w:jc w:val="left"/>
              <w:rPr>
                <w:rFonts w:ascii="宋体" w:hAnsi="宋体" w:eastAsia="宋体"/>
                <w:szCs w:val="22"/>
              </w:rPr>
            </w:pPr>
            <w:r>
              <w:rPr>
                <w:rFonts w:hint="eastAsia" w:ascii="宋体" w:hAnsi="宋体" w:eastAsia="宋体"/>
                <w:szCs w:val="22"/>
              </w:rPr>
              <w:t xml:space="preserve">证券代码 </w:t>
            </w:r>
          </w:p>
        </w:tc>
        <w:tc>
          <w:tcPr>
            <w:tcW w:w="1329" w:type="dxa"/>
          </w:tcPr>
          <w:p w14:paraId="3DE33535">
            <w:pPr>
              <w:widowControl/>
              <w:jc w:val="left"/>
              <w:rPr>
                <w:rFonts w:ascii="宋体" w:hAnsi="宋体" w:eastAsia="宋体"/>
                <w:szCs w:val="22"/>
              </w:rPr>
            </w:pPr>
            <w:r>
              <w:rPr>
                <w:rFonts w:hint="eastAsia" w:ascii="宋体" w:hAnsi="宋体" w:eastAsia="宋体"/>
                <w:szCs w:val="22"/>
              </w:rPr>
              <w:t xml:space="preserve">证券简称 </w:t>
            </w:r>
          </w:p>
        </w:tc>
        <w:tc>
          <w:tcPr>
            <w:tcW w:w="1154" w:type="dxa"/>
            <w:gridSpan w:val="2"/>
          </w:tcPr>
          <w:p w14:paraId="507D0B45">
            <w:pPr>
              <w:rPr>
                <w:rFonts w:ascii="宋体" w:hAnsi="宋体" w:eastAsia="宋体"/>
                <w:szCs w:val="22"/>
              </w:rPr>
            </w:pPr>
            <w:r>
              <w:rPr>
                <w:rFonts w:hint="eastAsia" w:ascii="宋体" w:hAnsi="宋体" w:eastAsia="宋体"/>
                <w:szCs w:val="22"/>
              </w:rPr>
              <w:t>股票数量</w:t>
            </w:r>
          </w:p>
          <w:p w14:paraId="682627D0">
            <w:pPr>
              <w:widowControl/>
              <w:jc w:val="left"/>
              <w:rPr>
                <w:rFonts w:ascii="宋体" w:hAnsi="宋体" w:eastAsia="宋体"/>
                <w:szCs w:val="22"/>
              </w:rPr>
            </w:pPr>
            <w:r>
              <w:rPr>
                <w:rFonts w:hint="eastAsia" w:ascii="宋体" w:hAnsi="宋体" w:eastAsia="宋体"/>
                <w:szCs w:val="22"/>
              </w:rPr>
              <w:t>（股）</w:t>
            </w:r>
          </w:p>
        </w:tc>
        <w:tc>
          <w:tcPr>
            <w:tcW w:w="825" w:type="dxa"/>
          </w:tcPr>
          <w:p w14:paraId="1AD236EC">
            <w:pPr>
              <w:widowControl/>
              <w:jc w:val="left"/>
              <w:rPr>
                <w:rFonts w:ascii="宋体" w:hAnsi="宋体" w:eastAsia="宋体"/>
                <w:szCs w:val="22"/>
              </w:rPr>
            </w:pPr>
            <w:r>
              <w:rPr>
                <w:rFonts w:hint="eastAsia" w:ascii="宋体" w:hAnsi="宋体" w:eastAsia="宋体"/>
                <w:szCs w:val="22"/>
              </w:rPr>
              <w:t xml:space="preserve">现金替代标志 </w:t>
            </w:r>
          </w:p>
        </w:tc>
        <w:tc>
          <w:tcPr>
            <w:tcW w:w="1145" w:type="dxa"/>
          </w:tcPr>
          <w:p w14:paraId="0D91C5D8">
            <w:pPr>
              <w:rPr>
                <w:rFonts w:ascii="宋体" w:hAnsi="宋体" w:eastAsia="宋体"/>
                <w:szCs w:val="22"/>
              </w:rPr>
            </w:pPr>
            <w:r>
              <w:rPr>
                <w:rFonts w:hint="eastAsia" w:ascii="宋体" w:hAnsi="宋体" w:eastAsia="宋体"/>
                <w:szCs w:val="22"/>
              </w:rPr>
              <w:t xml:space="preserve">申购现金替代溢价比例 </w:t>
            </w:r>
          </w:p>
        </w:tc>
        <w:tc>
          <w:tcPr>
            <w:tcW w:w="1145" w:type="dxa"/>
          </w:tcPr>
          <w:p w14:paraId="2C5F953C">
            <w:pPr>
              <w:rPr>
                <w:rFonts w:ascii="宋体" w:hAnsi="宋体" w:eastAsia="宋体"/>
                <w:szCs w:val="22"/>
              </w:rPr>
            </w:pPr>
            <w:r>
              <w:rPr>
                <w:rFonts w:hint="eastAsia" w:ascii="宋体" w:hAnsi="宋体" w:eastAsia="宋体"/>
                <w:szCs w:val="22"/>
              </w:rPr>
              <w:t xml:space="preserve">赎回现金替代折价比例 </w:t>
            </w:r>
          </w:p>
        </w:tc>
        <w:tc>
          <w:tcPr>
            <w:tcW w:w="817" w:type="dxa"/>
          </w:tcPr>
          <w:p w14:paraId="69ECE740">
            <w:pPr>
              <w:rPr>
                <w:rFonts w:ascii="宋体" w:hAnsi="宋体" w:eastAsia="宋体"/>
                <w:szCs w:val="22"/>
              </w:rPr>
            </w:pPr>
            <w:r>
              <w:rPr>
                <w:rFonts w:hint="eastAsia" w:ascii="宋体" w:hAnsi="宋体" w:eastAsia="宋体"/>
                <w:szCs w:val="22"/>
              </w:rPr>
              <w:t>替代金额（单</w:t>
            </w:r>
          </w:p>
          <w:p w14:paraId="407074E4">
            <w:pPr>
              <w:widowControl/>
              <w:jc w:val="left"/>
              <w:rPr>
                <w:rFonts w:ascii="宋体" w:hAnsi="宋体" w:eastAsia="宋体"/>
                <w:szCs w:val="22"/>
              </w:rPr>
            </w:pPr>
            <w:r>
              <w:rPr>
                <w:rFonts w:hint="eastAsia" w:ascii="宋体" w:hAnsi="宋体" w:eastAsia="宋体"/>
                <w:szCs w:val="22"/>
              </w:rPr>
              <w:t xml:space="preserve">位：人民币元） </w:t>
            </w:r>
          </w:p>
        </w:tc>
        <w:tc>
          <w:tcPr>
            <w:tcW w:w="779" w:type="dxa"/>
          </w:tcPr>
          <w:p w14:paraId="35412539">
            <w:pPr>
              <w:widowControl/>
              <w:jc w:val="left"/>
              <w:rPr>
                <w:rFonts w:ascii="宋体" w:hAnsi="宋体" w:eastAsia="宋体"/>
                <w:szCs w:val="22"/>
              </w:rPr>
            </w:pPr>
            <w:r>
              <w:rPr>
                <w:rFonts w:hint="eastAsia" w:ascii="宋体" w:hAnsi="宋体" w:eastAsia="宋体"/>
                <w:szCs w:val="22"/>
              </w:rPr>
              <w:t xml:space="preserve">挂牌 </w:t>
            </w:r>
          </w:p>
          <w:p w14:paraId="1F3DBFBF">
            <w:pPr>
              <w:widowControl/>
              <w:jc w:val="left"/>
              <w:rPr>
                <w:rFonts w:ascii="宋体" w:hAnsi="宋体" w:eastAsia="宋体"/>
                <w:szCs w:val="22"/>
              </w:rPr>
            </w:pPr>
            <w:r>
              <w:rPr>
                <w:rFonts w:hint="eastAsia" w:ascii="宋体" w:hAnsi="宋体" w:eastAsia="宋体"/>
                <w:szCs w:val="22"/>
              </w:rPr>
              <w:t>市场</w:t>
            </w:r>
          </w:p>
          <w:p w14:paraId="1EF1B32B">
            <w:pPr>
              <w:rPr>
                <w:rFonts w:ascii="宋体" w:hAnsi="宋体" w:eastAsia="宋体"/>
              </w:rPr>
            </w:pPr>
          </w:p>
        </w:tc>
      </w:tr>
      <w:tr w14:paraId="70672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8" w:type="dxa"/>
          </w:tcPr>
          <w:p w14:paraId="13DC9C55">
            <w:pPr>
              <w:widowControl/>
              <w:jc w:val="left"/>
              <w:rPr>
                <w:rFonts w:ascii="宋体" w:hAnsi="宋体" w:eastAsia="宋体"/>
                <w:szCs w:val="22"/>
              </w:rPr>
            </w:pPr>
          </w:p>
        </w:tc>
        <w:tc>
          <w:tcPr>
            <w:tcW w:w="1329" w:type="dxa"/>
          </w:tcPr>
          <w:p w14:paraId="1166299F">
            <w:pPr>
              <w:widowControl/>
              <w:jc w:val="left"/>
              <w:rPr>
                <w:rFonts w:ascii="宋体" w:hAnsi="宋体" w:eastAsia="宋体"/>
                <w:szCs w:val="22"/>
              </w:rPr>
            </w:pPr>
          </w:p>
        </w:tc>
        <w:tc>
          <w:tcPr>
            <w:tcW w:w="1154" w:type="dxa"/>
            <w:gridSpan w:val="2"/>
          </w:tcPr>
          <w:p w14:paraId="175769D8">
            <w:pPr>
              <w:widowControl/>
              <w:jc w:val="left"/>
              <w:rPr>
                <w:rFonts w:ascii="宋体" w:hAnsi="宋体" w:eastAsia="宋体"/>
                <w:szCs w:val="22"/>
              </w:rPr>
            </w:pPr>
          </w:p>
        </w:tc>
        <w:tc>
          <w:tcPr>
            <w:tcW w:w="825" w:type="dxa"/>
          </w:tcPr>
          <w:p w14:paraId="0F8435F9">
            <w:pPr>
              <w:widowControl/>
              <w:jc w:val="left"/>
              <w:rPr>
                <w:rFonts w:ascii="宋体" w:hAnsi="宋体" w:eastAsia="宋体"/>
                <w:szCs w:val="22"/>
              </w:rPr>
            </w:pPr>
          </w:p>
        </w:tc>
        <w:tc>
          <w:tcPr>
            <w:tcW w:w="1145" w:type="dxa"/>
          </w:tcPr>
          <w:p w14:paraId="5E175544">
            <w:pPr>
              <w:widowControl/>
              <w:jc w:val="left"/>
              <w:rPr>
                <w:rFonts w:ascii="宋体" w:hAnsi="宋体" w:eastAsia="宋体"/>
                <w:szCs w:val="22"/>
              </w:rPr>
            </w:pPr>
          </w:p>
        </w:tc>
        <w:tc>
          <w:tcPr>
            <w:tcW w:w="1145" w:type="dxa"/>
          </w:tcPr>
          <w:p w14:paraId="402EFA4E">
            <w:pPr>
              <w:widowControl/>
              <w:jc w:val="left"/>
              <w:rPr>
                <w:rFonts w:ascii="宋体" w:hAnsi="宋体" w:eastAsia="宋体"/>
                <w:szCs w:val="22"/>
              </w:rPr>
            </w:pPr>
          </w:p>
        </w:tc>
        <w:tc>
          <w:tcPr>
            <w:tcW w:w="817" w:type="dxa"/>
          </w:tcPr>
          <w:p w14:paraId="65454BB0">
            <w:pPr>
              <w:widowControl/>
              <w:jc w:val="left"/>
              <w:rPr>
                <w:rFonts w:ascii="宋体" w:hAnsi="宋体" w:eastAsia="宋体"/>
                <w:szCs w:val="22"/>
              </w:rPr>
            </w:pPr>
          </w:p>
        </w:tc>
        <w:tc>
          <w:tcPr>
            <w:tcW w:w="779" w:type="dxa"/>
          </w:tcPr>
          <w:p w14:paraId="2E759879">
            <w:pPr>
              <w:rPr>
                <w:rFonts w:ascii="宋体" w:hAnsi="宋体" w:eastAsia="宋体"/>
                <w:szCs w:val="22"/>
              </w:rPr>
            </w:pPr>
          </w:p>
        </w:tc>
      </w:tr>
    </w:tbl>
    <w:p w14:paraId="400D43DF">
      <w:pPr>
        <w:adjustRightInd w:val="0"/>
        <w:snapToGrid w:val="0"/>
        <w:spacing w:line="360" w:lineRule="auto"/>
        <w:ind w:firstLine="420" w:firstLineChars="200"/>
        <w:rPr>
          <w:rFonts w:ascii="宋体" w:hAnsi="宋体" w:cs="Arial"/>
          <w:b/>
          <w:bCs/>
          <w:kern w:val="0"/>
        </w:rPr>
      </w:pPr>
      <w:r>
        <w:rPr>
          <w:rFonts w:hint="eastAsia"/>
          <w:color w:val="0D0D0D"/>
        </w:rPr>
        <w:t>若上海证券交易所或中国证券登记结算有限责任公司对申购赎回清单的格式进行调整，</w:t>
      </w:r>
      <w:r>
        <w:rPr>
          <w:rFonts w:hint="eastAsia" w:cs="Arial"/>
        </w:rPr>
        <w:t>基金管理人将视情况对相关格式进行相应的调整，并依照《信息披露办法》的有关规定在</w:t>
      </w:r>
      <w:r>
        <w:rPr>
          <w:rFonts w:cs="Arial"/>
        </w:rPr>
        <w:t>规</w:t>
      </w:r>
      <w:r>
        <w:rPr>
          <w:rFonts w:hint="eastAsia" w:cs="Arial"/>
        </w:rPr>
        <w:t>定媒介上公告。</w:t>
      </w:r>
    </w:p>
    <w:p w14:paraId="57F19542">
      <w:pPr>
        <w:adjustRightInd w:val="0"/>
        <w:snapToGrid w:val="0"/>
        <w:spacing w:line="360" w:lineRule="auto"/>
        <w:ind w:firstLine="422" w:firstLineChars="200"/>
        <w:rPr>
          <w:rFonts w:ascii="宋体" w:hAnsi="宋体"/>
          <w:b/>
        </w:rPr>
      </w:pPr>
      <w:bookmarkStart w:id="107" w:name="_Hlk95333542"/>
      <w:r>
        <w:rPr>
          <w:rFonts w:hint="eastAsia" w:ascii="宋体" w:hAnsi="宋体"/>
          <w:b/>
        </w:rPr>
        <w:t>八、拒绝或暂停申购的情形及处理方式</w:t>
      </w:r>
    </w:p>
    <w:p w14:paraId="69F7D73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发生下列情况时，基金管理人可拒绝或暂停接受投资人的申购申请：</w:t>
      </w:r>
    </w:p>
    <w:p w14:paraId="640976A8">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、因不可抗力导致基金管理人无法受理或办理基金份额持有人的申购申请；</w:t>
      </w:r>
    </w:p>
    <w:p w14:paraId="5A1A0503">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2、证券/</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期货交易所交易时间非正常停市，导致基金管理人无法计算当日基金资产净值或无法进行证券交易；</w:t>
      </w:r>
    </w:p>
    <w:p w14:paraId="333F3934">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、发生基金合同规定的暂停基金资产估值情况时</w:t>
      </w:r>
      <w:r>
        <w:rPr>
          <w:rFonts w:asciiTheme="minorEastAsia" w:hAnsiTheme="minorEastAsia"/>
          <w:color w:val="0D0D0D" w:themeColor="text1" w:themeTint="F2"/>
          <w:kern w:val="0"/>
          <w14:textFill>
            <w14:solidFill>
              <w14:schemeClr w14:val="tx1">
                <w14:lumMod w14:val="95000"/>
                <w14:lumOff w14:val="5000"/>
              </w14:schemeClr>
            </w14:solidFill>
          </w14:textFill>
        </w:rPr>
        <w:t>；</w:t>
      </w:r>
    </w:p>
    <w:p w14:paraId="1B825610">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4、</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基金管理人开市前因异常情况无法公布申购、赎回清单、基金份额净值或者</w:t>
      </w:r>
      <w:r>
        <w:rPr>
          <w:rFonts w:asciiTheme="minorEastAsia" w:hAnsiTheme="minorEastAsia"/>
          <w:color w:val="0D0D0D" w:themeColor="text1" w:themeTint="F2"/>
          <w:kern w:val="0"/>
          <w14:textFill>
            <w14:solidFill>
              <w14:schemeClr w14:val="tx1">
                <w14:lumMod w14:val="95000"/>
                <w14:lumOff w14:val="5000"/>
              </w14:schemeClr>
            </w14:solidFill>
          </w14:textFill>
        </w:rPr>
        <w:t>IOPV计算错误、申购</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w:t>
      </w:r>
      <w:r>
        <w:rPr>
          <w:rFonts w:asciiTheme="minorEastAsia" w:hAnsiTheme="minorEastAsia"/>
          <w:color w:val="0D0D0D" w:themeColor="text1" w:themeTint="F2"/>
          <w:kern w:val="0"/>
          <w14:textFill>
            <w14:solidFill>
              <w14:schemeClr w14:val="tx1">
                <w14:lumMod w14:val="95000"/>
                <w14:lumOff w14:val="5000"/>
              </w14:schemeClr>
            </w14:solidFill>
          </w14:textFill>
        </w:rPr>
        <w:t>赎回清单编制错误；</w:t>
      </w:r>
    </w:p>
    <w:p w14:paraId="722C52F1">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5</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、接受某笔或某些申购申请可能会影响或损害现有基金份额持有人利益时；</w:t>
      </w:r>
    </w:p>
    <w:p w14:paraId="2976CB0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6、相关</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证券/期货交易所</w:t>
      </w:r>
      <w:r>
        <w:rPr>
          <w:rFonts w:asciiTheme="minorEastAsia" w:hAnsiTheme="minorEastAsia"/>
          <w:color w:val="0D0D0D" w:themeColor="text1" w:themeTint="F2"/>
          <w:kern w:val="0"/>
          <w14:textFill>
            <w14:solidFill>
              <w14:schemeClr w14:val="tx1">
                <w14:lumMod w14:val="95000"/>
                <w14:lumOff w14:val="5000"/>
              </w14:schemeClr>
            </w14:solidFill>
          </w14:textFill>
        </w:rPr>
        <w:t>、申购赎回代理券商、登记机构等因异常情况无法办理申购；或者</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指数编制单位、相关证券/期货交易所等因异常情况使申购赎回清单无法编制或编制不当。上述异常情况指基金管理人无法预见并不可控制的情形，包括但不限于系统故障、网络故障、通讯故障、电力故障、数据错误等；</w:t>
      </w:r>
    </w:p>
    <w:p w14:paraId="4D58BA51">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7</w:t>
      </w:r>
      <w:r>
        <w:rPr>
          <w:rFonts w:asciiTheme="minorEastAsia" w:hAnsiTheme="minorEastAsia"/>
          <w:color w:val="0D0D0D" w:themeColor="text1" w:themeTint="F2"/>
          <w:kern w:val="0"/>
          <w14:textFill>
            <w14:solidFill>
              <w14:schemeClr w14:val="tx1">
                <w14:lumMod w14:val="95000"/>
                <w14:lumOff w14:val="5000"/>
              </w14:schemeClr>
            </w14:solidFill>
          </w14:textFill>
        </w:rPr>
        <w:t>、申请超过基金管理人设定的基金总规模、单日净申购比例上限、单一投资者单日或单笔申购</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份额</w:t>
      </w:r>
      <w:r>
        <w:rPr>
          <w:rFonts w:asciiTheme="minorEastAsia" w:hAnsiTheme="minorEastAsia"/>
          <w:color w:val="0D0D0D" w:themeColor="text1" w:themeTint="F2"/>
          <w:kern w:val="0"/>
          <w14:textFill>
            <w14:solidFill>
              <w14:schemeClr w14:val="tx1">
                <w14:lumMod w14:val="95000"/>
                <w14:lumOff w14:val="5000"/>
              </w14:schemeClr>
            </w14:solidFill>
          </w14:textFill>
        </w:rPr>
        <w:t>上限的；</w:t>
      </w:r>
    </w:p>
    <w:p w14:paraId="5FF09449">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8、当前一估值日基金资产净值50%以上的资产出现无可参考的活跃市场价格且采用估值技术仍导致公允价值存在重大不确定性时，经与基金托管人协商确认后，基金管理人应当暂停接受基金申购申请；</w:t>
      </w:r>
    </w:p>
    <w:p w14:paraId="2B758CB6">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9、法律法规、上海证券交易所规定或中国证监会认定的其他情形。</w:t>
      </w:r>
    </w:p>
    <w:p w14:paraId="57A3F3F0">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上述第1、2、3、4、6、8、9项暂停申购情形之一且基金管理人决定暂停接受投资人申购申请时，基金管理人应当根据有关规定在规定媒介上刊登暂停申购公告。如果投资人的申购申请全部或部分被拒绝，被拒绝的申购对价将退还给投资人。在暂停申购的情况消除时，基金管理人应及时恢复申购业务的办理。</w:t>
      </w:r>
    </w:p>
    <w:p w14:paraId="47D22583">
      <w:pPr>
        <w:adjustRightInd w:val="0"/>
        <w:snapToGrid w:val="0"/>
        <w:spacing w:line="360" w:lineRule="auto"/>
        <w:ind w:firstLine="422" w:firstLineChars="200"/>
        <w:rPr>
          <w:rFonts w:ascii="宋体" w:hAnsi="宋体"/>
          <w:b/>
        </w:rPr>
      </w:pPr>
      <w:r>
        <w:rPr>
          <w:rFonts w:hint="eastAsia" w:ascii="宋体" w:hAnsi="宋体"/>
          <w:b/>
        </w:rPr>
        <w:t>九、</w:t>
      </w:r>
      <w:r>
        <w:rPr>
          <w:rFonts w:ascii="宋体" w:hAnsi="宋体"/>
          <w:b/>
        </w:rPr>
        <w:t>暂停赎回或延缓支付赎回对价的情形及处理方式</w:t>
      </w:r>
    </w:p>
    <w:p w14:paraId="63F5FEE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发生下列情形时，基金管理人可暂停接受投资人的赎回申请或延缓支付赎回对价：</w:t>
      </w:r>
    </w:p>
    <w:p w14:paraId="6F4209B0">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1</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、因不可抗力导致基金管理人无法受理或办理基金份额持有人的赎回申请；</w:t>
      </w:r>
    </w:p>
    <w:p w14:paraId="537A903C">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2、证券/</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期货交易所交易时间非正常停市，导致基金管理人无法计算当日基金资产</w:t>
      </w:r>
      <w:bookmarkStart w:id="108" w:name="_Hlt152500890"/>
      <w:r>
        <w:rPr>
          <w:rFonts w:hint="eastAsia" w:asciiTheme="minorEastAsia" w:hAnsiTheme="minorEastAsia"/>
          <w:color w:val="0D0D0D" w:themeColor="text1" w:themeTint="F2"/>
          <w:kern w:val="0"/>
          <w14:textFill>
            <w14:solidFill>
              <w14:schemeClr w14:val="tx1">
                <w14:lumMod w14:val="95000"/>
                <w14:lumOff w14:val="5000"/>
              </w14:schemeClr>
            </w14:solidFill>
          </w14:textFill>
        </w:rPr>
        <w:t>净值或无法进行证券交易；</w:t>
      </w:r>
    </w:p>
    <w:p w14:paraId="1FFC2BD6">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asciiTheme="minorEastAsia" w:hAnsiTheme="minorEastAsia"/>
          <w:color w:val="0D0D0D" w:themeColor="text1" w:themeTint="F2"/>
          <w:kern w:val="0"/>
          <w14:textFill>
            <w14:solidFill>
              <w14:schemeClr w14:val="tx1">
                <w14:lumMod w14:val="95000"/>
                <w14:lumOff w14:val="5000"/>
              </w14:schemeClr>
            </w14:solidFill>
          </w14:textFill>
        </w:rPr>
        <w:t>3</w:t>
      </w: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、发生基金合同规定的暂停基金资产估值情况时</w:t>
      </w:r>
      <w:r>
        <w:rPr>
          <w:rFonts w:asciiTheme="minorEastAsia" w:hAnsiTheme="minorEastAsia"/>
          <w:color w:val="0D0D0D" w:themeColor="text1" w:themeTint="F2"/>
          <w:kern w:val="0"/>
          <w14:textFill>
            <w14:solidFill>
              <w14:schemeClr w14:val="tx1">
                <w14:lumMod w14:val="95000"/>
                <w14:lumOff w14:val="5000"/>
              </w14:schemeClr>
            </w14:solidFill>
          </w14:textFill>
        </w:rPr>
        <w:t>；</w:t>
      </w:r>
    </w:p>
    <w:p w14:paraId="282A62A5">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4、发生继续接受赎回申请将损害现有基金份额持有人利益的情形；</w:t>
      </w:r>
    </w:p>
    <w:bookmarkEnd w:id="108"/>
    <w:p w14:paraId="7D172CBA">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5、本基金当日总赎回份额达到基金管理人所设定的上限；</w:t>
      </w:r>
    </w:p>
    <w:p w14:paraId="7D1BE523">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6、当前一估值日基金资产净值50%以上的资产出现无可参考的活跃市场价格且采用估值技术仍导致公允价值存在重大不确定性时，经与基金托管人协商确认后，基金管理人应当延缓支付赎回对价或暂停接受基金赎回申请；</w:t>
      </w:r>
    </w:p>
    <w:p w14:paraId="32325C70">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7、法律法规、上海证券交易所规定或中国证监会认定的其他情形。</w:t>
      </w:r>
    </w:p>
    <w:p w14:paraId="5110FDB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发生上述情形之一且基金管理人决定暂停赎回或延缓支付赎回对价时，基金管理人应按规定报中国证监会备案。已接受的赎回申请，基金管理人应足额支付，基金份额持有人在申请赎回时可事先选择将当日可能未获受理部分予以撤销，如暂时不能足额支付，未支付部分可延期支付。在暂停赎回的情况消除时，基金管理人应及时恢复赎回业务的办理并公告。</w:t>
      </w:r>
    </w:p>
    <w:p w14:paraId="13E33FB0">
      <w:pPr>
        <w:adjustRightInd w:val="0"/>
        <w:snapToGrid w:val="0"/>
        <w:spacing w:line="360" w:lineRule="auto"/>
        <w:ind w:firstLine="422" w:firstLineChars="200"/>
        <w:rPr>
          <w:rFonts w:ascii="宋体" w:hAnsi="宋体"/>
          <w:b/>
        </w:rPr>
      </w:pPr>
      <w:bookmarkStart w:id="109" w:name="_Hlt70481650"/>
      <w:bookmarkEnd w:id="109"/>
      <w:r>
        <w:rPr>
          <w:rFonts w:hint="eastAsia" w:ascii="宋体" w:hAnsi="宋体"/>
          <w:b/>
        </w:rPr>
        <w:t>十、基金份额折算</w:t>
      </w:r>
    </w:p>
    <w:p w14:paraId="100EF85D">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 xml:space="preserve">为提高交易便利或根据需要，基金管理人可向登记机构申请办理基金份额折算与变更登记。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因尾数处理而产生的损益不视为实质性影响），无需召开基金份额持有人大会审议。基金份额折算后，基金份额持有人将按照折算后的基金份额享有权利并承担义务。基金管理人应就其具体事宜进行必要公告，并提前通知基金托管人。 </w:t>
      </w:r>
    </w:p>
    <w:p w14:paraId="295ACED2">
      <w:pPr>
        <w:adjustRightInd w:val="0"/>
        <w:snapToGrid w:val="0"/>
        <w:spacing w:line="360" w:lineRule="auto"/>
        <w:ind w:firstLine="422" w:firstLineChars="200"/>
        <w:rPr>
          <w:rFonts w:ascii="宋体" w:hAnsi="宋体"/>
          <w:b/>
        </w:rPr>
      </w:pPr>
      <w:r>
        <w:rPr>
          <w:rFonts w:hint="eastAsia" w:ascii="宋体" w:hAnsi="宋体"/>
          <w:b/>
        </w:rPr>
        <w:t xml:space="preserve">十一、基金份额拆分与合并 </w:t>
      </w:r>
    </w:p>
    <w:p w14:paraId="1BBD0943">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 xml:space="preserve">基金成立后，在法律法规规定的范围内，在履行适当程序后，本基金可实施基金份额拆分或合并。 </w:t>
      </w:r>
    </w:p>
    <w:p w14:paraId="3E1900F1">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份额拆分或合并是在保持现有基金份额持有人资产总值不变的前提下，改变基金份额净值和持有基金份额的对应关系，是重新列示基金资产的一种方式。基金份额拆分或合并对基金份额持有人的权益无实质性影响。</w:t>
      </w:r>
    </w:p>
    <w:p w14:paraId="604600D4">
      <w:pPr>
        <w:adjustRightInd w:val="0"/>
        <w:snapToGrid w:val="0"/>
        <w:spacing w:line="360" w:lineRule="auto"/>
        <w:ind w:firstLine="422" w:firstLineChars="200"/>
        <w:rPr>
          <w:rFonts w:ascii="宋体" w:hAnsi="宋体"/>
          <w:b/>
        </w:rPr>
      </w:pPr>
      <w:r>
        <w:rPr>
          <w:rFonts w:hint="eastAsia" w:ascii="宋体" w:hAnsi="宋体"/>
          <w:b/>
        </w:rPr>
        <w:t>十</w:t>
      </w:r>
      <w:r>
        <w:rPr>
          <w:rFonts w:ascii="宋体" w:hAnsi="宋体"/>
          <w:b/>
        </w:rPr>
        <w:t>二</w:t>
      </w:r>
      <w:r>
        <w:rPr>
          <w:rFonts w:hint="eastAsia" w:ascii="宋体" w:hAnsi="宋体"/>
          <w:b/>
        </w:rPr>
        <w:t>、基金份额的转让</w:t>
      </w:r>
    </w:p>
    <w:p w14:paraId="789AB8B4">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在法律法规允许且条件具备的情况下，如对存量基金份额持有人利益无实质性不利影响，基金管理人经履行相关程序后可受理基金份额持有人通过中国证监会认可的证券交易所以外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62ACBC9C">
      <w:pPr>
        <w:adjustRightInd w:val="0"/>
        <w:snapToGrid w:val="0"/>
        <w:spacing w:line="360" w:lineRule="auto"/>
        <w:ind w:firstLine="422" w:firstLineChars="200"/>
        <w:rPr>
          <w:rFonts w:ascii="宋体" w:hAnsi="宋体"/>
          <w:b/>
        </w:rPr>
      </w:pPr>
      <w:r>
        <w:rPr>
          <w:rFonts w:hint="eastAsia" w:ascii="宋体" w:hAnsi="宋体"/>
          <w:b/>
        </w:rPr>
        <w:t>十</w:t>
      </w:r>
      <w:r>
        <w:rPr>
          <w:rFonts w:ascii="宋体" w:hAnsi="宋体"/>
          <w:b/>
        </w:rPr>
        <w:t>三</w:t>
      </w:r>
      <w:r>
        <w:rPr>
          <w:rFonts w:hint="eastAsia" w:ascii="宋体" w:hAnsi="宋体"/>
          <w:b/>
        </w:rPr>
        <w:t>、基金份额的非交易过户、冻结、解冻等其他业务</w:t>
      </w:r>
    </w:p>
    <w:p w14:paraId="17CCAA2E">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基金份额的登记机构可依据其业务规则，受理基金的非交易过户、冻结与解冻等业务，并收取一定的手续费用。</w:t>
      </w:r>
    </w:p>
    <w:p w14:paraId="21A963B4">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基金份额被冻结的，被冻结部分产生的权益一并冻结，被冻结部分份额仍然参与收益分配。法律法规或监管机构另有规定的除外。</w:t>
      </w:r>
    </w:p>
    <w:p w14:paraId="7A62C4AF">
      <w:pPr>
        <w:adjustRightInd w:val="0"/>
        <w:snapToGrid w:val="0"/>
        <w:spacing w:line="360" w:lineRule="auto"/>
        <w:ind w:firstLine="422" w:firstLineChars="200"/>
        <w:rPr>
          <w:rFonts w:ascii="宋体" w:hAnsi="宋体"/>
          <w:b/>
        </w:rPr>
      </w:pPr>
      <w:r>
        <w:rPr>
          <w:rFonts w:hint="eastAsia" w:ascii="宋体" w:hAnsi="宋体"/>
          <w:b/>
        </w:rPr>
        <w:t>十</w:t>
      </w:r>
      <w:r>
        <w:rPr>
          <w:rFonts w:ascii="宋体" w:hAnsi="宋体"/>
          <w:b/>
        </w:rPr>
        <w:t>四</w:t>
      </w:r>
      <w:r>
        <w:rPr>
          <w:rFonts w:hint="eastAsia" w:ascii="宋体" w:hAnsi="宋体"/>
          <w:b/>
        </w:rPr>
        <w:t>、联接基金的特殊申购</w:t>
      </w:r>
    </w:p>
    <w:p w14:paraId="3A2054AD">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若基金管理人推出以本基金为目标ETF的联接基金，本基金可根据实际情况需要向本基金的联接基金开通特殊申购，不收取申购费用。</w:t>
      </w:r>
    </w:p>
    <w:p w14:paraId="055D484B">
      <w:pPr>
        <w:adjustRightInd w:val="0"/>
        <w:snapToGrid w:val="0"/>
        <w:spacing w:line="360" w:lineRule="auto"/>
        <w:ind w:firstLine="422" w:firstLineChars="200"/>
        <w:rPr>
          <w:rFonts w:ascii="宋体" w:hAnsi="宋体"/>
          <w:b/>
        </w:rPr>
      </w:pPr>
      <w:r>
        <w:rPr>
          <w:rFonts w:hint="eastAsia" w:ascii="宋体" w:hAnsi="宋体"/>
          <w:b/>
        </w:rPr>
        <w:t>十</w:t>
      </w:r>
      <w:r>
        <w:rPr>
          <w:rFonts w:ascii="宋体" w:hAnsi="宋体"/>
          <w:b/>
        </w:rPr>
        <w:t>五</w:t>
      </w:r>
      <w:r>
        <w:rPr>
          <w:rFonts w:hint="eastAsia" w:ascii="宋体" w:hAnsi="宋体"/>
          <w:b/>
        </w:rPr>
        <w:t>、其他</w:t>
      </w:r>
    </w:p>
    <w:p w14:paraId="66AB17B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1、在不违反法律法规且对基金份额持有人利益无实质性不利影响的情况下，经履行相关程序后，基金管理人可开放集合申购。基金管理人有权制定集合申购业务的相关规则。</w:t>
      </w:r>
    </w:p>
    <w:p w14:paraId="4CBAE48F">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在条件允许时，基金管理人也可采取其他合理的申购方式，并于新的申购方式开始执行前予以公告。</w:t>
      </w:r>
    </w:p>
    <w:p w14:paraId="38DF2A8D">
      <w:pPr>
        <w:adjustRightInd w:val="0"/>
        <w:snapToGrid w:val="0"/>
        <w:spacing w:line="360" w:lineRule="auto"/>
        <w:ind w:firstLine="420" w:firstLineChars="200"/>
        <w:rPr>
          <w:rFonts w:asciiTheme="minorEastAsia" w:hAnsiTheme="minorEastAsia"/>
          <w:color w:val="0D0D0D" w:themeColor="text1" w:themeTint="F2"/>
          <w:kern w:val="0"/>
          <w14:textFill>
            <w14:solidFill>
              <w14:schemeClr w14:val="tx1">
                <w14:lumMod w14:val="95000"/>
                <w14:lumOff w14:val="5000"/>
              </w14:schemeClr>
            </w14:solidFill>
          </w14:textFill>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2、基金管理人指定的代理机构可依据法律法规和基金合同的规定开展其他服务，双方需签订书面委托代理协议。</w:t>
      </w:r>
    </w:p>
    <w:p w14:paraId="64702C93">
      <w:pPr>
        <w:adjustRightInd w:val="0"/>
        <w:snapToGrid w:val="0"/>
        <w:spacing w:line="360" w:lineRule="auto"/>
        <w:ind w:firstLine="422" w:firstLineChars="201"/>
        <w:rPr>
          <w:rFonts w:ascii="宋体" w:hAnsi="宋体" w:cs="Arial"/>
          <w:b/>
          <w:bCs/>
          <w:sz w:val="28"/>
          <w:szCs w:val="28"/>
        </w:rPr>
      </w:pPr>
      <w:r>
        <w:rPr>
          <w:rFonts w:hint="eastAsia" w:asciiTheme="minorEastAsia" w:hAnsiTheme="minorEastAsia"/>
          <w:color w:val="0D0D0D" w:themeColor="text1" w:themeTint="F2"/>
          <w:kern w:val="0"/>
          <w14:textFill>
            <w14:solidFill>
              <w14:schemeClr w14:val="tx1">
                <w14:lumMod w14:val="95000"/>
                <w14:lumOff w14:val="5000"/>
              </w14:schemeClr>
            </w14:solidFill>
          </w14:textFill>
        </w:rPr>
        <w:t>3、对于符合《特定机构投资者参与证券投资基金申购赎回业务指引》要求的特定机构投资者，基金管理人可在不违反法律法规且对基金份额持有人利益无实质性不利影响的情况下，安排专门的申购方式，并于新的申购方式开始执行前另行公告。</w:t>
      </w:r>
      <w:bookmarkEnd w:id="107"/>
      <w:bookmarkStart w:id="110" w:name="_Toc214873598"/>
    </w:p>
    <w:p w14:paraId="6731CD28">
      <w:pPr>
        <w:adjustRightInd w:val="0"/>
        <w:snapToGrid w:val="0"/>
        <w:spacing w:line="360" w:lineRule="auto"/>
        <w:ind w:firstLine="565" w:firstLineChars="201"/>
        <w:rPr>
          <w:rFonts w:ascii="宋体" w:hAnsi="宋体" w:cs="Arial"/>
          <w:b/>
          <w:bCs/>
          <w:sz w:val="28"/>
          <w:szCs w:val="28"/>
        </w:rPr>
        <w:sectPr>
          <w:footerReference r:id="rId29" w:type="default"/>
          <w:pgSz w:w="11906" w:h="16838"/>
          <w:pgMar w:top="1440" w:right="1800" w:bottom="1440" w:left="1800" w:header="851" w:footer="992" w:gutter="0"/>
          <w:pgNumType w:start="1"/>
          <w:cols w:space="720" w:num="1"/>
          <w:docGrid w:linePitch="312" w:charSpace="0"/>
        </w:sectPr>
      </w:pPr>
    </w:p>
    <w:p w14:paraId="29764E7E">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111" w:name="_Toc23411"/>
      <w:bookmarkStart w:id="112" w:name="_Toc91110279"/>
      <w:bookmarkStart w:id="113" w:name="_Toc8052749"/>
      <w:r>
        <w:rPr>
          <w:rFonts w:hint="eastAsia" w:ascii="宋体" w:hAnsi="宋体" w:eastAsia="宋体" w:cs="Arial"/>
          <w:kern w:val="0"/>
          <w:sz w:val="28"/>
          <w:szCs w:val="28"/>
        </w:rPr>
        <w:t>第十一部分  基金的投资</w:t>
      </w:r>
      <w:bookmarkEnd w:id="110"/>
      <w:bookmarkEnd w:id="111"/>
      <w:bookmarkEnd w:id="112"/>
      <w:bookmarkEnd w:id="113"/>
    </w:p>
    <w:p w14:paraId="3AAE004E">
      <w:pPr>
        <w:snapToGrid w:val="0"/>
        <w:spacing w:line="360" w:lineRule="auto"/>
        <w:ind w:firstLine="422" w:firstLineChars="200"/>
        <w:rPr>
          <w:rFonts w:ascii="宋体" w:hAnsi="宋体" w:cs="Arial"/>
          <w:b/>
          <w:bCs/>
        </w:rPr>
      </w:pPr>
      <w:bookmarkStart w:id="114" w:name="_Hlk95333597"/>
      <w:bookmarkStart w:id="115" w:name="_Hlk106303519"/>
      <w:r>
        <w:rPr>
          <w:rFonts w:ascii="宋体" w:hAnsi="宋体" w:cs="Arial"/>
          <w:b/>
          <w:bCs/>
        </w:rPr>
        <w:t>一、投资目标</w:t>
      </w:r>
    </w:p>
    <w:p w14:paraId="404E8395">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紧密跟踪标的指数，追求跟踪偏离度和跟踪误差最小化。本基金力争日均跟踪偏离度的绝对值不超过0.2%，年跟踪误差不超过2%。</w:t>
      </w:r>
    </w:p>
    <w:p w14:paraId="1F1ABD67">
      <w:pPr>
        <w:snapToGrid w:val="0"/>
        <w:spacing w:line="360" w:lineRule="auto"/>
        <w:ind w:firstLine="422" w:firstLineChars="200"/>
        <w:rPr>
          <w:rFonts w:ascii="宋体" w:hAnsi="宋体" w:cs="Arial"/>
          <w:b/>
          <w:bCs/>
        </w:rPr>
      </w:pPr>
      <w:r>
        <w:rPr>
          <w:rFonts w:ascii="宋体" w:hAnsi="宋体" w:cs="Arial"/>
          <w:b/>
          <w:bCs/>
        </w:rPr>
        <w:t>二、投资范围</w:t>
      </w:r>
    </w:p>
    <w:p w14:paraId="5FE0DCD3">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本基金主要投资于标的指数成份股和备选成份股（含存托凭证）。</w:t>
      </w:r>
    </w:p>
    <w:p w14:paraId="508484A3">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为更好地实现基金的投资目标，本基金可能会少量投资于依法发行上市的非成份股（包括创业板及其他经中国证监会核准或注册上市的股票和存托凭证）、债券（包括国债、金融债、地方政府债、政府支持债券、政府支持机构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06E12FF8">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本基金可根据法律法规的规定参与融资和转融通证券出借业务。</w:t>
      </w:r>
    </w:p>
    <w:p w14:paraId="07F9ECE7">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如法律法规或中国证监会以后允许基金投资其他品种，本基金管理人在履行适当程序后，可以将其纳入本基金的投资范围。</w:t>
      </w:r>
    </w:p>
    <w:p w14:paraId="1A02090D">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5B21F4DD">
      <w:pPr>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若法律法规的相关规定发生变更或监管机构允许，本基金管理人在履行适当程序后，可对上述资产配置比例进行调整。</w:t>
      </w:r>
    </w:p>
    <w:p w14:paraId="40BBA484">
      <w:pPr>
        <w:snapToGrid w:val="0"/>
        <w:spacing w:line="360" w:lineRule="auto"/>
        <w:ind w:firstLine="422" w:firstLineChars="200"/>
        <w:rPr>
          <w:rFonts w:ascii="宋体" w:hAnsi="宋体" w:cs="Arial"/>
          <w:b/>
          <w:bCs/>
        </w:rPr>
      </w:pPr>
      <w:r>
        <w:rPr>
          <w:rFonts w:hint="eastAsia" w:ascii="宋体" w:hAnsi="宋体" w:cs="Arial"/>
          <w:b/>
          <w:bCs/>
        </w:rPr>
        <w:t>三</w:t>
      </w:r>
      <w:r>
        <w:rPr>
          <w:rFonts w:ascii="宋体" w:hAnsi="宋体" w:cs="Arial"/>
          <w:b/>
          <w:bCs/>
        </w:rPr>
        <w:t>、投资策略</w:t>
      </w:r>
    </w:p>
    <w:p w14:paraId="79A33ACF">
      <w:pPr>
        <w:adjustRightInd w:val="0"/>
        <w:snapToGrid w:val="0"/>
        <w:spacing w:line="360" w:lineRule="auto"/>
        <w:ind w:firstLine="420" w:firstLineChars="200"/>
        <w:rPr>
          <w:rFonts w:ascii="宋体" w:hAnsi="宋体" w:cs="Arial"/>
          <w:bCs/>
          <w:kern w:val="0"/>
        </w:rPr>
      </w:pPr>
      <w:bookmarkStart w:id="116" w:name="_Toc212891567"/>
      <w:bookmarkStart w:id="117" w:name="_Toc149105517"/>
      <w:bookmarkStart w:id="118" w:name="_Toc148867251"/>
      <w:r>
        <w:rPr>
          <w:rFonts w:hint="eastAsia" w:ascii="宋体" w:hAnsi="宋体" w:cs="Arial"/>
          <w:bCs/>
          <w:kern w:val="0"/>
        </w:rPr>
        <w:t>1、组合复制策略</w:t>
      </w:r>
    </w:p>
    <w:p w14:paraId="061415C2">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w:t>
      </w:r>
    </w:p>
    <w:p w14:paraId="4B935F02">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在正常情况下，本基金力争控制投资组合的净值增长率与业绩比较基准之间的预期日均跟踪偏离度的绝对值小于0.2%，预期年化跟踪误差不超过2%。如因标的指数编制规则调整等其他原因，导致基金日均跟踪偏离度和跟踪误差变大，基金管理人应采取合理措施，避免日均跟踪偏离度和跟踪误差的进一步扩大。</w:t>
      </w:r>
    </w:p>
    <w:p w14:paraId="6FB0BE05">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如果标的指数成份股发生明显负面事件面临退市或违约风险，且指数编制机构暂未作出调整的，基金管理人应当按照基金份额持有人利益优先原则，履行内部决策程序后及时对相关成份股进行调整。</w:t>
      </w:r>
    </w:p>
    <w:p w14:paraId="6A76AE0A">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当指数编制方法变更、成份股发生变更、成份股权重由于自由流通量调整而发生变化、成份股派发现金股息、配股及增发、股票长期停牌、市场流动性不足等情况发生时，基金管理人将对投资组合进行优化，尽量降低跟踪误差。</w:t>
      </w:r>
    </w:p>
    <w:p w14:paraId="65FFA8F2">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2、债券（除可转换债券、可交换债券）投资策略</w:t>
      </w:r>
    </w:p>
    <w:p w14:paraId="1C013AA9">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本基金债券投资组合将着重考虑基金的流动性管理及策略性投资的需要进行配置。债券投资的目的是保证基金资产流动性，有效利用基金资产，提高基金资产的投资收益。</w:t>
      </w:r>
    </w:p>
    <w:p w14:paraId="76342AB3">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3、资产支持证券投资策略</w:t>
      </w:r>
    </w:p>
    <w:p w14:paraId="4A5715E7">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w:t>
      </w:r>
    </w:p>
    <w:p w14:paraId="09F028F2">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4、可转换债券、可交换债券投资策略</w:t>
      </w:r>
    </w:p>
    <w:p w14:paraId="5D5F8036">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w:t>
      </w:r>
    </w:p>
    <w:p w14:paraId="33C68F94">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w:t>
      </w:r>
    </w:p>
    <w:p w14:paraId="637EF32F">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5、金融衍生品投资策略</w:t>
      </w:r>
    </w:p>
    <w:p w14:paraId="18444AC9">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（1）股指期货交易策略</w:t>
      </w:r>
    </w:p>
    <w:p w14:paraId="0EF5CC67">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本基金将在风险可控的前提下，根据风险管理原则，以套期保值为目的，适度参与股指期货交易。本基金将根据对现货和期货市场的分析，充分考虑股指期货的风险收益特征进行股指期货交易，以改善投资组合的投资效果。</w:t>
      </w:r>
    </w:p>
    <w:p w14:paraId="06AF348F">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（2）股票期权投资策略</w:t>
      </w:r>
    </w:p>
    <w:p w14:paraId="0A7FFAB7">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本基金将按照风险管理的原则，以套期保值为主要目的参与股票期权交易。本基金将结合投资目标、比例限制、风险收益特征以及法律法规的相关限定和要求，确定参与股票期权交易的投资时机和投资比例。</w:t>
      </w:r>
    </w:p>
    <w:p w14:paraId="6AC1EAC3">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（3）国债期货交易策略</w:t>
      </w:r>
    </w:p>
    <w:p w14:paraId="2C582218">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本基金参与国债期货交易，以套期保值为目的，将根据风险管理的原则，充分考虑国债期货的流动性和风险收益特征，在风险可控的前提下，适度参与国债期货交易。</w:t>
      </w:r>
    </w:p>
    <w:p w14:paraId="4C20B1BC">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6、融资和转融通证券出借投资策略</w:t>
      </w:r>
    </w:p>
    <w:p w14:paraId="1D4F49EC">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本基金将在充分考虑风险和收益特征的基础上，审慎参与融资和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w:t>
      </w:r>
    </w:p>
    <w:p w14:paraId="05D3A74C">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7、存托凭证投资策略</w:t>
      </w:r>
    </w:p>
    <w:p w14:paraId="23C5C9CE">
      <w:pPr>
        <w:adjustRightInd w:val="0"/>
        <w:snapToGrid w:val="0"/>
        <w:spacing w:line="360" w:lineRule="auto"/>
        <w:ind w:firstLine="420" w:firstLineChars="200"/>
        <w:rPr>
          <w:rFonts w:ascii="宋体" w:hAnsi="宋体" w:cs="Arial"/>
          <w:bCs/>
          <w:kern w:val="0"/>
        </w:rPr>
      </w:pPr>
      <w:r>
        <w:rPr>
          <w:rFonts w:hint="eastAsia" w:ascii="宋体" w:hAnsi="宋体" w:cs="Arial"/>
          <w:bCs/>
          <w:kern w:val="0"/>
        </w:rPr>
        <w:t>本基金将根据本基金的投资目标和股票投资策略，基于对基础证券投资价值的深入研究判断，进行存托凭证的投资。</w:t>
      </w:r>
    </w:p>
    <w:p w14:paraId="75DBAA57">
      <w:pPr>
        <w:adjustRightInd w:val="0"/>
        <w:snapToGrid w:val="0"/>
        <w:spacing w:line="360" w:lineRule="auto"/>
        <w:ind w:firstLine="420" w:firstLineChars="200"/>
        <w:rPr>
          <w:rFonts w:ascii="宋体" w:hAnsi="宋体" w:cs="Arial"/>
          <w:b/>
          <w:kern w:val="0"/>
        </w:rPr>
      </w:pPr>
      <w:r>
        <w:rPr>
          <w:rFonts w:hint="eastAsia" w:ascii="宋体" w:hAnsi="宋体" w:cs="Arial"/>
          <w:bCs/>
          <w:kern w:val="0"/>
        </w:rPr>
        <w:t>未来，随着投资工具的发展和丰富，本基金可在不改变投资目标的前提下，在履行适当程序后，相应调整和更新相关投资策略，并在招募说明书更新中公告。</w:t>
      </w:r>
    </w:p>
    <w:p w14:paraId="0722C8E4">
      <w:pPr>
        <w:adjustRightInd w:val="0"/>
        <w:snapToGrid w:val="0"/>
        <w:spacing w:line="360" w:lineRule="auto"/>
        <w:ind w:firstLine="422" w:firstLineChars="200"/>
        <w:rPr>
          <w:rFonts w:ascii="宋体" w:hAnsi="宋体" w:cs="Arial"/>
          <w:b/>
          <w:kern w:val="0"/>
        </w:rPr>
      </w:pPr>
      <w:r>
        <w:rPr>
          <w:rFonts w:hint="eastAsia" w:ascii="宋体" w:hAnsi="宋体" w:cs="Arial"/>
          <w:b/>
          <w:kern w:val="0"/>
        </w:rPr>
        <w:t>四、投资管理流程</w:t>
      </w:r>
    </w:p>
    <w:p w14:paraId="5C817AEA">
      <w:pPr>
        <w:adjustRightInd w:val="0"/>
        <w:snapToGrid w:val="0"/>
        <w:spacing w:line="360" w:lineRule="auto"/>
        <w:ind w:firstLine="420" w:firstLineChars="200"/>
        <w:rPr>
          <w:rFonts w:ascii="宋体" w:hAnsi="宋体" w:cs="Arial"/>
          <w:kern w:val="0"/>
        </w:rPr>
      </w:pPr>
      <w:r>
        <w:rPr>
          <w:rFonts w:hint="eastAsia" w:ascii="宋体" w:hAnsi="宋体" w:cs="Arial"/>
          <w:kern w:val="0"/>
        </w:rPr>
        <w:t>1、投资决策依据</w:t>
      </w:r>
    </w:p>
    <w:p w14:paraId="6E5543AA">
      <w:pPr>
        <w:adjustRightInd w:val="0"/>
        <w:snapToGrid w:val="0"/>
        <w:spacing w:line="360" w:lineRule="auto"/>
        <w:ind w:firstLine="420" w:firstLineChars="200"/>
        <w:rPr>
          <w:rFonts w:ascii="宋体" w:hAnsi="宋体" w:cs="Arial"/>
          <w:kern w:val="0"/>
        </w:rPr>
      </w:pPr>
      <w:r>
        <w:rPr>
          <w:rFonts w:hint="eastAsia" w:ascii="宋体" w:hAnsi="宋体" w:cs="Arial"/>
          <w:kern w:val="0"/>
        </w:rPr>
        <w:t>有关法律法规、基金合同以及标的指数的相关规定是基金管理人运用基金财产的决策依据。</w:t>
      </w:r>
    </w:p>
    <w:p w14:paraId="5811B6BC">
      <w:pPr>
        <w:adjustRightInd w:val="0"/>
        <w:snapToGrid w:val="0"/>
        <w:spacing w:line="360" w:lineRule="auto"/>
        <w:ind w:firstLine="420" w:firstLineChars="200"/>
        <w:rPr>
          <w:rFonts w:ascii="宋体" w:hAnsi="宋体" w:cs="Arial"/>
          <w:kern w:val="0"/>
        </w:rPr>
      </w:pPr>
      <w:r>
        <w:rPr>
          <w:rFonts w:hint="eastAsia" w:ascii="宋体" w:hAnsi="宋体" w:cs="Arial"/>
          <w:kern w:val="0"/>
        </w:rPr>
        <w:t>2、投资管理体制</w:t>
      </w:r>
    </w:p>
    <w:p w14:paraId="3A9C2C61">
      <w:pPr>
        <w:adjustRightInd w:val="0"/>
        <w:snapToGrid w:val="0"/>
        <w:spacing w:line="360" w:lineRule="auto"/>
        <w:ind w:firstLine="420" w:firstLineChars="200"/>
        <w:rPr>
          <w:rFonts w:ascii="宋体" w:hAnsi="宋体" w:cs="Arial"/>
          <w:kern w:val="0"/>
        </w:rPr>
      </w:pPr>
      <w:r>
        <w:rPr>
          <w:rFonts w:hint="eastAsia" w:ascii="宋体" w:hAnsi="宋体" w:cs="Arial"/>
          <w:kern w:val="0"/>
        </w:rPr>
        <w:t>本基金管理人实行投资决策委员会领导下的基金经理负责制。投资决策委员会负责做出有关标的指数重大调整的应对决策、基金组合重大调整的决策，以及其他单项投资的重大决策。基金经理负责做出日常标的指数跟踪维护过程中的组合构建、组合调整及基金每日申购赎回清单的编制等决策。</w:t>
      </w:r>
    </w:p>
    <w:p w14:paraId="145F562A">
      <w:pPr>
        <w:adjustRightInd w:val="0"/>
        <w:snapToGrid w:val="0"/>
        <w:spacing w:line="360" w:lineRule="auto"/>
        <w:ind w:firstLine="420" w:firstLineChars="200"/>
        <w:rPr>
          <w:rFonts w:ascii="宋体" w:hAnsi="宋体" w:cs="Arial"/>
          <w:kern w:val="0"/>
        </w:rPr>
      </w:pPr>
      <w:r>
        <w:rPr>
          <w:rFonts w:hint="eastAsia" w:ascii="宋体" w:hAnsi="宋体" w:cs="Arial"/>
          <w:kern w:val="0"/>
        </w:rPr>
        <w:t>3、投资管理程序</w:t>
      </w:r>
    </w:p>
    <w:p w14:paraId="28794354">
      <w:pPr>
        <w:adjustRightInd w:val="0"/>
        <w:snapToGrid w:val="0"/>
        <w:spacing w:line="360" w:lineRule="auto"/>
        <w:ind w:firstLine="420" w:firstLineChars="200"/>
        <w:rPr>
          <w:rFonts w:ascii="宋体" w:hAnsi="宋体" w:cs="Arial"/>
          <w:kern w:val="0"/>
        </w:rPr>
      </w:pPr>
      <w:r>
        <w:rPr>
          <w:rFonts w:hint="eastAsia" w:ascii="宋体" w:hAnsi="宋体" w:cs="Arial"/>
          <w:kern w:val="0"/>
        </w:rPr>
        <w:t>研究、投资决策、组合构建、交易执行、投资绩效评估、组合监控与调整各环节的相互协调与配合，构成了本基金的投资管理程序。</w:t>
      </w:r>
    </w:p>
    <w:p w14:paraId="4F18BE96">
      <w:pPr>
        <w:adjustRightInd w:val="0"/>
        <w:snapToGrid w:val="0"/>
        <w:spacing w:line="360" w:lineRule="auto"/>
        <w:ind w:firstLine="420" w:firstLineChars="200"/>
        <w:rPr>
          <w:rFonts w:ascii="宋体" w:hAnsi="宋体" w:cs="Arial"/>
          <w:kern w:val="0"/>
        </w:rPr>
      </w:pPr>
      <w:r>
        <w:rPr>
          <w:rFonts w:hint="eastAsia" w:ascii="宋体" w:hAnsi="宋体" w:cs="Arial"/>
          <w:kern w:val="0"/>
        </w:rPr>
        <w:t>（1）研究支持。基金管理人的研究部依托公司整体研究平台，整合外部信息包括券商等外部研究力量的研究成果，开展标的指数跟踪、成份股公司行为等相关信息的搜集与分析、成份股流动性分析、误差及其归因分析等工作，并撰写相关的研究报告，作为本基金投资决策的重要依据。</w:t>
      </w:r>
    </w:p>
    <w:p w14:paraId="03546EDE">
      <w:pPr>
        <w:adjustRightInd w:val="0"/>
        <w:snapToGrid w:val="0"/>
        <w:spacing w:line="360" w:lineRule="auto"/>
        <w:ind w:firstLine="420" w:firstLineChars="200"/>
        <w:rPr>
          <w:rFonts w:ascii="宋体" w:hAnsi="宋体" w:cs="Arial"/>
          <w:kern w:val="0"/>
        </w:rPr>
      </w:pPr>
      <w:r>
        <w:rPr>
          <w:rFonts w:hint="eastAsia" w:ascii="宋体" w:hAnsi="宋体" w:cs="Arial"/>
          <w:kern w:val="0"/>
        </w:rPr>
        <w:t>（2）投资决策。基金管理人的投资决策委员会依据研究部提供的研究报告，定期或遇重大事件时临时召开投资决策委员会议，对相关事项做出决策。基金经理根据投资决策委员会的决议，做出基金投资管理的日常决策。</w:t>
      </w:r>
    </w:p>
    <w:p w14:paraId="592DDD1D">
      <w:pPr>
        <w:adjustRightInd w:val="0"/>
        <w:snapToGrid w:val="0"/>
        <w:spacing w:line="360" w:lineRule="auto"/>
        <w:ind w:firstLine="420" w:firstLineChars="200"/>
        <w:rPr>
          <w:rFonts w:ascii="宋体" w:hAnsi="宋体" w:cs="Arial"/>
          <w:kern w:val="0"/>
        </w:rPr>
      </w:pPr>
      <w:r>
        <w:rPr>
          <w:rFonts w:hint="eastAsia" w:ascii="宋体" w:hAnsi="宋体" w:cs="Arial"/>
          <w:kern w:val="0"/>
        </w:rPr>
        <w:t>（3）组合构建。结合研究报告，基金经理主要采取完全复制法，即按照标的指数的成份股组成及其权重构建基金股票投资组合，并根据标的指数成份股及其权重的变动而进行相应的调整。在追求跟踪误差和跟踪偏离度最小化的前提下，基金经理可采取适当的方法，提高投资效率，降低交易成本，控制投资风险。</w:t>
      </w:r>
    </w:p>
    <w:p w14:paraId="4F8890A8">
      <w:pPr>
        <w:adjustRightInd w:val="0"/>
        <w:snapToGrid w:val="0"/>
        <w:spacing w:line="360" w:lineRule="auto"/>
        <w:ind w:firstLine="420" w:firstLineChars="200"/>
        <w:rPr>
          <w:rFonts w:ascii="宋体" w:hAnsi="宋体" w:cs="Arial"/>
          <w:kern w:val="0"/>
        </w:rPr>
      </w:pPr>
      <w:r>
        <w:rPr>
          <w:rFonts w:hint="eastAsia" w:ascii="宋体" w:hAnsi="宋体" w:cs="Arial"/>
          <w:kern w:val="0"/>
        </w:rPr>
        <w:t>（4）交易执行。基金管理人的交易部负责本基金的具体交易执行，交易部同时履行一线监控的职责。</w:t>
      </w:r>
    </w:p>
    <w:p w14:paraId="452255D2">
      <w:pPr>
        <w:adjustRightInd w:val="0"/>
        <w:snapToGrid w:val="0"/>
        <w:spacing w:line="360" w:lineRule="auto"/>
        <w:ind w:firstLine="420" w:firstLineChars="200"/>
        <w:rPr>
          <w:rFonts w:ascii="宋体" w:hAnsi="宋体" w:cs="Arial"/>
          <w:kern w:val="0"/>
        </w:rPr>
      </w:pPr>
      <w:r>
        <w:rPr>
          <w:rFonts w:hint="eastAsia" w:ascii="宋体" w:hAnsi="宋体" w:cs="Arial"/>
          <w:kern w:val="0"/>
        </w:rPr>
        <w:t>（5）投资绩效评估。本基金管理人定期和不定期对本基金的投资绩效进行评估，并撰写相关的绩效评估报告，确认基金组合是否实现了投资预期，投资策略是否成功，并对基金组合误差的来源进行归因分析等。基金经理依据绩效评估报告总结或检讨以往的投资策略，如果需要，亦对投资组合进行相应的调整。</w:t>
      </w:r>
    </w:p>
    <w:p w14:paraId="51433C7E">
      <w:pPr>
        <w:adjustRightInd w:val="0"/>
        <w:snapToGrid w:val="0"/>
        <w:spacing w:line="360" w:lineRule="auto"/>
        <w:ind w:firstLine="420" w:firstLineChars="200"/>
        <w:rPr>
          <w:rFonts w:ascii="宋体" w:hAnsi="宋体" w:cs="Arial"/>
          <w:kern w:val="0"/>
        </w:rPr>
      </w:pPr>
      <w:r>
        <w:rPr>
          <w:rFonts w:hint="eastAsia" w:ascii="宋体" w:hAnsi="宋体" w:cs="Arial"/>
          <w:kern w:val="0"/>
        </w:rPr>
        <w:t>（6）组合监控与调整。基金经理根据标的指数的每日变动情况，结合成份股等的基本面情况、流动性状况、基金申购赎回的现金流量情况，以及基金投资绩效评估结果等，对基金投资组合进行动态监控和调整，密切跟踪标的指数。</w:t>
      </w:r>
    </w:p>
    <w:p w14:paraId="1B749A7F">
      <w:pPr>
        <w:adjustRightInd w:val="0"/>
        <w:snapToGrid w:val="0"/>
        <w:spacing w:line="360" w:lineRule="auto"/>
        <w:ind w:firstLine="420" w:firstLineChars="200"/>
        <w:rPr>
          <w:rFonts w:ascii="宋体" w:hAnsi="宋体" w:cs="Arial"/>
          <w:kern w:val="0"/>
        </w:rPr>
      </w:pPr>
      <w:r>
        <w:rPr>
          <w:rFonts w:hint="eastAsia" w:ascii="宋体" w:hAnsi="宋体" w:cs="Arial"/>
          <w:kern w:val="0"/>
        </w:rPr>
        <w:t>（7）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履行内部决策程序后对投资组合进行相应调整。</w:t>
      </w:r>
    </w:p>
    <w:p w14:paraId="6357C31D">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基金管理人在确保基金份额持有人利益的前提下，根据环境的变化和基金实际投资的需要，有权对上述投资程序做出调整，并将调整内容在基金招募说明书更新中予以公告。</w:t>
      </w:r>
    </w:p>
    <w:bookmarkEnd w:id="116"/>
    <w:bookmarkEnd w:id="117"/>
    <w:bookmarkEnd w:id="118"/>
    <w:p w14:paraId="38E52C97">
      <w:pPr>
        <w:tabs>
          <w:tab w:val="left" w:pos="3780"/>
        </w:tabs>
        <w:autoSpaceDE w:val="0"/>
        <w:autoSpaceDN w:val="0"/>
        <w:adjustRightInd w:val="0"/>
        <w:snapToGrid w:val="0"/>
        <w:spacing w:line="360" w:lineRule="auto"/>
        <w:ind w:firstLine="422" w:firstLineChars="200"/>
        <w:textAlignment w:val="bottom"/>
        <w:rPr>
          <w:rFonts w:ascii="宋体" w:hAnsi="宋体" w:cs="Arial"/>
          <w:b/>
          <w:bCs/>
        </w:rPr>
      </w:pPr>
      <w:bookmarkStart w:id="119" w:name="_Toc178159226"/>
      <w:bookmarkStart w:id="120" w:name="_Toc177529735"/>
      <w:bookmarkStart w:id="121" w:name="_Toc177351487"/>
      <w:bookmarkStart w:id="122" w:name="_Toc178159096"/>
      <w:bookmarkStart w:id="123" w:name="_Toc178408359"/>
      <w:r>
        <w:rPr>
          <w:rFonts w:hint="eastAsia" w:ascii="宋体" w:hAnsi="宋体" w:cs="Arial"/>
          <w:b/>
          <w:kern w:val="0"/>
        </w:rPr>
        <w:t>五</w:t>
      </w:r>
      <w:r>
        <w:rPr>
          <w:rFonts w:ascii="宋体" w:hAnsi="宋体" w:cs="Arial"/>
          <w:b/>
          <w:bCs/>
        </w:rPr>
        <w:t>、投资组合管理</w:t>
      </w:r>
    </w:p>
    <w:p w14:paraId="4AEC7CC3">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1、投资组合的构建</w:t>
      </w:r>
    </w:p>
    <w:p w14:paraId="6D7B31DC">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基金管理人构建基金投资组合的过程主要分为三个步骤：确定目标组合、制定建仓策略，以及逐步调整组合。</w:t>
      </w:r>
    </w:p>
    <w:p w14:paraId="2A34A9C7">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（1）确定目标组合。基金管理人主要采取完全复制法，即按照标的指数的成份股组成及其权重构建基金股票投资组合。</w:t>
      </w:r>
    </w:p>
    <w:p w14:paraId="4161FDA7">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（2）制定建仓策略。基金经理依据对标的指数成份股的流动性和交易成本等因素所做的分析，制定合理的建仓策略。</w:t>
      </w:r>
    </w:p>
    <w:p w14:paraId="674CB8A5">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（3）逐步调整组合。基金经理在规定时间内，采取适当的手段和措施，对实际投资组合进行动态调整，直至达到紧密跟踪标的指数的目标。</w:t>
      </w:r>
    </w:p>
    <w:p w14:paraId="05548F00">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本基金投资于标的指数成份股和备选成份股（含存托凭证）的资产比例不低于基金资产净值的90%。本基金将在基金合同生效之日起6个月内达到这一投资比例。此后，如因标的指数成份股调整、基金申购赎回带来现金等因素导致基金不符合这一投资比例的，基金管理人将在10个交易日内进行调整。</w:t>
      </w:r>
    </w:p>
    <w:p w14:paraId="17FEAC8C">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2、投资组合的日常管理</w:t>
      </w:r>
    </w:p>
    <w:p w14:paraId="202E3D85">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本基金投资组合的日常管理内容主要包括以下几个方面：</w:t>
      </w:r>
    </w:p>
    <w:p w14:paraId="28FAD5CF">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1）标的指数成份股公司行为信息的跟踪与分析。跟踪分析标的指数成份股公司行为等信息，如股本变化、分红、停牌、复牌，以及成份股公司其他重大信息，分析这些信息对指数的影响，进而分析是否需要对投资组合进行调整，为投资决策提供依据。</w:t>
      </w:r>
    </w:p>
    <w:p w14:paraId="39E92C68">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（2）标的指数的跟踪与分析。跟踪分析标的指数的调整等变化，确定标的指数的变化是否与预期相一致，分析是否存在差异及差异产生的原因，为投资决策提供依据。</w:t>
      </w:r>
    </w:p>
    <w:p w14:paraId="41597330">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（3）每日申购赎回情况的跟踪与分析。跟踪分析每日基金申购赎回信息，分析这些信息对投资组合的影响。</w:t>
      </w:r>
    </w:p>
    <w:p w14:paraId="1FA4D760">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（4）投资组合持有证券、现金头寸及流动性分析。基金经理跟踪分析每日基金实际投资组合与目标组合的差异及差异产生的原因，并对拟调整的成份股的流动性进行分析。</w:t>
      </w:r>
    </w:p>
    <w:p w14:paraId="11E736AC">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5）投资组合调整。使用数量化投资分析模型，寻找出将实际投资组合调整为所追求的目标组合的最优方案，确定组合交易计划；如标的指数成份股调整、成份股公司发生兼并、收购和重组等重大事件，由基金经理召集会议，决定基金的操作策略；进一步调整投资组合，达到所追求的目标组合的持仓结构。</w:t>
      </w:r>
    </w:p>
    <w:p w14:paraId="6E29322F">
      <w:pPr>
        <w:tabs>
          <w:tab w:val="left" w:pos="3780"/>
        </w:tabs>
        <w:autoSpaceDE w:val="0"/>
        <w:autoSpaceDN w:val="0"/>
        <w:adjustRightInd w:val="0"/>
        <w:snapToGrid w:val="0"/>
        <w:spacing w:line="360" w:lineRule="auto"/>
        <w:ind w:firstLine="420" w:firstLineChars="200"/>
        <w:textAlignment w:val="bottom"/>
        <w:rPr>
          <w:rFonts w:ascii="宋体" w:hAnsi="宋体" w:cs="Arial"/>
          <w:kern w:val="0"/>
        </w:rPr>
      </w:pPr>
      <w:r>
        <w:rPr>
          <w:rFonts w:hint="eastAsia" w:ascii="宋体" w:hAnsi="宋体" w:cs="Arial"/>
          <w:kern w:val="0"/>
        </w:rPr>
        <w:t>（6）基金每日申购赎回清单的制作。基金经理以T－1日标的指数成份股的构成或者实际持仓股票的构成及相应权重为基础，并考虑T日将发生的上市公司变动等情况，制作T日基金申购赎回清单并予以公告。</w:t>
      </w:r>
    </w:p>
    <w:p w14:paraId="3D771CC7">
      <w:pPr>
        <w:tabs>
          <w:tab w:val="left" w:pos="3780"/>
        </w:tabs>
        <w:autoSpaceDE w:val="0"/>
        <w:autoSpaceDN w:val="0"/>
        <w:adjustRightInd w:val="0"/>
        <w:snapToGrid w:val="0"/>
        <w:spacing w:line="360" w:lineRule="auto"/>
        <w:ind w:firstLine="422" w:firstLineChars="200"/>
        <w:textAlignment w:val="bottom"/>
        <w:rPr>
          <w:rFonts w:ascii="宋体" w:hAnsi="宋体" w:cs="Arial"/>
          <w:b/>
          <w:bCs/>
        </w:rPr>
      </w:pPr>
      <w:bookmarkStart w:id="124" w:name="_Hlk95333670"/>
      <w:r>
        <w:rPr>
          <w:rFonts w:hint="eastAsia" w:ascii="宋体" w:hAnsi="宋体" w:cs="Arial"/>
          <w:b/>
          <w:bCs/>
        </w:rPr>
        <w:t>六</w:t>
      </w:r>
      <w:r>
        <w:rPr>
          <w:rFonts w:ascii="宋体" w:hAnsi="宋体" w:cs="Arial"/>
          <w:b/>
          <w:bCs/>
        </w:rPr>
        <w:t>、</w:t>
      </w:r>
      <w:r>
        <w:rPr>
          <w:rFonts w:hint="eastAsia" w:ascii="宋体" w:hAnsi="宋体" w:cs="Arial"/>
          <w:b/>
          <w:bCs/>
        </w:rPr>
        <w:t>标的指数与业绩比较基准</w:t>
      </w:r>
    </w:p>
    <w:p w14:paraId="1D97C0C2">
      <w:pPr>
        <w:tabs>
          <w:tab w:val="left" w:pos="3780"/>
        </w:tabs>
        <w:autoSpaceDE w:val="0"/>
        <w:autoSpaceDN w:val="0"/>
        <w:adjustRightInd w:val="0"/>
        <w:snapToGrid w:val="0"/>
        <w:spacing w:line="360" w:lineRule="auto"/>
        <w:ind w:firstLine="420" w:firstLineChars="200"/>
        <w:textAlignment w:val="bottom"/>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本基金的标的指数：中证全指红利质量指数。</w:t>
      </w:r>
    </w:p>
    <w:p w14:paraId="61CA8A5F">
      <w:pPr>
        <w:tabs>
          <w:tab w:val="left" w:pos="3780"/>
        </w:tabs>
        <w:autoSpaceDE w:val="0"/>
        <w:autoSpaceDN w:val="0"/>
        <w:adjustRightInd w:val="0"/>
        <w:snapToGrid w:val="0"/>
        <w:spacing w:line="360" w:lineRule="auto"/>
        <w:ind w:firstLine="420" w:firstLineChars="200"/>
        <w:textAlignment w:val="bottom"/>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本基金的业绩比较基准为标的指数收益率，即中证全指红利质量指数收益率。</w:t>
      </w:r>
    </w:p>
    <w:p w14:paraId="322B4BAF">
      <w:pPr>
        <w:tabs>
          <w:tab w:val="left" w:pos="3780"/>
        </w:tabs>
        <w:autoSpaceDE w:val="0"/>
        <w:autoSpaceDN w:val="0"/>
        <w:adjustRightInd w:val="0"/>
        <w:snapToGrid w:val="0"/>
        <w:spacing w:line="360" w:lineRule="auto"/>
        <w:ind w:firstLine="420" w:firstLineChars="200"/>
        <w:textAlignment w:val="bottom"/>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1、业绩比较基准设定的原因</w:t>
      </w:r>
    </w:p>
    <w:p w14:paraId="42034500">
      <w:pPr>
        <w:tabs>
          <w:tab w:val="left" w:pos="3780"/>
        </w:tabs>
        <w:autoSpaceDE w:val="0"/>
        <w:autoSpaceDN w:val="0"/>
        <w:adjustRightInd w:val="0"/>
        <w:snapToGrid w:val="0"/>
        <w:spacing w:line="360" w:lineRule="auto"/>
        <w:ind w:firstLine="420" w:firstLineChars="200"/>
        <w:textAlignment w:val="bottom"/>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为股票型ETF,主要采用完全复制法跟踪标的指数，以“紧密跟踪标的指数，追求跟踪偏离度和跟踪误差最小化。本基金力争日均跟踪偏离度的绝对值不超过0.2%，年跟踪误差不超过2%。”作为投资目标，在投资中将不低于基金资产净值90%的资产投资于标的指数成份股及备选成份股（含存托凭证）。本基金的标的指数为中证全指红利质量指数，相应选取中证全指红利质量指数作为基准要素，同时将中证全指红利质量指数的基准要素权重设置为100%。</w:t>
      </w:r>
    </w:p>
    <w:p w14:paraId="127AF555">
      <w:pPr>
        <w:tabs>
          <w:tab w:val="left" w:pos="3780"/>
        </w:tabs>
        <w:autoSpaceDE w:val="0"/>
        <w:autoSpaceDN w:val="0"/>
        <w:adjustRightInd w:val="0"/>
        <w:snapToGrid w:val="0"/>
        <w:spacing w:line="360" w:lineRule="auto"/>
        <w:ind w:firstLine="420" w:firstLineChars="200"/>
        <w:textAlignment w:val="bottom"/>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综上，本基金选取的业绩比较基准与基金投资目标、投资范围、投资策略、投资比例限制相匹配。</w:t>
      </w:r>
    </w:p>
    <w:p w14:paraId="122279AD">
      <w:pPr>
        <w:tabs>
          <w:tab w:val="left" w:pos="3780"/>
        </w:tabs>
        <w:autoSpaceDE w:val="0"/>
        <w:autoSpaceDN w:val="0"/>
        <w:adjustRightInd w:val="0"/>
        <w:snapToGrid w:val="0"/>
        <w:spacing w:line="360" w:lineRule="auto"/>
        <w:ind w:firstLine="420" w:firstLineChars="200"/>
        <w:textAlignment w:val="bottom"/>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2、业绩比较基准要素的基本信息</w:t>
      </w:r>
    </w:p>
    <w:p w14:paraId="4FA29360">
      <w:pPr>
        <w:tabs>
          <w:tab w:val="left" w:pos="3780"/>
        </w:tabs>
        <w:autoSpaceDE w:val="0"/>
        <w:autoSpaceDN w:val="0"/>
        <w:adjustRightInd w:val="0"/>
        <w:snapToGrid w:val="0"/>
        <w:spacing w:line="360" w:lineRule="auto"/>
        <w:ind w:firstLine="420" w:firstLineChars="200"/>
        <w:textAlignment w:val="bottom"/>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中证全指红利质量指数由中证指数有限公司编制发布，指数代码为932315，指数具体信息详见中证指数有限公司网站，网址：www.csindex.com.cn。</w:t>
      </w:r>
    </w:p>
    <w:p w14:paraId="2AFCA630">
      <w:pPr>
        <w:tabs>
          <w:tab w:val="left" w:pos="3780"/>
        </w:tabs>
        <w:autoSpaceDE w:val="0"/>
        <w:autoSpaceDN w:val="0"/>
        <w:adjustRightInd w:val="0"/>
        <w:snapToGrid w:val="0"/>
        <w:spacing w:line="360" w:lineRule="auto"/>
        <w:ind w:firstLine="420" w:firstLineChars="200"/>
        <w:textAlignment w:val="bottom"/>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3、业绩比较基准的计算方法</w:t>
      </w:r>
    </w:p>
    <w:p w14:paraId="398050E3">
      <w:pPr>
        <w:tabs>
          <w:tab w:val="left" w:pos="3780"/>
        </w:tabs>
        <w:autoSpaceDE w:val="0"/>
        <w:autoSpaceDN w:val="0"/>
        <w:adjustRightInd w:val="0"/>
        <w:snapToGrid w:val="0"/>
        <w:spacing w:line="360" w:lineRule="auto"/>
        <w:ind w:firstLine="420" w:firstLineChars="200"/>
        <w:textAlignment w:val="bottom"/>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本基金业绩比较基准收益率的计算方法以每日收益率为基础，以时间加权为计算原则。</w:t>
      </w:r>
    </w:p>
    <w:p w14:paraId="0AABD8F4">
      <w:pPr>
        <w:tabs>
          <w:tab w:val="left" w:pos="3780"/>
        </w:tabs>
        <w:autoSpaceDE w:val="0"/>
        <w:autoSpaceDN w:val="0"/>
        <w:adjustRightInd w:val="0"/>
        <w:snapToGrid w:val="0"/>
        <w:spacing w:line="360" w:lineRule="auto"/>
        <w:ind w:firstLine="420" w:firstLineChars="200"/>
        <w:textAlignment w:val="bottom"/>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4、管理投资偏离业绩比较基准的定性或定量方法</w:t>
      </w:r>
    </w:p>
    <w:p w14:paraId="7DAEBCDD">
      <w:pPr>
        <w:tabs>
          <w:tab w:val="left" w:pos="3780"/>
        </w:tabs>
        <w:autoSpaceDE w:val="0"/>
        <w:autoSpaceDN w:val="0"/>
        <w:adjustRightInd w:val="0"/>
        <w:snapToGrid w:val="0"/>
        <w:spacing w:line="360" w:lineRule="auto"/>
        <w:ind w:firstLine="420" w:firstLineChars="200"/>
        <w:textAlignment w:val="bottom"/>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主要采用完全复制法，即按照标的指数成份股及其权重构建基金的股票投资组合，并根据标的指数成份股及其权重的变动对股票投资组合进行相应地调整。在因特殊情形导致基金无法完全投资于标的指数成份股时，本基金可采取包括成份股替代策略在内的其他指数投资技术适当调整基金投资组合，以达到紧密跟踪标的指数的目的。本基金力争控制投资组合的净值增长率与业绩比较基准之间的预期日均跟踪偏离度的绝对值小于0.2%，预期年化跟踪误差不超过2%。如因标的指数编制规则调整或其他因素导致跟踪误差超过上述范围的，本基金将采取合理措施避免跟踪误差过大。</w:t>
      </w:r>
    </w:p>
    <w:p w14:paraId="33905B47">
      <w:pPr>
        <w:tabs>
          <w:tab w:val="left" w:pos="3780"/>
        </w:tabs>
        <w:autoSpaceDE w:val="0"/>
        <w:autoSpaceDN w:val="0"/>
        <w:adjustRightInd w:val="0"/>
        <w:snapToGrid w:val="0"/>
        <w:spacing w:line="360" w:lineRule="auto"/>
        <w:ind w:firstLine="420" w:firstLineChars="200"/>
        <w:textAlignment w:val="bottom"/>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5、未来可能变更业绩比较基准的情况和程序</w:t>
      </w:r>
    </w:p>
    <w:p w14:paraId="440A8956">
      <w:pPr>
        <w:tabs>
          <w:tab w:val="left" w:pos="3780"/>
        </w:tabs>
        <w:autoSpaceDE w:val="0"/>
        <w:autoSpaceDN w:val="0"/>
        <w:adjustRightInd w:val="0"/>
        <w:snapToGrid w:val="0"/>
        <w:spacing w:line="360" w:lineRule="auto"/>
        <w:ind w:firstLine="420" w:firstLineChars="200"/>
        <w:textAlignment w:val="bottom"/>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若本基金调整业绩比较基准的要素权重，本基金将根据法律法规、中国证监会的规定和基金合同约定履行相关程序。</w:t>
      </w:r>
    </w:p>
    <w:p w14:paraId="63437A36">
      <w:pPr>
        <w:tabs>
          <w:tab w:val="left" w:pos="3780"/>
        </w:tabs>
        <w:autoSpaceDE w:val="0"/>
        <w:autoSpaceDN w:val="0"/>
        <w:adjustRightInd w:val="0"/>
        <w:snapToGrid w:val="0"/>
        <w:spacing w:line="360" w:lineRule="auto"/>
        <w:ind w:firstLine="420" w:firstLineChars="200"/>
        <w:textAlignment w:val="bottom"/>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转换运作方式、与其他基金合并或者终止基金合同等，并在6个月内召集基金份额持有人大会。</w:t>
      </w:r>
    </w:p>
    <w:p w14:paraId="2EB45EE2">
      <w:pPr>
        <w:tabs>
          <w:tab w:val="left" w:pos="3780"/>
        </w:tabs>
        <w:autoSpaceDE w:val="0"/>
        <w:autoSpaceDN w:val="0"/>
        <w:adjustRightInd w:val="0"/>
        <w:snapToGrid w:val="0"/>
        <w:spacing w:line="360" w:lineRule="auto"/>
        <w:ind w:firstLine="420" w:firstLineChars="200"/>
        <w:textAlignment w:val="bottom"/>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自指数编制机构停止标的指数的编制及发布至解决方案确定期间，基金管理人应按照指数编制机构提供的最近一个交易日的指数信息遵循基金份额持有人利益优先原则维持基金投资运作。</w:t>
      </w:r>
    </w:p>
    <w:p w14:paraId="58A8C1D7">
      <w:pPr>
        <w:tabs>
          <w:tab w:val="left" w:pos="3780"/>
        </w:tabs>
        <w:autoSpaceDE w:val="0"/>
        <w:autoSpaceDN w:val="0"/>
        <w:adjustRightInd w:val="0"/>
        <w:snapToGrid w:val="0"/>
        <w:spacing w:line="360" w:lineRule="auto"/>
        <w:ind w:firstLine="420" w:firstLineChars="200"/>
        <w:textAlignment w:val="bottom"/>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法律法规或监管机构另有规定的，从其规定。</w:t>
      </w:r>
    </w:p>
    <w:p w14:paraId="5D2148B8">
      <w:pPr>
        <w:tabs>
          <w:tab w:val="left" w:pos="3780"/>
        </w:tabs>
        <w:autoSpaceDE w:val="0"/>
        <w:autoSpaceDN w:val="0"/>
        <w:adjustRightInd w:val="0"/>
        <w:snapToGrid w:val="0"/>
        <w:spacing w:line="360" w:lineRule="auto"/>
        <w:ind w:firstLine="422" w:firstLineChars="200"/>
        <w:textAlignment w:val="bottom"/>
        <w:rPr>
          <w:rFonts w:ascii="宋体" w:hAnsi="宋体" w:cs="Arial"/>
          <w:b/>
          <w:bCs/>
        </w:rPr>
      </w:pPr>
      <w:r>
        <w:rPr>
          <w:rFonts w:hint="eastAsia" w:ascii="宋体" w:hAnsi="宋体" w:cs="Arial"/>
          <w:b/>
          <w:bCs/>
        </w:rPr>
        <w:t>七</w:t>
      </w:r>
      <w:r>
        <w:rPr>
          <w:rFonts w:ascii="宋体" w:hAnsi="宋体" w:cs="Arial"/>
          <w:b/>
          <w:bCs/>
        </w:rPr>
        <w:t>、风险收益特征</w:t>
      </w:r>
    </w:p>
    <w:p w14:paraId="60EF9F1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本基金属于股票型基金，其预期收益及预期风险水平高于混合型基金、债券型基金与货币市场基金。</w:t>
      </w:r>
    </w:p>
    <w:p w14:paraId="63B75D45">
      <w:pPr>
        <w:tabs>
          <w:tab w:val="left" w:pos="3780"/>
        </w:tabs>
        <w:autoSpaceDE w:val="0"/>
        <w:autoSpaceDN w:val="0"/>
        <w:adjustRightInd w:val="0"/>
        <w:snapToGrid w:val="0"/>
        <w:spacing w:line="360" w:lineRule="auto"/>
        <w:ind w:firstLine="420" w:firstLineChars="200"/>
        <w:textAlignment w:val="bottom"/>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本基金为被动式投资的股票型指数基金，跟踪中证全指红利质量指数，其风险收益特征与标的指数所表征的市场组合的风险收益特征相似。</w:t>
      </w:r>
      <w:bookmarkEnd w:id="124"/>
    </w:p>
    <w:p w14:paraId="0C81FC15">
      <w:pPr>
        <w:tabs>
          <w:tab w:val="left" w:pos="3780"/>
        </w:tabs>
        <w:autoSpaceDE w:val="0"/>
        <w:autoSpaceDN w:val="0"/>
        <w:adjustRightInd w:val="0"/>
        <w:snapToGrid w:val="0"/>
        <w:spacing w:line="360" w:lineRule="auto"/>
        <w:ind w:firstLine="422" w:firstLineChars="200"/>
        <w:textAlignment w:val="bottom"/>
        <w:rPr>
          <w:rFonts w:ascii="宋体" w:hAnsi="宋体" w:cs="Arial"/>
          <w:b/>
          <w:bCs/>
        </w:rPr>
      </w:pPr>
      <w:r>
        <w:rPr>
          <w:rFonts w:hint="eastAsia" w:ascii="宋体" w:hAnsi="宋体" w:cs="Arial"/>
          <w:b/>
          <w:bCs/>
        </w:rPr>
        <w:t>八、</w:t>
      </w:r>
      <w:r>
        <w:rPr>
          <w:rFonts w:ascii="宋体" w:hAnsi="宋体" w:cs="Arial"/>
          <w:b/>
          <w:bCs/>
        </w:rPr>
        <w:t>投资限制与禁止行为</w:t>
      </w:r>
    </w:p>
    <w:p w14:paraId="71B0673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1、组合限制</w:t>
      </w:r>
    </w:p>
    <w:p w14:paraId="17740AD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基金的投资组合应遵循以下限制：</w:t>
      </w:r>
    </w:p>
    <w:p w14:paraId="59D17329">
      <w:pPr>
        <w:numPr>
          <w:ilvl w:val="0"/>
          <w:numId w:val="4"/>
        </w:num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本基金投资于标的指数成份股和备选成份股（含存托凭证）的资产比例不低于基金资产净值的90%，且不低于非现金基金资产的80%；</w:t>
      </w:r>
    </w:p>
    <w:p w14:paraId="533BD28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（2）本基金每个交易日日终在扣除股指期货、股票期权和国债期货合约需缴纳的交易保证金后，应当保持不低于交易保证金一倍的现金，其中现金不包括结算备付金、存出保证金和应收申购款等；</w:t>
      </w:r>
    </w:p>
    <w:p w14:paraId="390918D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（3）本基金持有的全部资产支持证券，其市值不得超过基金资产净值的20％；</w:t>
      </w:r>
    </w:p>
    <w:p w14:paraId="2D0B54C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（4）本基金投资于同一原始权益人的各类资产支持证券的比例，不得超过基金资产净值的10％；</w:t>
      </w:r>
    </w:p>
    <w:p w14:paraId="26C08AF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（5）本基金持有的同一(指同一信用级别)资产支持证券的比例，不得超过该资产支持证券规模的10％；</w:t>
      </w:r>
    </w:p>
    <w:p w14:paraId="439F3D4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（6）本基金管理人管理的全部基金投资于同一原始权益人的各类资产支持证券，不得超过其各类资产支持证券合计规模的10％；</w:t>
      </w:r>
    </w:p>
    <w:p w14:paraId="4EFEC50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（7）本基金应投资于信用级别评级为BBB以上(含BBB)的资产支持证券。基金持有资产支持证券期间，如果其信用等级下降、不再符合投资标准，应在评级报告发布之日起3个月内予以全部卖出；</w:t>
      </w:r>
    </w:p>
    <w:p w14:paraId="1EDA720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（8）基金财产参与股票发行申购，本基金所申报的金额不超过本基金的总资产，本基金所申报的股票数量不超过拟发行股票公司本次发行股票的总量；</w:t>
      </w:r>
    </w:p>
    <w:p w14:paraId="3D54EBA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（9）本基金资产总值不得超过基金资产净值的140%；</w:t>
      </w:r>
    </w:p>
    <w:p w14:paraId="7DE23F1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（10）本基金参与融资的，在任何交易日日终，本基金持有的融资买入股票与其他有价证券市值之和，不得超过基金资产净值的95%；</w:t>
      </w:r>
    </w:p>
    <w:p w14:paraId="6B9B16C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（11）本基金参与转融通证券出借交易应当符合以下要求：</w:t>
      </w:r>
    </w:p>
    <w:p w14:paraId="37C54D1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1）出借证券资产不得超过基金资产净值的30%，出借期限在10个交易日以上的出借证券应纳入《流动性风险管理规定》所述流动性受限证券的范围；</w:t>
      </w:r>
    </w:p>
    <w:p w14:paraId="272A8CB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2）参与出借业务的单只证券不得超过基金持有该证券总量的30%；</w:t>
      </w:r>
    </w:p>
    <w:p w14:paraId="26655F3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3）最近6个月内日均基金资产净值不得低于2亿元；</w:t>
      </w:r>
    </w:p>
    <w:p w14:paraId="1A036C5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4）证券出借的平均剩余期限不得超过30天，平均剩余期限按照市值加权平均计算；</w:t>
      </w:r>
    </w:p>
    <w:p w14:paraId="105F525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因证券市场波动、上市公司合并、基金规模变动等基金管理人之外的因素致使基金投资不符合上述规定的，基金管理人不得新增出借业务；</w:t>
      </w:r>
    </w:p>
    <w:p w14:paraId="33E7AC0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（12）本基金参与股指期货、国债期货交易的，应当依据下列标准建构组合：</w:t>
      </w:r>
    </w:p>
    <w:p w14:paraId="59C048A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1）在任何交易日日终，持有的买入股指期货合约价值，不得超过基金资产净值的10%；在任何交易日日终，持有的买入国债期货合约价值，不得超过基金资产净值的15%；</w:t>
      </w:r>
    </w:p>
    <w:p w14:paraId="40AF6DD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在任何交易日日终，持有的买入期货合约价值与有价证券市值之和，不得超过基金资产净值的100%，其中，有价证券指股票、债券（不含到期日在一年以内的政府债券）、资产支持证券、买入返售金融资产（不含质押式回购）等；</w:t>
      </w:r>
    </w:p>
    <w:p w14:paraId="25163FD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3）在任何交易日日终，持有的卖出股指期货合约价值不得超过基金持有的股票总市值的20%；在任何交易日日终，持有的卖出国债期货合约价值不得超过基金持有的债券总市值的30%；</w:t>
      </w:r>
    </w:p>
    <w:p w14:paraId="619B769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在任何交易日内交易（不包括平仓）的股指期货合约的成交金额不得超过上一交易日基金资产净值的20%；在任何交易日内交易（不包括平仓）的国债期货合约的成交金额不得超过上一交易日基金资产净值的30%；</w:t>
      </w:r>
    </w:p>
    <w:p w14:paraId="242253A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本基金所持有的股票市值和买入、卖出股指期货合约价值，合计（轧差计算）应当符合基金合同关于股票投资比例有关约定；本基金所持有的债券（不含到期日在一年以内的政府债券）市值和买入、卖出国债期货合约价值，合计（轧差计算）应当符合基金合同关于债券投资比例的有关约定；</w:t>
      </w:r>
    </w:p>
    <w:p w14:paraId="53EF253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（13）本基金投资股票期权应当符合以下要求：</w:t>
      </w:r>
    </w:p>
    <w:p w14:paraId="1873DE7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w:t>
      </w:r>
    </w:p>
    <w:p w14:paraId="302A3E2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（14）本基金投资流通受限证券，基金管理人应制订严格的投资决策流程和风险控制制度，防范流动性风险、法律风险和操作风险等各种风险；</w:t>
      </w:r>
    </w:p>
    <w:p w14:paraId="5F9ECCC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15）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6A230F7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（16）本基金与私募类证券资管产品及中国证监会认定的其他主体为交易对手开展逆回购交易的，可接受质押品的资质要求应当与基金合同约定的投资范围保持一致；</w:t>
      </w:r>
    </w:p>
    <w:p w14:paraId="5E1516E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（17）本基金投资存托凭证的比例限制依照境内上市交易的股票执行，与境内上市交易的股票合并计算；</w:t>
      </w:r>
    </w:p>
    <w:p w14:paraId="6A1C917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（18）法律法规及中国证监会规定的和《基金合同》约定的其他投资限制。</w:t>
      </w:r>
    </w:p>
    <w:p w14:paraId="6505F54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除第（2）、（7）、（11）、（15）、（16）条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14:paraId="30A047B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0FED036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法律法规或监管部门取消或调整上述限制，如适用于本基金，基金管理人在与基金托管人协商一致并履行适当程序后，则本基金投资不再受相关限制或按照调整后的规定执行。</w:t>
      </w:r>
    </w:p>
    <w:p w14:paraId="12A8C69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2、禁止行为</w:t>
      </w:r>
    </w:p>
    <w:p w14:paraId="6FD824F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为维护基金份额持有人的合法权益，基金财产不得用于下列投资或者活动：</w:t>
      </w:r>
    </w:p>
    <w:p w14:paraId="520FE15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（1）承销证券；</w:t>
      </w:r>
    </w:p>
    <w:p w14:paraId="4644A1F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（2）违反规定向他人贷款或者提供担保；</w:t>
      </w:r>
    </w:p>
    <w:p w14:paraId="5205848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（3）从事承担无限责任的投资；</w:t>
      </w:r>
    </w:p>
    <w:p w14:paraId="38B8F63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（4）买卖其他基金份额，但是中国证监会另有规定的除外；</w:t>
      </w:r>
    </w:p>
    <w:p w14:paraId="2AC9B1E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（5）向其基金管理人、基金托管人出资；</w:t>
      </w:r>
    </w:p>
    <w:p w14:paraId="16B9FD2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（6）从事内幕交易、操纵证券交易价格及其他不正当的证券交易活动；</w:t>
      </w:r>
    </w:p>
    <w:p w14:paraId="783170A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（7）法律、行政法规和中国证监会规定禁止的其他活动。</w:t>
      </w:r>
    </w:p>
    <w:p w14:paraId="1BBC567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14:paraId="234E074C">
      <w:pPr>
        <w:tabs>
          <w:tab w:val="left" w:pos="3780"/>
        </w:tabs>
        <w:autoSpaceDE w:val="0"/>
        <w:autoSpaceDN w:val="0"/>
        <w:adjustRightInd w:val="0"/>
        <w:snapToGrid w:val="0"/>
        <w:spacing w:line="360" w:lineRule="auto"/>
        <w:ind w:firstLine="420" w:firstLineChars="200"/>
        <w:textAlignment w:val="bottom"/>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法律、行政法规或监管部门取消或调整上述限制，如适用于本基金，基金管理人在履行适当程序后，则本基金投资不再受相关限制或按照调整后的规定执行。</w:t>
      </w:r>
    </w:p>
    <w:p w14:paraId="037AAFF3">
      <w:pPr>
        <w:tabs>
          <w:tab w:val="left" w:pos="3780"/>
        </w:tabs>
        <w:autoSpaceDE w:val="0"/>
        <w:autoSpaceDN w:val="0"/>
        <w:adjustRightInd w:val="0"/>
        <w:snapToGrid w:val="0"/>
        <w:spacing w:line="360" w:lineRule="auto"/>
        <w:ind w:firstLine="422" w:firstLineChars="200"/>
        <w:textAlignment w:val="bottom"/>
        <w:rPr>
          <w:rFonts w:ascii="宋体" w:hAnsi="宋体" w:cs="Arial"/>
          <w:b/>
          <w:bCs/>
        </w:rPr>
      </w:pPr>
      <w:r>
        <w:rPr>
          <w:rFonts w:hint="eastAsia" w:ascii="宋体" w:hAnsi="宋体" w:cs="Arial"/>
          <w:b/>
          <w:bCs/>
        </w:rPr>
        <w:t>九</w:t>
      </w:r>
      <w:r>
        <w:rPr>
          <w:rFonts w:ascii="宋体" w:hAnsi="宋体" w:cs="Arial"/>
          <w:b/>
          <w:bCs/>
        </w:rPr>
        <w:t>、</w:t>
      </w:r>
      <w:r>
        <w:rPr>
          <w:rFonts w:hint="eastAsia" w:ascii="宋体" w:hAnsi="宋体" w:cs="Arial"/>
          <w:b/>
          <w:bCs/>
        </w:rPr>
        <w:t>基金管理人代表基金行使股东或债权人权利的处理原则及方法</w:t>
      </w:r>
    </w:p>
    <w:bookmarkEnd w:id="119"/>
    <w:bookmarkEnd w:id="120"/>
    <w:bookmarkEnd w:id="121"/>
    <w:bookmarkEnd w:id="122"/>
    <w:bookmarkEnd w:id="123"/>
    <w:p w14:paraId="14BCBFB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bookmarkStart w:id="125" w:name="_Toc214873599"/>
      <w:bookmarkStart w:id="126" w:name="_Toc8052750"/>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1、基金管理人按照国家有关规定代表基金独立行使股东或债权人权利，保护基金份额持有人的利益； </w:t>
      </w:r>
    </w:p>
    <w:p w14:paraId="281493E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2、不谋求对上市公司的控股； </w:t>
      </w:r>
    </w:p>
    <w:p w14:paraId="387B8B8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 xml:space="preserve">3、有利于基金财产的安全与增值； </w:t>
      </w:r>
    </w:p>
    <w:p w14:paraId="76A51FE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4、不通过关联交易为自身、雇员、授权代理人或任何存在利害关系的第三人牟取任何不当利益。</w:t>
      </w:r>
      <w:bookmarkEnd w:id="114"/>
    </w:p>
    <w:bookmarkEnd w:id="115"/>
    <w:p w14:paraId="78DFBEEA">
      <w:pPr>
        <w:rPr>
          <w:rFonts w:hAnsi="宋体" w:cs="Arial"/>
          <w:b/>
          <w:bCs/>
          <w:sz w:val="28"/>
          <w:szCs w:val="28"/>
        </w:rPr>
        <w:sectPr>
          <w:footerReference r:id="rId30" w:type="default"/>
          <w:pgSz w:w="11906" w:h="16838"/>
          <w:pgMar w:top="1440" w:right="1800" w:bottom="1440" w:left="1800" w:header="851" w:footer="992" w:gutter="0"/>
          <w:pgNumType w:start="1"/>
          <w:cols w:space="720" w:num="1"/>
          <w:docGrid w:linePitch="312" w:charSpace="0"/>
        </w:sectPr>
      </w:pPr>
      <w:bookmarkStart w:id="127" w:name="_Toc91110280"/>
      <w:bookmarkStart w:id="128" w:name="_Toc29639"/>
    </w:p>
    <w:p w14:paraId="55EB990B">
      <w:pPr>
        <w:pStyle w:val="2"/>
        <w:snapToGrid w:val="0"/>
        <w:spacing w:before="0" w:after="0" w:line="360" w:lineRule="auto"/>
        <w:ind w:firstLine="2530" w:firstLineChars="900"/>
        <w:rPr>
          <w:rFonts w:hAnsi="宋体" w:eastAsia="宋体" w:cs="Arial"/>
          <w:sz w:val="28"/>
          <w:szCs w:val="28"/>
        </w:rPr>
      </w:pPr>
      <w:r>
        <w:rPr>
          <w:rFonts w:hAnsi="宋体" w:eastAsia="宋体" w:cs="Arial"/>
          <w:sz w:val="28"/>
          <w:szCs w:val="28"/>
        </w:rPr>
        <w:t>第十</w:t>
      </w:r>
      <w:r>
        <w:rPr>
          <w:rFonts w:hint="eastAsia" w:hAnsi="宋体" w:eastAsia="宋体" w:cs="Arial"/>
          <w:sz w:val="28"/>
          <w:szCs w:val="28"/>
        </w:rPr>
        <w:t>二</w:t>
      </w:r>
      <w:r>
        <w:rPr>
          <w:rFonts w:hAnsi="宋体" w:eastAsia="宋体" w:cs="Arial"/>
          <w:sz w:val="28"/>
          <w:szCs w:val="28"/>
        </w:rPr>
        <w:t>部分  基金的财产</w:t>
      </w:r>
      <w:bookmarkEnd w:id="125"/>
      <w:bookmarkEnd w:id="126"/>
      <w:bookmarkEnd w:id="127"/>
      <w:bookmarkEnd w:id="128"/>
    </w:p>
    <w:p w14:paraId="4A5B19DB">
      <w:pPr>
        <w:spacing w:line="360" w:lineRule="auto"/>
        <w:rPr>
          <w:rFonts w:ascii="宋体" w:hAnsi="宋体"/>
          <w:b/>
          <w:bCs/>
        </w:rPr>
      </w:pPr>
    </w:p>
    <w:p w14:paraId="23FBBEC0">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bookmarkStart w:id="129" w:name="_Hlk95333726"/>
      <w:bookmarkStart w:id="130" w:name="_Hlk106303572"/>
      <w:r>
        <w:rPr>
          <w:rFonts w:hint="eastAsia" w:asciiTheme="minorEastAsia" w:hAnsiTheme="minorEastAsia"/>
          <w:b/>
          <w:bCs/>
          <w:color w:val="0D0D0D" w:themeColor="text1" w:themeTint="F2"/>
          <w14:textFill>
            <w14:solidFill>
              <w14:schemeClr w14:val="tx1">
                <w14:lumMod w14:val="95000"/>
                <w14:lumOff w14:val="5000"/>
              </w14:schemeClr>
            </w14:solidFill>
          </w14:textFill>
        </w:rPr>
        <w:t>一、基金资产总值</w:t>
      </w:r>
    </w:p>
    <w:p w14:paraId="0BD19D9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基金资产总值是指基金拥有的各类有价证券、银行存款本息、基金应收款项及其他资产的价值总和。</w:t>
      </w:r>
    </w:p>
    <w:p w14:paraId="0396D15F">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r>
        <w:rPr>
          <w:rFonts w:hint="eastAsia" w:asciiTheme="minorEastAsia" w:hAnsiTheme="minorEastAsia"/>
          <w:b/>
          <w:bCs/>
          <w:color w:val="0D0D0D" w:themeColor="text1" w:themeTint="F2"/>
          <w14:textFill>
            <w14:solidFill>
              <w14:schemeClr w14:val="tx1">
                <w14:lumMod w14:val="95000"/>
                <w14:lumOff w14:val="5000"/>
              </w14:schemeClr>
            </w14:solidFill>
          </w14:textFill>
        </w:rPr>
        <w:t>二、基金资产净值</w:t>
      </w:r>
    </w:p>
    <w:p w14:paraId="4BEAC92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基金资产净值是指基金资产总值减去基金负债后的价值。</w:t>
      </w:r>
    </w:p>
    <w:p w14:paraId="0932E9DB">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r>
        <w:rPr>
          <w:rFonts w:hint="eastAsia" w:asciiTheme="minorEastAsia" w:hAnsiTheme="minorEastAsia"/>
          <w:b/>
          <w:bCs/>
          <w:color w:val="0D0D0D" w:themeColor="text1" w:themeTint="F2"/>
          <w14:textFill>
            <w14:solidFill>
              <w14:schemeClr w14:val="tx1">
                <w14:lumMod w14:val="95000"/>
                <w14:lumOff w14:val="5000"/>
              </w14:schemeClr>
            </w14:solidFill>
          </w14:textFill>
        </w:rPr>
        <w:t>三、基金财产的账户</w:t>
      </w:r>
    </w:p>
    <w:p w14:paraId="01423B7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托管人或基金管理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64F12ECE">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r>
        <w:rPr>
          <w:rFonts w:hint="eastAsia" w:asciiTheme="minorEastAsia" w:hAnsiTheme="minorEastAsia"/>
          <w:b/>
          <w:bCs/>
          <w:color w:val="0D0D0D" w:themeColor="text1" w:themeTint="F2"/>
          <w14:textFill>
            <w14:solidFill>
              <w14:schemeClr w14:val="tx1">
                <w14:lumMod w14:val="95000"/>
                <w14:lumOff w14:val="5000"/>
              </w14:schemeClr>
            </w14:solidFill>
          </w14:textFill>
        </w:rPr>
        <w:t>四、基金财产的保管和处分</w:t>
      </w:r>
    </w:p>
    <w:p w14:paraId="139D937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452FD674">
      <w:pPr>
        <w:snapToGrid w:val="0"/>
        <w:spacing w:line="360" w:lineRule="auto"/>
        <w:rPr>
          <w:rFonts w:ascii="宋体" w:hAnsi="宋体" w:cs="Arial"/>
        </w:rPr>
        <w:sectPr>
          <w:footerReference r:id="rId31" w:type="default"/>
          <w:pgSz w:w="11906" w:h="16838"/>
          <w:pgMar w:top="1440" w:right="1800" w:bottom="1440" w:left="1800" w:header="851" w:footer="992" w:gutter="0"/>
          <w:pgNumType w:start="1"/>
          <w:cols w:space="720" w:num="1"/>
          <w:docGrid w:linePitch="312" w:charSpace="0"/>
        </w:sect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bookmarkEnd w:id="129"/>
      <w:bookmarkEnd w:id="130"/>
    </w:p>
    <w:p w14:paraId="6DFE103B">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131" w:name="_Toc8052751"/>
      <w:bookmarkStart w:id="132" w:name="_Toc214873600"/>
      <w:bookmarkStart w:id="133" w:name="_Toc25261"/>
      <w:bookmarkStart w:id="134" w:name="_Toc91110281"/>
      <w:r>
        <w:rPr>
          <w:rFonts w:ascii="宋体" w:hAnsi="宋体" w:eastAsia="宋体" w:cs="Arial"/>
          <w:kern w:val="0"/>
          <w:sz w:val="28"/>
          <w:szCs w:val="28"/>
        </w:rPr>
        <w:t>第十</w:t>
      </w:r>
      <w:r>
        <w:rPr>
          <w:rFonts w:hint="eastAsia" w:ascii="宋体" w:hAnsi="宋体" w:eastAsia="宋体" w:cs="Arial"/>
          <w:kern w:val="0"/>
          <w:sz w:val="28"/>
          <w:szCs w:val="28"/>
        </w:rPr>
        <w:t>三</w:t>
      </w:r>
      <w:r>
        <w:rPr>
          <w:rFonts w:ascii="宋体" w:hAnsi="宋体" w:eastAsia="宋体" w:cs="Arial"/>
          <w:kern w:val="0"/>
          <w:sz w:val="28"/>
          <w:szCs w:val="28"/>
        </w:rPr>
        <w:t>部分  基金资产的估值</w:t>
      </w:r>
      <w:bookmarkEnd w:id="131"/>
      <w:bookmarkEnd w:id="132"/>
      <w:bookmarkEnd w:id="133"/>
      <w:bookmarkEnd w:id="134"/>
    </w:p>
    <w:p w14:paraId="46C1A9CF">
      <w:pPr>
        <w:spacing w:line="360" w:lineRule="auto"/>
        <w:rPr>
          <w:rFonts w:ascii="宋体" w:hAnsi="宋体"/>
        </w:rPr>
      </w:pPr>
    </w:p>
    <w:p w14:paraId="0E9C4624">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bookmarkStart w:id="135" w:name="_Hlk106303629"/>
      <w:bookmarkStart w:id="136" w:name="_Hlk95333772"/>
      <w:bookmarkStart w:id="137" w:name="_Toc530223193"/>
      <w:bookmarkStart w:id="138" w:name="_Toc8052752"/>
      <w:bookmarkStart w:id="139" w:name="_Toc214873601"/>
      <w:r>
        <w:rPr>
          <w:rFonts w:hint="eastAsia" w:asciiTheme="minorEastAsia" w:hAnsiTheme="minorEastAsia"/>
          <w:b/>
          <w:bCs/>
          <w:color w:val="0D0D0D" w:themeColor="text1" w:themeTint="F2"/>
          <w14:textFill>
            <w14:solidFill>
              <w14:schemeClr w14:val="tx1">
                <w14:lumMod w14:val="95000"/>
                <w14:lumOff w14:val="5000"/>
              </w14:schemeClr>
            </w14:solidFill>
          </w14:textFill>
        </w:rPr>
        <w:t>一、估值日</w:t>
      </w:r>
    </w:p>
    <w:p w14:paraId="1C3B81B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本基金的估值日为本基金相关的证券、期货交易场所的交易日以及国家法律法规规定需要对外披露基金净值的非交易日。</w:t>
      </w:r>
    </w:p>
    <w:p w14:paraId="31EAEFAA">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r>
        <w:rPr>
          <w:rFonts w:hint="eastAsia" w:asciiTheme="minorEastAsia" w:hAnsiTheme="minorEastAsia"/>
          <w:b/>
          <w:bCs/>
          <w:color w:val="0D0D0D" w:themeColor="text1" w:themeTint="F2"/>
          <w14:textFill>
            <w14:solidFill>
              <w14:schemeClr w14:val="tx1">
                <w14:lumMod w14:val="95000"/>
                <w14:lumOff w14:val="5000"/>
              </w14:schemeClr>
            </w14:solidFill>
          </w14:textFill>
        </w:rPr>
        <w:t>二、估值对象</w:t>
      </w:r>
    </w:p>
    <w:p w14:paraId="1CF9257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基金所拥有的股票（含存托凭证）、债券、股指期货合约、国债期货合约、股票期权合约、银行存款本息、应收款项、资产支持证券、其它投资等资产及负债。</w:t>
      </w:r>
    </w:p>
    <w:p w14:paraId="1D1F6F32">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r>
        <w:rPr>
          <w:rFonts w:hint="eastAsia" w:asciiTheme="minorEastAsia" w:hAnsiTheme="minorEastAsia"/>
          <w:b/>
          <w:bCs/>
          <w:color w:val="0D0D0D" w:themeColor="text1" w:themeTint="F2"/>
          <w14:textFill>
            <w14:solidFill>
              <w14:schemeClr w14:val="tx1">
                <w14:lumMod w14:val="95000"/>
                <w14:lumOff w14:val="5000"/>
              </w14:schemeClr>
            </w14:solidFill>
          </w14:textFill>
        </w:rPr>
        <w:t>三、估值原则</w:t>
      </w:r>
    </w:p>
    <w:p w14:paraId="59F99BA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基金管理人在确定相关金融资产和金融负债的公允价值时，应符合《企业会计准则》、监管部门有关规定。</w:t>
      </w:r>
    </w:p>
    <w:p w14:paraId="57D4D18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1A77C21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7F5D210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32C9DADF">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r>
        <w:rPr>
          <w:rFonts w:hint="eastAsia" w:asciiTheme="minorEastAsia" w:hAnsiTheme="minorEastAsia"/>
          <w:b/>
          <w:bCs/>
          <w:color w:val="0D0D0D" w:themeColor="text1" w:themeTint="F2"/>
          <w14:textFill>
            <w14:solidFill>
              <w14:schemeClr w14:val="tx1">
                <w14:lumMod w14:val="95000"/>
                <w14:lumOff w14:val="5000"/>
              </w14:schemeClr>
            </w14:solidFill>
          </w14:textFill>
        </w:rPr>
        <w:t>四、估值方法</w:t>
      </w:r>
    </w:p>
    <w:p w14:paraId="04DE6D4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交易所上市或挂牌转让的有价证券（包括股票等，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64126B6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2、对于已上市或已挂牌转让的不含权固定收益品种，选取估值日第三方估值基准服务机构提供的相应品种当日的估值全价进行估值。</w:t>
      </w:r>
    </w:p>
    <w:p w14:paraId="31AFDE0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3、对于已上市或已挂牌转让的含权固定收益品种，选取估值日第三方估值基准服务机构提供的相应品种当日的唯一估值全价或推荐估值全价进行估值。</w:t>
      </w:r>
    </w:p>
    <w:p w14:paraId="42E5C3E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03995D7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2DA2A0C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5、对于未上市或未挂牌转让且不存在活跃市场的固定收益品种，应采用在当前情况下适用并且有足够可利用数据和其他信息支持的估值技术确定其公允价值。</w:t>
      </w:r>
    </w:p>
    <w:p w14:paraId="52FFAFC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6、处于未上市期间的有价证券应区分如下情况处理：</w:t>
      </w:r>
    </w:p>
    <w:p w14:paraId="3606BD2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（1）送股、转增股、配股和公开增发的新股，按估值日在证券交易所挂牌的同一股票的估值方法估值；该日无交易的，以最近一日的市价（收盘价）估值；</w:t>
      </w:r>
    </w:p>
    <w:p w14:paraId="3B928D6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（2）首次公开发行未上市的股票，采用估值技术确定公允价值；</w:t>
      </w:r>
    </w:p>
    <w:p w14:paraId="0047904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5476777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7、本基金投资存托凭证的估值核算，依照境内上市交易的股票执行。</w:t>
      </w:r>
    </w:p>
    <w:p w14:paraId="5FD1E63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8、同一证券同时在两个或两个以上市场交易的，按证券所处的市场分别估值。</w:t>
      </w:r>
    </w:p>
    <w:p w14:paraId="127AFB3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9、本基金参与股指期货、国债期货合约交易，一般以估值当日结算价确定公允价值，估值当日无结算价的，且最近交易日后未发生影响公允价值计量的重大事件的，采用最近交易日结算价估值。</w:t>
      </w:r>
    </w:p>
    <w:p w14:paraId="13036DC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10、本基金投资股票期权，根据相关法律法规以及监管部门的规定估值。</w:t>
      </w:r>
    </w:p>
    <w:p w14:paraId="05964E9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11、本基金参与融资及转融通证券出借业务的，应参照法律法规及行业协会的相关规定进行估值。</w:t>
      </w:r>
    </w:p>
    <w:p w14:paraId="7252E48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12、本基金可以采用第三方估值机构按照上述公允价值确定原则提供的估值价格数据。如有确凿证据表明按上述方法进行估值不能客观反映其公允价值的，基金管理人可根据具体情况与基金托管人商定后，按最能反映公允价值的方法估值。</w:t>
      </w:r>
    </w:p>
    <w:p w14:paraId="7115124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13、相关法律法规以及监管部门有强制规定的，从其规定。如有新增事项，按国家最新规定估值。</w:t>
      </w:r>
    </w:p>
    <w:p w14:paraId="506B6A3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如基金管理人或基金托管人发现基金估值违反基金合同订明的估值方法、程序及相关法律法规的规定或者未能充分维护基金份额持有人利益时，应立即通知对方，共同查明原因，双方协商解决。</w:t>
      </w:r>
    </w:p>
    <w:p w14:paraId="43D7796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3C595D0E">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r>
        <w:rPr>
          <w:rFonts w:hint="eastAsia" w:asciiTheme="minorEastAsia" w:hAnsiTheme="minorEastAsia"/>
          <w:b/>
          <w:bCs/>
          <w:color w:val="0D0D0D" w:themeColor="text1" w:themeTint="F2"/>
          <w14:textFill>
            <w14:solidFill>
              <w14:schemeClr w14:val="tx1">
                <w14:lumMod w14:val="95000"/>
                <w14:lumOff w14:val="5000"/>
              </w14:schemeClr>
            </w14:solidFill>
          </w14:textFill>
        </w:rPr>
        <w:t>五、估值程序</w:t>
      </w:r>
    </w:p>
    <w:p w14:paraId="4B53A67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基金份额净值是按照每个工作日闭市后，基金资产净值除以当日基金份额的余额数量计算，精确到0.0001元，小数点后第5位四舍五入，由此产生的误差计入基金财产。基金管理人可以设立大额赎回情形下的净值精度应急调整机制。国家另有规定的，从其规定。</w:t>
      </w:r>
    </w:p>
    <w:p w14:paraId="632729C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基金管理人于每个工作日计算基金资产净值及基金份额净值，并按规定公告。</w:t>
      </w:r>
    </w:p>
    <w:p w14:paraId="7079C639">
      <w:pPr>
        <w:numPr>
          <w:ilvl w:val="0"/>
          <w:numId w:val="5"/>
        </w:num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w:t>
      </w:r>
    </w:p>
    <w:p w14:paraId="0AB6753E">
      <w:pPr>
        <w:numPr>
          <w:ilvl w:val="255"/>
          <w:numId w:val="0"/>
        </w:num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r>
        <w:rPr>
          <w:rFonts w:hint="eastAsia" w:asciiTheme="minorEastAsia" w:hAnsiTheme="minorEastAsia"/>
          <w:b/>
          <w:bCs/>
          <w:color w:val="0D0D0D" w:themeColor="text1" w:themeTint="F2"/>
          <w14:textFill>
            <w14:solidFill>
              <w14:schemeClr w14:val="tx1">
                <w14:lumMod w14:val="95000"/>
                <w14:lumOff w14:val="5000"/>
              </w14:schemeClr>
            </w14:solidFill>
          </w14:textFill>
        </w:rPr>
        <w:t>六、估值错误的处理</w:t>
      </w:r>
    </w:p>
    <w:p w14:paraId="14BC7AC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基金管理人和基金托管人将采取必要、适当、合理的措施确保基金资产估值的准确性、及时性。当基金份额净值小数点后4位以内(含第4位)发生估值错误时，视为基金份额净值错误。</w:t>
      </w:r>
    </w:p>
    <w:p w14:paraId="1DBFFBE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基金合同的当事人应按照以下约定处理：</w:t>
      </w:r>
    </w:p>
    <w:p w14:paraId="693019F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1、估值错误类型</w:t>
      </w:r>
    </w:p>
    <w:p w14:paraId="75622B3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5221E10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上述估值错误的主要类型包括但不限于：资料申报差错、数据传输差错、数据计算差错、系统故障差错、下达指令差错等。</w:t>
      </w:r>
    </w:p>
    <w:p w14:paraId="78C2E55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2、估值错误处理原则</w:t>
      </w:r>
    </w:p>
    <w:p w14:paraId="67E4467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3B702EC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（2）估值错误的责任方对有关当事人的直接损失负责，不对间接损失负责，并且仅对估值错误的有关直接当事人负责，不对第三方负责。</w:t>
      </w:r>
    </w:p>
    <w:p w14:paraId="59BE6EB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79A9483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（4）估值错误调整采用尽量恢复至假设未发生估值错误的正确情形的方式。</w:t>
      </w:r>
    </w:p>
    <w:p w14:paraId="6E43CCC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3、估值错误处理程序</w:t>
      </w:r>
    </w:p>
    <w:p w14:paraId="3A14D37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估值错误被发现后，有关的当事人应当及时进行处理，处理的程序如下：</w:t>
      </w:r>
    </w:p>
    <w:p w14:paraId="4C01C4A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（1）查明估值错误发生的原因，列明所有的当事人，并根据估值错误发生的原因确定估值错误的责任方；</w:t>
      </w:r>
    </w:p>
    <w:p w14:paraId="7AE2835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（2）根据估值错误处理原则或当事人协商的方法对因估值错误造成的损失进行评估；</w:t>
      </w:r>
    </w:p>
    <w:p w14:paraId="5ED4F1A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（3）根据估值错误处理原则或当事人协商的方法由估值错误的责任方进行更正和赔偿损失；</w:t>
      </w:r>
    </w:p>
    <w:p w14:paraId="2A46655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（4）根据估值错误处理的方法，需要修改基金登记机构交易数据的，由基金登记机构进行更正，并就估值错误的更正向有关当事人进行确认。</w:t>
      </w:r>
    </w:p>
    <w:p w14:paraId="69A96DE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4、基金份额净值估值错误处理的方法如下：</w:t>
      </w:r>
    </w:p>
    <w:p w14:paraId="23EA077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（1）基金份额净值计算出现错误时，基金管理人应当立即予以纠正，通报基金托管人，并采取合理的措施防止损失进一步扩大。</w:t>
      </w:r>
    </w:p>
    <w:p w14:paraId="642D442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（2）错误偏差达到基金份额净值的0.25%时，基金管理人应当通报基金托管人并报中国证监会备案；错误偏差达到基金份额净值的0.5%时，基金管理人应当公告，并报中国证监会备案。</w:t>
      </w:r>
    </w:p>
    <w:p w14:paraId="379DA4C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（3）前述内容如法律法规或者监管部门另有规定的，从其规定。如果行业另有通行做法，基金管理人和基金托管人应本着平等和保护基金份额持有人利益的原则进行协商。</w:t>
      </w:r>
    </w:p>
    <w:p w14:paraId="35C6463F">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r>
        <w:rPr>
          <w:rFonts w:hint="eastAsia" w:asciiTheme="minorEastAsia" w:hAnsiTheme="minorEastAsia"/>
          <w:b/>
          <w:bCs/>
          <w:color w:val="0D0D0D" w:themeColor="text1" w:themeTint="F2"/>
          <w14:textFill>
            <w14:solidFill>
              <w14:schemeClr w14:val="tx1">
                <w14:lumMod w14:val="95000"/>
                <w14:lumOff w14:val="5000"/>
              </w14:schemeClr>
            </w14:solidFill>
          </w14:textFill>
        </w:rPr>
        <w:t>七、暂停估值的情形</w:t>
      </w:r>
    </w:p>
    <w:p w14:paraId="1281B95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1、基金投资所涉及的证券/期货交易市场遇法定节假日或因其他原因暂停营业时；</w:t>
      </w:r>
    </w:p>
    <w:p w14:paraId="15AF883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2、因不可抗力或者其他情形致使基金管理人、基金托管人无法准确评估基金资产价值时；</w:t>
      </w:r>
    </w:p>
    <w:p w14:paraId="0A09380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3、当前一估值日基金资产净值50%以上的资产出现无可参考的活跃市场价格且采用估值技术仍导致公允价值存在重大不确定性时，经与基金托管人协商确认后，基金管理人应当暂停估值；</w:t>
      </w:r>
    </w:p>
    <w:p w14:paraId="1EB7A8D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4、法律法规、中国证监会和基金合同认定的其它情形。</w:t>
      </w:r>
    </w:p>
    <w:p w14:paraId="06D5AF81">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r>
        <w:rPr>
          <w:rFonts w:hint="eastAsia" w:asciiTheme="minorEastAsia" w:hAnsiTheme="minorEastAsia"/>
          <w:b/>
          <w:bCs/>
          <w:color w:val="0D0D0D" w:themeColor="text1" w:themeTint="F2"/>
          <w14:textFill>
            <w14:solidFill>
              <w14:schemeClr w14:val="tx1">
                <w14:lumMod w14:val="95000"/>
                <w14:lumOff w14:val="5000"/>
              </w14:schemeClr>
            </w14:solidFill>
          </w14:textFill>
        </w:rPr>
        <w:t>八、基金净值的确认</w:t>
      </w:r>
    </w:p>
    <w:p w14:paraId="4EBAA87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对基金净值按约定予以公布。</w:t>
      </w:r>
    </w:p>
    <w:p w14:paraId="69DD33A5">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r>
        <w:rPr>
          <w:rFonts w:hint="eastAsia" w:asciiTheme="minorEastAsia" w:hAnsiTheme="minorEastAsia"/>
          <w:b/>
          <w:bCs/>
          <w:color w:val="0D0D0D" w:themeColor="text1" w:themeTint="F2"/>
          <w14:textFill>
            <w14:solidFill>
              <w14:schemeClr w14:val="tx1">
                <w14:lumMod w14:val="95000"/>
                <w14:lumOff w14:val="5000"/>
              </w14:schemeClr>
            </w14:solidFill>
          </w14:textFill>
        </w:rPr>
        <w:t>九、特殊情况的处理</w:t>
      </w:r>
    </w:p>
    <w:p w14:paraId="6613220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1、基金管理人或基金托管人按估值方法的第12项进行估值时，所造成的误差不作为基金资产估值错误处理。</w:t>
      </w:r>
    </w:p>
    <w:p w14:paraId="0CC871D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sectPr>
          <w:footerReference r:id="rId33" w:type="first"/>
          <w:footerReference r:id="rId32" w:type="default"/>
          <w:pgSz w:w="11906" w:h="16838"/>
          <w:pgMar w:top="1440" w:right="1800" w:bottom="1440" w:left="1800" w:header="851" w:footer="992" w:gutter="0"/>
          <w:pgNumType w:start="1"/>
          <w:cols w:space="720" w:num="1"/>
          <w:docGrid w:linePitch="312" w:charSpace="0"/>
        </w:sectPr>
      </w:pPr>
      <w:r>
        <w:rPr>
          <w:rFonts w:hint="eastAsia" w:asciiTheme="minorEastAsia" w:hAnsiTheme="minorEastAsia"/>
          <w:color w:val="0D0D0D" w:themeColor="text1" w:themeTint="F2"/>
          <w14:textFill>
            <w14:solidFill>
              <w14:schemeClr w14:val="tx1">
                <w14:lumMod w14:val="95000"/>
                <w14:lumOff w14:val="5000"/>
              </w14:schemeClr>
            </w14:solidFill>
          </w14:textFill>
        </w:rPr>
        <w:t>2、由于不可抗力原因，或证券/期货交易所、指数编制机构及登记结算公司、证券、期货经营机构等机构发送的数据错误、遗漏等原因，基金管理人和基金托管人虽然已经采取必要、适当、合理的措施进行检查，但是未能发现该错误或即使发现错误但因前述原因无法及时更正的，由此造成的基金资产估值错误，基金管理人和基金托管人免除赔偿责任，但基金管理人和基金托管人应当积极采取必要的措施消除或减轻由此造成的影响。</w:t>
      </w:r>
      <w:bookmarkEnd w:id="135"/>
      <w:bookmarkEnd w:id="136"/>
    </w:p>
    <w:p w14:paraId="41805B4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p>
    <w:p w14:paraId="743B652C">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140" w:name="_Toc91110282"/>
      <w:bookmarkStart w:id="141" w:name="_Toc4871"/>
      <w:r>
        <w:rPr>
          <w:rFonts w:ascii="宋体" w:hAnsi="宋体" w:eastAsia="宋体" w:cs="Arial"/>
          <w:kern w:val="0"/>
          <w:sz w:val="28"/>
          <w:szCs w:val="28"/>
        </w:rPr>
        <w:t>第十</w:t>
      </w:r>
      <w:r>
        <w:rPr>
          <w:rFonts w:hint="eastAsia" w:ascii="宋体" w:hAnsi="宋体" w:eastAsia="宋体" w:cs="Arial"/>
          <w:kern w:val="0"/>
          <w:sz w:val="28"/>
          <w:szCs w:val="28"/>
        </w:rPr>
        <w:t xml:space="preserve">四部分 </w:t>
      </w:r>
      <w:bookmarkEnd w:id="137"/>
      <w:r>
        <w:rPr>
          <w:rFonts w:hint="eastAsia" w:ascii="宋体" w:hAnsi="宋体" w:eastAsia="宋体" w:cs="Arial"/>
          <w:kern w:val="0"/>
          <w:sz w:val="28"/>
          <w:szCs w:val="28"/>
        </w:rPr>
        <w:t xml:space="preserve"> 基金的收益与分配</w:t>
      </w:r>
      <w:bookmarkEnd w:id="138"/>
      <w:bookmarkEnd w:id="139"/>
      <w:bookmarkEnd w:id="140"/>
      <w:bookmarkEnd w:id="141"/>
    </w:p>
    <w:p w14:paraId="25A53EC6">
      <w:pPr>
        <w:spacing w:line="360" w:lineRule="auto"/>
        <w:rPr>
          <w:rFonts w:ascii="宋体" w:hAnsi="宋体"/>
        </w:rPr>
      </w:pPr>
    </w:p>
    <w:p w14:paraId="4F65FA16">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bookmarkStart w:id="142" w:name="_Hlk144136349"/>
      <w:bookmarkStart w:id="143" w:name="_Hlk95333815"/>
      <w:bookmarkStart w:id="144" w:name="_Toc214873602"/>
      <w:bookmarkStart w:id="145" w:name="_Toc12357181"/>
      <w:bookmarkStart w:id="146" w:name="_Toc147463128"/>
      <w:bookmarkStart w:id="147" w:name="_Toc21073401"/>
      <w:r>
        <w:rPr>
          <w:rFonts w:hint="eastAsia" w:asciiTheme="minorEastAsia" w:hAnsiTheme="minorEastAsia"/>
          <w:b/>
          <w:bCs/>
          <w:color w:val="0D0D0D" w:themeColor="text1" w:themeTint="F2"/>
          <w14:textFill>
            <w14:solidFill>
              <w14:schemeClr w14:val="tx1">
                <w14:lumMod w14:val="95000"/>
                <w14:lumOff w14:val="5000"/>
              </w14:schemeClr>
            </w14:solidFill>
          </w14:textFill>
        </w:rPr>
        <w:t>一、基金收益分配原则</w:t>
      </w:r>
    </w:p>
    <w:p w14:paraId="1637F4C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1、本基金的收益分配方式为现金分红；</w:t>
      </w:r>
    </w:p>
    <w:p w14:paraId="7BB59D5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基金管理人可每月对基金相对标的指数的超额收益率以及基金的可供分配利润进行评价，收益评价日核定的基金份额净值增长率超过标的指数同期增长率或者基金可供分配利润金额大于零时，基金管理人可进行收益分配；</w:t>
      </w:r>
    </w:p>
    <w:p w14:paraId="01626E9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当基金收益分配根据基金相对标的指数的超额收益率决定时，基于本基金的特点，本基金收益分配无需以弥补亏损为前提，收益分配后基金份额净值有可能低于面值；当基金收益分配根据基金可供分配利润金额决定时，本基金收益分配后基金份额净值不能低于面值，即基金收益分配基准日的基金份额净值减去每单位基金份额收益分配金额后不能低于面值；</w:t>
      </w:r>
    </w:p>
    <w:p w14:paraId="3839A27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4、在符合上述基金分红条件的前提下，本基金可每月进行收益分配。评价时间、分配时间、分配方案及每次基金收益分配数额等内容，基金管理人可以根据实际情况确定并按照有关规定公告；</w:t>
      </w:r>
    </w:p>
    <w:p w14:paraId="1619D87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5、每一基金份额享有同等分配权；</w:t>
      </w:r>
    </w:p>
    <w:p w14:paraId="7892257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法律法规或监管机构另有规定的，从其规定。在不违反法律法规、基金合同的约定以及对基金份额持有人利益无实质性不利影响的情况下，基金管理人在与基金托管人协商一致并履行适当程序后，可调整基金收益的分配原则和支付方式，但应于变更实施日前在规定媒介上公告。</w:t>
      </w:r>
    </w:p>
    <w:p w14:paraId="19B551EE">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r>
        <w:rPr>
          <w:rFonts w:hint="eastAsia" w:asciiTheme="minorEastAsia" w:hAnsiTheme="minorEastAsia"/>
          <w:b/>
          <w:bCs/>
          <w:color w:val="0D0D0D" w:themeColor="text1" w:themeTint="F2"/>
          <w14:textFill>
            <w14:solidFill>
              <w14:schemeClr w14:val="tx1">
                <w14:lumMod w14:val="95000"/>
                <w14:lumOff w14:val="5000"/>
              </w14:schemeClr>
            </w14:solidFill>
          </w14:textFill>
        </w:rPr>
        <w:t>二、基金收益分配比例及金额的确定原则</w:t>
      </w:r>
    </w:p>
    <w:p w14:paraId="5C14D46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1、在收益评价日，基金管理人计算基金份额净值增长率、标的指数同期增长率。</w:t>
      </w:r>
    </w:p>
    <w:p w14:paraId="26245A9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基金收益评价日本基金相对标的指数的超额收益率＝基金份额净值增长率－标的指数同期增长率。</w:t>
      </w:r>
    </w:p>
    <w:p w14:paraId="5BB3318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份额净值增长率为收益评价日基金份额净值与基金上市前一交易日基金份额净值之比减去1乘以100%；标的指数同期增长率为收益评价日标的指数收盘价与基金上市前一交易日标的指数收盘价之比减去1乘以100%。</w:t>
      </w:r>
    </w:p>
    <w:p w14:paraId="04802BD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期间如发生基金份额折算、拆分或合并，则以基金份额折算日、经拆分或合并调整后的基金份额折算日为初始日重新计算上述指标。</w:t>
      </w:r>
    </w:p>
    <w:p w14:paraId="441E8D2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收益评价日日期以基金管理人相关公告为准。</w:t>
      </w:r>
    </w:p>
    <w:p w14:paraId="6319036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2、基金可供分配利润指截至收益分配基准日基金未分配利润与未分配利润中已实现收益的孰低数。</w:t>
      </w:r>
    </w:p>
    <w:p w14:paraId="51A46D2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3、根据前述收益分配原则计算截至基金收益评价日本基金的超额收益率及基金可供分配利润，并确定收益分配比例。</w:t>
      </w:r>
    </w:p>
    <w:p w14:paraId="2BFBFF6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4、根据前述超额收益率、可供分配利润及收益分配比例计算收益分配金额。</w:t>
      </w:r>
    </w:p>
    <w:p w14:paraId="7D81FFE3">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r>
        <w:rPr>
          <w:rFonts w:hint="eastAsia" w:asciiTheme="minorEastAsia" w:hAnsiTheme="minorEastAsia"/>
          <w:b/>
          <w:bCs/>
          <w:color w:val="0D0D0D" w:themeColor="text1" w:themeTint="F2"/>
          <w14:textFill>
            <w14:solidFill>
              <w14:schemeClr w14:val="tx1">
                <w14:lumMod w14:val="95000"/>
                <w14:lumOff w14:val="5000"/>
              </w14:schemeClr>
            </w14:solidFill>
          </w14:textFill>
        </w:rPr>
        <w:t>三、收益分配方案</w:t>
      </w:r>
    </w:p>
    <w:p w14:paraId="7F428FC3">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基金收益分配方案中应载明基金收益分配对象、分配时间、分配数额及比例、分配方式等内容。</w:t>
      </w:r>
    </w:p>
    <w:p w14:paraId="3792260C">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r>
        <w:rPr>
          <w:rFonts w:hint="eastAsia" w:asciiTheme="minorEastAsia" w:hAnsiTheme="minorEastAsia"/>
          <w:b/>
          <w:bCs/>
          <w:color w:val="0D0D0D" w:themeColor="text1" w:themeTint="F2"/>
          <w14:textFill>
            <w14:solidFill>
              <w14:schemeClr w14:val="tx1">
                <w14:lumMod w14:val="95000"/>
                <w14:lumOff w14:val="5000"/>
              </w14:schemeClr>
            </w14:solidFill>
          </w14:textFill>
        </w:rPr>
        <w:t>四、收益分配方案的确定、公告与实施</w:t>
      </w:r>
    </w:p>
    <w:p w14:paraId="7CCA7E1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本基金收益分配方案由基金管理人拟定，并由基金托管人复核，依照《信息披露办法》的有关规定在规定媒介公告。</w:t>
      </w:r>
    </w:p>
    <w:p w14:paraId="7F540920">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r>
        <w:rPr>
          <w:rFonts w:hint="eastAsia" w:asciiTheme="minorEastAsia" w:hAnsiTheme="minorEastAsia"/>
          <w:b/>
          <w:bCs/>
          <w:color w:val="0D0D0D" w:themeColor="text1" w:themeTint="F2"/>
          <w14:textFill>
            <w14:solidFill>
              <w14:schemeClr w14:val="tx1">
                <w14:lumMod w14:val="95000"/>
                <w14:lumOff w14:val="5000"/>
              </w14:schemeClr>
            </w14:solidFill>
          </w14:textFill>
        </w:rPr>
        <w:t>五、基金收益分配中发生的费用</w:t>
      </w:r>
    </w:p>
    <w:p w14:paraId="55EF09A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基金收益分配时所发生的银行转账或其他手续费用由投资者自行承担。</w:t>
      </w:r>
    </w:p>
    <w:bookmarkEnd w:id="142"/>
    <w:p w14:paraId="064597ED">
      <w:pPr>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sectPr>
          <w:footerReference r:id="rId34" w:type="default"/>
          <w:pgSz w:w="11906" w:h="16838"/>
          <w:pgMar w:top="1440" w:right="1800" w:bottom="1440" w:left="1800" w:header="851" w:footer="992" w:gutter="0"/>
          <w:pgNumType w:start="1"/>
          <w:cols w:space="425" w:num="1"/>
          <w:docGrid w:type="lines" w:linePitch="312" w:charSpace="0"/>
        </w:sectPr>
      </w:pPr>
    </w:p>
    <w:p w14:paraId="25BC71B2">
      <w:pPr>
        <w:rPr>
          <w:rFonts w:asciiTheme="minorEastAsia" w:hAnsiTheme="minorEastAsia"/>
          <w:color w:val="0D0D0D" w:themeColor="text1" w:themeTint="F2"/>
          <w14:textFill>
            <w14:solidFill>
              <w14:schemeClr w14:val="tx1">
                <w14:lumMod w14:val="95000"/>
                <w14:lumOff w14:val="5000"/>
              </w14:schemeClr>
            </w14:solidFill>
          </w14:textFill>
        </w:rPr>
      </w:pPr>
    </w:p>
    <w:bookmarkEnd w:id="143"/>
    <w:p w14:paraId="4962862A">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148" w:name="_Toc23750"/>
      <w:bookmarkStart w:id="149" w:name="_Toc8052753"/>
      <w:bookmarkStart w:id="150" w:name="_Toc91110283"/>
      <w:r>
        <w:rPr>
          <w:rFonts w:ascii="宋体" w:hAnsi="宋体" w:eastAsia="宋体" w:cs="Arial"/>
          <w:kern w:val="0"/>
          <w:sz w:val="28"/>
          <w:szCs w:val="28"/>
        </w:rPr>
        <w:t>第十</w:t>
      </w:r>
      <w:r>
        <w:rPr>
          <w:rFonts w:hint="eastAsia" w:ascii="宋体" w:hAnsi="宋体" w:eastAsia="宋体" w:cs="Arial"/>
          <w:kern w:val="0"/>
          <w:sz w:val="28"/>
          <w:szCs w:val="28"/>
        </w:rPr>
        <w:t>五</w:t>
      </w:r>
      <w:r>
        <w:rPr>
          <w:rFonts w:ascii="宋体" w:hAnsi="宋体" w:eastAsia="宋体" w:cs="Arial"/>
          <w:kern w:val="0"/>
          <w:sz w:val="28"/>
          <w:szCs w:val="28"/>
        </w:rPr>
        <w:t>部分  基金费用与税收</w:t>
      </w:r>
      <w:bookmarkEnd w:id="144"/>
      <w:bookmarkEnd w:id="145"/>
      <w:bookmarkEnd w:id="146"/>
      <w:bookmarkEnd w:id="147"/>
      <w:bookmarkEnd w:id="148"/>
      <w:bookmarkEnd w:id="149"/>
      <w:bookmarkEnd w:id="150"/>
    </w:p>
    <w:p w14:paraId="63C1E48E">
      <w:pPr>
        <w:spacing w:line="360" w:lineRule="auto"/>
        <w:rPr>
          <w:rFonts w:ascii="宋体" w:hAnsi="宋体"/>
        </w:rPr>
      </w:pPr>
    </w:p>
    <w:p w14:paraId="2069F9A0">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bookmarkStart w:id="151" w:name="_Hlk95333851"/>
      <w:bookmarkStart w:id="152" w:name="_Toc214873603"/>
      <w:bookmarkStart w:id="153" w:name="_Toc8052754"/>
      <w:r>
        <w:rPr>
          <w:rFonts w:hint="eastAsia" w:asciiTheme="minorEastAsia" w:hAnsiTheme="minorEastAsia"/>
          <w:b/>
          <w:bCs/>
          <w:color w:val="0D0D0D" w:themeColor="text1" w:themeTint="F2"/>
          <w14:textFill>
            <w14:solidFill>
              <w14:schemeClr w14:val="tx1">
                <w14:lumMod w14:val="95000"/>
                <w14:lumOff w14:val="5000"/>
              </w14:schemeClr>
            </w14:solidFill>
          </w14:textFill>
        </w:rPr>
        <w:t>一、基金费用的种类</w:t>
      </w:r>
    </w:p>
    <w:p w14:paraId="1C9A2108">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1、基金管理人的管理费；</w:t>
      </w:r>
    </w:p>
    <w:p w14:paraId="5FF1E25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2、基金托管人的托管费；</w:t>
      </w:r>
    </w:p>
    <w:p w14:paraId="5D84BA1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3、基金的证券、期货、股票期权交易费用；</w:t>
      </w:r>
    </w:p>
    <w:p w14:paraId="47E3A45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4、《基金合同》生效后与基金相关的信息披露费用，但法律法规、中国证监会另有规定的除外；</w:t>
      </w:r>
    </w:p>
    <w:p w14:paraId="0324D9AE">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5、《基金合同》生效后与基金相关的会计师费、律师费、审计费、仲裁费和诉讼费；</w:t>
      </w:r>
    </w:p>
    <w:p w14:paraId="37BF988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6、基金份额持有人大会费用；</w:t>
      </w:r>
    </w:p>
    <w:p w14:paraId="4C4BC60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7、基金银行汇划费用、账户开户及维护费用、场内注册登记费用、IOPV计算与发布费用、收益分配中发生的费用（银行转账或其他手续费用除外）；</w:t>
      </w:r>
    </w:p>
    <w:p w14:paraId="11F971A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8、基金上市初费及年费；</w:t>
      </w:r>
    </w:p>
    <w:p w14:paraId="298A15D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9、按照国家有关规定和《基金合同》约定，可以在基金财产中列支的其他费用。</w:t>
      </w:r>
    </w:p>
    <w:p w14:paraId="3173E053">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r>
        <w:rPr>
          <w:rFonts w:hint="eastAsia" w:asciiTheme="minorEastAsia" w:hAnsiTheme="minorEastAsia"/>
          <w:b/>
          <w:bCs/>
          <w:color w:val="0D0D0D" w:themeColor="text1" w:themeTint="F2"/>
          <w14:textFill>
            <w14:solidFill>
              <w14:schemeClr w14:val="tx1">
                <w14:lumMod w14:val="95000"/>
                <w14:lumOff w14:val="5000"/>
              </w14:schemeClr>
            </w14:solidFill>
          </w14:textFill>
        </w:rPr>
        <w:t>二、基金费用计提方法、计提标准和支付方式</w:t>
      </w:r>
    </w:p>
    <w:p w14:paraId="45718B1F">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1、基金管理人的管理费</w:t>
      </w:r>
    </w:p>
    <w:p w14:paraId="2FF2FC3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本基金的管理费按前一日基金资产净值的0.50%年费率计提。管理费的计算方法如下：</w:t>
      </w:r>
    </w:p>
    <w:p w14:paraId="17C3205A">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H＝E×0.50%÷当年天数</w:t>
      </w:r>
    </w:p>
    <w:p w14:paraId="33BCEA0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H为每日应计提的基金管理费</w:t>
      </w:r>
    </w:p>
    <w:p w14:paraId="716AAD0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E为前一日的基金资产净值</w:t>
      </w:r>
    </w:p>
    <w:p w14:paraId="247D2FB4">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管理费每日计提，按月支付。由基金托管人根据与基金管理人核对一致的财务数据，自动在月初5个工作日内、按照指定的账户路径进行资金支付，基金管理人无需再出具资金划拨指令。若遇法定节假日、休息日等，支付日期顺延。费用自动扣划后，基金管理人应进行核对，如发现数据不符，及时联系基金托管人协商解决。</w:t>
      </w:r>
    </w:p>
    <w:p w14:paraId="719BC29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2、基金托管人的托管费</w:t>
      </w:r>
    </w:p>
    <w:p w14:paraId="7F83F4A9">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本基金的托管费按前一日基金资产净值的0.10%年费率计提。托管费的计算方法如下：</w:t>
      </w:r>
    </w:p>
    <w:p w14:paraId="044DFC6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H＝E×0.10%÷当年天数</w:t>
      </w:r>
    </w:p>
    <w:p w14:paraId="3ED8720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H为每日应计提的基金托管费</w:t>
      </w:r>
    </w:p>
    <w:p w14:paraId="109C41E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E为前一日的基金资产净值</w:t>
      </w:r>
    </w:p>
    <w:p w14:paraId="5598107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基金托管费每日计提，按月支付。由基金托管人根据与基金管理人核对一致的财务数据，自动在月初5个工作日内、按照指定的账户路径进行资金支付，基金管理人无需再出具资金划拨指令。若遇法定节假日、休息日等，支付日期顺延。费用自动扣划后，基金管理人应进行核对，如发现数据不符，及时联系基金托管人协商解决。</w:t>
      </w:r>
    </w:p>
    <w:p w14:paraId="45BC296D">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上述“一、基金费用的种类”中第3－9项费用，根据有关法规及相应协议规定，按费用实际支出金额列入当期费用，由基金托管人从基金财产中支付。</w:t>
      </w:r>
    </w:p>
    <w:p w14:paraId="5E8E1B07">
      <w:pPr>
        <w:adjustRightInd w:val="0"/>
        <w:snapToGrid w:val="0"/>
        <w:spacing w:line="360" w:lineRule="auto"/>
        <w:ind w:firstLine="422" w:firstLineChars="200"/>
        <w:rPr>
          <w:rFonts w:asciiTheme="minorEastAsia" w:hAnsiTheme="minorEastAsia"/>
          <w:b/>
          <w:bCs/>
          <w:color w:val="0D0D0D" w:themeColor="text1" w:themeTint="F2"/>
          <w14:textFill>
            <w14:solidFill>
              <w14:schemeClr w14:val="tx1">
                <w14:lumMod w14:val="95000"/>
                <w14:lumOff w14:val="5000"/>
              </w14:schemeClr>
            </w14:solidFill>
          </w14:textFill>
        </w:rPr>
      </w:pPr>
      <w:r>
        <w:rPr>
          <w:rFonts w:hint="eastAsia" w:asciiTheme="minorEastAsia" w:hAnsiTheme="minorEastAsia"/>
          <w:b/>
          <w:bCs/>
          <w:color w:val="0D0D0D" w:themeColor="text1" w:themeTint="F2"/>
          <w14:textFill>
            <w14:solidFill>
              <w14:schemeClr w14:val="tx1">
                <w14:lumMod w14:val="95000"/>
                <w14:lumOff w14:val="5000"/>
              </w14:schemeClr>
            </w14:solidFill>
          </w14:textFill>
        </w:rPr>
        <w:t>三、不列入基金费用的项目</w:t>
      </w:r>
    </w:p>
    <w:p w14:paraId="0CAFD2FB">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下列费用不列入基金费用：</w:t>
      </w:r>
    </w:p>
    <w:p w14:paraId="503DAF30">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1、基金管理人和基金托管人因未履行或未完全履行义务导致的费用支出或基金财产的损失；</w:t>
      </w:r>
    </w:p>
    <w:p w14:paraId="6976B3A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2、基金管理人和基金托管人处理与基金运作无关的事项发生的费用；</w:t>
      </w:r>
    </w:p>
    <w:p w14:paraId="09D6169C">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3、《基金合同》生效前的相关费用；</w:t>
      </w:r>
    </w:p>
    <w:p w14:paraId="752E2075">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4、指数许可使用费；</w:t>
      </w:r>
    </w:p>
    <w:p w14:paraId="05A014C7">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本基金按照基金管理人与标的指数许可方所签订的指数使用许可协议中所规定的指数许可使用费计提方法支付指数许可使用费，该指数许可使用费由基金管理人承担，不得从基金财产中列支。</w:t>
      </w:r>
    </w:p>
    <w:p w14:paraId="6949DBE6">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如果指数许可使用费的计算方法、费率、支付方式和费用承担方等发生调整，本基金将采用调整后的方法或费率计算指数许可使用费；</w:t>
      </w:r>
    </w:p>
    <w:p w14:paraId="5185FCF1">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color w:val="0D0D0D" w:themeColor="text1" w:themeTint="F2"/>
          <w14:textFill>
            <w14:solidFill>
              <w14:schemeClr w14:val="tx1">
                <w14:lumMod w14:val="95000"/>
                <w14:lumOff w14:val="5000"/>
              </w14:schemeClr>
            </w14:solidFill>
          </w14:textFill>
        </w:rPr>
        <w:t>5、其他根据相关法律法规及中国证监会的有关规定不得列入基金费用的项目。</w:t>
      </w:r>
    </w:p>
    <w:p w14:paraId="1C458318">
      <w:pPr>
        <w:adjustRightInd w:val="0"/>
        <w:snapToGrid w:val="0"/>
        <w:spacing w:line="360" w:lineRule="auto"/>
        <w:ind w:left="422"/>
        <w:rPr>
          <w:rFonts w:asciiTheme="minorEastAsia" w:hAnsiTheme="minorEastAsia"/>
          <w:b/>
          <w:bCs/>
          <w:color w:val="0D0D0D" w:themeColor="text1" w:themeTint="F2"/>
          <w14:textFill>
            <w14:solidFill>
              <w14:schemeClr w14:val="tx1">
                <w14:lumMod w14:val="95000"/>
                <w14:lumOff w14:val="5000"/>
              </w14:schemeClr>
            </w14:solidFill>
          </w14:textFill>
        </w:rPr>
      </w:pPr>
      <w:r>
        <w:rPr>
          <w:rFonts w:hint="eastAsia" w:asciiTheme="minorEastAsia" w:hAnsiTheme="minorEastAsia"/>
          <w:b/>
          <w:bCs/>
          <w:color w:val="0D0D0D" w:themeColor="text1" w:themeTint="F2"/>
          <w14:textFill>
            <w14:solidFill>
              <w14:schemeClr w14:val="tx1">
                <w14:lumMod w14:val="95000"/>
                <w14:lumOff w14:val="5000"/>
              </w14:schemeClr>
            </w14:solidFill>
          </w14:textFill>
        </w:rPr>
        <w:t>四、基金税收</w:t>
      </w:r>
    </w:p>
    <w:bookmarkEnd w:id="151"/>
    <w:p w14:paraId="53E44DA2">
      <w:pPr>
        <w:adjustRightInd w:val="0"/>
        <w:snapToGrid w:val="0"/>
        <w:spacing w:line="360" w:lineRule="auto"/>
        <w:ind w:firstLine="420" w:firstLineChars="200"/>
        <w:rPr>
          <w:rFonts w:asciiTheme="minorEastAsia" w:hAnsiTheme="minorEastAsia"/>
          <w:color w:val="0D0D0D" w:themeColor="text1" w:themeTint="F2"/>
          <w14:textFill>
            <w14:solidFill>
              <w14:schemeClr w14:val="tx1">
                <w14:lumMod w14:val="95000"/>
                <w14:lumOff w14:val="5000"/>
              </w14:schemeClr>
            </w14:solidFill>
          </w14:textFill>
        </w:rPr>
        <w:sectPr>
          <w:pgSz w:w="11906" w:h="16838"/>
          <w:pgMar w:top="1440" w:right="1800" w:bottom="1440" w:left="1800" w:header="851" w:footer="992" w:gutter="0"/>
          <w:pgNumType w:start="1"/>
          <w:cols w:space="425" w:num="1"/>
          <w:docGrid w:type="lines" w:linePitch="312" w:charSpace="0"/>
        </w:sectPr>
      </w:pPr>
      <w:bookmarkStart w:id="154" w:name="_Hlt70496289"/>
      <w:bookmarkEnd w:id="154"/>
      <w:r>
        <w:rPr>
          <w:rFonts w:hint="eastAsia" w:asciiTheme="minorEastAsia" w:hAnsiTheme="minorEastAsia"/>
          <w:color w:val="0D0D0D" w:themeColor="text1" w:themeTint="F2"/>
          <w14:textFill>
            <w14:solidFill>
              <w14:schemeClr w14:val="tx1">
                <w14:lumMod w14:val="95000"/>
                <w14:lumOff w14:val="5000"/>
              </w14:schemeClr>
            </w14:solidFill>
          </w14:textFill>
        </w:rPr>
        <w:t>本基金运作过程中涉及的各纳税主体，其纳税义务按国家税收法律、法规执行。基金财产投资的相关税收，由基金份额持有人承担，基金管理人或者其他扣缴义务人按照国家有关税收征收的规定代扣代缴。</w:t>
      </w:r>
    </w:p>
    <w:p w14:paraId="1CEBE2D4">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155" w:name="_Toc14674"/>
      <w:bookmarkStart w:id="156" w:name="_Toc91110284"/>
      <w:r>
        <w:rPr>
          <w:rFonts w:ascii="宋体" w:hAnsi="宋体" w:eastAsia="宋体" w:cs="Arial"/>
          <w:kern w:val="0"/>
          <w:sz w:val="28"/>
          <w:szCs w:val="28"/>
        </w:rPr>
        <w:t>第十</w:t>
      </w:r>
      <w:r>
        <w:rPr>
          <w:rFonts w:hint="eastAsia" w:ascii="宋体" w:hAnsi="宋体" w:eastAsia="宋体" w:cs="Arial"/>
          <w:kern w:val="0"/>
          <w:sz w:val="28"/>
          <w:szCs w:val="28"/>
        </w:rPr>
        <w:t>六</w:t>
      </w:r>
      <w:r>
        <w:rPr>
          <w:rFonts w:ascii="宋体" w:hAnsi="宋体" w:eastAsia="宋体" w:cs="Arial"/>
          <w:kern w:val="0"/>
          <w:sz w:val="28"/>
          <w:szCs w:val="28"/>
        </w:rPr>
        <w:t>部分  基金的会计与审计</w:t>
      </w:r>
      <w:bookmarkEnd w:id="152"/>
      <w:bookmarkEnd w:id="153"/>
      <w:bookmarkEnd w:id="155"/>
      <w:bookmarkEnd w:id="156"/>
    </w:p>
    <w:p w14:paraId="2069ABBF">
      <w:pPr>
        <w:snapToGrid w:val="0"/>
        <w:spacing w:line="360" w:lineRule="auto"/>
        <w:ind w:firstLine="422" w:firstLineChars="200"/>
        <w:rPr>
          <w:rFonts w:asciiTheme="minorEastAsia" w:hAnsiTheme="minorEastAsia"/>
          <w:b/>
          <w:bCs/>
        </w:rPr>
      </w:pPr>
      <w:bookmarkStart w:id="157" w:name="_Hlk95333890"/>
      <w:bookmarkStart w:id="158" w:name="_Toc79978642"/>
      <w:bookmarkStart w:id="159" w:name="_Toc214873604"/>
      <w:r>
        <w:rPr>
          <w:rFonts w:hint="eastAsia" w:asciiTheme="minorEastAsia" w:hAnsiTheme="minorEastAsia"/>
          <w:b/>
          <w:bCs/>
        </w:rPr>
        <w:t>一、基金会计政策</w:t>
      </w:r>
    </w:p>
    <w:p w14:paraId="10EE71DE">
      <w:pPr>
        <w:snapToGrid w:val="0"/>
        <w:spacing w:line="360" w:lineRule="auto"/>
        <w:ind w:firstLine="420" w:firstLineChars="200"/>
        <w:rPr>
          <w:rFonts w:asciiTheme="minorEastAsia" w:hAnsiTheme="minorEastAsia"/>
        </w:rPr>
      </w:pPr>
      <w:r>
        <w:rPr>
          <w:rFonts w:hint="eastAsia" w:asciiTheme="minorEastAsia" w:hAnsiTheme="minorEastAsia"/>
        </w:rPr>
        <w:t>1、基金管理人为本基金的基金会计责任方；</w:t>
      </w:r>
    </w:p>
    <w:p w14:paraId="2692FCF5">
      <w:pPr>
        <w:snapToGrid w:val="0"/>
        <w:spacing w:line="360" w:lineRule="auto"/>
        <w:ind w:firstLine="420" w:firstLineChars="200"/>
        <w:rPr>
          <w:rFonts w:asciiTheme="minorEastAsia" w:hAnsiTheme="minorEastAsia"/>
        </w:rPr>
      </w:pPr>
      <w:r>
        <w:rPr>
          <w:rFonts w:hint="eastAsia" w:asciiTheme="minorEastAsia" w:hAnsiTheme="minorEastAsia"/>
        </w:rPr>
        <w:t>2、基金的会计年度为公历年度的1月1日至12月31日；基金首次募集的会计年度按如下原则：如果《基金合同》生效少于2个月，可以并入下一个会计年度披露；</w:t>
      </w:r>
    </w:p>
    <w:p w14:paraId="6FFF1C64">
      <w:pPr>
        <w:snapToGrid w:val="0"/>
        <w:spacing w:line="360" w:lineRule="auto"/>
        <w:ind w:firstLine="420" w:firstLineChars="200"/>
        <w:rPr>
          <w:rFonts w:asciiTheme="minorEastAsia" w:hAnsiTheme="minorEastAsia"/>
        </w:rPr>
      </w:pPr>
      <w:r>
        <w:rPr>
          <w:rFonts w:hint="eastAsia" w:asciiTheme="minorEastAsia" w:hAnsiTheme="minorEastAsia"/>
        </w:rPr>
        <w:t>3、基金核算以人民币为记账本位币，以人民币元为记账单位；</w:t>
      </w:r>
    </w:p>
    <w:p w14:paraId="28F11CEB">
      <w:pPr>
        <w:snapToGrid w:val="0"/>
        <w:spacing w:line="360" w:lineRule="auto"/>
        <w:ind w:firstLine="420" w:firstLineChars="200"/>
        <w:rPr>
          <w:rFonts w:asciiTheme="minorEastAsia" w:hAnsiTheme="minorEastAsia"/>
        </w:rPr>
      </w:pPr>
      <w:r>
        <w:rPr>
          <w:rFonts w:hint="eastAsia" w:asciiTheme="minorEastAsia" w:hAnsiTheme="minorEastAsia"/>
        </w:rPr>
        <w:t>4、会计制度执行国家有关会计制度；</w:t>
      </w:r>
    </w:p>
    <w:p w14:paraId="44EF2F20">
      <w:pPr>
        <w:snapToGrid w:val="0"/>
        <w:spacing w:line="360" w:lineRule="auto"/>
        <w:ind w:firstLine="420" w:firstLineChars="200"/>
        <w:rPr>
          <w:rFonts w:asciiTheme="minorEastAsia" w:hAnsiTheme="minorEastAsia"/>
        </w:rPr>
      </w:pPr>
      <w:r>
        <w:rPr>
          <w:rFonts w:hint="eastAsia" w:asciiTheme="minorEastAsia" w:hAnsiTheme="minorEastAsia"/>
        </w:rPr>
        <w:t>5、本基金独立建账、独立核算；</w:t>
      </w:r>
    </w:p>
    <w:p w14:paraId="26EFAA9B">
      <w:pPr>
        <w:snapToGrid w:val="0"/>
        <w:spacing w:line="360" w:lineRule="auto"/>
        <w:ind w:firstLine="420" w:firstLineChars="200"/>
        <w:rPr>
          <w:rFonts w:asciiTheme="minorEastAsia" w:hAnsiTheme="minorEastAsia"/>
        </w:rPr>
      </w:pPr>
      <w:r>
        <w:rPr>
          <w:rFonts w:hint="eastAsia" w:asciiTheme="minorEastAsia" w:hAnsiTheme="minorEastAsia"/>
        </w:rPr>
        <w:t>6、基金管理人及基金托管人各自保留完整的会计账目、凭证并进行日常的会计核算，按照有关规定编制基金会计报表；</w:t>
      </w:r>
    </w:p>
    <w:p w14:paraId="5370B6D4">
      <w:pPr>
        <w:snapToGrid w:val="0"/>
        <w:spacing w:line="360" w:lineRule="auto"/>
        <w:ind w:firstLine="420" w:firstLineChars="200"/>
        <w:rPr>
          <w:rFonts w:asciiTheme="minorEastAsia" w:hAnsiTheme="minorEastAsia"/>
        </w:rPr>
      </w:pPr>
      <w:r>
        <w:rPr>
          <w:rFonts w:hint="eastAsia" w:asciiTheme="minorEastAsia" w:hAnsiTheme="minorEastAsia"/>
        </w:rPr>
        <w:t>7、基金托管人每月与基金管理人就基金的会计核算、报表编制等进行核对并以书面方式确认。</w:t>
      </w:r>
    </w:p>
    <w:p w14:paraId="2622B789">
      <w:pPr>
        <w:snapToGrid w:val="0"/>
        <w:spacing w:line="360" w:lineRule="auto"/>
        <w:ind w:firstLine="422" w:firstLineChars="200"/>
        <w:rPr>
          <w:rFonts w:asciiTheme="minorEastAsia" w:hAnsiTheme="minorEastAsia"/>
          <w:b/>
          <w:bCs/>
        </w:rPr>
      </w:pPr>
      <w:r>
        <w:rPr>
          <w:rFonts w:hint="eastAsia" w:asciiTheme="minorEastAsia" w:hAnsiTheme="minorEastAsia"/>
          <w:b/>
          <w:bCs/>
        </w:rPr>
        <w:t>二、基金的年度审计</w:t>
      </w:r>
    </w:p>
    <w:p w14:paraId="1CE7D86A">
      <w:pPr>
        <w:snapToGrid w:val="0"/>
        <w:spacing w:line="360" w:lineRule="auto"/>
        <w:ind w:firstLine="420" w:firstLineChars="200"/>
        <w:rPr>
          <w:rFonts w:asciiTheme="minorEastAsia" w:hAnsiTheme="minorEastAsia"/>
        </w:rPr>
      </w:pPr>
      <w:r>
        <w:rPr>
          <w:rFonts w:hint="eastAsia" w:asciiTheme="minorEastAsia" w:hAnsiTheme="minorEastAsia"/>
        </w:rPr>
        <w:t>1、基金管理人聘请与基金管理人、基金托管人相互独立且符合《中华人民共和国证券法》规定的会计师事务所及其注册会计师对本基金的年度财务报表进行审计。</w:t>
      </w:r>
    </w:p>
    <w:p w14:paraId="05662597">
      <w:pPr>
        <w:snapToGrid w:val="0"/>
        <w:spacing w:line="360" w:lineRule="auto"/>
        <w:ind w:firstLine="420" w:firstLineChars="200"/>
        <w:rPr>
          <w:rFonts w:asciiTheme="minorEastAsia" w:hAnsiTheme="minorEastAsia"/>
        </w:rPr>
      </w:pPr>
      <w:r>
        <w:rPr>
          <w:rFonts w:hint="eastAsia" w:asciiTheme="minorEastAsia" w:hAnsiTheme="minorEastAsia"/>
        </w:rPr>
        <w:t>2、会计师事务所更换经办注册会计师，应事先征得基金管理人同意。</w:t>
      </w:r>
    </w:p>
    <w:p w14:paraId="3ABCC57B">
      <w:pPr>
        <w:adjustRightInd w:val="0"/>
        <w:snapToGrid w:val="0"/>
        <w:spacing w:line="360" w:lineRule="auto"/>
        <w:rPr>
          <w:rFonts w:cs="Arial" w:asciiTheme="minorEastAsia" w:hAnsiTheme="minorEastAsia"/>
          <w:color w:val="0D0D0D" w:themeColor="text1" w:themeTint="F2"/>
          <w14:textFill>
            <w14:solidFill>
              <w14:schemeClr w14:val="tx1">
                <w14:lumMod w14:val="95000"/>
                <w14:lumOff w14:val="5000"/>
              </w14:schemeClr>
            </w14:solidFill>
          </w14:textFill>
        </w:rPr>
      </w:pPr>
      <w:r>
        <w:rPr>
          <w:rFonts w:hint="eastAsia" w:asciiTheme="minorEastAsia" w:hAnsiTheme="minorEastAsia"/>
        </w:rPr>
        <w:t>3、基金管理人认为有充足理由更换会计师事务所，须通报基金托管人。更换会计师事务所需依照《信息披露办法》在规定媒介公告。</w:t>
      </w:r>
      <w:bookmarkEnd w:id="157"/>
    </w:p>
    <w:p w14:paraId="04E3137E">
      <w:pPr>
        <w:spacing w:line="360" w:lineRule="auto"/>
        <w:ind w:firstLine="562" w:firstLineChars="200"/>
        <w:rPr>
          <w:rFonts w:ascii="宋体" w:hAnsi="宋体" w:cs="Arial"/>
          <w:b/>
          <w:bCs/>
          <w:sz w:val="28"/>
          <w:szCs w:val="28"/>
        </w:rPr>
        <w:sectPr>
          <w:footerReference r:id="rId36" w:type="first"/>
          <w:footerReference r:id="rId35" w:type="default"/>
          <w:pgSz w:w="11906" w:h="16838"/>
          <w:pgMar w:top="1440" w:right="1800" w:bottom="1440" w:left="1800" w:header="851" w:footer="992" w:gutter="0"/>
          <w:pgNumType w:start="1"/>
          <w:cols w:space="720" w:num="1"/>
          <w:docGrid w:linePitch="312" w:charSpace="0"/>
        </w:sectPr>
      </w:pPr>
    </w:p>
    <w:p w14:paraId="11B31166">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160" w:name="_Toc91110285"/>
      <w:bookmarkStart w:id="161" w:name="_Toc22466"/>
      <w:bookmarkStart w:id="162" w:name="_Toc8052755"/>
      <w:r>
        <w:rPr>
          <w:rFonts w:ascii="宋体" w:hAnsi="宋体" w:eastAsia="宋体" w:cs="Arial"/>
          <w:kern w:val="0"/>
          <w:sz w:val="28"/>
          <w:szCs w:val="28"/>
        </w:rPr>
        <w:t>第十</w:t>
      </w:r>
      <w:r>
        <w:rPr>
          <w:rFonts w:hint="eastAsia" w:ascii="宋体" w:hAnsi="宋体" w:eastAsia="宋体" w:cs="Arial"/>
          <w:kern w:val="0"/>
          <w:sz w:val="28"/>
          <w:szCs w:val="28"/>
        </w:rPr>
        <w:t>七</w:t>
      </w:r>
      <w:r>
        <w:rPr>
          <w:rFonts w:ascii="宋体" w:hAnsi="宋体" w:eastAsia="宋体" w:cs="Arial"/>
          <w:kern w:val="0"/>
          <w:sz w:val="28"/>
          <w:szCs w:val="28"/>
        </w:rPr>
        <w:t>部分  基金的信息披露</w:t>
      </w:r>
      <w:bookmarkEnd w:id="160"/>
      <w:bookmarkEnd w:id="161"/>
      <w:bookmarkEnd w:id="162"/>
    </w:p>
    <w:bookmarkEnd w:id="158"/>
    <w:bookmarkEnd w:id="159"/>
    <w:p w14:paraId="1DAF1EBE">
      <w:pPr>
        <w:snapToGrid w:val="0"/>
        <w:spacing w:line="360" w:lineRule="auto"/>
        <w:ind w:firstLine="422" w:firstLineChars="200"/>
        <w:rPr>
          <w:rFonts w:asciiTheme="minorEastAsia" w:hAnsiTheme="minorEastAsia"/>
          <w:b/>
          <w:bCs/>
        </w:rPr>
      </w:pPr>
      <w:bookmarkStart w:id="163" w:name="_Hlk95333928"/>
      <w:bookmarkStart w:id="164" w:name="_Toc147463125"/>
      <w:bookmarkStart w:id="165" w:name="_Toc12357178"/>
      <w:bookmarkStart w:id="166" w:name="_Toc214873605"/>
      <w:bookmarkStart w:id="167" w:name="_Toc21073398"/>
      <w:r>
        <w:rPr>
          <w:rFonts w:hint="eastAsia" w:asciiTheme="minorEastAsia" w:hAnsiTheme="minorEastAsia"/>
          <w:b/>
          <w:bCs/>
        </w:rPr>
        <w:t>一、本基金的信息披露应符合《基金法》、《运作办法》、《信息披露办法》、《流动性风险管理规定》、《基金合同》及其他有关规定。相关法律法规关于信息披露的披露方式、登载媒介、报备方式等规定发生变化时，本基金从其最新规定。</w:t>
      </w:r>
    </w:p>
    <w:p w14:paraId="623B2AB3">
      <w:pPr>
        <w:snapToGrid w:val="0"/>
        <w:spacing w:line="360" w:lineRule="auto"/>
        <w:ind w:firstLine="422" w:firstLineChars="200"/>
        <w:rPr>
          <w:rFonts w:asciiTheme="minorEastAsia" w:hAnsiTheme="minorEastAsia"/>
          <w:b/>
          <w:bCs/>
        </w:rPr>
      </w:pPr>
      <w:r>
        <w:rPr>
          <w:rFonts w:hint="eastAsia" w:asciiTheme="minorEastAsia" w:hAnsiTheme="minorEastAsia"/>
          <w:b/>
          <w:bCs/>
        </w:rPr>
        <w:t>二、信息披露义务人</w:t>
      </w:r>
    </w:p>
    <w:p w14:paraId="12E20067">
      <w:pPr>
        <w:snapToGrid w:val="0"/>
        <w:spacing w:line="360" w:lineRule="auto"/>
        <w:ind w:firstLine="420" w:firstLineChars="200"/>
        <w:rPr>
          <w:rFonts w:asciiTheme="minorEastAsia" w:hAnsiTheme="minorEastAsia"/>
        </w:rPr>
      </w:pPr>
      <w:r>
        <w:rPr>
          <w:rFonts w:hint="eastAsia" w:asciiTheme="minorEastAsia" w:hAnsiTheme="minorEastAsia"/>
        </w:rPr>
        <w:t>本基金信息披露义务人包括基金管理人、基金托管人、召集基金份额持有人大会的基金份额持有人等法律、行政法规和中国证监会规定的自然人、法人和非法人组织。</w:t>
      </w:r>
    </w:p>
    <w:p w14:paraId="03362E10">
      <w:pPr>
        <w:snapToGrid w:val="0"/>
        <w:spacing w:line="360" w:lineRule="auto"/>
        <w:ind w:firstLine="420" w:firstLineChars="200"/>
        <w:rPr>
          <w:rFonts w:asciiTheme="minorEastAsia" w:hAnsiTheme="minorEastAsia"/>
        </w:rPr>
      </w:pPr>
      <w:r>
        <w:rPr>
          <w:rFonts w:hint="eastAsia" w:asciiTheme="minorEastAsia" w:hAnsiTheme="minorEastAsia"/>
        </w:rPr>
        <w:t>本基金信息披露义务人以保护基金份额持有人利益为根本出发点，按照法律法规和中国证监会的规定披露基金信息，并保证所披露信息的真实性、准确性、完整性、及时性、简明性和易得性。</w:t>
      </w:r>
    </w:p>
    <w:p w14:paraId="5091C998">
      <w:pPr>
        <w:snapToGrid w:val="0"/>
        <w:spacing w:line="360" w:lineRule="auto"/>
        <w:ind w:firstLine="420" w:firstLineChars="200"/>
        <w:rPr>
          <w:rFonts w:asciiTheme="minorEastAsia" w:hAnsiTheme="minorEastAsia"/>
        </w:rPr>
      </w:pPr>
      <w:r>
        <w:rPr>
          <w:rFonts w:hint="eastAsia" w:asciiTheme="minorEastAsia" w:hAnsiTheme="minorEastAsia"/>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14:paraId="03EFA564">
      <w:pPr>
        <w:snapToGrid w:val="0"/>
        <w:spacing w:line="360" w:lineRule="auto"/>
        <w:ind w:firstLine="422" w:firstLineChars="200"/>
        <w:rPr>
          <w:rFonts w:asciiTheme="minorEastAsia" w:hAnsiTheme="minorEastAsia"/>
          <w:b/>
          <w:bCs/>
        </w:rPr>
      </w:pPr>
      <w:r>
        <w:rPr>
          <w:rFonts w:hint="eastAsia" w:asciiTheme="minorEastAsia" w:hAnsiTheme="minorEastAsia"/>
          <w:b/>
          <w:bCs/>
        </w:rPr>
        <w:t>三、本基金信息披露义务人承诺公开披露的基金信息，不得有下列行为：</w:t>
      </w:r>
    </w:p>
    <w:p w14:paraId="1BA8974A">
      <w:pPr>
        <w:snapToGrid w:val="0"/>
        <w:spacing w:line="360" w:lineRule="auto"/>
        <w:ind w:firstLine="420" w:firstLineChars="200"/>
        <w:rPr>
          <w:rFonts w:asciiTheme="minorEastAsia" w:hAnsiTheme="minorEastAsia"/>
        </w:rPr>
      </w:pPr>
      <w:r>
        <w:rPr>
          <w:rFonts w:hint="eastAsia" w:asciiTheme="minorEastAsia" w:hAnsiTheme="minorEastAsia"/>
        </w:rPr>
        <w:t>1、虚假记载、误导性陈述或者重大遗漏；</w:t>
      </w:r>
    </w:p>
    <w:p w14:paraId="2DC0C0EF">
      <w:pPr>
        <w:snapToGrid w:val="0"/>
        <w:spacing w:line="360" w:lineRule="auto"/>
        <w:ind w:firstLine="420" w:firstLineChars="200"/>
        <w:rPr>
          <w:rFonts w:asciiTheme="minorEastAsia" w:hAnsiTheme="minorEastAsia"/>
        </w:rPr>
      </w:pPr>
      <w:r>
        <w:rPr>
          <w:rFonts w:hint="eastAsia" w:asciiTheme="minorEastAsia" w:hAnsiTheme="minorEastAsia"/>
        </w:rPr>
        <w:t>2、对证券投资业绩进行预测；</w:t>
      </w:r>
    </w:p>
    <w:p w14:paraId="56B65C80">
      <w:pPr>
        <w:snapToGrid w:val="0"/>
        <w:spacing w:line="360" w:lineRule="auto"/>
        <w:ind w:firstLine="420" w:firstLineChars="200"/>
        <w:rPr>
          <w:rFonts w:asciiTheme="minorEastAsia" w:hAnsiTheme="minorEastAsia"/>
        </w:rPr>
      </w:pPr>
      <w:r>
        <w:rPr>
          <w:rFonts w:hint="eastAsia" w:asciiTheme="minorEastAsia" w:hAnsiTheme="minorEastAsia"/>
        </w:rPr>
        <w:t>3、违规承诺收益或者承担损失；</w:t>
      </w:r>
    </w:p>
    <w:p w14:paraId="2D0785E0">
      <w:pPr>
        <w:snapToGrid w:val="0"/>
        <w:spacing w:line="360" w:lineRule="auto"/>
        <w:ind w:firstLine="420" w:firstLineChars="200"/>
        <w:rPr>
          <w:rFonts w:asciiTheme="minorEastAsia" w:hAnsiTheme="minorEastAsia"/>
        </w:rPr>
      </w:pPr>
      <w:r>
        <w:rPr>
          <w:rFonts w:hint="eastAsia" w:asciiTheme="minorEastAsia" w:hAnsiTheme="minorEastAsia"/>
        </w:rPr>
        <w:t>4、诋毁其他基金管理人、基金托管人或者基金销售机构；</w:t>
      </w:r>
    </w:p>
    <w:p w14:paraId="14A7A105">
      <w:pPr>
        <w:snapToGrid w:val="0"/>
        <w:spacing w:line="360" w:lineRule="auto"/>
        <w:ind w:firstLine="420" w:firstLineChars="200"/>
        <w:rPr>
          <w:rFonts w:asciiTheme="minorEastAsia" w:hAnsiTheme="minorEastAsia"/>
        </w:rPr>
      </w:pPr>
      <w:r>
        <w:rPr>
          <w:rFonts w:hint="eastAsia" w:asciiTheme="minorEastAsia" w:hAnsiTheme="minorEastAsia"/>
        </w:rPr>
        <w:t>5、登载任何自然人、法人和非法人组织的祝贺性、恭维性或推荐性的文字；</w:t>
      </w:r>
    </w:p>
    <w:p w14:paraId="7DD8EA98">
      <w:pPr>
        <w:snapToGrid w:val="0"/>
        <w:spacing w:line="360" w:lineRule="auto"/>
        <w:ind w:firstLine="420" w:firstLineChars="200"/>
        <w:rPr>
          <w:rFonts w:asciiTheme="minorEastAsia" w:hAnsiTheme="minorEastAsia"/>
        </w:rPr>
      </w:pPr>
      <w:r>
        <w:rPr>
          <w:rFonts w:hint="eastAsia" w:asciiTheme="minorEastAsia" w:hAnsiTheme="minorEastAsia"/>
        </w:rPr>
        <w:t>6、中国证监会禁止的其他行为。</w:t>
      </w:r>
    </w:p>
    <w:p w14:paraId="05ACC8C0">
      <w:pPr>
        <w:snapToGrid w:val="0"/>
        <w:spacing w:line="360" w:lineRule="auto"/>
        <w:ind w:firstLine="422" w:firstLineChars="200"/>
        <w:rPr>
          <w:rFonts w:asciiTheme="minorEastAsia" w:hAnsiTheme="minorEastAsia"/>
          <w:b/>
          <w:bCs/>
        </w:rPr>
      </w:pPr>
      <w:r>
        <w:rPr>
          <w:rFonts w:hint="eastAsia" w:asciiTheme="minorEastAsia" w:hAnsiTheme="minorEastAsia"/>
          <w:b/>
          <w:bCs/>
        </w:rPr>
        <w:t>四、本基金公开披露的信息应采用中文文本。如同时采用外文文本的，基金信息披露义务人应保证不同文本的内容一致。不同文本之间发生歧义的，以中文文本为准。</w:t>
      </w:r>
    </w:p>
    <w:p w14:paraId="509E2738">
      <w:pPr>
        <w:snapToGrid w:val="0"/>
        <w:spacing w:line="360" w:lineRule="auto"/>
        <w:ind w:firstLine="420" w:firstLineChars="200"/>
        <w:rPr>
          <w:rFonts w:asciiTheme="minorEastAsia" w:hAnsiTheme="minorEastAsia"/>
        </w:rPr>
      </w:pPr>
      <w:r>
        <w:rPr>
          <w:rFonts w:hint="eastAsia" w:asciiTheme="minorEastAsia" w:hAnsiTheme="minorEastAsia"/>
        </w:rPr>
        <w:t>本基金公开披露的信息采用阿拉伯数字；除特别说明外，货币单位为人民币元。</w:t>
      </w:r>
    </w:p>
    <w:p w14:paraId="5E537565">
      <w:pPr>
        <w:snapToGrid w:val="0"/>
        <w:spacing w:line="360" w:lineRule="auto"/>
        <w:ind w:firstLine="422" w:firstLineChars="200"/>
        <w:rPr>
          <w:rFonts w:asciiTheme="minorEastAsia" w:hAnsiTheme="minorEastAsia"/>
          <w:b/>
          <w:bCs/>
        </w:rPr>
      </w:pPr>
      <w:r>
        <w:rPr>
          <w:rFonts w:hint="eastAsia" w:asciiTheme="minorEastAsia" w:hAnsiTheme="minorEastAsia"/>
          <w:b/>
          <w:bCs/>
        </w:rPr>
        <w:t>五、公开披露的基金信息</w:t>
      </w:r>
    </w:p>
    <w:p w14:paraId="42CB8CAB">
      <w:pPr>
        <w:snapToGrid w:val="0"/>
        <w:spacing w:line="360" w:lineRule="auto"/>
        <w:ind w:firstLine="420" w:firstLineChars="200"/>
        <w:rPr>
          <w:rFonts w:asciiTheme="minorEastAsia" w:hAnsiTheme="minorEastAsia"/>
        </w:rPr>
      </w:pPr>
      <w:r>
        <w:rPr>
          <w:rFonts w:hint="eastAsia" w:asciiTheme="minorEastAsia" w:hAnsiTheme="minorEastAsia"/>
        </w:rPr>
        <w:t>公开披露的基金信息包括：</w:t>
      </w:r>
    </w:p>
    <w:p w14:paraId="15E041F5">
      <w:pPr>
        <w:snapToGrid w:val="0"/>
        <w:spacing w:line="360" w:lineRule="auto"/>
        <w:ind w:firstLine="420" w:firstLineChars="200"/>
        <w:rPr>
          <w:rFonts w:asciiTheme="minorEastAsia" w:hAnsiTheme="minorEastAsia"/>
        </w:rPr>
      </w:pPr>
      <w:r>
        <w:rPr>
          <w:rFonts w:hint="eastAsia" w:asciiTheme="minorEastAsia" w:hAnsiTheme="minorEastAsia"/>
        </w:rPr>
        <w:t>（一）基金招募说明书、基金产品资料概要、基金合同、基金托管协议</w:t>
      </w:r>
    </w:p>
    <w:p w14:paraId="574F1291">
      <w:pPr>
        <w:snapToGrid w:val="0"/>
        <w:spacing w:line="360" w:lineRule="auto"/>
        <w:ind w:firstLine="420" w:firstLineChars="200"/>
        <w:rPr>
          <w:rFonts w:asciiTheme="minorEastAsia" w:hAnsiTheme="minorEastAsia"/>
        </w:rPr>
      </w:pPr>
      <w:r>
        <w:rPr>
          <w:rFonts w:hint="eastAsia" w:asciiTheme="minorEastAsia" w:hAnsiTheme="minorEastAsia"/>
        </w:rPr>
        <w:t>1、基金合同是界定基金合同当事人的各项权利、义务关系，明确基金份额持有人大会召开的规则及具体程序，说明基金产品的特性等涉及基金投资者重大利益的事项的法律文件。</w:t>
      </w:r>
    </w:p>
    <w:p w14:paraId="0F883838">
      <w:pPr>
        <w:snapToGrid w:val="0"/>
        <w:spacing w:line="360" w:lineRule="auto"/>
        <w:ind w:firstLine="420" w:firstLineChars="200"/>
        <w:rPr>
          <w:rFonts w:asciiTheme="minorEastAsia" w:hAnsiTheme="minorEastAsia"/>
        </w:rPr>
      </w:pPr>
      <w:r>
        <w:rPr>
          <w:rFonts w:hint="eastAsia" w:asciiTheme="minorEastAsia" w:hAnsiTheme="minorEastAsia"/>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14:paraId="77E17343">
      <w:pPr>
        <w:snapToGrid w:val="0"/>
        <w:spacing w:line="360" w:lineRule="auto"/>
        <w:ind w:firstLine="420" w:firstLineChars="200"/>
        <w:rPr>
          <w:rFonts w:asciiTheme="minorEastAsia" w:hAnsiTheme="minorEastAsia"/>
        </w:rPr>
      </w:pPr>
      <w:r>
        <w:rPr>
          <w:rFonts w:hint="eastAsia" w:asciiTheme="minorEastAsia" w:hAnsiTheme="minorEastAsia"/>
        </w:rPr>
        <w:t>3、基金托管协议是界定基金托管人和基金管理人在基金财产保管及基金运作监督等活动中的权利、义务关系的法律文件。</w:t>
      </w:r>
    </w:p>
    <w:p w14:paraId="1F0FD704">
      <w:pPr>
        <w:snapToGrid w:val="0"/>
        <w:spacing w:line="360" w:lineRule="auto"/>
        <w:ind w:firstLine="420" w:firstLineChars="200"/>
        <w:rPr>
          <w:rFonts w:asciiTheme="minorEastAsia" w:hAnsiTheme="minorEastAsia"/>
        </w:rPr>
      </w:pPr>
      <w:r>
        <w:rPr>
          <w:rFonts w:hint="eastAsia" w:asciiTheme="minorEastAsia" w:hAnsiTheme="minorEastAsia"/>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14:paraId="3DB869BA">
      <w:pPr>
        <w:snapToGrid w:val="0"/>
        <w:spacing w:line="360" w:lineRule="auto"/>
        <w:ind w:firstLine="420" w:firstLineChars="200"/>
        <w:rPr>
          <w:rFonts w:asciiTheme="minorEastAsia" w:hAnsiTheme="minorEastAsia"/>
        </w:rPr>
      </w:pPr>
      <w:r>
        <w:rPr>
          <w:rFonts w:hint="eastAsia" w:asciiTheme="minorEastAsia" w:hAnsiTheme="minorEastAsia"/>
        </w:rPr>
        <w:t>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14:paraId="66BCE407">
      <w:pPr>
        <w:snapToGrid w:val="0"/>
        <w:spacing w:line="360" w:lineRule="auto"/>
        <w:ind w:firstLine="420" w:firstLineChars="200"/>
        <w:rPr>
          <w:rFonts w:asciiTheme="minorEastAsia" w:hAnsiTheme="minorEastAsia"/>
        </w:rPr>
      </w:pPr>
      <w:r>
        <w:rPr>
          <w:rFonts w:hint="eastAsia" w:asciiTheme="minorEastAsia" w:hAnsiTheme="minorEastAsia"/>
        </w:rPr>
        <w:t>（二）基金份额发售公告</w:t>
      </w:r>
    </w:p>
    <w:p w14:paraId="7784CA1D">
      <w:pPr>
        <w:snapToGrid w:val="0"/>
        <w:spacing w:line="360" w:lineRule="auto"/>
        <w:ind w:firstLine="420" w:firstLineChars="200"/>
        <w:rPr>
          <w:rFonts w:asciiTheme="minorEastAsia" w:hAnsiTheme="minorEastAsia"/>
        </w:rPr>
      </w:pPr>
      <w:r>
        <w:rPr>
          <w:rFonts w:hint="eastAsia" w:asciiTheme="minorEastAsia" w:hAnsiTheme="minorEastAsia"/>
        </w:rPr>
        <w:t>基金管理人应当就基金份额发售的具体事宜编制基金份额发售公告。</w:t>
      </w:r>
    </w:p>
    <w:p w14:paraId="3C4AB81E">
      <w:pPr>
        <w:snapToGrid w:val="0"/>
        <w:spacing w:line="360" w:lineRule="auto"/>
        <w:ind w:firstLine="420" w:firstLineChars="200"/>
        <w:rPr>
          <w:rFonts w:asciiTheme="minorEastAsia" w:hAnsiTheme="minorEastAsia"/>
        </w:rPr>
      </w:pPr>
      <w:r>
        <w:rPr>
          <w:rFonts w:hint="eastAsia" w:asciiTheme="minorEastAsia" w:hAnsiTheme="minorEastAsia"/>
        </w:rPr>
        <w:t>（三）《基金合同》生效公告</w:t>
      </w:r>
    </w:p>
    <w:p w14:paraId="19861ADC">
      <w:pPr>
        <w:snapToGrid w:val="0"/>
        <w:spacing w:line="360" w:lineRule="auto"/>
        <w:ind w:firstLine="420" w:firstLineChars="200"/>
        <w:rPr>
          <w:rFonts w:asciiTheme="minorEastAsia" w:hAnsiTheme="minorEastAsia"/>
        </w:rPr>
      </w:pPr>
      <w:r>
        <w:rPr>
          <w:rFonts w:hint="eastAsia" w:asciiTheme="minorEastAsia" w:hAnsiTheme="minorEastAsia"/>
        </w:rPr>
        <w:t>基金管理人应当在收到中国证监会确认文件的次日在规定报刊和规定网站上登载《基金合同》生效公告。</w:t>
      </w:r>
    </w:p>
    <w:p w14:paraId="48C13A18">
      <w:pPr>
        <w:snapToGrid w:val="0"/>
        <w:spacing w:line="360" w:lineRule="auto"/>
        <w:ind w:firstLine="420" w:firstLineChars="200"/>
        <w:rPr>
          <w:rFonts w:asciiTheme="minorEastAsia" w:hAnsiTheme="minorEastAsia"/>
        </w:rPr>
      </w:pPr>
      <w:r>
        <w:rPr>
          <w:rFonts w:hint="eastAsia" w:asciiTheme="minorEastAsia" w:hAnsiTheme="minorEastAsia"/>
        </w:rPr>
        <w:t>（四）基金份额上市交易公告书</w:t>
      </w:r>
    </w:p>
    <w:p w14:paraId="37DE9232">
      <w:pPr>
        <w:snapToGrid w:val="0"/>
        <w:spacing w:line="360" w:lineRule="auto"/>
        <w:ind w:firstLine="420" w:firstLineChars="200"/>
        <w:rPr>
          <w:rFonts w:asciiTheme="minorEastAsia" w:hAnsiTheme="minorEastAsia"/>
        </w:rPr>
      </w:pPr>
      <w:r>
        <w:rPr>
          <w:rFonts w:hint="eastAsia" w:asciiTheme="minorEastAsia" w:hAnsiTheme="minorEastAsia"/>
        </w:rPr>
        <w:t>基金份额获准在证券交易所上市交易的，基金管理人应当在基金份额上市交易的3个工作日前，将基金份额上市交易公告书登载在规定网站上，并将上市交易公告书提示性公告登载在规定报刊上。</w:t>
      </w:r>
    </w:p>
    <w:p w14:paraId="709B5C15">
      <w:pPr>
        <w:snapToGrid w:val="0"/>
        <w:spacing w:line="360" w:lineRule="auto"/>
        <w:ind w:firstLine="420" w:firstLineChars="200"/>
        <w:rPr>
          <w:rFonts w:asciiTheme="minorEastAsia" w:hAnsiTheme="minorEastAsia"/>
        </w:rPr>
      </w:pPr>
      <w:r>
        <w:rPr>
          <w:rFonts w:hint="eastAsia" w:asciiTheme="minorEastAsia" w:hAnsiTheme="minorEastAsia"/>
        </w:rPr>
        <w:t>（五）基金份额折算日和折算结果公告</w:t>
      </w:r>
    </w:p>
    <w:p w14:paraId="13287C41">
      <w:pPr>
        <w:snapToGrid w:val="0"/>
        <w:spacing w:line="360" w:lineRule="auto"/>
        <w:ind w:firstLine="420" w:firstLineChars="200"/>
        <w:rPr>
          <w:rFonts w:asciiTheme="minorEastAsia" w:hAnsiTheme="minorEastAsia"/>
        </w:rPr>
      </w:pPr>
      <w:r>
        <w:rPr>
          <w:rFonts w:hint="eastAsia" w:asciiTheme="minorEastAsia" w:hAnsiTheme="minorEastAsia"/>
        </w:rPr>
        <w:t xml:space="preserve">基金管理人确定基金份额折算日，并依照《信息披露办法》的有关规定将基金份额折算日公告登载于规定媒介上。 </w:t>
      </w:r>
    </w:p>
    <w:p w14:paraId="13338F60">
      <w:pPr>
        <w:snapToGrid w:val="0"/>
        <w:spacing w:line="360" w:lineRule="auto"/>
        <w:ind w:firstLine="420" w:firstLineChars="200"/>
        <w:rPr>
          <w:rFonts w:asciiTheme="minorEastAsia" w:hAnsiTheme="minorEastAsia"/>
        </w:rPr>
      </w:pPr>
      <w:r>
        <w:rPr>
          <w:rFonts w:hint="eastAsia" w:asciiTheme="minorEastAsia" w:hAnsiTheme="minorEastAsia"/>
        </w:rPr>
        <w:t>基金份额进行折算并由登记机构完成基金份额的变更登记后，基金管理人将基金份额折算结果公告登载于规定媒介上。</w:t>
      </w:r>
    </w:p>
    <w:p w14:paraId="3C100D79">
      <w:pPr>
        <w:snapToGrid w:val="0"/>
        <w:spacing w:line="360" w:lineRule="auto"/>
        <w:ind w:firstLine="420" w:firstLineChars="200"/>
        <w:rPr>
          <w:rFonts w:asciiTheme="minorEastAsia" w:hAnsiTheme="minorEastAsia"/>
        </w:rPr>
      </w:pPr>
      <w:r>
        <w:rPr>
          <w:rFonts w:hint="eastAsia" w:asciiTheme="minorEastAsia" w:hAnsiTheme="minorEastAsia"/>
        </w:rPr>
        <w:t>（六）基金净值信息</w:t>
      </w:r>
    </w:p>
    <w:p w14:paraId="4EE1AC41">
      <w:pPr>
        <w:snapToGrid w:val="0"/>
        <w:spacing w:line="360" w:lineRule="auto"/>
        <w:ind w:firstLine="420" w:firstLineChars="200"/>
        <w:rPr>
          <w:rFonts w:asciiTheme="minorEastAsia" w:hAnsiTheme="minorEastAsia"/>
        </w:rPr>
      </w:pPr>
      <w:r>
        <w:rPr>
          <w:rFonts w:hint="eastAsia" w:asciiTheme="minorEastAsia" w:hAnsiTheme="minorEastAsia"/>
        </w:rPr>
        <w:t>《基金合同》生效后，在基金份额上市交易前且开始办理基金份额申购或者赎回前，基金管理人应当至少每周在规定网站披露一次基金份额净值和基金份额累计净值。</w:t>
      </w:r>
    </w:p>
    <w:p w14:paraId="429A1686">
      <w:pPr>
        <w:snapToGrid w:val="0"/>
        <w:spacing w:line="360" w:lineRule="auto"/>
        <w:ind w:firstLine="420" w:firstLineChars="200"/>
        <w:rPr>
          <w:rFonts w:asciiTheme="minorEastAsia" w:hAnsiTheme="minorEastAsia"/>
        </w:rPr>
      </w:pPr>
      <w:r>
        <w:rPr>
          <w:rFonts w:hint="eastAsia" w:asciiTheme="minorEastAsia" w:hAnsiTheme="minorEastAsia"/>
        </w:rPr>
        <w:t>在基金份额上市交易或开始办理基金份额申购或者赎回后，基金管理人应当在不晚于每个开放日的次日，通过规定网站、基金销售机构网站或者营业网点披露开放日的基金份额净值和基金份额累计净值。</w:t>
      </w:r>
    </w:p>
    <w:p w14:paraId="2C5EF583">
      <w:pPr>
        <w:snapToGrid w:val="0"/>
        <w:spacing w:line="360" w:lineRule="auto"/>
        <w:ind w:firstLine="420" w:firstLineChars="200"/>
        <w:rPr>
          <w:rFonts w:asciiTheme="minorEastAsia" w:hAnsiTheme="minorEastAsia"/>
        </w:rPr>
      </w:pPr>
      <w:r>
        <w:rPr>
          <w:rFonts w:hint="eastAsia" w:asciiTheme="minorEastAsia" w:hAnsiTheme="minorEastAsia"/>
        </w:rPr>
        <w:t>基金管理人应当在不晚于半年度和年度最后一日的次日，在规定网站披露半年度和年度最后一日的基金份额净值和基金份额累计净值。</w:t>
      </w:r>
    </w:p>
    <w:p w14:paraId="51FD6C78">
      <w:pPr>
        <w:snapToGrid w:val="0"/>
        <w:spacing w:line="360" w:lineRule="auto"/>
        <w:ind w:firstLine="420" w:firstLineChars="200"/>
        <w:rPr>
          <w:rFonts w:asciiTheme="minorEastAsia" w:hAnsiTheme="minorEastAsia"/>
        </w:rPr>
      </w:pPr>
      <w:r>
        <w:rPr>
          <w:rFonts w:hint="eastAsia" w:asciiTheme="minorEastAsia" w:hAnsiTheme="minorEastAsia"/>
        </w:rPr>
        <w:t>（七）基金份额申购、赎回清单</w:t>
      </w:r>
    </w:p>
    <w:p w14:paraId="0237152F">
      <w:pPr>
        <w:snapToGrid w:val="0"/>
        <w:spacing w:line="360" w:lineRule="auto"/>
        <w:ind w:firstLine="420" w:firstLineChars="200"/>
        <w:rPr>
          <w:rFonts w:asciiTheme="minorEastAsia" w:hAnsiTheme="minorEastAsia"/>
        </w:rPr>
      </w:pPr>
      <w:r>
        <w:rPr>
          <w:rFonts w:hint="eastAsia" w:asciiTheme="minorEastAsia" w:hAnsiTheme="minorEastAsia"/>
        </w:rPr>
        <w:t>在开始办理基金份额申购或者赎回之后，基金管理人应当在每个开放日，通过规定网站、申购赎回代理券商以及其他媒介公告当日的申购、赎回清单。</w:t>
      </w:r>
    </w:p>
    <w:p w14:paraId="16345A88">
      <w:pPr>
        <w:snapToGrid w:val="0"/>
        <w:spacing w:line="360" w:lineRule="auto"/>
        <w:ind w:firstLine="420" w:firstLineChars="200"/>
        <w:rPr>
          <w:rFonts w:asciiTheme="minorEastAsia" w:hAnsiTheme="minorEastAsia"/>
        </w:rPr>
      </w:pPr>
      <w:r>
        <w:rPr>
          <w:rFonts w:hint="eastAsia" w:asciiTheme="minorEastAsia" w:hAnsiTheme="minorEastAsia"/>
        </w:rPr>
        <w:t>（八）基金定期报告，包括基金年度报告、基金中期报告和基金季度报告（含资产组合季度报告）</w:t>
      </w:r>
    </w:p>
    <w:p w14:paraId="7181DE8F">
      <w:pPr>
        <w:snapToGrid w:val="0"/>
        <w:spacing w:line="360" w:lineRule="auto"/>
        <w:ind w:firstLine="420" w:firstLineChars="200"/>
        <w:rPr>
          <w:rFonts w:asciiTheme="minorEastAsia" w:hAnsiTheme="minorEastAsia"/>
        </w:rPr>
      </w:pPr>
      <w:r>
        <w:rPr>
          <w:rFonts w:hint="eastAsia" w:asciiTheme="minorEastAsia" w:hAnsiTheme="minorEastAsia"/>
        </w:rPr>
        <w:t>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w:t>
      </w:r>
    </w:p>
    <w:p w14:paraId="1E440BE9">
      <w:pPr>
        <w:snapToGrid w:val="0"/>
        <w:spacing w:line="360" w:lineRule="auto"/>
        <w:ind w:firstLine="420" w:firstLineChars="200"/>
        <w:rPr>
          <w:rFonts w:asciiTheme="minorEastAsia" w:hAnsiTheme="minorEastAsia"/>
        </w:rPr>
      </w:pPr>
      <w:r>
        <w:rPr>
          <w:rFonts w:hint="eastAsia" w:asciiTheme="minorEastAsia" w:hAnsiTheme="minorEastAsia"/>
        </w:rPr>
        <w:t>基金管理人应当在上半年结束之日起两个月内，编制完成基金中期报告，将中期报告登载在规定网站上，并将中期报告提示性公告登载在规定报刊上。</w:t>
      </w:r>
    </w:p>
    <w:p w14:paraId="3389BC24">
      <w:pPr>
        <w:snapToGrid w:val="0"/>
        <w:spacing w:line="360" w:lineRule="auto"/>
        <w:ind w:firstLine="420" w:firstLineChars="200"/>
        <w:rPr>
          <w:rFonts w:asciiTheme="minorEastAsia" w:hAnsiTheme="minorEastAsia"/>
        </w:rPr>
      </w:pPr>
      <w:r>
        <w:rPr>
          <w:rFonts w:hint="eastAsia" w:asciiTheme="minorEastAsia" w:hAnsiTheme="minorEastAsia"/>
        </w:rPr>
        <w:t>基金管理人应当在季度结束之日起15个工作日内，编制完成基金季度报告，将季度报告登载在规定网站上，并将季度报告提示性公告登载在规定报刊上。</w:t>
      </w:r>
    </w:p>
    <w:p w14:paraId="46038A65">
      <w:pPr>
        <w:snapToGrid w:val="0"/>
        <w:spacing w:line="360" w:lineRule="auto"/>
        <w:ind w:firstLine="420" w:firstLineChars="200"/>
        <w:rPr>
          <w:rFonts w:asciiTheme="minorEastAsia" w:hAnsiTheme="minorEastAsia"/>
        </w:rPr>
      </w:pPr>
      <w:r>
        <w:rPr>
          <w:rFonts w:hint="eastAsia" w:asciiTheme="minorEastAsia" w:hAnsiTheme="minorEastAsia"/>
        </w:rPr>
        <w:t>基金合同生效不足2个月的，本基金管理人可以不编制当期季度报告、中期报告或者年度报告。</w:t>
      </w:r>
    </w:p>
    <w:p w14:paraId="10E10BF4">
      <w:pPr>
        <w:snapToGrid w:val="0"/>
        <w:spacing w:line="360" w:lineRule="auto"/>
        <w:ind w:firstLine="420" w:firstLineChars="200"/>
        <w:rPr>
          <w:rFonts w:asciiTheme="minorEastAsia" w:hAnsiTheme="minorEastAsia"/>
        </w:rPr>
      </w:pPr>
      <w:r>
        <w:rPr>
          <w:rFonts w:hint="eastAsia" w:asciiTheme="minorEastAsia" w:hAnsiTheme="minorEastAsia"/>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24943927">
      <w:pPr>
        <w:snapToGrid w:val="0"/>
        <w:spacing w:line="360" w:lineRule="auto"/>
        <w:ind w:firstLine="420" w:firstLineChars="200"/>
        <w:rPr>
          <w:rFonts w:asciiTheme="minorEastAsia" w:hAnsiTheme="minorEastAsia"/>
        </w:rPr>
      </w:pPr>
      <w:r>
        <w:rPr>
          <w:rFonts w:hint="eastAsia" w:asciiTheme="minorEastAsia" w:hAnsiTheme="minorEastAsia"/>
        </w:rPr>
        <w:t>基金管理人应当在基金年度报告和中期报告中披露基金组合资产情况及其流动性风险分析等。</w:t>
      </w:r>
    </w:p>
    <w:p w14:paraId="656158C5">
      <w:pPr>
        <w:snapToGrid w:val="0"/>
        <w:spacing w:line="360" w:lineRule="auto"/>
        <w:ind w:firstLine="420" w:firstLineChars="200"/>
        <w:rPr>
          <w:rFonts w:asciiTheme="minorEastAsia" w:hAnsiTheme="minorEastAsia"/>
        </w:rPr>
      </w:pPr>
      <w:r>
        <w:rPr>
          <w:rFonts w:hint="eastAsia" w:asciiTheme="minorEastAsia" w:hAnsiTheme="minorEastAsia"/>
        </w:rPr>
        <w:t>（九）临时报告</w:t>
      </w:r>
    </w:p>
    <w:p w14:paraId="629761F8">
      <w:pPr>
        <w:snapToGrid w:val="0"/>
        <w:spacing w:line="360" w:lineRule="auto"/>
        <w:ind w:firstLine="420" w:firstLineChars="200"/>
        <w:rPr>
          <w:rFonts w:asciiTheme="minorEastAsia" w:hAnsiTheme="minorEastAsia"/>
        </w:rPr>
      </w:pPr>
      <w:r>
        <w:rPr>
          <w:rFonts w:hint="eastAsia" w:asciiTheme="minorEastAsia" w:hAnsiTheme="minorEastAsia"/>
        </w:rPr>
        <w:t>本基金发生重大事件，有关信息披露义务人应当依照《信息披露办法》编制临时报告书，并登载在规定报刊和规定网站上。</w:t>
      </w:r>
    </w:p>
    <w:p w14:paraId="64965037">
      <w:pPr>
        <w:snapToGrid w:val="0"/>
        <w:spacing w:line="360" w:lineRule="auto"/>
        <w:ind w:firstLine="420" w:firstLineChars="200"/>
        <w:rPr>
          <w:rFonts w:asciiTheme="minorEastAsia" w:hAnsiTheme="minorEastAsia"/>
        </w:rPr>
      </w:pPr>
      <w:r>
        <w:rPr>
          <w:rFonts w:hint="eastAsia" w:asciiTheme="minorEastAsia" w:hAnsiTheme="minorEastAsia"/>
        </w:rPr>
        <w:t>前款所称重大事件，是指可能对基金份额持有人权益或者基金份额的价格产生重大影响的下列事件：</w:t>
      </w:r>
    </w:p>
    <w:p w14:paraId="7590481C">
      <w:pPr>
        <w:snapToGrid w:val="0"/>
        <w:spacing w:line="360" w:lineRule="auto"/>
        <w:ind w:firstLine="420" w:firstLineChars="200"/>
        <w:rPr>
          <w:rFonts w:asciiTheme="minorEastAsia" w:hAnsiTheme="minorEastAsia"/>
        </w:rPr>
      </w:pPr>
      <w:r>
        <w:rPr>
          <w:rFonts w:hint="eastAsia" w:asciiTheme="minorEastAsia" w:hAnsiTheme="minorEastAsia"/>
        </w:rPr>
        <w:t>1、基金份额持有人大会的召开及决定的事项；</w:t>
      </w:r>
    </w:p>
    <w:p w14:paraId="3B2B5D39">
      <w:pPr>
        <w:snapToGrid w:val="0"/>
        <w:spacing w:line="360" w:lineRule="auto"/>
        <w:ind w:firstLine="420" w:firstLineChars="200"/>
        <w:rPr>
          <w:rFonts w:asciiTheme="minorEastAsia" w:hAnsiTheme="minorEastAsia"/>
        </w:rPr>
      </w:pPr>
      <w:r>
        <w:rPr>
          <w:rFonts w:hint="eastAsia" w:asciiTheme="minorEastAsia" w:hAnsiTheme="minorEastAsia"/>
        </w:rPr>
        <w:t>2、基金合同终止、基金清算；</w:t>
      </w:r>
    </w:p>
    <w:p w14:paraId="09A421B6">
      <w:pPr>
        <w:snapToGrid w:val="0"/>
        <w:spacing w:line="360" w:lineRule="auto"/>
        <w:ind w:firstLine="420" w:firstLineChars="200"/>
        <w:rPr>
          <w:rFonts w:asciiTheme="minorEastAsia" w:hAnsiTheme="minorEastAsia"/>
        </w:rPr>
      </w:pPr>
      <w:r>
        <w:rPr>
          <w:rFonts w:hint="eastAsia" w:asciiTheme="minorEastAsia" w:hAnsiTheme="minorEastAsia"/>
        </w:rPr>
        <w:t>3、转换基金运作方式、基金合并；</w:t>
      </w:r>
    </w:p>
    <w:p w14:paraId="78ADF9F6">
      <w:pPr>
        <w:snapToGrid w:val="0"/>
        <w:spacing w:line="360" w:lineRule="auto"/>
        <w:ind w:firstLine="420" w:firstLineChars="200"/>
        <w:rPr>
          <w:rFonts w:asciiTheme="minorEastAsia" w:hAnsiTheme="minorEastAsia"/>
        </w:rPr>
      </w:pPr>
      <w:r>
        <w:rPr>
          <w:rFonts w:hint="eastAsia" w:asciiTheme="minorEastAsia" w:hAnsiTheme="minorEastAsia"/>
        </w:rPr>
        <w:t>4、更换基金管理人、基金托管人、基金份额登记机构，基金改聘会计师事务所；</w:t>
      </w:r>
    </w:p>
    <w:p w14:paraId="455B5112">
      <w:pPr>
        <w:snapToGrid w:val="0"/>
        <w:spacing w:line="360" w:lineRule="auto"/>
        <w:ind w:firstLine="420" w:firstLineChars="200"/>
        <w:rPr>
          <w:rFonts w:asciiTheme="minorEastAsia" w:hAnsiTheme="minorEastAsia"/>
        </w:rPr>
      </w:pPr>
      <w:r>
        <w:rPr>
          <w:rFonts w:hint="eastAsia" w:asciiTheme="minorEastAsia" w:hAnsiTheme="minorEastAsia"/>
        </w:rPr>
        <w:t>5、基金管理人委托基金服务机构代为办理基金的份额登记、核算、估值等事项，基金托管人委托基金服务机构代为办理基金的核算、估值、复核等事项；</w:t>
      </w:r>
    </w:p>
    <w:p w14:paraId="5B41FF5F">
      <w:pPr>
        <w:snapToGrid w:val="0"/>
        <w:spacing w:line="360" w:lineRule="auto"/>
        <w:ind w:firstLine="420" w:firstLineChars="200"/>
        <w:rPr>
          <w:rFonts w:asciiTheme="minorEastAsia" w:hAnsiTheme="minorEastAsia"/>
        </w:rPr>
      </w:pPr>
      <w:r>
        <w:rPr>
          <w:rFonts w:hint="eastAsia" w:asciiTheme="minorEastAsia" w:hAnsiTheme="minorEastAsia"/>
        </w:rPr>
        <w:t>6、基金管理人、基金托管人的法定名称、住所发生变更；</w:t>
      </w:r>
    </w:p>
    <w:p w14:paraId="0DEEC591">
      <w:pPr>
        <w:snapToGrid w:val="0"/>
        <w:spacing w:line="360" w:lineRule="auto"/>
        <w:ind w:firstLine="420" w:firstLineChars="200"/>
        <w:rPr>
          <w:rFonts w:asciiTheme="minorEastAsia" w:hAnsiTheme="minorEastAsia"/>
        </w:rPr>
      </w:pPr>
      <w:r>
        <w:rPr>
          <w:rFonts w:hint="eastAsia" w:asciiTheme="minorEastAsia" w:hAnsiTheme="minorEastAsia"/>
        </w:rPr>
        <w:t>7、基金管理人变更持有百分之五以上股权的股东、变更基金管理人的实际控制人；</w:t>
      </w:r>
    </w:p>
    <w:p w14:paraId="1C1E0E4A">
      <w:pPr>
        <w:snapToGrid w:val="0"/>
        <w:spacing w:line="360" w:lineRule="auto"/>
        <w:ind w:firstLine="420" w:firstLineChars="200"/>
        <w:rPr>
          <w:rFonts w:asciiTheme="minorEastAsia" w:hAnsiTheme="minorEastAsia"/>
        </w:rPr>
      </w:pPr>
      <w:r>
        <w:rPr>
          <w:rFonts w:hint="eastAsia" w:asciiTheme="minorEastAsia" w:hAnsiTheme="minorEastAsia"/>
        </w:rPr>
        <w:t>8、基金募集期延长或提前结束募集；</w:t>
      </w:r>
    </w:p>
    <w:p w14:paraId="4816F2B7">
      <w:pPr>
        <w:snapToGrid w:val="0"/>
        <w:spacing w:line="360" w:lineRule="auto"/>
        <w:ind w:firstLine="420" w:firstLineChars="200"/>
        <w:rPr>
          <w:rFonts w:asciiTheme="minorEastAsia" w:hAnsiTheme="minorEastAsia"/>
        </w:rPr>
      </w:pPr>
      <w:r>
        <w:rPr>
          <w:rFonts w:hint="eastAsia" w:asciiTheme="minorEastAsia" w:hAnsiTheme="minorEastAsia"/>
        </w:rPr>
        <w:t>9、基金管理人的高级管理人员、基金经理和基金托管人专门基金托管部门负责人发生变动；</w:t>
      </w:r>
    </w:p>
    <w:p w14:paraId="336A3B69">
      <w:pPr>
        <w:snapToGrid w:val="0"/>
        <w:spacing w:line="360" w:lineRule="auto"/>
        <w:ind w:firstLine="420" w:firstLineChars="200"/>
        <w:rPr>
          <w:rFonts w:asciiTheme="minorEastAsia" w:hAnsiTheme="minorEastAsia"/>
        </w:rPr>
      </w:pPr>
      <w:r>
        <w:rPr>
          <w:rFonts w:hint="eastAsia" w:asciiTheme="minorEastAsia" w:hAnsiTheme="minorEastAsia"/>
        </w:rPr>
        <w:t>10、基金管理人的董事在最近12个月内变更超过百分之五十，基金管理人、基金托管人专门基金托管部门的主要业务人员在最近12个月内变动超过百分之三十；</w:t>
      </w:r>
    </w:p>
    <w:p w14:paraId="0D75F853">
      <w:pPr>
        <w:snapToGrid w:val="0"/>
        <w:spacing w:line="360" w:lineRule="auto"/>
        <w:ind w:firstLine="420" w:firstLineChars="200"/>
        <w:rPr>
          <w:rFonts w:asciiTheme="minorEastAsia" w:hAnsiTheme="minorEastAsia"/>
        </w:rPr>
      </w:pPr>
      <w:r>
        <w:rPr>
          <w:rFonts w:hint="eastAsia" w:asciiTheme="minorEastAsia" w:hAnsiTheme="minorEastAsia"/>
        </w:rPr>
        <w:t>11、涉及基金财产、基金管理业务、基金托管业务的诉讼或仲裁；</w:t>
      </w:r>
    </w:p>
    <w:p w14:paraId="01C43F14">
      <w:pPr>
        <w:snapToGrid w:val="0"/>
        <w:spacing w:line="360" w:lineRule="auto"/>
        <w:ind w:firstLine="420" w:firstLineChars="200"/>
        <w:rPr>
          <w:rFonts w:asciiTheme="minorEastAsia" w:hAnsiTheme="minorEastAsia"/>
        </w:rPr>
      </w:pPr>
      <w:r>
        <w:rPr>
          <w:rFonts w:hint="eastAsia" w:asciiTheme="minorEastAsia" w:hAnsiTheme="minorEastAsia"/>
        </w:rPr>
        <w:t>12、基金管理人或其高级管理人员、基金经理因基金管理业务相关行为受到重大行政处罚、刑事处罚，基金托管人或其专门基金托管部门负责人因基金托管业务相关行为受到重大行政处罚、刑事处罚；</w:t>
      </w:r>
    </w:p>
    <w:p w14:paraId="60B49B36">
      <w:pPr>
        <w:snapToGrid w:val="0"/>
        <w:spacing w:line="360" w:lineRule="auto"/>
        <w:ind w:firstLine="420" w:firstLineChars="200"/>
        <w:rPr>
          <w:rFonts w:asciiTheme="minorEastAsia" w:hAnsiTheme="minorEastAsia"/>
        </w:rPr>
      </w:pPr>
      <w:r>
        <w:rPr>
          <w:rFonts w:hint="eastAsia" w:asciiTheme="minorEastAsia" w:hAnsiTheme="minorEastAsia"/>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14:paraId="0BB34243">
      <w:pPr>
        <w:snapToGrid w:val="0"/>
        <w:spacing w:line="360" w:lineRule="auto"/>
        <w:ind w:firstLine="420" w:firstLineChars="200"/>
        <w:rPr>
          <w:rFonts w:asciiTheme="minorEastAsia" w:hAnsiTheme="minorEastAsia"/>
        </w:rPr>
      </w:pPr>
      <w:r>
        <w:rPr>
          <w:rFonts w:hint="eastAsia" w:asciiTheme="minorEastAsia" w:hAnsiTheme="minorEastAsia"/>
        </w:rPr>
        <w:t>14、基金收益分配事项；</w:t>
      </w:r>
    </w:p>
    <w:p w14:paraId="7701AE12">
      <w:pPr>
        <w:snapToGrid w:val="0"/>
        <w:spacing w:line="360" w:lineRule="auto"/>
        <w:ind w:firstLine="420" w:firstLineChars="200"/>
        <w:rPr>
          <w:rFonts w:asciiTheme="minorEastAsia" w:hAnsiTheme="minorEastAsia"/>
        </w:rPr>
      </w:pPr>
      <w:r>
        <w:rPr>
          <w:rFonts w:hint="eastAsia" w:asciiTheme="minorEastAsia" w:hAnsiTheme="minorEastAsia"/>
        </w:rPr>
        <w:t>15、管理费、托管费、申购费、赎回费等费用计提标准、计提方式和费率发生变更；</w:t>
      </w:r>
    </w:p>
    <w:p w14:paraId="167FEF6A">
      <w:pPr>
        <w:snapToGrid w:val="0"/>
        <w:spacing w:line="360" w:lineRule="auto"/>
        <w:ind w:firstLine="420" w:firstLineChars="200"/>
        <w:rPr>
          <w:rFonts w:asciiTheme="minorEastAsia" w:hAnsiTheme="minorEastAsia"/>
        </w:rPr>
      </w:pPr>
      <w:r>
        <w:rPr>
          <w:rFonts w:hint="eastAsia" w:asciiTheme="minorEastAsia" w:hAnsiTheme="minorEastAsia"/>
        </w:rPr>
        <w:t>16、基金份额净值计价错误达基金份额净值0.5%；</w:t>
      </w:r>
    </w:p>
    <w:p w14:paraId="4510672F">
      <w:pPr>
        <w:snapToGrid w:val="0"/>
        <w:spacing w:line="360" w:lineRule="auto"/>
        <w:ind w:firstLine="420" w:firstLineChars="200"/>
        <w:rPr>
          <w:rFonts w:asciiTheme="minorEastAsia" w:hAnsiTheme="minorEastAsia"/>
        </w:rPr>
      </w:pPr>
      <w:r>
        <w:rPr>
          <w:rFonts w:hint="eastAsia" w:asciiTheme="minorEastAsia" w:hAnsiTheme="minorEastAsia"/>
        </w:rPr>
        <w:t>17、本基金开始办理申购、赎回；</w:t>
      </w:r>
    </w:p>
    <w:p w14:paraId="21536053">
      <w:pPr>
        <w:snapToGrid w:val="0"/>
        <w:spacing w:line="360" w:lineRule="auto"/>
        <w:ind w:firstLine="420" w:firstLineChars="200"/>
        <w:rPr>
          <w:rFonts w:asciiTheme="minorEastAsia" w:hAnsiTheme="minorEastAsia"/>
        </w:rPr>
      </w:pPr>
      <w:r>
        <w:rPr>
          <w:rFonts w:hint="eastAsia" w:asciiTheme="minorEastAsia" w:hAnsiTheme="minorEastAsia"/>
        </w:rPr>
        <w:t>18、本基金暂停接受申购、赎回申请或重新接受申购、赎回申请；</w:t>
      </w:r>
    </w:p>
    <w:p w14:paraId="16A3195C">
      <w:pPr>
        <w:snapToGrid w:val="0"/>
        <w:spacing w:line="360" w:lineRule="auto"/>
        <w:ind w:firstLine="420" w:firstLineChars="200"/>
        <w:rPr>
          <w:rFonts w:asciiTheme="minorEastAsia" w:hAnsiTheme="minorEastAsia"/>
        </w:rPr>
      </w:pPr>
      <w:r>
        <w:rPr>
          <w:rFonts w:hint="eastAsia" w:asciiTheme="minorEastAsia" w:hAnsiTheme="minorEastAsia"/>
        </w:rPr>
        <w:t>19、基金份额停复牌、暂停上市、恢复上市或终止上市交易；</w:t>
      </w:r>
    </w:p>
    <w:p w14:paraId="0A10A3A9">
      <w:pPr>
        <w:snapToGrid w:val="0"/>
        <w:spacing w:line="360" w:lineRule="auto"/>
        <w:ind w:firstLine="420" w:firstLineChars="200"/>
        <w:rPr>
          <w:rFonts w:asciiTheme="minorEastAsia" w:hAnsiTheme="minorEastAsia"/>
        </w:rPr>
      </w:pPr>
      <w:r>
        <w:rPr>
          <w:rFonts w:hint="eastAsia" w:asciiTheme="minorEastAsia" w:hAnsiTheme="minorEastAsia"/>
        </w:rPr>
        <w:t>20、调整最小申购赎回单位、申购赎回方式及申购对价、赎回对价组成；</w:t>
      </w:r>
    </w:p>
    <w:p w14:paraId="3B633794">
      <w:pPr>
        <w:snapToGrid w:val="0"/>
        <w:spacing w:line="360" w:lineRule="auto"/>
        <w:ind w:firstLine="420" w:firstLineChars="200"/>
        <w:rPr>
          <w:rFonts w:asciiTheme="minorEastAsia" w:hAnsiTheme="minorEastAsia"/>
        </w:rPr>
      </w:pPr>
      <w:r>
        <w:rPr>
          <w:rFonts w:hint="eastAsia" w:asciiTheme="minorEastAsia" w:hAnsiTheme="minorEastAsia"/>
        </w:rPr>
        <w:t>21、调整基金份额类别的设置；</w:t>
      </w:r>
    </w:p>
    <w:p w14:paraId="6857F08B">
      <w:pPr>
        <w:snapToGrid w:val="0"/>
        <w:spacing w:line="360" w:lineRule="auto"/>
        <w:ind w:firstLine="420" w:firstLineChars="200"/>
        <w:rPr>
          <w:rFonts w:asciiTheme="minorEastAsia" w:hAnsiTheme="minorEastAsia"/>
        </w:rPr>
      </w:pPr>
      <w:r>
        <w:rPr>
          <w:rFonts w:hint="eastAsia" w:asciiTheme="minorEastAsia" w:hAnsiTheme="minorEastAsia"/>
        </w:rPr>
        <w:t>22、基金推出新业务或服务；</w:t>
      </w:r>
    </w:p>
    <w:p w14:paraId="10B40527">
      <w:pPr>
        <w:snapToGrid w:val="0"/>
        <w:spacing w:line="360" w:lineRule="auto"/>
        <w:ind w:firstLine="420" w:firstLineChars="200"/>
        <w:rPr>
          <w:rFonts w:asciiTheme="minorEastAsia" w:hAnsiTheme="minorEastAsia"/>
        </w:rPr>
      </w:pPr>
      <w:r>
        <w:rPr>
          <w:rFonts w:hint="eastAsia" w:asciiTheme="minorEastAsia" w:hAnsiTheme="minorEastAsia"/>
        </w:rPr>
        <w:t>23、发生涉及本基金申购、赎回事项调整或潜在影响投资者赎回等重大事项时；</w:t>
      </w:r>
    </w:p>
    <w:p w14:paraId="653657EC">
      <w:pPr>
        <w:snapToGrid w:val="0"/>
        <w:spacing w:line="360" w:lineRule="auto"/>
        <w:ind w:firstLine="420" w:firstLineChars="200"/>
        <w:rPr>
          <w:rFonts w:asciiTheme="minorEastAsia" w:hAnsiTheme="minorEastAsia"/>
        </w:rPr>
      </w:pPr>
      <w:r>
        <w:rPr>
          <w:rFonts w:hint="eastAsia" w:asciiTheme="minorEastAsia" w:hAnsiTheme="minorEastAsia"/>
        </w:rPr>
        <w:t>24、基金信息披露义务人认为可能对基金份额持有人权益或者基金份额的价格产生重大影响的其他事项、中国证监会或基金合同规定的其他事项。</w:t>
      </w:r>
    </w:p>
    <w:p w14:paraId="70D7DFC2">
      <w:pPr>
        <w:snapToGrid w:val="0"/>
        <w:spacing w:line="360" w:lineRule="auto"/>
        <w:ind w:firstLine="420" w:firstLineChars="200"/>
        <w:rPr>
          <w:rFonts w:asciiTheme="minorEastAsia" w:hAnsiTheme="minorEastAsia"/>
        </w:rPr>
      </w:pPr>
      <w:r>
        <w:rPr>
          <w:rFonts w:hint="eastAsia" w:asciiTheme="minorEastAsia" w:hAnsiTheme="minorEastAsia"/>
        </w:rPr>
        <w:t>（十）澄清公告</w:t>
      </w:r>
    </w:p>
    <w:p w14:paraId="24B00C51">
      <w:pPr>
        <w:snapToGrid w:val="0"/>
        <w:spacing w:line="360" w:lineRule="auto"/>
        <w:ind w:firstLine="420" w:firstLineChars="200"/>
        <w:rPr>
          <w:rFonts w:asciiTheme="minorEastAsia" w:hAnsiTheme="minorEastAsia"/>
        </w:rPr>
      </w:pPr>
      <w:r>
        <w:rPr>
          <w:rFonts w:hint="eastAsia" w:asciiTheme="minorEastAsia" w:hAnsiTheme="minorEastAsia"/>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基金上市交易的证券交易所。</w:t>
      </w:r>
    </w:p>
    <w:p w14:paraId="10D53634">
      <w:pPr>
        <w:snapToGrid w:val="0"/>
        <w:spacing w:line="360" w:lineRule="auto"/>
        <w:ind w:firstLine="420" w:firstLineChars="200"/>
        <w:rPr>
          <w:rFonts w:asciiTheme="minorEastAsia" w:hAnsiTheme="minorEastAsia"/>
        </w:rPr>
      </w:pPr>
      <w:r>
        <w:rPr>
          <w:rFonts w:hint="eastAsia" w:asciiTheme="minorEastAsia" w:hAnsiTheme="minorEastAsia"/>
        </w:rPr>
        <w:t>（十一）清算报告</w:t>
      </w:r>
    </w:p>
    <w:p w14:paraId="5E8D13E6">
      <w:pPr>
        <w:snapToGrid w:val="0"/>
        <w:spacing w:line="360" w:lineRule="auto"/>
        <w:ind w:firstLine="420" w:firstLineChars="200"/>
        <w:rPr>
          <w:rFonts w:asciiTheme="minorEastAsia" w:hAnsiTheme="minorEastAsia"/>
        </w:rPr>
      </w:pPr>
      <w:r>
        <w:rPr>
          <w:rFonts w:hint="eastAsia" w:asciiTheme="minorEastAsia" w:hAnsiTheme="minorEastAsia"/>
        </w:rPr>
        <w:t>基金终止运作的，基金管理人应当依法组织清算组对基金财产进行清算并作出清算报告。清算报告应当经过符合《中华人民共和国证券法》规定的会计师事务所审计，并由律师事务所出具法律意见书。清算组应当将清算报告登载在规定网站上，并将清算报告提示性公告登载在规定报刊上。</w:t>
      </w:r>
    </w:p>
    <w:p w14:paraId="6541426F">
      <w:pPr>
        <w:snapToGrid w:val="0"/>
        <w:spacing w:line="360" w:lineRule="auto"/>
        <w:ind w:firstLine="420" w:firstLineChars="200"/>
        <w:rPr>
          <w:rFonts w:asciiTheme="minorEastAsia" w:hAnsiTheme="minorEastAsia"/>
        </w:rPr>
      </w:pPr>
      <w:r>
        <w:rPr>
          <w:rFonts w:hint="eastAsia" w:asciiTheme="minorEastAsia" w:hAnsiTheme="minorEastAsia"/>
        </w:rPr>
        <w:t>（十二）基金份额持有人大会决议</w:t>
      </w:r>
    </w:p>
    <w:p w14:paraId="139E7B09">
      <w:pPr>
        <w:snapToGrid w:val="0"/>
        <w:spacing w:line="360" w:lineRule="auto"/>
        <w:ind w:firstLine="420" w:firstLineChars="200"/>
        <w:rPr>
          <w:rFonts w:asciiTheme="minorEastAsia" w:hAnsiTheme="minorEastAsia"/>
        </w:rPr>
      </w:pPr>
      <w:r>
        <w:rPr>
          <w:rFonts w:hint="eastAsia" w:asciiTheme="minorEastAsia" w:hAnsiTheme="minorEastAsia"/>
        </w:rPr>
        <w:t>基金份额持有人大会决定的事项，应当依法报中国证监会备案，并予以公告。</w:t>
      </w:r>
    </w:p>
    <w:p w14:paraId="41E2D286">
      <w:pPr>
        <w:snapToGrid w:val="0"/>
        <w:spacing w:line="360" w:lineRule="auto"/>
        <w:ind w:firstLine="420" w:firstLineChars="200"/>
        <w:rPr>
          <w:rFonts w:asciiTheme="minorEastAsia" w:hAnsiTheme="minorEastAsia"/>
        </w:rPr>
      </w:pPr>
      <w:r>
        <w:rPr>
          <w:rFonts w:hint="eastAsia" w:asciiTheme="minorEastAsia" w:hAnsiTheme="minorEastAsia"/>
        </w:rPr>
        <w:t>（十三）基金投资资产支持证券的信息披露</w:t>
      </w:r>
    </w:p>
    <w:p w14:paraId="35B338BF">
      <w:pPr>
        <w:snapToGrid w:val="0"/>
        <w:spacing w:line="360" w:lineRule="auto"/>
        <w:ind w:firstLine="420" w:firstLineChars="200"/>
        <w:rPr>
          <w:rFonts w:asciiTheme="minorEastAsia" w:hAnsiTheme="minorEastAsia"/>
        </w:rPr>
      </w:pPr>
      <w:r>
        <w:rPr>
          <w:rFonts w:hint="eastAsia" w:asciiTheme="minorEastAsia" w:hAnsiTheme="minorEastAsia"/>
        </w:rPr>
        <w:t>本基金投资资产支持证券的，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3794B79A">
      <w:pPr>
        <w:snapToGrid w:val="0"/>
        <w:spacing w:line="360" w:lineRule="auto"/>
        <w:ind w:firstLine="420" w:firstLineChars="200"/>
        <w:rPr>
          <w:rFonts w:asciiTheme="minorEastAsia" w:hAnsiTheme="minorEastAsia"/>
        </w:rPr>
      </w:pPr>
      <w:r>
        <w:rPr>
          <w:rFonts w:hint="eastAsia" w:asciiTheme="minorEastAsia" w:hAnsiTheme="minorEastAsia"/>
        </w:rPr>
        <w:t>（十四）基金参与股指期货、国债期货交易的信息披露</w:t>
      </w:r>
    </w:p>
    <w:p w14:paraId="5F545BF8">
      <w:pPr>
        <w:snapToGrid w:val="0"/>
        <w:spacing w:line="360" w:lineRule="auto"/>
        <w:ind w:firstLine="420" w:firstLineChars="200"/>
        <w:rPr>
          <w:rFonts w:asciiTheme="minorEastAsia" w:hAnsiTheme="minorEastAsia"/>
        </w:rPr>
      </w:pPr>
      <w:r>
        <w:rPr>
          <w:rFonts w:hint="eastAsia" w:asciiTheme="minorEastAsia" w:hAnsiTheme="minorEastAsia"/>
        </w:rPr>
        <w:t>基金管理人应当在基金季度报告、基金中期报告、基金年度报告等定期报告和招募说明书（更新）等文件中披露股指期货、国债期货交易情况，包括交易政策、持仓情况、损益情况、风险指标、估值方法等，并充分揭示股指期货、国债期货交易对基金总体风险的影响以及是否符合既定的交易政策和交易目标等。</w:t>
      </w:r>
    </w:p>
    <w:p w14:paraId="42592ECE">
      <w:pPr>
        <w:snapToGrid w:val="0"/>
        <w:spacing w:line="360" w:lineRule="auto"/>
        <w:ind w:firstLine="420" w:firstLineChars="200"/>
        <w:rPr>
          <w:rFonts w:asciiTheme="minorEastAsia" w:hAnsiTheme="minorEastAsia"/>
        </w:rPr>
      </w:pPr>
      <w:r>
        <w:rPr>
          <w:rFonts w:hint="eastAsia" w:asciiTheme="minorEastAsia" w:hAnsiTheme="minorEastAsia"/>
        </w:rPr>
        <w:t>（十五）基金投资股票期权的信息披露</w:t>
      </w:r>
    </w:p>
    <w:p w14:paraId="72657C62">
      <w:pPr>
        <w:snapToGrid w:val="0"/>
        <w:spacing w:line="360" w:lineRule="auto"/>
        <w:ind w:firstLine="420" w:firstLineChars="200"/>
        <w:rPr>
          <w:rFonts w:asciiTheme="minorEastAsia" w:hAnsiTheme="minorEastAsia"/>
        </w:rPr>
      </w:pPr>
      <w:r>
        <w:rPr>
          <w:rFonts w:hint="eastAsia" w:asciiTheme="minorEastAsia" w:hAnsiTheme="minorEastAsia"/>
        </w:rPr>
        <w:t>基金管理人应当在基金季度报告、基金中期报告、基金年度报告等定期报告和招募说明书（更新）等文件中披露股票期权交易情况，包括投资政策、持仓情况、损益情况、风险指标、估值方法等，并充分揭示股票期权交易对基金总体风险的影响以及是否符合既定的投资政策和投资目标等。</w:t>
      </w:r>
    </w:p>
    <w:p w14:paraId="3A61BCDB">
      <w:pPr>
        <w:snapToGrid w:val="0"/>
        <w:spacing w:line="360" w:lineRule="auto"/>
        <w:ind w:firstLine="420" w:firstLineChars="200"/>
        <w:rPr>
          <w:rFonts w:asciiTheme="minorEastAsia" w:hAnsiTheme="minorEastAsia"/>
        </w:rPr>
      </w:pPr>
      <w:r>
        <w:rPr>
          <w:rFonts w:hint="eastAsia" w:asciiTheme="minorEastAsia" w:hAnsiTheme="minorEastAsia"/>
        </w:rPr>
        <w:t>（十六）参与融资和转融通证券出借业务的信息披露</w:t>
      </w:r>
    </w:p>
    <w:p w14:paraId="5296DDC5">
      <w:pPr>
        <w:snapToGrid w:val="0"/>
        <w:spacing w:line="360" w:lineRule="auto"/>
        <w:ind w:firstLine="420" w:firstLineChars="200"/>
        <w:rPr>
          <w:rFonts w:asciiTheme="minorEastAsia" w:hAnsiTheme="minorEastAsia"/>
        </w:rPr>
      </w:pPr>
      <w:r>
        <w:rPr>
          <w:rFonts w:hint="eastAsia" w:asciiTheme="minorEastAsia" w:hAnsiTheme="minorEastAsia"/>
        </w:rPr>
        <w:t>本基金参与融资和转融通证券出借业务的，基金管理人应当在季度报告、中期报告、年度报告等定期报告和招募说明书（更新）等文件中披露参与融资和转融通证券出借交易情况，包括投资策略、业务开展情况、损益情况、风险及其管理情况等，并就转融通证券出借业务在报告期内发生的重大关联交易事项做详细说明。</w:t>
      </w:r>
    </w:p>
    <w:p w14:paraId="00C6C1F6">
      <w:pPr>
        <w:snapToGrid w:val="0"/>
        <w:spacing w:line="360" w:lineRule="auto"/>
        <w:ind w:firstLine="420" w:firstLineChars="200"/>
        <w:rPr>
          <w:rFonts w:asciiTheme="minorEastAsia" w:hAnsiTheme="minorEastAsia"/>
        </w:rPr>
      </w:pPr>
      <w:r>
        <w:rPr>
          <w:rFonts w:hint="eastAsia" w:asciiTheme="minorEastAsia" w:hAnsiTheme="minorEastAsia"/>
        </w:rPr>
        <w:t>（十七）基金投资非公开发行股票的信息披露</w:t>
      </w:r>
    </w:p>
    <w:p w14:paraId="640BA35A">
      <w:pPr>
        <w:snapToGrid w:val="0"/>
        <w:spacing w:line="360" w:lineRule="auto"/>
        <w:ind w:firstLine="420" w:firstLineChars="200"/>
        <w:rPr>
          <w:rFonts w:asciiTheme="minorEastAsia" w:hAnsiTheme="minorEastAsia"/>
        </w:rPr>
      </w:pPr>
      <w:r>
        <w:rPr>
          <w:rFonts w:hint="eastAsia" w:asciiTheme="minorEastAsia" w:hAnsiTheme="minorEastAsia"/>
        </w:rPr>
        <w:t>基金管理人应在基金投资非公开发行股票后两个交易日内，在中国证监会规定媒介披露所投资非公开发行股票的名称、数量、总成本、账面价值，以及总成本和账面价值占基金资产净值的比例、锁定期等信息。</w:t>
      </w:r>
    </w:p>
    <w:p w14:paraId="2D869B40">
      <w:pPr>
        <w:snapToGrid w:val="0"/>
        <w:spacing w:line="360" w:lineRule="auto"/>
        <w:ind w:firstLine="420" w:firstLineChars="200"/>
        <w:rPr>
          <w:rFonts w:asciiTheme="minorEastAsia" w:hAnsiTheme="minorEastAsia"/>
        </w:rPr>
      </w:pPr>
      <w:r>
        <w:rPr>
          <w:rFonts w:hint="eastAsia" w:asciiTheme="minorEastAsia" w:hAnsiTheme="minorEastAsia"/>
        </w:rPr>
        <w:t>（十八）中国证监会规定的其他信息</w:t>
      </w:r>
    </w:p>
    <w:p w14:paraId="1FFEA63E">
      <w:pPr>
        <w:snapToGrid w:val="0"/>
        <w:spacing w:line="360" w:lineRule="auto"/>
        <w:ind w:firstLine="422" w:firstLineChars="200"/>
        <w:rPr>
          <w:rFonts w:asciiTheme="minorEastAsia" w:hAnsiTheme="minorEastAsia"/>
          <w:b/>
          <w:bCs/>
        </w:rPr>
      </w:pPr>
      <w:r>
        <w:rPr>
          <w:rFonts w:hint="eastAsia" w:asciiTheme="minorEastAsia" w:hAnsiTheme="minorEastAsia"/>
          <w:b/>
          <w:bCs/>
        </w:rPr>
        <w:t>六、信息披露事务管理</w:t>
      </w:r>
    </w:p>
    <w:p w14:paraId="073C50A6">
      <w:pPr>
        <w:snapToGrid w:val="0"/>
        <w:spacing w:line="360" w:lineRule="auto"/>
        <w:ind w:firstLine="420" w:firstLineChars="200"/>
        <w:rPr>
          <w:rFonts w:asciiTheme="minorEastAsia" w:hAnsiTheme="minorEastAsia"/>
        </w:rPr>
      </w:pPr>
      <w:r>
        <w:rPr>
          <w:rFonts w:hint="eastAsia" w:asciiTheme="minorEastAsia" w:hAnsiTheme="minorEastAsia"/>
        </w:rPr>
        <w:t>基金管理人、基金托管人应当建立健全信息披露管理制度，指定专门部门及高级管理人员负责管理信息披露事务。</w:t>
      </w:r>
    </w:p>
    <w:p w14:paraId="2FEEA5A8">
      <w:pPr>
        <w:snapToGrid w:val="0"/>
        <w:spacing w:line="360" w:lineRule="auto"/>
        <w:ind w:firstLine="420" w:firstLineChars="200"/>
        <w:rPr>
          <w:rFonts w:asciiTheme="minorEastAsia" w:hAnsiTheme="minorEastAsia"/>
        </w:rPr>
      </w:pPr>
      <w:r>
        <w:rPr>
          <w:rFonts w:hint="eastAsia" w:asciiTheme="minorEastAsia" w:hAnsiTheme="minorEastAsia"/>
        </w:rPr>
        <w:t>基金信息披露义务人公开披露基金信息，应当符合中国证监会相关基金信息披露内容与格式准则等法规以及证券交易所的自律管理规则的规定。</w:t>
      </w:r>
    </w:p>
    <w:p w14:paraId="7155DE18">
      <w:pPr>
        <w:snapToGrid w:val="0"/>
        <w:spacing w:line="360" w:lineRule="auto"/>
        <w:ind w:firstLine="420" w:firstLineChars="200"/>
        <w:rPr>
          <w:rFonts w:asciiTheme="minorEastAsia" w:hAnsiTheme="minorEastAsia"/>
        </w:rPr>
      </w:pPr>
      <w:bookmarkStart w:id="168" w:name="_Hlk143270711"/>
      <w:r>
        <w:rPr>
          <w:rFonts w:hint="eastAsia" w:asciiTheme="minorEastAsia" w:hAnsiTheme="minorEastAsia"/>
        </w:rPr>
        <w:t>基金托管人应当按照相关法律法规、中国证监会的规定和基金合同的约定，对基金管理人编制的基金资产净值、基金份额净值、申购对价的现金部分、赎回对价的现金部分、基金定期报告、更新的招募说明书、基金产品资料概要、基金清算报告等公开披露的相关基金信息进行复核、审查，并向基金管理人进行书面或电子确认。</w:t>
      </w:r>
    </w:p>
    <w:p w14:paraId="0636242D">
      <w:pPr>
        <w:snapToGrid w:val="0"/>
        <w:spacing w:line="360" w:lineRule="auto"/>
        <w:ind w:firstLine="420" w:firstLineChars="200"/>
        <w:rPr>
          <w:rFonts w:asciiTheme="minorEastAsia" w:hAnsiTheme="minorEastAsia"/>
        </w:rPr>
      </w:pPr>
      <w:r>
        <w:rPr>
          <w:rFonts w:hint="eastAsia" w:asciiTheme="minorEastAsia" w:hAnsiTheme="minorEastAsia"/>
        </w:rPr>
        <w:t>基金管理人、基金托管人应当在规定报刊中选择一家披露信息的报刊。基金管理人、基金托管人应当向中国证监会基金电子披露网站报送拟披露的基金信息，并保证相关报送信息的真实、准确、完整、及时。</w:t>
      </w:r>
      <w:bookmarkEnd w:id="168"/>
    </w:p>
    <w:p w14:paraId="661683B9">
      <w:pPr>
        <w:snapToGrid w:val="0"/>
        <w:spacing w:line="360" w:lineRule="auto"/>
        <w:ind w:firstLine="420" w:firstLineChars="200"/>
        <w:rPr>
          <w:rFonts w:asciiTheme="minorEastAsia" w:hAnsiTheme="minorEastAsia"/>
        </w:rPr>
      </w:pPr>
      <w:r>
        <w:rPr>
          <w:rFonts w:hint="eastAsia" w:asciiTheme="minorEastAsia" w:hAnsiTheme="minorEastAsia"/>
        </w:rPr>
        <w:t>为基金信息披露义务人公开披露的基金信息出具审计报告、法律意见书的专业机构，应当制作工作底稿，并将相关档案至少保存到《基金合同》终止后10年。</w:t>
      </w:r>
    </w:p>
    <w:p w14:paraId="08C844F3">
      <w:pPr>
        <w:snapToGrid w:val="0"/>
        <w:spacing w:line="360" w:lineRule="auto"/>
        <w:ind w:firstLine="422" w:firstLineChars="200"/>
        <w:rPr>
          <w:rFonts w:asciiTheme="minorEastAsia" w:hAnsiTheme="minorEastAsia"/>
          <w:b/>
          <w:bCs/>
        </w:rPr>
      </w:pPr>
      <w:r>
        <w:rPr>
          <w:rFonts w:hint="eastAsia" w:asciiTheme="minorEastAsia" w:hAnsiTheme="minorEastAsia"/>
          <w:b/>
          <w:bCs/>
        </w:rPr>
        <w:t>七、信息披露文件的存放与查阅</w:t>
      </w:r>
    </w:p>
    <w:p w14:paraId="0609D19B">
      <w:pPr>
        <w:snapToGrid w:val="0"/>
        <w:spacing w:line="360" w:lineRule="auto"/>
        <w:ind w:firstLine="420" w:firstLineChars="200"/>
        <w:rPr>
          <w:rFonts w:asciiTheme="minorEastAsia" w:hAnsiTheme="minorEastAsia"/>
        </w:rPr>
      </w:pPr>
      <w:bookmarkStart w:id="169" w:name="_Hlk143270775"/>
      <w:r>
        <w:rPr>
          <w:rFonts w:hint="eastAsia" w:asciiTheme="minorEastAsia" w:hAnsiTheme="minorEastAsia"/>
        </w:rPr>
        <w:t>依法必须披露的信息发布后，基金管理人、基金托管人应当按照相关法律法规规定将信息置备于各自住所和基金上市交易的证券交易所，供社会公众查阅、复制。</w:t>
      </w:r>
      <w:bookmarkEnd w:id="169"/>
    </w:p>
    <w:p w14:paraId="41BAEB0B">
      <w:pPr>
        <w:snapToGrid w:val="0"/>
        <w:spacing w:line="360" w:lineRule="auto"/>
        <w:ind w:firstLine="420" w:firstLineChars="200"/>
        <w:rPr>
          <w:rFonts w:asciiTheme="minorEastAsia" w:hAnsiTheme="minorEastAsia"/>
        </w:rPr>
      </w:pPr>
      <w:r>
        <w:rPr>
          <w:rFonts w:hint="eastAsia" w:asciiTheme="minorEastAsia" w:hAnsiTheme="minorEastAsia"/>
        </w:rPr>
        <w:t>八、暂停或延迟披露基金相关信息的情形</w:t>
      </w:r>
    </w:p>
    <w:p w14:paraId="3AD7E6A1">
      <w:pPr>
        <w:snapToGrid w:val="0"/>
        <w:spacing w:line="360" w:lineRule="auto"/>
        <w:ind w:firstLine="420" w:firstLineChars="200"/>
        <w:rPr>
          <w:rFonts w:asciiTheme="minorEastAsia" w:hAnsiTheme="minorEastAsia"/>
        </w:rPr>
      </w:pPr>
      <w:r>
        <w:rPr>
          <w:rFonts w:hint="eastAsia" w:asciiTheme="minorEastAsia" w:hAnsiTheme="minorEastAsia"/>
        </w:rPr>
        <w:t>当出现下述情况时，基金管理人和基金托管人可暂停或延迟披露基金相关信息：</w:t>
      </w:r>
    </w:p>
    <w:p w14:paraId="07B77BF8">
      <w:pPr>
        <w:snapToGrid w:val="0"/>
        <w:spacing w:line="360" w:lineRule="auto"/>
        <w:ind w:firstLine="420" w:firstLineChars="200"/>
        <w:rPr>
          <w:rFonts w:asciiTheme="minorEastAsia" w:hAnsiTheme="minorEastAsia"/>
        </w:rPr>
      </w:pPr>
      <w:r>
        <w:rPr>
          <w:rFonts w:hint="eastAsia" w:asciiTheme="minorEastAsia" w:hAnsiTheme="minorEastAsia"/>
        </w:rPr>
        <w:t>1、不可抗力；</w:t>
      </w:r>
    </w:p>
    <w:p w14:paraId="251B8587">
      <w:pPr>
        <w:snapToGrid w:val="0"/>
        <w:spacing w:line="360" w:lineRule="auto"/>
        <w:ind w:firstLine="420" w:firstLineChars="200"/>
        <w:rPr>
          <w:rFonts w:asciiTheme="minorEastAsia" w:hAnsiTheme="minorEastAsia"/>
        </w:rPr>
      </w:pPr>
      <w:r>
        <w:rPr>
          <w:rFonts w:hint="eastAsia" w:asciiTheme="minorEastAsia" w:hAnsiTheme="minorEastAsia"/>
        </w:rPr>
        <w:t>2、</w:t>
      </w:r>
      <w:bookmarkStart w:id="170" w:name="_Hlk143270271"/>
      <w:r>
        <w:rPr>
          <w:rFonts w:hint="eastAsia" w:asciiTheme="minorEastAsia" w:hAnsiTheme="minorEastAsia"/>
        </w:rPr>
        <w:t>基金发生暂停估值的情形</w:t>
      </w:r>
      <w:bookmarkEnd w:id="170"/>
      <w:r>
        <w:rPr>
          <w:rFonts w:hint="eastAsia" w:asciiTheme="minorEastAsia" w:hAnsiTheme="minorEastAsia"/>
        </w:rPr>
        <w:t>；</w:t>
      </w:r>
    </w:p>
    <w:p w14:paraId="25F2812A">
      <w:pPr>
        <w:snapToGrid w:val="0"/>
        <w:spacing w:line="360" w:lineRule="auto"/>
        <w:ind w:firstLine="420" w:firstLineChars="200"/>
        <w:rPr>
          <w:rFonts w:asciiTheme="minorEastAsia" w:hAnsiTheme="minorEastAsia"/>
        </w:rPr>
        <w:sectPr>
          <w:footerReference r:id="rId37" w:type="default"/>
          <w:pgSz w:w="11906" w:h="16838"/>
          <w:pgMar w:top="1440" w:right="1800" w:bottom="1440" w:left="1800" w:header="851" w:footer="992" w:gutter="0"/>
          <w:pgNumType w:start="1"/>
          <w:cols w:space="425" w:num="1"/>
          <w:docGrid w:type="lines" w:linePitch="312" w:charSpace="0"/>
        </w:sectPr>
      </w:pPr>
      <w:r>
        <w:rPr>
          <w:rFonts w:hint="eastAsia" w:asciiTheme="minorEastAsia" w:hAnsiTheme="minorEastAsia"/>
        </w:rPr>
        <w:t>3、法律法规、</w:t>
      </w:r>
      <w:bookmarkStart w:id="171" w:name="_Hlk143270895"/>
      <w:r>
        <w:rPr>
          <w:rFonts w:hint="eastAsia" w:asciiTheme="minorEastAsia" w:hAnsiTheme="minorEastAsia"/>
        </w:rPr>
        <w:t>中国证监会和基金合同认定的其它情形</w:t>
      </w:r>
      <w:bookmarkEnd w:id="171"/>
      <w:r>
        <w:rPr>
          <w:rFonts w:hint="eastAsia" w:asciiTheme="minorEastAsia" w:hAnsiTheme="minorEastAsia"/>
        </w:rPr>
        <w:t>。</w:t>
      </w:r>
      <w:bookmarkEnd w:id="163"/>
    </w:p>
    <w:p w14:paraId="0C50D3CA">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172" w:name="_Toc8052756"/>
      <w:bookmarkStart w:id="173" w:name="_Toc31720"/>
      <w:bookmarkStart w:id="174" w:name="_Toc91110286"/>
      <w:r>
        <w:rPr>
          <w:rFonts w:ascii="宋体" w:hAnsi="宋体" w:eastAsia="宋体" w:cs="Arial"/>
          <w:kern w:val="0"/>
          <w:sz w:val="28"/>
          <w:szCs w:val="28"/>
        </w:rPr>
        <w:t>第十</w:t>
      </w:r>
      <w:r>
        <w:rPr>
          <w:rFonts w:hint="eastAsia" w:ascii="宋体" w:hAnsi="宋体" w:eastAsia="宋体" w:cs="Arial"/>
          <w:kern w:val="0"/>
          <w:sz w:val="28"/>
          <w:szCs w:val="28"/>
        </w:rPr>
        <w:t>八</w:t>
      </w:r>
      <w:r>
        <w:rPr>
          <w:rFonts w:ascii="宋体" w:hAnsi="宋体" w:eastAsia="宋体" w:cs="Arial"/>
          <w:kern w:val="0"/>
          <w:sz w:val="28"/>
          <w:szCs w:val="28"/>
        </w:rPr>
        <w:t>部分  风险揭示</w:t>
      </w:r>
      <w:bookmarkEnd w:id="164"/>
      <w:bookmarkEnd w:id="165"/>
      <w:bookmarkEnd w:id="166"/>
      <w:bookmarkEnd w:id="167"/>
      <w:bookmarkEnd w:id="172"/>
      <w:bookmarkEnd w:id="173"/>
      <w:bookmarkEnd w:id="174"/>
    </w:p>
    <w:p w14:paraId="13D99765">
      <w:pPr>
        <w:adjustRightInd w:val="0"/>
        <w:snapToGrid w:val="0"/>
        <w:spacing w:line="360" w:lineRule="auto"/>
        <w:ind w:firstLine="420"/>
        <w:rPr>
          <w:rFonts w:ascii="宋体" w:hAnsi="宋体" w:cs="Arial"/>
        </w:rPr>
      </w:pPr>
      <w:r>
        <w:rPr>
          <w:rFonts w:ascii="宋体" w:hAnsi="宋体" w:cs="Arial"/>
        </w:rPr>
        <w:t>本基金管理人在总结、借鉴</w:t>
      </w:r>
      <w:r>
        <w:rPr>
          <w:rFonts w:hint="eastAsia" w:ascii="宋体" w:hAnsi="宋体" w:cs="Arial"/>
        </w:rPr>
        <w:t>基金管理人</w:t>
      </w:r>
      <w:r>
        <w:rPr>
          <w:rFonts w:ascii="宋体" w:hAnsi="宋体" w:cs="Arial"/>
        </w:rPr>
        <w:t>旗下已有开放式基金</w:t>
      </w:r>
      <w:r>
        <w:rPr>
          <w:rFonts w:hint="eastAsia" w:ascii="宋体" w:hAnsi="宋体" w:cs="Arial"/>
        </w:rPr>
        <w:t>（包括ETF基金）</w:t>
      </w:r>
      <w:r>
        <w:rPr>
          <w:rFonts w:ascii="宋体" w:hAnsi="宋体" w:cs="Arial"/>
        </w:rPr>
        <w:t>风险管理成熟经验的基础上，针对本基金的特点，确立科学的风险管理理念，建立相应的风险管理体系，对本基金整个投资过程进行有效的风险监控，为基金</w:t>
      </w:r>
      <w:r>
        <w:rPr>
          <w:rFonts w:hint="eastAsia" w:ascii="宋体" w:hAnsi="宋体" w:cs="Arial"/>
        </w:rPr>
        <w:t>份额</w:t>
      </w:r>
      <w:r>
        <w:rPr>
          <w:rFonts w:ascii="宋体" w:hAnsi="宋体" w:cs="Arial"/>
        </w:rPr>
        <w:t>持有人谋取标的指数所表征的市场平均水平的投资收益。</w:t>
      </w:r>
    </w:p>
    <w:p w14:paraId="1D91BB36">
      <w:pPr>
        <w:adjustRightInd w:val="0"/>
        <w:snapToGrid w:val="0"/>
        <w:spacing w:line="360" w:lineRule="auto"/>
        <w:ind w:firstLine="420"/>
        <w:rPr>
          <w:rFonts w:ascii="宋体" w:hAnsi="宋体" w:cs="Arial"/>
        </w:rPr>
      </w:pPr>
      <w:r>
        <w:rPr>
          <w:rFonts w:ascii="宋体" w:hAnsi="宋体" w:cs="Arial"/>
        </w:rPr>
        <w:t>投资于本基金的主要风险</w:t>
      </w:r>
      <w:r>
        <w:rPr>
          <w:rFonts w:hint="eastAsia" w:ascii="宋体" w:hAnsi="宋体" w:cs="Arial"/>
        </w:rPr>
        <w:t>包括以下几个方面：</w:t>
      </w:r>
    </w:p>
    <w:p w14:paraId="7AC7BEF6">
      <w:pPr>
        <w:numPr>
          <w:ilvl w:val="0"/>
          <w:numId w:val="6"/>
        </w:numPr>
        <w:tabs>
          <w:tab w:val="left" w:pos="851"/>
          <w:tab w:val="left" w:pos="1134"/>
        </w:tabs>
        <w:adjustRightInd w:val="0"/>
        <w:snapToGrid w:val="0"/>
        <w:spacing w:line="360" w:lineRule="auto"/>
        <w:ind w:left="0" w:firstLine="426"/>
        <w:outlineLvl w:val="0"/>
        <w:rPr>
          <w:rFonts w:ascii="宋体" w:hAnsi="宋体" w:cs="Arial"/>
          <w:b/>
        </w:rPr>
      </w:pPr>
      <w:bookmarkStart w:id="175" w:name="_Toc293495053"/>
      <w:r>
        <w:rPr>
          <w:rFonts w:ascii="宋体" w:hAnsi="宋体" w:cs="Arial"/>
          <w:b/>
        </w:rPr>
        <w:t>标的指数回报与股票市场平均回报偏离的风险</w:t>
      </w:r>
      <w:bookmarkEnd w:id="175"/>
      <w:r>
        <w:rPr>
          <w:rFonts w:ascii="宋体" w:hAnsi="宋体" w:cs="Arial"/>
          <w:b/>
        </w:rPr>
        <w:t xml:space="preserve"> </w:t>
      </w:r>
    </w:p>
    <w:p w14:paraId="5BF5D3FC">
      <w:pPr>
        <w:adjustRightInd w:val="0"/>
        <w:snapToGrid w:val="0"/>
        <w:spacing w:line="360" w:lineRule="auto"/>
        <w:ind w:firstLine="426"/>
        <w:rPr>
          <w:rFonts w:ascii="宋体" w:hAnsi="宋体" w:cs="Arial"/>
        </w:rPr>
      </w:pPr>
      <w:r>
        <w:rPr>
          <w:rFonts w:ascii="宋体" w:hAnsi="宋体" w:cs="Arial"/>
        </w:rPr>
        <w:t xml:space="preserve">标的指数并不能完全代表整个股票市场。标的指数成份股的平均回报率与整个股票市场的平均回报率可能存在偏离。 </w:t>
      </w:r>
    </w:p>
    <w:p w14:paraId="00D244B1">
      <w:pPr>
        <w:numPr>
          <w:ilvl w:val="0"/>
          <w:numId w:val="6"/>
        </w:numPr>
        <w:tabs>
          <w:tab w:val="left" w:pos="851"/>
          <w:tab w:val="left" w:pos="1134"/>
        </w:tabs>
        <w:adjustRightInd w:val="0"/>
        <w:snapToGrid w:val="0"/>
        <w:spacing w:line="360" w:lineRule="auto"/>
        <w:ind w:left="0" w:firstLine="426"/>
        <w:outlineLvl w:val="0"/>
        <w:rPr>
          <w:rFonts w:ascii="宋体" w:hAnsi="宋体" w:cs="Arial"/>
          <w:b/>
        </w:rPr>
      </w:pPr>
      <w:bookmarkStart w:id="176" w:name="_Toc293495054"/>
      <w:r>
        <w:rPr>
          <w:rFonts w:ascii="宋体" w:hAnsi="宋体" w:cs="Arial"/>
          <w:b/>
        </w:rPr>
        <w:t>标的指数波动的风险</w:t>
      </w:r>
      <w:bookmarkEnd w:id="176"/>
      <w:r>
        <w:rPr>
          <w:rFonts w:ascii="宋体" w:hAnsi="宋体" w:cs="Arial"/>
          <w:b/>
        </w:rPr>
        <w:t xml:space="preserve"> </w:t>
      </w:r>
    </w:p>
    <w:p w14:paraId="1DA1DB1F">
      <w:pPr>
        <w:adjustRightInd w:val="0"/>
        <w:snapToGrid w:val="0"/>
        <w:spacing w:line="360" w:lineRule="auto"/>
        <w:ind w:firstLine="426"/>
        <w:rPr>
          <w:rFonts w:ascii="宋体" w:hAnsi="宋体" w:cs="Arial"/>
        </w:rPr>
      </w:pPr>
      <w:r>
        <w:rPr>
          <w:rFonts w:ascii="宋体" w:hAnsi="宋体" w:cs="Arial"/>
        </w:rPr>
        <w:t xml:space="preserve">标的指数成份股的价格可能受到政治因素、经济因素、上市公司经营状况、投资人心理和交易制度等各种因素的影响而波动，导致指数波动，从而使基金收益水平发生变化，产生风险。 </w:t>
      </w:r>
    </w:p>
    <w:p w14:paraId="655FFD2B">
      <w:pPr>
        <w:numPr>
          <w:ilvl w:val="0"/>
          <w:numId w:val="6"/>
        </w:numPr>
        <w:tabs>
          <w:tab w:val="left" w:pos="851"/>
          <w:tab w:val="left" w:pos="1134"/>
        </w:tabs>
        <w:adjustRightInd w:val="0"/>
        <w:snapToGrid w:val="0"/>
        <w:spacing w:line="360" w:lineRule="auto"/>
        <w:ind w:left="0" w:firstLine="426"/>
        <w:outlineLvl w:val="0"/>
        <w:rPr>
          <w:rFonts w:ascii="宋体" w:hAnsi="宋体" w:cs="Arial"/>
          <w:b/>
        </w:rPr>
      </w:pPr>
      <w:bookmarkStart w:id="177" w:name="_Toc293495055"/>
      <w:r>
        <w:rPr>
          <w:rFonts w:ascii="宋体" w:hAnsi="宋体" w:cs="Arial"/>
          <w:b/>
        </w:rPr>
        <w:t>基金投资组合回报与标的指数回报偏离的风险</w:t>
      </w:r>
      <w:bookmarkEnd w:id="177"/>
      <w:r>
        <w:rPr>
          <w:rFonts w:ascii="宋体" w:hAnsi="宋体" w:cs="Arial"/>
          <w:b/>
        </w:rPr>
        <w:t xml:space="preserve"> </w:t>
      </w:r>
    </w:p>
    <w:p w14:paraId="2E8035D9">
      <w:pPr>
        <w:adjustRightInd w:val="0"/>
        <w:snapToGrid w:val="0"/>
        <w:spacing w:line="360" w:lineRule="auto"/>
        <w:ind w:firstLine="426"/>
        <w:rPr>
          <w:rFonts w:ascii="宋体" w:hAnsi="宋体" w:cs="Arial"/>
        </w:rPr>
      </w:pPr>
      <w:r>
        <w:rPr>
          <w:rFonts w:ascii="宋体" w:hAnsi="宋体" w:cs="Arial"/>
        </w:rPr>
        <w:t xml:space="preserve">以下因素可能使基金投资组合的收益率与标的指数的收益率发生偏离： </w:t>
      </w:r>
    </w:p>
    <w:p w14:paraId="079E921D">
      <w:pPr>
        <w:adjustRightInd w:val="0"/>
        <w:snapToGrid w:val="0"/>
        <w:spacing w:line="360" w:lineRule="auto"/>
        <w:ind w:firstLine="426"/>
        <w:rPr>
          <w:rFonts w:ascii="宋体" w:hAnsi="宋体" w:cs="Arial"/>
        </w:rPr>
      </w:pPr>
      <w:r>
        <w:rPr>
          <w:rFonts w:hint="eastAsia" w:ascii="宋体" w:hAnsi="宋体" w:cs="Arial"/>
        </w:rPr>
        <w:t>1、</w:t>
      </w:r>
      <w:r>
        <w:rPr>
          <w:rFonts w:ascii="宋体" w:hAnsi="宋体" w:cs="Arial"/>
        </w:rPr>
        <w:t xml:space="preserve">由于标的指数调整成份股或变更编制方法，使本基金在相应的组合调整中产生跟踪偏离度与跟踪误差。 </w:t>
      </w:r>
    </w:p>
    <w:p w14:paraId="69581290">
      <w:pPr>
        <w:adjustRightInd w:val="0"/>
        <w:snapToGrid w:val="0"/>
        <w:spacing w:line="360" w:lineRule="auto"/>
        <w:ind w:firstLine="426"/>
        <w:rPr>
          <w:rFonts w:ascii="宋体" w:hAnsi="宋体" w:cs="Arial"/>
        </w:rPr>
      </w:pPr>
      <w:r>
        <w:rPr>
          <w:rFonts w:hint="eastAsia" w:ascii="宋体" w:hAnsi="宋体" w:cs="Arial"/>
        </w:rPr>
        <w:t>2、</w:t>
      </w:r>
      <w:r>
        <w:rPr>
          <w:rFonts w:ascii="宋体" w:hAnsi="宋体" w:cs="Arial"/>
        </w:rPr>
        <w:t xml:space="preserve">由于标的指数成份股发生送配股、增发等行为导致成份股在标的指数中的权重发生变化，使本基金在相应的组合调整中产生跟踪偏离度和跟踪误差。 </w:t>
      </w:r>
    </w:p>
    <w:p w14:paraId="72CD08B5">
      <w:pPr>
        <w:adjustRightInd w:val="0"/>
        <w:snapToGrid w:val="0"/>
        <w:spacing w:line="360" w:lineRule="auto"/>
        <w:ind w:firstLine="426"/>
        <w:rPr>
          <w:rFonts w:ascii="宋体" w:hAnsi="宋体" w:cs="Arial"/>
        </w:rPr>
      </w:pPr>
      <w:r>
        <w:rPr>
          <w:rFonts w:hint="eastAsia" w:ascii="宋体" w:hAnsi="宋体" w:cs="Arial"/>
        </w:rPr>
        <w:t>3、</w:t>
      </w:r>
      <w:r>
        <w:rPr>
          <w:rFonts w:ascii="宋体" w:hAnsi="宋体" w:cs="Arial"/>
        </w:rPr>
        <w:t xml:space="preserve">成份股派发现金红利、成份股增发、送配等所获收益可能导致基金收益率偏离标的指数收益率，从而产生跟踪偏离度。 </w:t>
      </w:r>
    </w:p>
    <w:p w14:paraId="3ED40542">
      <w:pPr>
        <w:adjustRightInd w:val="0"/>
        <w:snapToGrid w:val="0"/>
        <w:spacing w:line="360" w:lineRule="auto"/>
        <w:ind w:firstLine="426"/>
        <w:rPr>
          <w:rFonts w:ascii="宋体" w:hAnsi="宋体" w:cs="Arial"/>
        </w:rPr>
      </w:pPr>
      <w:r>
        <w:rPr>
          <w:rFonts w:hint="eastAsia" w:ascii="宋体" w:hAnsi="宋体" w:cs="Arial"/>
        </w:rPr>
        <w:t>4、</w:t>
      </w:r>
      <w:r>
        <w:rPr>
          <w:rFonts w:ascii="宋体" w:hAnsi="宋体" w:cs="Arial"/>
        </w:rPr>
        <w:t xml:space="preserve">由于成份股停牌、摘牌或流动性差等原因使本基金无法及时调整投资组合或承担冲击成本而产生跟踪偏离度和跟踪误差。 </w:t>
      </w:r>
    </w:p>
    <w:p w14:paraId="66DA9868">
      <w:pPr>
        <w:adjustRightInd w:val="0"/>
        <w:snapToGrid w:val="0"/>
        <w:spacing w:line="360" w:lineRule="auto"/>
        <w:ind w:firstLine="426"/>
        <w:rPr>
          <w:rFonts w:ascii="宋体" w:hAnsi="宋体" w:cs="Arial"/>
        </w:rPr>
      </w:pPr>
      <w:r>
        <w:rPr>
          <w:rFonts w:hint="eastAsia" w:ascii="宋体" w:hAnsi="宋体" w:cs="Arial"/>
        </w:rPr>
        <w:t>5、</w:t>
      </w:r>
      <w:r>
        <w:rPr>
          <w:rFonts w:ascii="宋体" w:hAnsi="宋体" w:cs="Arial"/>
        </w:rPr>
        <w:t>由于基金投资过程中的证券交易成本，以及基金管理费和托管费等费</w:t>
      </w:r>
      <w:r>
        <w:rPr>
          <w:rFonts w:hint="eastAsia" w:ascii="宋体" w:hAnsi="宋体" w:cs="Arial"/>
        </w:rPr>
        <w:t>用</w:t>
      </w:r>
      <w:r>
        <w:rPr>
          <w:rFonts w:ascii="宋体" w:hAnsi="宋体" w:cs="Arial"/>
        </w:rPr>
        <w:t xml:space="preserve">的存在，使基金投资组合与标的指数产生跟踪偏离度与跟踪误差。 </w:t>
      </w:r>
    </w:p>
    <w:p w14:paraId="6B15A90B">
      <w:pPr>
        <w:adjustRightInd w:val="0"/>
        <w:snapToGrid w:val="0"/>
        <w:spacing w:line="360" w:lineRule="auto"/>
        <w:ind w:firstLine="426"/>
        <w:rPr>
          <w:rFonts w:ascii="宋体" w:hAnsi="宋体" w:cs="Arial"/>
        </w:rPr>
      </w:pPr>
      <w:r>
        <w:rPr>
          <w:rFonts w:hint="eastAsia" w:ascii="宋体" w:hAnsi="宋体" w:cs="Arial"/>
        </w:rPr>
        <w:t>6、</w:t>
      </w:r>
      <w:r>
        <w:rPr>
          <w:rFonts w:ascii="宋体" w:hAnsi="宋体" w:cs="Arial"/>
        </w:rPr>
        <w:t xml:space="preserve">在本基金指数化投资过程中，基金管理人的管理能力，例如跟踪指数的水平、技术手段、买入卖出的时机选择等，都会对本基金的收益产生影响，从而影响本基金对标的指数的跟踪程度。 </w:t>
      </w:r>
    </w:p>
    <w:p w14:paraId="3902EDFA">
      <w:pPr>
        <w:adjustRightInd w:val="0"/>
        <w:snapToGrid w:val="0"/>
        <w:spacing w:line="360" w:lineRule="auto"/>
        <w:ind w:firstLine="426"/>
        <w:rPr>
          <w:rFonts w:ascii="宋体" w:hAnsi="宋体" w:cs="Arial"/>
        </w:rPr>
      </w:pPr>
      <w:r>
        <w:rPr>
          <w:rFonts w:hint="eastAsia" w:ascii="宋体" w:hAnsi="宋体" w:cs="Arial"/>
        </w:rPr>
        <w:t>7、</w:t>
      </w:r>
      <w:r>
        <w:rPr>
          <w:rFonts w:ascii="宋体" w:hAnsi="宋体" w:cs="Arial"/>
        </w:rPr>
        <w:t xml:space="preserve">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 </w:t>
      </w:r>
    </w:p>
    <w:p w14:paraId="407067B6">
      <w:pPr>
        <w:numPr>
          <w:ilvl w:val="0"/>
          <w:numId w:val="6"/>
        </w:numPr>
        <w:tabs>
          <w:tab w:val="left" w:pos="851"/>
          <w:tab w:val="left" w:pos="1134"/>
        </w:tabs>
        <w:adjustRightInd w:val="0"/>
        <w:snapToGrid w:val="0"/>
        <w:spacing w:line="360" w:lineRule="auto"/>
        <w:ind w:left="0" w:firstLine="426"/>
        <w:outlineLvl w:val="0"/>
        <w:rPr>
          <w:rFonts w:ascii="宋体" w:hAnsi="宋体" w:cs="Arial"/>
          <w:b/>
        </w:rPr>
      </w:pPr>
      <w:bookmarkStart w:id="178" w:name="_Toc293495056"/>
      <w:r>
        <w:rPr>
          <w:rFonts w:hint="eastAsia" w:ascii="宋体" w:hAnsi="宋体" w:cs="Arial"/>
          <w:b/>
        </w:rPr>
        <w:t>流动性风险</w:t>
      </w:r>
    </w:p>
    <w:p w14:paraId="33478D6E">
      <w:pPr>
        <w:adjustRightInd w:val="0"/>
        <w:snapToGrid w:val="0"/>
        <w:spacing w:line="360" w:lineRule="auto"/>
        <w:ind w:firstLine="426"/>
        <w:rPr>
          <w:rFonts w:ascii="宋体" w:hAnsi="宋体" w:cs="Arial"/>
        </w:rPr>
      </w:pPr>
      <w:r>
        <w:rPr>
          <w:rFonts w:ascii="宋体" w:hAnsi="宋体" w:cs="Arial"/>
        </w:rPr>
        <w:t>1</w:t>
      </w:r>
      <w:r>
        <w:rPr>
          <w:rFonts w:hint="eastAsia" w:ascii="宋体" w:hAnsi="宋体" w:cs="Arial"/>
        </w:rPr>
        <w:t>、本基金交易方式带来的流动性风险</w:t>
      </w:r>
    </w:p>
    <w:p w14:paraId="5B098668">
      <w:pPr>
        <w:adjustRightInd w:val="0"/>
        <w:snapToGrid w:val="0"/>
        <w:spacing w:line="360" w:lineRule="auto"/>
        <w:ind w:firstLine="426"/>
        <w:rPr>
          <w:rFonts w:ascii="宋体" w:hAnsi="宋体" w:cs="Arial"/>
        </w:rPr>
      </w:pPr>
      <w:r>
        <w:rPr>
          <w:rFonts w:hint="eastAsia" w:ascii="宋体" w:hAnsi="宋体" w:cs="Arial"/>
        </w:rPr>
        <w:t>①本基金最小申购、赎回单位设置较高，中小投资者只能在二级市场上按交易价格卖出基金份额。</w:t>
      </w:r>
    </w:p>
    <w:p w14:paraId="17762EA2">
      <w:pPr>
        <w:adjustRightInd w:val="0"/>
        <w:snapToGrid w:val="0"/>
        <w:spacing w:line="360" w:lineRule="auto"/>
        <w:ind w:firstLine="426"/>
        <w:rPr>
          <w:rFonts w:ascii="宋体" w:hAnsi="宋体" w:cs="Arial"/>
        </w:rPr>
      </w:pPr>
      <w:r>
        <w:rPr>
          <w:rFonts w:hint="eastAsia" w:ascii="宋体" w:hAnsi="宋体" w:cs="Arial"/>
        </w:rPr>
        <w:t>②基金将在上海证券交易所上市交易，但不保证市场交易一定活跃；基金的交易可能因各种原因被暂停，当基金不再符合相关上市条件时，基金的上市也可能被终止。</w:t>
      </w:r>
    </w:p>
    <w:p w14:paraId="2BE7B114">
      <w:pPr>
        <w:adjustRightInd w:val="0"/>
        <w:snapToGrid w:val="0"/>
        <w:spacing w:line="360" w:lineRule="auto"/>
        <w:ind w:firstLine="426"/>
        <w:rPr>
          <w:rFonts w:ascii="宋体" w:hAnsi="宋体" w:cs="Arial"/>
        </w:rPr>
      </w:pPr>
      <w:r>
        <w:rPr>
          <w:rFonts w:hint="eastAsia" w:ascii="宋体" w:hAnsi="宋体" w:cs="Arial"/>
        </w:rPr>
        <w:t>③尽管由于投资者可以进行申购、赎回，基金一般不会持续出现大幅折溢价情况。但是，基金的二级市场交易价格受市场供求的影响，可能高于（称为溢价）或低于（称为折价）基金份额净值。</w:t>
      </w:r>
    </w:p>
    <w:p w14:paraId="728116E4">
      <w:pPr>
        <w:adjustRightInd w:val="0"/>
        <w:snapToGrid w:val="0"/>
        <w:spacing w:line="360" w:lineRule="auto"/>
        <w:ind w:firstLine="426"/>
        <w:rPr>
          <w:rFonts w:ascii="宋体" w:hAnsi="宋体" w:cs="Arial"/>
        </w:rPr>
      </w:pPr>
      <w:r>
        <w:rPr>
          <w:rFonts w:hint="eastAsia" w:ascii="宋体" w:hAnsi="宋体" w:cs="Arial"/>
        </w:rPr>
        <w:t>2、拟投资市场、行业及资产的流动性风险评估</w:t>
      </w:r>
    </w:p>
    <w:p w14:paraId="5D5825BB">
      <w:pPr>
        <w:adjustRightInd w:val="0"/>
        <w:snapToGrid w:val="0"/>
        <w:spacing w:line="360" w:lineRule="auto"/>
        <w:ind w:firstLine="426"/>
        <w:rPr>
          <w:rFonts w:ascii="宋体" w:hAnsi="宋体" w:cs="Arial"/>
        </w:rPr>
      </w:pPr>
      <w:r>
        <w:rPr>
          <w:rFonts w:hint="eastAsia" w:ascii="宋体" w:hAnsi="宋体" w:cs="Arial"/>
        </w:rPr>
        <w:t>本基金主要投资于标的指数成份股和备选成份股（含存托凭证）。为更好地实现基金的投资目标，本基金可能会少量投资于具有良好流动性的金融工具，包括依法发行上市的股票（包括存托凭证）、股指期货、股票期权、债券、国债期货、货币市场工具、债券回购、资产支持证券等。投资交易均在依法设立的正规市场中进行，所投市场和资产方面的整体流动性较高。同时，本基金通过投资限制对各类资产的投资比例、期限、评级、杠杆和集中度进行了控制，并严格控制了主动投资于流动性受限资产的比例上限，整体持仓资产的流动性风险较低。</w:t>
      </w:r>
    </w:p>
    <w:p w14:paraId="19AC6F59">
      <w:pPr>
        <w:adjustRightInd w:val="0"/>
        <w:snapToGrid w:val="0"/>
        <w:spacing w:line="360" w:lineRule="auto"/>
        <w:ind w:firstLine="426"/>
        <w:rPr>
          <w:rFonts w:ascii="宋体" w:hAnsi="宋体" w:cs="Arial"/>
        </w:rPr>
      </w:pPr>
      <w:r>
        <w:rPr>
          <w:rFonts w:hint="eastAsia" w:ascii="宋体" w:hAnsi="宋体" w:cs="Arial"/>
        </w:rPr>
        <w:t>3、实施备用的流动性风险管理工具的情形、程序及对投资者的潜在影响</w:t>
      </w:r>
    </w:p>
    <w:p w14:paraId="073858D7">
      <w:pPr>
        <w:adjustRightInd w:val="0"/>
        <w:snapToGrid w:val="0"/>
        <w:spacing w:line="360" w:lineRule="auto"/>
        <w:ind w:firstLine="426"/>
        <w:rPr>
          <w:rFonts w:ascii="宋体" w:hAnsi="宋体" w:cs="Arial"/>
        </w:rPr>
      </w:pPr>
      <w:r>
        <w:rPr>
          <w:rFonts w:hint="eastAsia" w:ascii="宋体" w:hAnsi="宋体" w:cs="Arial"/>
        </w:rPr>
        <w:t>本基金属于开放式基金的一种特殊类型，在申赎机制方面为投资者提供了场内交易以及场内申赎等多种方式，且遇持仓停牌证券可通过现金替代的方式进行应对，给投资者获取流动性提供了极大的便利。同时，本基金基于赎回监测及应对在投资者申购赎回方面均明确了管理机制，在接受申购申请对存量客户利益构成潜在重大不利影响以及市场大幅波动、流动性枯竭等极端情况下发生无法应对投资者赎回的情形时，基金管理人在保障投资者合法权益的前提下可按照法律法规及基金合同的规定，审慎确认申购赎回申请并综合运用各类流动性风险管理工具作为辅助措施，全面应对流动性风险。</w:t>
      </w:r>
    </w:p>
    <w:bookmarkEnd w:id="178"/>
    <w:p w14:paraId="17B4E9BA">
      <w:pPr>
        <w:numPr>
          <w:ilvl w:val="0"/>
          <w:numId w:val="6"/>
        </w:numPr>
        <w:tabs>
          <w:tab w:val="left" w:pos="851"/>
          <w:tab w:val="left" w:pos="1134"/>
        </w:tabs>
        <w:adjustRightInd w:val="0"/>
        <w:snapToGrid w:val="0"/>
        <w:spacing w:line="360" w:lineRule="auto"/>
        <w:ind w:left="0" w:firstLine="426"/>
        <w:outlineLvl w:val="0"/>
        <w:rPr>
          <w:rFonts w:ascii="宋体" w:hAnsi="宋体" w:cs="Arial"/>
          <w:b/>
        </w:rPr>
      </w:pPr>
      <w:bookmarkStart w:id="179" w:name="_Toc293495057"/>
      <w:r>
        <w:rPr>
          <w:rFonts w:ascii="宋体" w:hAnsi="宋体" w:cs="Arial"/>
          <w:b/>
        </w:rPr>
        <w:t>基金份额二级市场交易价格折溢价的风险</w:t>
      </w:r>
      <w:bookmarkEnd w:id="179"/>
    </w:p>
    <w:p w14:paraId="12775233">
      <w:pPr>
        <w:adjustRightInd w:val="0"/>
        <w:snapToGrid w:val="0"/>
        <w:spacing w:line="360" w:lineRule="auto"/>
        <w:ind w:firstLine="426"/>
        <w:rPr>
          <w:rFonts w:ascii="宋体" w:hAnsi="宋体" w:cs="Arial"/>
        </w:rPr>
      </w:pPr>
      <w:r>
        <w:rPr>
          <w:rFonts w:ascii="宋体" w:hAnsi="宋体" w:cs="Arial"/>
        </w:rPr>
        <w:t xml:space="preserve">基金份额在证券交易所的交易价格受诸多因素影响，可能存在不同于基金份额净值的情形，即存在价格折溢价的风险。 </w:t>
      </w:r>
    </w:p>
    <w:p w14:paraId="069928E6">
      <w:pPr>
        <w:numPr>
          <w:ilvl w:val="0"/>
          <w:numId w:val="6"/>
        </w:numPr>
        <w:tabs>
          <w:tab w:val="left" w:pos="851"/>
          <w:tab w:val="left" w:pos="1134"/>
        </w:tabs>
        <w:adjustRightInd w:val="0"/>
        <w:snapToGrid w:val="0"/>
        <w:spacing w:line="360" w:lineRule="auto"/>
        <w:outlineLvl w:val="0"/>
        <w:rPr>
          <w:rFonts w:ascii="宋体" w:hAnsi="宋体" w:cs="Arial"/>
          <w:b/>
        </w:rPr>
      </w:pPr>
      <w:bookmarkStart w:id="180" w:name="_Toc293495058"/>
      <w:r>
        <w:rPr>
          <w:rFonts w:hint="eastAsia" w:ascii="宋体" w:hAnsi="宋体" w:cs="Arial"/>
          <w:b/>
        </w:rPr>
        <w:t>基金份额参考净值</w:t>
      </w:r>
      <w:r>
        <w:rPr>
          <w:rFonts w:ascii="宋体" w:hAnsi="宋体" w:cs="Arial"/>
          <w:b/>
        </w:rPr>
        <w:t>决策和</w:t>
      </w:r>
      <w:r>
        <w:rPr>
          <w:rFonts w:hint="eastAsia" w:ascii="宋体" w:hAnsi="宋体" w:cs="Arial"/>
          <w:b/>
        </w:rPr>
        <w:t>基金份额参考净值</w:t>
      </w:r>
      <w:r>
        <w:rPr>
          <w:rFonts w:ascii="宋体" w:hAnsi="宋体" w:cs="Arial"/>
          <w:b/>
        </w:rPr>
        <w:t>计算错误的风险</w:t>
      </w:r>
      <w:bookmarkEnd w:id="180"/>
      <w:r>
        <w:rPr>
          <w:rFonts w:ascii="宋体" w:hAnsi="宋体" w:cs="Arial"/>
          <w:b/>
        </w:rPr>
        <w:t xml:space="preserve"> </w:t>
      </w:r>
    </w:p>
    <w:p w14:paraId="3CC2C623">
      <w:pPr>
        <w:adjustRightInd w:val="0"/>
        <w:snapToGrid w:val="0"/>
        <w:spacing w:line="360" w:lineRule="auto"/>
        <w:ind w:firstLine="426"/>
        <w:rPr>
          <w:rFonts w:ascii="宋体" w:hAnsi="宋体" w:cs="Arial"/>
        </w:rPr>
      </w:pPr>
      <w:r>
        <w:rPr>
          <w:rFonts w:hint="eastAsia" w:ascii="宋体" w:hAnsi="宋体" w:cs="Arial"/>
        </w:rPr>
        <w:t>基金管理人或基金管理人委托其他机构在交易时间内根据申购、赎回清单和组合证券内各只证券的实时成交数据计算基金份额参考净值，并由上海证券交易所在交易时间内发布，仅供投资者交易、申购、赎回基金份额时参考。基金份额参考净值</w:t>
      </w:r>
      <w:r>
        <w:rPr>
          <w:rFonts w:ascii="宋体" w:hAnsi="宋体" w:cs="Arial"/>
        </w:rPr>
        <w:t>与实时的基金份额净值可能存在差异，</w:t>
      </w:r>
      <w:r>
        <w:rPr>
          <w:rFonts w:hint="eastAsia" w:ascii="宋体" w:hAnsi="宋体" w:cs="Arial"/>
        </w:rPr>
        <w:t>基金份额参考净值</w:t>
      </w:r>
      <w:r>
        <w:rPr>
          <w:rFonts w:ascii="宋体" w:hAnsi="宋体" w:cs="Arial"/>
        </w:rPr>
        <w:t>计算可能出现错误，投资人若参考</w:t>
      </w:r>
      <w:r>
        <w:rPr>
          <w:rFonts w:hint="eastAsia" w:ascii="宋体" w:hAnsi="宋体" w:cs="Arial"/>
        </w:rPr>
        <w:t>基金份额参考净值</w:t>
      </w:r>
      <w:r>
        <w:rPr>
          <w:rFonts w:ascii="宋体" w:hAnsi="宋体" w:cs="Arial"/>
        </w:rPr>
        <w:t xml:space="preserve">进行投资决策可能导致损失，需投资人自行承担。 </w:t>
      </w:r>
    </w:p>
    <w:p w14:paraId="17380A9A">
      <w:pPr>
        <w:numPr>
          <w:ilvl w:val="0"/>
          <w:numId w:val="6"/>
        </w:numPr>
        <w:tabs>
          <w:tab w:val="left" w:pos="851"/>
          <w:tab w:val="left" w:pos="1134"/>
        </w:tabs>
        <w:adjustRightInd w:val="0"/>
        <w:snapToGrid w:val="0"/>
        <w:spacing w:line="360" w:lineRule="auto"/>
        <w:ind w:left="0" w:firstLine="426"/>
        <w:outlineLvl w:val="0"/>
        <w:rPr>
          <w:rFonts w:ascii="宋体" w:hAnsi="宋体" w:cs="Arial"/>
          <w:b/>
        </w:rPr>
      </w:pPr>
      <w:bookmarkStart w:id="181" w:name="_Toc293495059"/>
      <w:r>
        <w:rPr>
          <w:rFonts w:ascii="宋体" w:hAnsi="宋体" w:cs="Arial"/>
          <w:b/>
        </w:rPr>
        <w:t>退市风险</w:t>
      </w:r>
      <w:bookmarkEnd w:id="181"/>
      <w:r>
        <w:rPr>
          <w:rFonts w:ascii="宋体" w:hAnsi="宋体" w:cs="Arial"/>
          <w:b/>
        </w:rPr>
        <w:t xml:space="preserve"> </w:t>
      </w:r>
    </w:p>
    <w:p w14:paraId="5BFB8046">
      <w:pPr>
        <w:autoSpaceDE w:val="0"/>
        <w:autoSpaceDN w:val="0"/>
        <w:adjustRightInd w:val="0"/>
        <w:snapToGrid w:val="0"/>
        <w:spacing w:line="360" w:lineRule="auto"/>
        <w:ind w:firstLine="420" w:firstLineChars="200"/>
        <w:rPr>
          <w:rFonts w:ascii="宋体" w:hAnsi="宋体" w:cs="Arial"/>
          <w:kern w:val="0"/>
        </w:rPr>
      </w:pPr>
      <w:r>
        <w:rPr>
          <w:rFonts w:ascii="宋体" w:hAnsi="宋体" w:cs="Arial"/>
          <w:kern w:val="0"/>
        </w:rPr>
        <w:t xml:space="preserve">因本基金不再符合证券交易所上市条件被终止上市，或被基金份额持有人大会决议提前终止上市，导致基金份额不能继续进行二级市场交易的风险。 </w:t>
      </w:r>
    </w:p>
    <w:p w14:paraId="5A74DE76">
      <w:pPr>
        <w:numPr>
          <w:ilvl w:val="0"/>
          <w:numId w:val="6"/>
        </w:numPr>
        <w:tabs>
          <w:tab w:val="left" w:pos="851"/>
          <w:tab w:val="left" w:pos="1134"/>
        </w:tabs>
        <w:adjustRightInd w:val="0"/>
        <w:snapToGrid w:val="0"/>
        <w:spacing w:line="360" w:lineRule="auto"/>
        <w:ind w:left="0" w:firstLine="426"/>
        <w:outlineLvl w:val="0"/>
        <w:rPr>
          <w:rFonts w:ascii="宋体" w:hAnsi="宋体" w:cs="Arial"/>
          <w:b/>
        </w:rPr>
      </w:pPr>
      <w:bookmarkStart w:id="182" w:name="_Toc293495060"/>
      <w:r>
        <w:rPr>
          <w:rFonts w:ascii="宋体" w:hAnsi="宋体" w:cs="Arial"/>
          <w:b/>
        </w:rPr>
        <w:t>投资人申购失败的风险</w:t>
      </w:r>
      <w:bookmarkEnd w:id="182"/>
      <w:r>
        <w:rPr>
          <w:rFonts w:ascii="宋体" w:hAnsi="宋体" w:cs="Arial"/>
          <w:b/>
        </w:rPr>
        <w:t xml:space="preserve"> </w:t>
      </w:r>
    </w:p>
    <w:p w14:paraId="50873753">
      <w:pPr>
        <w:autoSpaceDE w:val="0"/>
        <w:autoSpaceDN w:val="0"/>
        <w:adjustRightInd w:val="0"/>
        <w:snapToGrid w:val="0"/>
        <w:spacing w:line="360" w:lineRule="auto"/>
        <w:ind w:firstLine="420" w:firstLineChars="200"/>
        <w:rPr>
          <w:rFonts w:ascii="宋体" w:hAnsi="宋体" w:cs="Arial"/>
          <w:kern w:val="0"/>
        </w:rPr>
      </w:pPr>
      <w:r>
        <w:rPr>
          <w:rFonts w:ascii="宋体" w:hAnsi="宋体" w:cs="Arial"/>
          <w:kern w:val="0"/>
        </w:rPr>
        <w:t>本基金的申购、赎回清单中，可能仅允许对部分成份股使用现金替代，且设置现金替代比例上限，因此，投资人在进行</w:t>
      </w:r>
      <w:r>
        <w:rPr>
          <w:rFonts w:hint="eastAsia" w:ascii="宋体" w:hAnsi="宋体" w:cs="Arial"/>
          <w:kern w:val="0"/>
        </w:rPr>
        <w:t>场内份额</w:t>
      </w:r>
      <w:r>
        <w:rPr>
          <w:rFonts w:ascii="宋体" w:hAnsi="宋体" w:cs="Arial"/>
          <w:kern w:val="0"/>
        </w:rPr>
        <w:t>申购时，可能存在因个别成份股涨停、临时停牌等原因而无法买入申购所需的足够的成份股，导致</w:t>
      </w:r>
      <w:r>
        <w:rPr>
          <w:rFonts w:hint="eastAsia" w:ascii="宋体" w:hAnsi="宋体" w:cs="Arial"/>
          <w:kern w:val="0"/>
        </w:rPr>
        <w:t>场内份额</w:t>
      </w:r>
      <w:r>
        <w:rPr>
          <w:rFonts w:ascii="宋体" w:hAnsi="宋体" w:cs="Arial"/>
          <w:kern w:val="0"/>
        </w:rPr>
        <w:t xml:space="preserve">申购失败的风险。 </w:t>
      </w:r>
    </w:p>
    <w:p w14:paraId="6E62388D">
      <w:pPr>
        <w:autoSpaceDE w:val="0"/>
        <w:autoSpaceDN w:val="0"/>
        <w:adjustRightInd w:val="0"/>
        <w:snapToGrid w:val="0"/>
        <w:spacing w:line="360" w:lineRule="auto"/>
        <w:ind w:firstLine="420" w:firstLineChars="200"/>
        <w:rPr>
          <w:rFonts w:ascii="宋体" w:hAnsi="宋体" w:cs="Arial"/>
          <w:kern w:val="0"/>
        </w:rPr>
      </w:pPr>
      <w:r>
        <w:rPr>
          <w:rFonts w:hint="eastAsia" w:ascii="宋体" w:hAnsi="宋体" w:cs="Arial"/>
          <w:kern w:val="0"/>
        </w:rPr>
        <w:t>基金管理人可根据市场情况在申购赎回清单中设置并调整申购份额上限，如果一笔新的申购申请被确认成功会使本基金当日申购份额超过申购赎回清单中规定的申购份额上限时，该笔申购申请将被拒绝。</w:t>
      </w:r>
    </w:p>
    <w:p w14:paraId="49206B6A">
      <w:pPr>
        <w:numPr>
          <w:ilvl w:val="0"/>
          <w:numId w:val="6"/>
        </w:numPr>
        <w:tabs>
          <w:tab w:val="left" w:pos="851"/>
          <w:tab w:val="left" w:pos="1134"/>
        </w:tabs>
        <w:adjustRightInd w:val="0"/>
        <w:snapToGrid w:val="0"/>
        <w:spacing w:line="360" w:lineRule="auto"/>
        <w:ind w:left="0" w:firstLine="426"/>
        <w:outlineLvl w:val="0"/>
        <w:rPr>
          <w:rFonts w:ascii="宋体" w:hAnsi="宋体" w:cs="Arial"/>
          <w:b/>
        </w:rPr>
      </w:pPr>
      <w:bookmarkStart w:id="183" w:name="_Toc293495061"/>
      <w:r>
        <w:rPr>
          <w:rFonts w:ascii="宋体" w:hAnsi="宋体" w:cs="Arial"/>
          <w:b/>
        </w:rPr>
        <w:t>投资人赎回失败的风险</w:t>
      </w:r>
      <w:bookmarkEnd w:id="183"/>
      <w:r>
        <w:rPr>
          <w:rFonts w:ascii="宋体" w:hAnsi="宋体" w:cs="Arial"/>
          <w:b/>
        </w:rPr>
        <w:t xml:space="preserve"> </w:t>
      </w:r>
    </w:p>
    <w:p w14:paraId="7BC59473">
      <w:pPr>
        <w:autoSpaceDE w:val="0"/>
        <w:autoSpaceDN w:val="0"/>
        <w:adjustRightInd w:val="0"/>
        <w:snapToGrid w:val="0"/>
        <w:spacing w:line="360" w:lineRule="auto"/>
        <w:ind w:firstLine="420" w:firstLineChars="200"/>
        <w:rPr>
          <w:rFonts w:ascii="宋体" w:hAnsi="宋体" w:cs="Arial"/>
          <w:kern w:val="0"/>
        </w:rPr>
      </w:pPr>
      <w:r>
        <w:rPr>
          <w:rFonts w:hint="eastAsia" w:ascii="宋体" w:hAnsi="宋体" w:cs="Arial"/>
          <w:kern w:val="0"/>
        </w:rPr>
        <w:t xml:space="preserve">投资人在提出场内份额赎回申请时，如基金组合中不具备足额的符合条件的赎回对价，可能导致场内份额赎回失败的情形。 </w:t>
      </w:r>
    </w:p>
    <w:p w14:paraId="65DD02E6">
      <w:pPr>
        <w:autoSpaceDE w:val="0"/>
        <w:autoSpaceDN w:val="0"/>
        <w:adjustRightInd w:val="0"/>
        <w:snapToGrid w:val="0"/>
        <w:spacing w:line="360" w:lineRule="auto"/>
        <w:ind w:firstLine="420" w:firstLineChars="200"/>
        <w:rPr>
          <w:rFonts w:ascii="宋体" w:hAnsi="宋体" w:cs="Arial"/>
          <w:kern w:val="0"/>
        </w:rPr>
      </w:pPr>
      <w:r>
        <w:rPr>
          <w:rFonts w:hint="eastAsia" w:ascii="宋体" w:hAnsi="宋体" w:cs="Arial"/>
          <w:kern w:val="0"/>
        </w:rPr>
        <w:t>基金管理人可能根据成份股市值规模变化等因素调整最小申购、赎回单位，由此可能导致投资人按原最小申购、赎回单位申购并持有的基金份额，可能无法按照新的最小申购、赎回单位全部赎回，而只能在二级市场卖出全部或部分基金份额。</w:t>
      </w:r>
    </w:p>
    <w:p w14:paraId="6AC52CF6">
      <w:pPr>
        <w:autoSpaceDE w:val="0"/>
        <w:autoSpaceDN w:val="0"/>
        <w:adjustRightInd w:val="0"/>
        <w:snapToGrid w:val="0"/>
        <w:spacing w:line="360" w:lineRule="auto"/>
        <w:ind w:firstLine="420" w:firstLineChars="200"/>
        <w:rPr>
          <w:rFonts w:ascii="宋体" w:hAnsi="宋体" w:cs="Arial"/>
          <w:kern w:val="0"/>
        </w:rPr>
      </w:pPr>
      <w:r>
        <w:rPr>
          <w:rFonts w:hint="eastAsia" w:ascii="宋体" w:hAnsi="宋体" w:cs="Arial"/>
          <w:kern w:val="0"/>
        </w:rPr>
        <w:t>基金管理人可根据市场情况在申购赎回清单中设置并调整赎回份额上限，如果一笔新的赎回申请被确认成功会使本基金当日赎回份额超过申购赎回清单中规定的赎回份额上限时，该笔赎回申请将被拒绝。基金管理人可能在申购赎回清单中设置极低的赎回份额上限，投资人将面临无法赎回全部或部分份额的风险。</w:t>
      </w:r>
    </w:p>
    <w:p w14:paraId="295AB96D">
      <w:pPr>
        <w:autoSpaceDE w:val="0"/>
        <w:autoSpaceDN w:val="0"/>
        <w:adjustRightInd w:val="0"/>
        <w:snapToGrid w:val="0"/>
        <w:spacing w:line="360" w:lineRule="auto"/>
        <w:ind w:firstLine="422" w:firstLineChars="200"/>
        <w:rPr>
          <w:rStyle w:val="17"/>
        </w:rPr>
      </w:pPr>
      <w:r>
        <w:rPr>
          <w:rFonts w:hint="eastAsia" w:ascii="宋体" w:hAnsi="宋体" w:cs="Arial"/>
          <w:b/>
        </w:rPr>
        <w:t>十、</w:t>
      </w:r>
      <w:r>
        <w:rPr>
          <w:rStyle w:val="17"/>
          <w:rFonts w:hint="eastAsia"/>
        </w:rPr>
        <w:t>对于非沪市成份证券可以现金替代方式的风险</w:t>
      </w:r>
    </w:p>
    <w:p w14:paraId="18885F58">
      <w:pPr>
        <w:autoSpaceDE w:val="0"/>
        <w:autoSpaceDN w:val="0"/>
        <w:adjustRightInd w:val="0"/>
        <w:snapToGrid w:val="0"/>
        <w:spacing w:line="360" w:lineRule="auto"/>
        <w:ind w:firstLine="420" w:firstLineChars="200"/>
        <w:rPr>
          <w:rStyle w:val="17"/>
          <w:b w:val="0"/>
          <w:bCs w:val="0"/>
        </w:rPr>
      </w:pPr>
      <w:r>
        <w:rPr>
          <w:rStyle w:val="17"/>
          <w:rFonts w:hint="eastAsia"/>
          <w:b w:val="0"/>
          <w:bCs w:val="0"/>
        </w:rPr>
        <w:t xml:space="preserve">本基金对于非沪市成份证券，在申购赎回环节的“可以现金替代”方式，可能给申购和赎回投资者带来价格的不确定性，从而间接影响本基金二级市场价格的折溢价水平。极端情况下，如果使用“可以现金替代”证券的权重增加，该方式带来的不确定性可能导致本基金的二级市场价格折溢价处于相对较高水平。   </w:t>
      </w:r>
    </w:p>
    <w:p w14:paraId="42BE7727">
      <w:pPr>
        <w:autoSpaceDE w:val="0"/>
        <w:autoSpaceDN w:val="0"/>
        <w:adjustRightInd w:val="0"/>
        <w:snapToGrid w:val="0"/>
        <w:spacing w:line="360" w:lineRule="auto"/>
        <w:ind w:firstLine="420" w:firstLineChars="200"/>
        <w:rPr>
          <w:rStyle w:val="17"/>
          <w:rFonts w:ascii="宋体" w:hAnsi="宋体" w:cs="Arial"/>
          <w:b w:val="0"/>
          <w:bCs w:val="0"/>
          <w:kern w:val="0"/>
        </w:rPr>
      </w:pPr>
      <w:r>
        <w:rPr>
          <w:rStyle w:val="17"/>
          <w:rFonts w:hint="eastAsia"/>
          <w:b w:val="0"/>
          <w:bCs w:val="0"/>
        </w:rPr>
        <w:t xml:space="preserve">基金管理人不对“时间优先、实时申报”原则的执行效率做出任何承诺和保证，现金替代退补款的计算以实际成交价格和基金招募说明书的约定为准。若因技术系统、通讯链路或其他原因导致基金管理人无法遵循“时间优先、实时申报”原则对“可以现金替代”的证券进行处理，投资者的利益可能受到影响。   </w:t>
      </w:r>
    </w:p>
    <w:p w14:paraId="1FEDF840">
      <w:pPr>
        <w:tabs>
          <w:tab w:val="left" w:pos="851"/>
          <w:tab w:val="left" w:pos="1134"/>
        </w:tabs>
        <w:adjustRightInd w:val="0"/>
        <w:snapToGrid w:val="0"/>
        <w:spacing w:line="360" w:lineRule="auto"/>
        <w:ind w:firstLine="422" w:firstLineChars="200"/>
        <w:outlineLvl w:val="0"/>
        <w:rPr>
          <w:rFonts w:ascii="宋体" w:hAnsi="宋体" w:cs="Arial"/>
          <w:b/>
        </w:rPr>
      </w:pPr>
      <w:bookmarkStart w:id="184" w:name="_Toc293495062"/>
      <w:r>
        <w:rPr>
          <w:rFonts w:hint="eastAsia" w:ascii="宋体" w:hAnsi="宋体" w:cs="Arial"/>
          <w:b/>
        </w:rPr>
        <w:t>十一、</w:t>
      </w:r>
      <w:r>
        <w:rPr>
          <w:rFonts w:ascii="宋体" w:hAnsi="宋体" w:cs="Arial"/>
          <w:b/>
        </w:rPr>
        <w:t>基金</w:t>
      </w:r>
      <w:r>
        <w:rPr>
          <w:rFonts w:hint="eastAsia" w:ascii="宋体" w:hAnsi="宋体" w:cs="Arial"/>
          <w:b/>
        </w:rPr>
        <w:t>场内</w:t>
      </w:r>
      <w:r>
        <w:rPr>
          <w:rFonts w:ascii="宋体" w:hAnsi="宋体" w:cs="Arial"/>
          <w:b/>
        </w:rPr>
        <w:t>份额赎回对价的变现风险</w:t>
      </w:r>
      <w:bookmarkEnd w:id="184"/>
      <w:r>
        <w:rPr>
          <w:rFonts w:ascii="宋体" w:hAnsi="宋体" w:cs="Arial"/>
          <w:b/>
        </w:rPr>
        <w:t xml:space="preserve"> </w:t>
      </w:r>
    </w:p>
    <w:p w14:paraId="07596401">
      <w:pPr>
        <w:autoSpaceDE w:val="0"/>
        <w:autoSpaceDN w:val="0"/>
        <w:adjustRightInd w:val="0"/>
        <w:snapToGrid w:val="0"/>
        <w:spacing w:line="360" w:lineRule="auto"/>
        <w:ind w:firstLine="420" w:firstLineChars="200"/>
        <w:rPr>
          <w:rFonts w:ascii="宋体" w:hAnsi="宋体" w:cs="Arial"/>
          <w:kern w:val="0"/>
        </w:rPr>
      </w:pPr>
      <w:r>
        <w:rPr>
          <w:rFonts w:ascii="宋体" w:hAnsi="宋体" w:cs="Arial"/>
          <w:kern w:val="0"/>
        </w:rPr>
        <w:t xml:space="preserve">本基金赎回对价主要为组合证券，在组合证券变现过程中，由于市场变化、部分成份股流动性差等因素，导致投资人变现后的价值与赎回时赎回对价的价值有差异，存在变现风险。 </w:t>
      </w:r>
    </w:p>
    <w:p w14:paraId="0B5E290C">
      <w:pPr>
        <w:tabs>
          <w:tab w:val="left" w:pos="851"/>
          <w:tab w:val="left" w:pos="1134"/>
        </w:tabs>
        <w:adjustRightInd w:val="0"/>
        <w:snapToGrid w:val="0"/>
        <w:spacing w:line="360" w:lineRule="auto"/>
        <w:ind w:firstLine="422" w:firstLineChars="200"/>
        <w:outlineLvl w:val="0"/>
        <w:rPr>
          <w:rFonts w:ascii="宋体" w:hAnsi="宋体" w:cs="Arial"/>
          <w:b/>
        </w:rPr>
      </w:pPr>
      <w:bookmarkStart w:id="185" w:name="_Toc293495063"/>
      <w:r>
        <w:rPr>
          <w:rFonts w:hint="eastAsia" w:ascii="宋体" w:hAnsi="宋体" w:cs="Arial"/>
          <w:b/>
        </w:rPr>
        <w:t>十二、</w:t>
      </w:r>
      <w:r>
        <w:rPr>
          <w:rFonts w:ascii="宋体" w:hAnsi="宋体" w:cs="Arial"/>
          <w:b/>
        </w:rPr>
        <w:t>第三方机构服务的风险</w:t>
      </w:r>
      <w:bookmarkEnd w:id="185"/>
      <w:r>
        <w:rPr>
          <w:rFonts w:ascii="宋体" w:hAnsi="宋体" w:cs="Arial"/>
          <w:b/>
        </w:rPr>
        <w:t xml:space="preserve"> </w:t>
      </w:r>
    </w:p>
    <w:p w14:paraId="36596B0E">
      <w:pPr>
        <w:autoSpaceDE w:val="0"/>
        <w:autoSpaceDN w:val="0"/>
        <w:adjustRightInd w:val="0"/>
        <w:snapToGrid w:val="0"/>
        <w:spacing w:line="360" w:lineRule="auto"/>
        <w:ind w:firstLine="420" w:firstLineChars="200"/>
        <w:rPr>
          <w:rFonts w:ascii="宋体" w:hAnsi="宋体" w:cs="Arial"/>
          <w:kern w:val="0"/>
        </w:rPr>
      </w:pPr>
      <w:r>
        <w:rPr>
          <w:rFonts w:ascii="宋体" w:hAnsi="宋体" w:cs="Arial"/>
          <w:kern w:val="0"/>
        </w:rPr>
        <w:t xml:space="preserve">本基金的多项服务委托第三方机构办理，存在以下风险： </w:t>
      </w:r>
    </w:p>
    <w:p w14:paraId="1F6CCCAF">
      <w:pPr>
        <w:autoSpaceDE w:val="0"/>
        <w:autoSpaceDN w:val="0"/>
        <w:adjustRightInd w:val="0"/>
        <w:snapToGrid w:val="0"/>
        <w:spacing w:line="360" w:lineRule="auto"/>
        <w:ind w:firstLine="420" w:firstLineChars="200"/>
        <w:rPr>
          <w:rFonts w:ascii="宋体" w:hAnsi="宋体" w:cs="Arial"/>
          <w:kern w:val="0"/>
        </w:rPr>
      </w:pPr>
      <w:r>
        <w:rPr>
          <w:rFonts w:hint="eastAsia" w:ascii="宋体" w:hAnsi="宋体" w:cs="Arial"/>
          <w:kern w:val="0"/>
        </w:rPr>
        <w:t>1、</w:t>
      </w:r>
      <w:r>
        <w:rPr>
          <w:rFonts w:ascii="宋体" w:hAnsi="宋体" w:cs="Arial"/>
          <w:kern w:val="0"/>
        </w:rPr>
        <w:t xml:space="preserve">申购赎回代理券商因多种原因，导致代理申购、赎回业务受到限制、暂停或终止，由此影响对投资人申购赎回服务的风险。 </w:t>
      </w:r>
    </w:p>
    <w:p w14:paraId="2BF50BD3">
      <w:pPr>
        <w:autoSpaceDE w:val="0"/>
        <w:autoSpaceDN w:val="0"/>
        <w:adjustRightInd w:val="0"/>
        <w:snapToGrid w:val="0"/>
        <w:spacing w:line="360" w:lineRule="auto"/>
        <w:ind w:firstLine="420" w:firstLineChars="200"/>
        <w:rPr>
          <w:rFonts w:ascii="宋体" w:hAnsi="宋体" w:cs="Arial"/>
          <w:kern w:val="0"/>
        </w:rPr>
      </w:pPr>
      <w:r>
        <w:rPr>
          <w:rFonts w:hint="eastAsia" w:ascii="宋体" w:hAnsi="宋体" w:cs="Arial"/>
          <w:kern w:val="0"/>
        </w:rPr>
        <w:t>2、</w:t>
      </w:r>
      <w:r>
        <w:rPr>
          <w:rFonts w:ascii="宋体" w:hAnsi="宋体" w:cs="Arial"/>
          <w:kern w:val="0"/>
        </w:rPr>
        <w:t xml:space="preserve">登记机构可能调整结算制度，如实施货银对付制度，对投资人基金份额、组合证券及资金的结算方式发生变化，制度调整可能给投资人带来风险。同样的风险还可能来自于证券交易所及其他代理机构。 </w:t>
      </w:r>
    </w:p>
    <w:p w14:paraId="72D3649B">
      <w:pPr>
        <w:adjustRightInd w:val="0"/>
        <w:snapToGrid w:val="0"/>
        <w:spacing w:line="360" w:lineRule="auto"/>
        <w:ind w:firstLine="420" w:firstLineChars="200"/>
        <w:rPr>
          <w:rFonts w:ascii="宋体" w:hAnsi="宋体" w:cs="Arial"/>
        </w:rPr>
      </w:pPr>
      <w:r>
        <w:rPr>
          <w:rFonts w:hint="eastAsia" w:ascii="宋体" w:hAnsi="宋体" w:cs="Arial"/>
          <w:kern w:val="0"/>
        </w:rPr>
        <w:t>3、</w:t>
      </w:r>
      <w:r>
        <w:rPr>
          <w:rFonts w:ascii="宋体" w:hAnsi="宋体" w:cs="Arial"/>
          <w:kern w:val="0"/>
        </w:rPr>
        <w:t xml:space="preserve">证券交易所、登记机构、基金托管人及其他代理机构可能违约，导致基金或投资人利益受损的风险。 </w:t>
      </w:r>
    </w:p>
    <w:p w14:paraId="32C78F09">
      <w:pPr>
        <w:tabs>
          <w:tab w:val="left" w:pos="851"/>
          <w:tab w:val="left" w:pos="1134"/>
        </w:tabs>
        <w:adjustRightInd w:val="0"/>
        <w:snapToGrid w:val="0"/>
        <w:spacing w:line="360" w:lineRule="auto"/>
        <w:ind w:firstLine="422" w:firstLineChars="200"/>
        <w:outlineLvl w:val="0"/>
        <w:rPr>
          <w:rFonts w:ascii="宋体" w:hAnsi="宋体" w:cs="Arial"/>
          <w:b/>
        </w:rPr>
      </w:pPr>
      <w:bookmarkStart w:id="186" w:name="_Toc293495064"/>
      <w:r>
        <w:rPr>
          <w:rFonts w:hint="eastAsia" w:ascii="宋体" w:hAnsi="宋体" w:cs="Arial"/>
          <w:b/>
        </w:rPr>
        <w:t>十三、股指期货交易风险</w:t>
      </w:r>
    </w:p>
    <w:p w14:paraId="2CC72882">
      <w:pPr>
        <w:adjustRightInd w:val="0"/>
        <w:snapToGrid w:val="0"/>
        <w:spacing w:line="360" w:lineRule="auto"/>
        <w:ind w:firstLine="420" w:firstLineChars="200"/>
        <w:rPr>
          <w:rFonts w:ascii="宋体" w:hAnsi="宋体" w:cs="Arial"/>
        </w:rPr>
      </w:pPr>
      <w:r>
        <w:rPr>
          <w:rFonts w:ascii="宋体" w:hAnsi="宋体" w:cs="Arial"/>
        </w:rPr>
        <w:t>1</w:t>
      </w:r>
      <w:r>
        <w:rPr>
          <w:rFonts w:hint="eastAsia" w:ascii="宋体" w:hAnsi="宋体" w:cs="Arial"/>
        </w:rPr>
        <w:t>、杠杆风险</w:t>
      </w:r>
    </w:p>
    <w:p w14:paraId="6F69CDB4">
      <w:pPr>
        <w:adjustRightInd w:val="0"/>
        <w:snapToGrid w:val="0"/>
        <w:spacing w:line="360" w:lineRule="auto"/>
        <w:ind w:firstLine="420" w:firstLineChars="200"/>
        <w:rPr>
          <w:rFonts w:ascii="宋体" w:hAnsi="宋体" w:cs="Arial"/>
        </w:rPr>
      </w:pPr>
      <w:r>
        <w:rPr>
          <w:rFonts w:hint="eastAsia" w:ascii="宋体" w:hAnsi="宋体" w:cs="Arial"/>
        </w:rPr>
        <w:t>股指期货交易具有高杠杆特性，因此会放大基础资产所产生的盈利或损失，加大本基金收益的波动性。</w:t>
      </w:r>
    </w:p>
    <w:p w14:paraId="4905615C">
      <w:pPr>
        <w:adjustRightInd w:val="0"/>
        <w:snapToGrid w:val="0"/>
        <w:spacing w:line="360" w:lineRule="auto"/>
        <w:ind w:firstLine="420" w:firstLineChars="200"/>
        <w:rPr>
          <w:rFonts w:ascii="宋体" w:hAnsi="宋体" w:cs="Arial"/>
        </w:rPr>
      </w:pPr>
      <w:r>
        <w:rPr>
          <w:rFonts w:ascii="宋体" w:hAnsi="宋体" w:cs="Arial"/>
        </w:rPr>
        <w:t>2</w:t>
      </w:r>
      <w:r>
        <w:rPr>
          <w:rFonts w:hint="eastAsia" w:ascii="宋体" w:hAnsi="宋体" w:cs="Arial"/>
        </w:rPr>
        <w:t>、基差风险</w:t>
      </w:r>
    </w:p>
    <w:p w14:paraId="6E74E0B5">
      <w:pPr>
        <w:adjustRightInd w:val="0"/>
        <w:snapToGrid w:val="0"/>
        <w:spacing w:line="360" w:lineRule="auto"/>
        <w:ind w:firstLine="420" w:firstLineChars="200"/>
        <w:rPr>
          <w:rFonts w:ascii="宋体" w:hAnsi="宋体" w:cs="Arial"/>
        </w:rPr>
      </w:pPr>
      <w:r>
        <w:rPr>
          <w:rFonts w:hint="eastAsia" w:ascii="宋体" w:hAnsi="宋体" w:cs="Arial"/>
        </w:rPr>
        <w:t>基差是指股票指数现货价格与股指期货价格之间的差额。若本基金运作中出现基差波动不确定性加大、基差向不利方向变动等情况，则可能对本基金投资产生影响。</w:t>
      </w:r>
    </w:p>
    <w:p w14:paraId="14DD7B3D">
      <w:pPr>
        <w:adjustRightInd w:val="0"/>
        <w:snapToGrid w:val="0"/>
        <w:spacing w:line="360" w:lineRule="auto"/>
        <w:ind w:firstLine="420" w:firstLineChars="200"/>
        <w:rPr>
          <w:rFonts w:ascii="宋体" w:hAnsi="宋体" w:cs="Arial"/>
        </w:rPr>
      </w:pPr>
      <w:r>
        <w:rPr>
          <w:rFonts w:ascii="宋体" w:hAnsi="宋体" w:cs="Arial"/>
        </w:rPr>
        <w:t>3</w:t>
      </w:r>
      <w:r>
        <w:rPr>
          <w:rFonts w:hint="eastAsia" w:ascii="宋体" w:hAnsi="宋体" w:cs="Arial"/>
        </w:rPr>
        <w:t>、合约展期风险</w:t>
      </w:r>
    </w:p>
    <w:p w14:paraId="0FCD93D4">
      <w:pPr>
        <w:adjustRightInd w:val="0"/>
        <w:snapToGrid w:val="0"/>
        <w:spacing w:line="360" w:lineRule="auto"/>
        <w:ind w:firstLine="420" w:firstLineChars="200"/>
        <w:rPr>
          <w:rFonts w:ascii="宋体" w:hAnsi="宋体" w:cs="Arial"/>
        </w:rPr>
      </w:pPr>
      <w:r>
        <w:rPr>
          <w:rFonts w:hint="eastAsia" w:ascii="宋体" w:hAnsi="宋体" w:cs="Arial"/>
        </w:rPr>
        <w:t>本基金所交易的期货合约主要包括股指期货当月和近月合约。当基金所持有的合约临近交割期限，即需要向较远月份的合约进行展期，展期过程中可能发生价差损失以及交易成本损失，将对投资收益产生影响。</w:t>
      </w:r>
    </w:p>
    <w:p w14:paraId="5CACD620">
      <w:pPr>
        <w:adjustRightInd w:val="0"/>
        <w:snapToGrid w:val="0"/>
        <w:spacing w:line="360" w:lineRule="auto"/>
        <w:ind w:firstLine="420" w:firstLineChars="200"/>
        <w:rPr>
          <w:rFonts w:ascii="宋体" w:hAnsi="宋体" w:cs="Arial"/>
        </w:rPr>
      </w:pPr>
      <w:r>
        <w:rPr>
          <w:rFonts w:ascii="宋体" w:hAnsi="宋体" w:cs="Arial"/>
        </w:rPr>
        <w:t>4</w:t>
      </w:r>
      <w:r>
        <w:rPr>
          <w:rFonts w:hint="eastAsia" w:ascii="宋体" w:hAnsi="宋体" w:cs="Arial"/>
        </w:rPr>
        <w:t>、模型风险</w:t>
      </w:r>
    </w:p>
    <w:p w14:paraId="6D9F669C">
      <w:pPr>
        <w:adjustRightInd w:val="0"/>
        <w:snapToGrid w:val="0"/>
        <w:spacing w:line="360" w:lineRule="auto"/>
        <w:ind w:firstLine="420" w:firstLineChars="200"/>
        <w:rPr>
          <w:rFonts w:ascii="宋体" w:hAnsi="宋体" w:cs="Arial"/>
        </w:rPr>
      </w:pPr>
      <w:r>
        <w:rPr>
          <w:rFonts w:hint="eastAsia" w:ascii="宋体" w:hAnsi="宋体" w:cs="Arial"/>
        </w:rPr>
        <w:t>股指期货合约属于虚拟投资品种，投资过程中需要通过模型进行风险定价，当投资人员使用了错误模型或者选择了不当的参数，会导致对风险或交易价格的估计错误而造成损失，损害本基金的投资收益。</w:t>
      </w:r>
    </w:p>
    <w:p w14:paraId="17305879">
      <w:pPr>
        <w:tabs>
          <w:tab w:val="left" w:pos="851"/>
          <w:tab w:val="left" w:pos="1134"/>
        </w:tabs>
        <w:adjustRightInd w:val="0"/>
        <w:snapToGrid w:val="0"/>
        <w:spacing w:line="360" w:lineRule="auto"/>
        <w:ind w:firstLine="422" w:firstLineChars="200"/>
        <w:outlineLvl w:val="0"/>
        <w:rPr>
          <w:rFonts w:ascii="宋体" w:hAnsi="宋体" w:cs="Arial"/>
          <w:b/>
        </w:rPr>
      </w:pPr>
      <w:r>
        <w:rPr>
          <w:rFonts w:hint="eastAsia" w:ascii="宋体" w:hAnsi="宋体" w:cs="Arial"/>
          <w:b/>
        </w:rPr>
        <w:t>十四、国债期货交易风险</w:t>
      </w:r>
    </w:p>
    <w:p w14:paraId="34BEDFB7">
      <w:pPr>
        <w:adjustRightInd w:val="0"/>
        <w:snapToGrid w:val="0"/>
        <w:spacing w:line="360" w:lineRule="auto"/>
        <w:ind w:firstLine="420" w:firstLineChars="200"/>
        <w:rPr>
          <w:rFonts w:ascii="宋体" w:hAnsi="宋体" w:cs="Arial"/>
        </w:rPr>
      </w:pPr>
      <w:r>
        <w:rPr>
          <w:rFonts w:hint="eastAsia" w:ascii="宋体" w:hAnsi="宋体" w:cs="Arial"/>
        </w:rPr>
        <w:t>本基金的一部分资产将可能参与国债期货交易，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w:t>
      </w:r>
    </w:p>
    <w:p w14:paraId="19994D71">
      <w:pPr>
        <w:tabs>
          <w:tab w:val="left" w:pos="851"/>
          <w:tab w:val="left" w:pos="1134"/>
        </w:tabs>
        <w:adjustRightInd w:val="0"/>
        <w:snapToGrid w:val="0"/>
        <w:spacing w:line="360" w:lineRule="auto"/>
        <w:ind w:firstLine="422" w:firstLineChars="200"/>
        <w:outlineLvl w:val="0"/>
        <w:rPr>
          <w:rFonts w:ascii="宋体" w:hAnsi="宋体" w:cs="Arial"/>
          <w:b/>
        </w:rPr>
      </w:pPr>
      <w:r>
        <w:rPr>
          <w:rFonts w:hint="eastAsia" w:ascii="宋体" w:hAnsi="宋体" w:cs="Arial"/>
          <w:b/>
        </w:rPr>
        <w:t>十五、资产支持证券（ABS）的风险</w:t>
      </w:r>
    </w:p>
    <w:p w14:paraId="293CB95A">
      <w:pPr>
        <w:adjustRightInd w:val="0"/>
        <w:snapToGrid w:val="0"/>
        <w:spacing w:line="360" w:lineRule="auto"/>
        <w:ind w:firstLine="420" w:firstLineChars="200"/>
        <w:rPr>
          <w:rFonts w:ascii="宋体" w:hAnsi="宋体" w:cs="Arial"/>
        </w:rPr>
      </w:pPr>
      <w:r>
        <w:rPr>
          <w:rFonts w:hint="eastAsia" w:ascii="宋体" w:hAnsi="宋体" w:cs="Arial"/>
        </w:rPr>
        <w:t>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w:t>
      </w:r>
    </w:p>
    <w:p w14:paraId="199F683F">
      <w:pPr>
        <w:tabs>
          <w:tab w:val="left" w:pos="851"/>
          <w:tab w:val="left" w:pos="1134"/>
        </w:tabs>
        <w:adjustRightInd w:val="0"/>
        <w:snapToGrid w:val="0"/>
        <w:spacing w:line="360" w:lineRule="auto"/>
        <w:ind w:firstLine="422" w:firstLineChars="200"/>
        <w:outlineLvl w:val="0"/>
        <w:rPr>
          <w:rFonts w:ascii="宋体" w:hAnsi="宋体" w:cs="Arial"/>
          <w:b/>
        </w:rPr>
      </w:pPr>
      <w:r>
        <w:rPr>
          <w:rFonts w:hint="eastAsia" w:ascii="宋体" w:hAnsi="宋体" w:cs="Arial"/>
          <w:b/>
        </w:rPr>
        <w:t>十六、</w:t>
      </w:r>
      <w:bookmarkStart w:id="187" w:name="_Toc436220646"/>
      <w:r>
        <w:rPr>
          <w:rFonts w:hint="eastAsia" w:ascii="宋体" w:hAnsi="宋体" w:cs="Arial"/>
          <w:b/>
        </w:rPr>
        <w:t>新股申购风险</w:t>
      </w:r>
      <w:bookmarkEnd w:id="187"/>
    </w:p>
    <w:p w14:paraId="136EF55B">
      <w:pPr>
        <w:spacing w:line="360" w:lineRule="auto"/>
        <w:ind w:firstLine="420" w:firstLineChars="200"/>
        <w:rPr>
          <w:rFonts w:ascii="宋体" w:hAnsi="宋体"/>
        </w:rPr>
      </w:pPr>
      <w:r>
        <w:rPr>
          <w:rFonts w:hint="eastAsia" w:ascii="宋体" w:hAnsi="宋体"/>
        </w:rPr>
        <w:t>本基金可参与新股申购，新股发行政策、新股发行机制等影响新股发行的因素变动将会影响本基金的风险收益水平；新股配售比例、中签率的不确定性，或其他发售方式的不确定性以及上市后市场表现的不确定性使得本基金的投资收益不确定性有增加的风险。</w:t>
      </w:r>
    </w:p>
    <w:p w14:paraId="22C76DF1">
      <w:pPr>
        <w:tabs>
          <w:tab w:val="left" w:pos="851"/>
          <w:tab w:val="left" w:pos="1134"/>
        </w:tabs>
        <w:adjustRightInd w:val="0"/>
        <w:snapToGrid w:val="0"/>
        <w:spacing w:line="360" w:lineRule="auto"/>
        <w:ind w:firstLine="422" w:firstLineChars="200"/>
        <w:outlineLvl w:val="0"/>
        <w:rPr>
          <w:rFonts w:ascii="宋体" w:hAnsi="宋体" w:cs="Arial"/>
          <w:b/>
        </w:rPr>
      </w:pPr>
      <w:r>
        <w:rPr>
          <w:rFonts w:hint="eastAsia" w:ascii="宋体" w:hAnsi="宋体" w:cs="Arial"/>
          <w:b/>
        </w:rPr>
        <w:t>十七、股票期权风险</w:t>
      </w:r>
    </w:p>
    <w:p w14:paraId="57D16DC6">
      <w:pPr>
        <w:spacing w:line="360" w:lineRule="auto"/>
        <w:ind w:firstLine="420" w:firstLineChars="200"/>
        <w:rPr>
          <w:rFonts w:ascii="宋体" w:hAnsi="宋体"/>
        </w:rPr>
      </w:pPr>
      <w:r>
        <w:rPr>
          <w:rFonts w:hint="eastAsia" w:ascii="宋体" w:hAnsi="宋体"/>
        </w:rPr>
        <w:t>流动性风险：由于股票期权合约众多，交易较为分散，股票期权市场的流动性一般较期货市场要低，尤其是深度实值和虚值的股票期权，成交量稀少，持有这些股票期权的投资者容易遇到无法成交、平仓出局的局面。</w:t>
      </w:r>
    </w:p>
    <w:p w14:paraId="186D19C0">
      <w:pPr>
        <w:spacing w:line="360" w:lineRule="auto"/>
        <w:ind w:firstLine="420" w:firstLineChars="200"/>
        <w:rPr>
          <w:rFonts w:ascii="宋体" w:hAnsi="宋体"/>
        </w:rPr>
      </w:pPr>
      <w:r>
        <w:rPr>
          <w:rFonts w:hint="eastAsia" w:ascii="宋体" w:hAnsi="宋体"/>
        </w:rPr>
        <w:t>价格风险：股票期权买方的价格风险即为他所付出的权利金，风险具有确定性。股票期权卖方的价格风险不定，不过其所收取的权利金可以提供相应保护，当发生亏损时，可以抵消部分损失。</w:t>
      </w:r>
    </w:p>
    <w:p w14:paraId="2C81A5E8">
      <w:pPr>
        <w:spacing w:line="360" w:lineRule="auto"/>
        <w:ind w:firstLine="420" w:firstLineChars="200"/>
        <w:rPr>
          <w:rFonts w:ascii="宋体" w:hAnsi="宋体"/>
        </w:rPr>
      </w:pPr>
      <w:r>
        <w:rPr>
          <w:rFonts w:hint="eastAsia" w:ascii="宋体" w:hAnsi="宋体"/>
        </w:rPr>
        <w:t>操作风险：操作风险是指由于管理不善或者制度执行出现问题等原因所导致的风险。股票期权作为一种衍生品，虽然可以用来管理风险，但若使用不当，也会产生巨额损失。</w:t>
      </w:r>
    </w:p>
    <w:p w14:paraId="04C66FE1">
      <w:pPr>
        <w:tabs>
          <w:tab w:val="left" w:pos="851"/>
          <w:tab w:val="left" w:pos="1134"/>
        </w:tabs>
        <w:adjustRightInd w:val="0"/>
        <w:snapToGrid w:val="0"/>
        <w:spacing w:line="360" w:lineRule="auto"/>
        <w:ind w:firstLine="422" w:firstLineChars="200"/>
        <w:outlineLvl w:val="0"/>
        <w:rPr>
          <w:rFonts w:ascii="宋体" w:hAnsi="宋体" w:cs="Arial"/>
          <w:b/>
        </w:rPr>
      </w:pPr>
      <w:r>
        <w:rPr>
          <w:rFonts w:hint="eastAsia" w:ascii="宋体" w:hAnsi="宋体" w:cs="Arial"/>
          <w:b/>
        </w:rPr>
        <w:t>十八、融资交易及转融通证券出借业务的主要风险</w:t>
      </w:r>
    </w:p>
    <w:p w14:paraId="4BBEBFDD">
      <w:pPr>
        <w:spacing w:line="360" w:lineRule="auto"/>
        <w:ind w:firstLine="420" w:firstLineChars="200"/>
        <w:rPr>
          <w:rFonts w:ascii="宋体" w:hAnsi="宋体" w:cs="Arial"/>
        </w:rPr>
      </w:pPr>
      <w:r>
        <w:rPr>
          <w:rFonts w:hint="eastAsia" w:ascii="宋体" w:hAnsi="宋体" w:cs="Arial"/>
        </w:rPr>
        <w:t>1、流动性风险</w:t>
      </w:r>
    </w:p>
    <w:p w14:paraId="6FD352CE">
      <w:pPr>
        <w:spacing w:line="360" w:lineRule="auto"/>
        <w:ind w:firstLine="420" w:firstLineChars="200"/>
        <w:rPr>
          <w:rFonts w:ascii="宋体" w:hAnsi="宋体" w:cs="Arial"/>
        </w:rPr>
      </w:pPr>
      <w:r>
        <w:rPr>
          <w:rFonts w:hint="eastAsia" w:ascii="宋体" w:hAnsi="宋体" w:cs="Arial"/>
        </w:rPr>
        <w:t>出借人在出借证券后，除与借入人协商一致可提前了结的情形外，其他情形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w:t>
      </w:r>
    </w:p>
    <w:p w14:paraId="191C9AA8">
      <w:pPr>
        <w:spacing w:line="360" w:lineRule="auto"/>
        <w:ind w:firstLine="420" w:firstLineChars="200"/>
        <w:rPr>
          <w:rFonts w:ascii="宋体" w:hAnsi="宋体" w:cs="Arial"/>
        </w:rPr>
      </w:pPr>
      <w:r>
        <w:rPr>
          <w:rFonts w:hint="eastAsia" w:ascii="宋体" w:hAnsi="宋体" w:cs="Arial"/>
        </w:rPr>
        <w:t>2、交易对手违约风险</w:t>
      </w:r>
    </w:p>
    <w:p w14:paraId="7965CF35">
      <w:pPr>
        <w:spacing w:line="360" w:lineRule="auto"/>
        <w:ind w:firstLine="420" w:firstLineChars="200"/>
        <w:rPr>
          <w:rFonts w:ascii="宋体" w:hAnsi="宋体" w:cs="Arial"/>
        </w:rPr>
      </w:pPr>
      <w:r>
        <w:rPr>
          <w:rFonts w:hint="eastAsia" w:ascii="宋体" w:hAnsi="宋体" w:cs="Arial"/>
        </w:rPr>
        <w:t>存在由于交易对手违约而导致证券到期不能按时或足额归还、相应权益补偿和借券费用不能支付等交易对手违约风险。</w:t>
      </w:r>
    </w:p>
    <w:p w14:paraId="51CB1C97">
      <w:pPr>
        <w:spacing w:line="360" w:lineRule="auto"/>
        <w:ind w:firstLine="420" w:firstLineChars="200"/>
        <w:rPr>
          <w:rFonts w:ascii="宋体" w:hAnsi="宋体" w:cs="Arial"/>
        </w:rPr>
      </w:pPr>
      <w:r>
        <w:rPr>
          <w:rFonts w:hint="eastAsia" w:ascii="宋体" w:hAnsi="宋体" w:cs="Arial"/>
        </w:rPr>
        <w:t>3、市场风险</w:t>
      </w:r>
    </w:p>
    <w:p w14:paraId="78149BE7">
      <w:pPr>
        <w:spacing w:line="360" w:lineRule="auto"/>
        <w:ind w:firstLine="420" w:firstLineChars="200"/>
        <w:rPr>
          <w:rFonts w:ascii="宋体" w:hAnsi="宋体" w:cs="Arial"/>
        </w:rPr>
      </w:pPr>
      <w:r>
        <w:rPr>
          <w:rFonts w:hint="eastAsia" w:ascii="宋体" w:hAnsi="宋体" w:cs="Arial"/>
        </w:rPr>
        <w:t>转融通出借收益按照证券当日收市后市值、融出日（或展期日）费率和实际出借天数计算，因此可能面临证券市值波动、费率变动而导致的市场风险。</w:t>
      </w:r>
    </w:p>
    <w:p w14:paraId="49ADDEF5">
      <w:pPr>
        <w:spacing w:line="360" w:lineRule="auto"/>
        <w:ind w:firstLine="420" w:firstLineChars="200"/>
        <w:rPr>
          <w:rFonts w:ascii="宋体" w:hAnsi="宋体" w:cs="Arial"/>
        </w:rPr>
      </w:pPr>
      <w:r>
        <w:rPr>
          <w:rFonts w:hint="eastAsia" w:ascii="宋体" w:hAnsi="宋体" w:cs="Arial"/>
        </w:rPr>
        <w:t>4、提前或延迟了结风险</w:t>
      </w:r>
    </w:p>
    <w:p w14:paraId="2E4F4887">
      <w:pPr>
        <w:spacing w:line="360" w:lineRule="auto"/>
        <w:ind w:firstLine="420" w:firstLineChars="200"/>
        <w:rPr>
          <w:rFonts w:ascii="宋体" w:hAnsi="宋体" w:cs="Arial"/>
        </w:rPr>
      </w:pPr>
      <w:r>
        <w:rPr>
          <w:rFonts w:hint="eastAsia" w:ascii="宋体" w:hAnsi="宋体" w:cs="Arial"/>
        </w:rPr>
        <w:t>证券出借期间，如发生标的证券范围调整、标的证券暂停交易、标的证券对应的上市公司被以终止上市为目的进行收购、终止上市等情况，可能面临合约提前了结或延迟了结的风险。</w:t>
      </w:r>
    </w:p>
    <w:p w14:paraId="329E2F9F">
      <w:pPr>
        <w:spacing w:line="360" w:lineRule="auto"/>
        <w:ind w:firstLine="420" w:firstLineChars="200"/>
        <w:rPr>
          <w:rFonts w:ascii="宋体" w:hAnsi="宋体" w:cs="Arial"/>
        </w:rPr>
      </w:pPr>
      <w:r>
        <w:rPr>
          <w:rFonts w:hint="eastAsia" w:ascii="宋体" w:hAnsi="宋体" w:cs="Arial"/>
        </w:rPr>
        <w:t>5、跟踪误差风险</w:t>
      </w:r>
    </w:p>
    <w:p w14:paraId="7995B2A9">
      <w:pPr>
        <w:spacing w:line="360" w:lineRule="auto"/>
        <w:ind w:firstLine="420" w:firstLineChars="200"/>
        <w:rPr>
          <w:rFonts w:ascii="宋体" w:hAnsi="宋体" w:cs="Arial"/>
        </w:rPr>
      </w:pPr>
      <w:r>
        <w:rPr>
          <w:rFonts w:hint="eastAsia" w:ascii="宋体" w:hAnsi="宋体" w:cs="Arial"/>
        </w:rPr>
        <w:t>对于指数型组合，当组合发生大额赎回或市场大幅波动时，存在由于转融通出借证券无法提前了结并变现，单一股票占比被动上升而导致组合跟踪误差扩大的风险。</w:t>
      </w:r>
    </w:p>
    <w:p w14:paraId="7EF3FDAB">
      <w:pPr>
        <w:spacing w:line="360" w:lineRule="auto"/>
        <w:ind w:firstLine="420" w:firstLineChars="200"/>
        <w:rPr>
          <w:rFonts w:ascii="宋体" w:hAnsi="宋体" w:cs="Arial"/>
        </w:rPr>
      </w:pPr>
      <w:r>
        <w:rPr>
          <w:rFonts w:hint="eastAsia" w:ascii="宋体" w:hAnsi="宋体" w:cs="Arial"/>
        </w:rPr>
        <w:t>6、杠杆效应放大风险</w:t>
      </w:r>
    </w:p>
    <w:p w14:paraId="7157881F">
      <w:pPr>
        <w:spacing w:line="360" w:lineRule="auto"/>
        <w:ind w:firstLine="420" w:firstLineChars="200"/>
        <w:rPr>
          <w:rFonts w:ascii="宋体" w:hAnsi="宋体" w:cs="Arial"/>
        </w:rPr>
      </w:pPr>
      <w:r>
        <w:rPr>
          <w:rFonts w:hint="eastAsia" w:ascii="宋体" w:hAnsi="宋体" w:cs="Arial"/>
        </w:rPr>
        <w:t>投资者通过融资及转融通证券出借业务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w:t>
      </w:r>
    </w:p>
    <w:p w14:paraId="460E08F8">
      <w:pPr>
        <w:spacing w:line="360" w:lineRule="auto"/>
        <w:ind w:firstLine="420" w:firstLineChars="200"/>
        <w:rPr>
          <w:rFonts w:ascii="宋体" w:hAnsi="宋体" w:cs="Arial"/>
        </w:rPr>
      </w:pPr>
      <w:r>
        <w:rPr>
          <w:rFonts w:hint="eastAsia" w:ascii="宋体" w:hAnsi="宋体" w:cs="Arial"/>
        </w:rPr>
        <w:t>7、担保能力及限制交易风险</w:t>
      </w:r>
    </w:p>
    <w:p w14:paraId="237AE7BD">
      <w:pPr>
        <w:spacing w:line="360" w:lineRule="auto"/>
        <w:ind w:firstLine="420" w:firstLineChars="200"/>
        <w:rPr>
          <w:rFonts w:ascii="宋体" w:hAnsi="宋体" w:cs="Arial"/>
        </w:rPr>
      </w:pPr>
      <w:r>
        <w:rPr>
          <w:rFonts w:hint="eastAsia" w:ascii="宋体" w:hAnsi="宋体" w:cs="Arial"/>
        </w:rPr>
        <w:t>单只或全部证券被暂停融资及转融通证券出借业务、投资者账户被暂停或取消融资及转融通证券出借业务资格等,这些影响可能给投资者造成经济损失。此外，投资者也可能面临由于自身维持担保比例低于融资及转融通证券出借业务合同约定的担保要求，且未能及时补充担保物,导致信用账户交易受到限制,从而造成经济损失。</w:t>
      </w:r>
    </w:p>
    <w:p w14:paraId="3D1908BD">
      <w:pPr>
        <w:spacing w:line="360" w:lineRule="auto"/>
        <w:ind w:firstLine="420" w:firstLineChars="200"/>
        <w:rPr>
          <w:rFonts w:ascii="宋体" w:hAnsi="宋体" w:cs="Arial"/>
        </w:rPr>
      </w:pPr>
      <w:r>
        <w:rPr>
          <w:rFonts w:hint="eastAsia" w:ascii="宋体" w:hAnsi="宋体" w:cs="Arial"/>
        </w:rPr>
        <w:t>8、强制平仓风险</w:t>
      </w:r>
    </w:p>
    <w:p w14:paraId="047114A7">
      <w:pPr>
        <w:spacing w:line="360" w:lineRule="auto"/>
        <w:ind w:firstLine="420" w:firstLineChars="200"/>
        <w:rPr>
          <w:rFonts w:ascii="宋体" w:hAnsi="宋体" w:cs="Arial"/>
        </w:rPr>
      </w:pPr>
      <w:r>
        <w:rPr>
          <w:rFonts w:hint="eastAsia" w:ascii="宋体" w:hAnsi="宋体" w:cs="Arial"/>
        </w:rPr>
        <w:t>投资者在从事融资交易及转融通证券出借业务期间,如果不能按照约定的期限清偿债务,或上市证券价格波动,导致日终清算后维持担保比例低于警戒线,且不能按照约定追加担保物时,将面临担保物被证券公司强制平仓的风险,由此可能给投资者造成经济损失。</w:t>
      </w:r>
    </w:p>
    <w:p w14:paraId="013203EB">
      <w:pPr>
        <w:spacing w:line="360" w:lineRule="auto"/>
        <w:ind w:firstLine="420" w:firstLineChars="200"/>
        <w:rPr>
          <w:rFonts w:ascii="宋体" w:hAnsi="宋体" w:cs="Arial"/>
        </w:rPr>
      </w:pPr>
      <w:r>
        <w:rPr>
          <w:rFonts w:hint="eastAsia" w:ascii="宋体" w:hAnsi="宋体" w:cs="Arial"/>
        </w:rPr>
        <w:t>9、操作风险</w:t>
      </w:r>
    </w:p>
    <w:p w14:paraId="76CCF927">
      <w:pPr>
        <w:spacing w:line="360" w:lineRule="auto"/>
        <w:ind w:firstLine="420" w:firstLineChars="200"/>
        <w:rPr>
          <w:rFonts w:ascii="宋体" w:hAnsi="宋体" w:cs="Arial"/>
        </w:rPr>
      </w:pPr>
      <w:r>
        <w:rPr>
          <w:rFonts w:hint="eastAsia" w:ascii="宋体" w:hAnsi="宋体" w:cs="Arial"/>
        </w:rPr>
        <w:t>融资交易和转融通业务具体实施过程中，在投资决策、交易等环节，可能面临由于操作人员操作失误、系统不完善等原因引发的操作风险。</w:t>
      </w:r>
    </w:p>
    <w:p w14:paraId="307F4282">
      <w:pPr>
        <w:spacing w:line="360" w:lineRule="auto"/>
        <w:ind w:firstLine="420" w:firstLineChars="200"/>
        <w:rPr>
          <w:rFonts w:ascii="宋体" w:hAnsi="宋体" w:cs="Arial"/>
        </w:rPr>
      </w:pPr>
      <w:r>
        <w:rPr>
          <w:rFonts w:hint="eastAsia" w:ascii="宋体" w:hAnsi="宋体" w:cs="Arial"/>
        </w:rPr>
        <w:t>10、法律合规风险</w:t>
      </w:r>
    </w:p>
    <w:p w14:paraId="1D27457A">
      <w:pPr>
        <w:spacing w:line="360" w:lineRule="auto"/>
        <w:ind w:firstLine="420" w:firstLineChars="200"/>
        <w:rPr>
          <w:rFonts w:ascii="宋体" w:hAnsi="宋体"/>
        </w:rPr>
      </w:pPr>
      <w:r>
        <w:rPr>
          <w:rFonts w:hint="eastAsia" w:ascii="宋体" w:hAnsi="宋体" w:cs="Arial"/>
        </w:rPr>
        <w:t>在融资交易和转融通证券出借过程中，存在由于标的证券价格波动导致组合合规指标超标且无法进行调整的风险，以及在业务开展过程中发生操纵价格、利益输送等法律合规风险。</w:t>
      </w:r>
    </w:p>
    <w:p w14:paraId="06A12168">
      <w:pPr>
        <w:adjustRightInd w:val="0"/>
        <w:snapToGrid w:val="0"/>
        <w:spacing w:line="360" w:lineRule="auto"/>
        <w:ind w:firstLine="422" w:firstLineChars="200"/>
        <w:outlineLvl w:val="0"/>
        <w:rPr>
          <w:rFonts w:ascii="宋体" w:hAnsi="宋体"/>
          <w:b/>
        </w:rPr>
      </w:pPr>
      <w:r>
        <w:rPr>
          <w:rFonts w:hint="eastAsia" w:ascii="宋体" w:hAnsi="宋体"/>
          <w:b/>
        </w:rPr>
        <w:t>十九、投资于存托凭证的风险</w:t>
      </w:r>
    </w:p>
    <w:p w14:paraId="6E8B3C37">
      <w:pPr>
        <w:adjustRightInd w:val="0"/>
        <w:snapToGrid w:val="0"/>
        <w:spacing w:line="360" w:lineRule="auto"/>
        <w:ind w:firstLine="420" w:firstLineChars="200"/>
        <w:outlineLvl w:val="0"/>
        <w:rPr>
          <w:rFonts w:ascii="宋体" w:hAnsi="宋体"/>
        </w:rPr>
      </w:pPr>
      <w:r>
        <w:rPr>
          <w:rFonts w:hint="eastAsia" w:ascii="宋体" w:hAnsi="宋体"/>
        </w:rPr>
        <w:t>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6E91F4FA">
      <w:pPr>
        <w:adjustRightInd w:val="0"/>
        <w:snapToGrid w:val="0"/>
        <w:spacing w:line="360" w:lineRule="auto"/>
        <w:ind w:firstLine="422" w:firstLineChars="200"/>
        <w:outlineLvl w:val="0"/>
        <w:rPr>
          <w:rFonts w:ascii="宋体" w:hAnsi="宋体"/>
          <w:b/>
          <w:bCs/>
        </w:rPr>
      </w:pPr>
      <w:r>
        <w:rPr>
          <w:rFonts w:hint="eastAsia" w:ascii="宋体" w:hAnsi="宋体"/>
          <w:b/>
          <w:bCs/>
        </w:rPr>
        <w:t>二十、投资北交所股票的风险</w:t>
      </w:r>
    </w:p>
    <w:p w14:paraId="70700358">
      <w:pPr>
        <w:adjustRightInd w:val="0"/>
        <w:snapToGrid w:val="0"/>
        <w:spacing w:line="360" w:lineRule="auto"/>
        <w:ind w:firstLine="420" w:firstLineChars="200"/>
        <w:outlineLvl w:val="0"/>
        <w:rPr>
          <w:rFonts w:ascii="宋体" w:hAnsi="宋体"/>
        </w:rPr>
      </w:pPr>
      <w:r>
        <w:rPr>
          <w:rFonts w:hint="eastAsia" w:ascii="宋体" w:hAnsi="宋体"/>
        </w:rPr>
        <w:t>本基金标的指数成份股可能包含北京证券交易所股票。北京证券交易所主要服务于创新型中小企业，在发行、上市、交易、退市等方面的规则与其他交易场所存在差异。本基金如投资北京证券交易所股票，可能面临的风险包括但不限于：</w:t>
      </w:r>
    </w:p>
    <w:p w14:paraId="143D2FCC">
      <w:pPr>
        <w:adjustRightInd w:val="0"/>
        <w:snapToGrid w:val="0"/>
        <w:spacing w:line="360" w:lineRule="auto"/>
        <w:ind w:firstLine="420" w:firstLineChars="200"/>
        <w:outlineLvl w:val="0"/>
        <w:rPr>
          <w:rFonts w:ascii="宋体" w:hAnsi="宋体"/>
        </w:rPr>
      </w:pPr>
      <w:r>
        <w:rPr>
          <w:rFonts w:hint="eastAsia" w:ascii="宋体" w:hAnsi="宋体"/>
        </w:rPr>
        <w:t>（1）中小企业经营风险</w:t>
      </w:r>
    </w:p>
    <w:p w14:paraId="0A5F5D16">
      <w:pPr>
        <w:adjustRightInd w:val="0"/>
        <w:snapToGrid w:val="0"/>
        <w:spacing w:line="360" w:lineRule="auto"/>
        <w:ind w:firstLine="420" w:firstLineChars="200"/>
        <w:outlineLvl w:val="0"/>
        <w:rPr>
          <w:rFonts w:ascii="宋体" w:hAnsi="宋体"/>
        </w:rPr>
      </w:pPr>
      <w:r>
        <w:rPr>
          <w:rFonts w:hint="eastAsia" w:ascii="宋体" w:hAnsi="宋体"/>
        </w:rPr>
        <w:t>北京证券交易所上市企业为创新型中小企业，该类企业往往具有规模小、对技术依赖高、迭代快、议价能力不强等特点，抗市场风险和行业风险能力较弱，存在因产品、经营模式、相关政策变化而出现经营失败的风险；另一方面，部分中小企业可能尚处于初步发展阶段，业务收入、现金流及盈利水平等具有较大不确定性，个股投资风险较大。因此，基金在追求北京证券交易所上市企业带来收益的同时，可能面临相关企业无法盈利甚至产生导致较大亏损的风险。</w:t>
      </w:r>
    </w:p>
    <w:p w14:paraId="0782BC69">
      <w:pPr>
        <w:adjustRightInd w:val="0"/>
        <w:snapToGrid w:val="0"/>
        <w:spacing w:line="360" w:lineRule="auto"/>
        <w:ind w:firstLine="420" w:firstLineChars="200"/>
        <w:outlineLvl w:val="0"/>
        <w:rPr>
          <w:rFonts w:ascii="宋体" w:hAnsi="宋体"/>
        </w:rPr>
      </w:pPr>
      <w:r>
        <w:rPr>
          <w:rFonts w:hint="eastAsia" w:ascii="宋体" w:hAnsi="宋体"/>
        </w:rPr>
        <w:t>（2）股价大幅波动风险</w:t>
      </w:r>
    </w:p>
    <w:p w14:paraId="3D82AA16">
      <w:pPr>
        <w:adjustRightInd w:val="0"/>
        <w:snapToGrid w:val="0"/>
        <w:spacing w:line="360" w:lineRule="auto"/>
        <w:ind w:firstLine="420" w:firstLineChars="200"/>
        <w:outlineLvl w:val="0"/>
        <w:rPr>
          <w:rFonts w:ascii="宋体" w:hAnsi="宋体"/>
        </w:rPr>
      </w:pPr>
      <w:r>
        <w:rPr>
          <w:rFonts w:hint="eastAsia" w:ascii="宋体" w:hAnsi="宋体"/>
        </w:rPr>
        <w:t>北京证券交易所在证券发行、交易、投资者适当性等方面与沪深证券交易所的制度规则存在一定差别，包括北京证券交易所竞价交易较沪深证券交易所设置了更宽的涨跌幅限制（上市后的首日不设涨跌幅限制，其后涨跌幅限制为30%），可能导致较大的股票价格波动。</w:t>
      </w:r>
    </w:p>
    <w:p w14:paraId="58C3F2B2">
      <w:pPr>
        <w:adjustRightInd w:val="0"/>
        <w:snapToGrid w:val="0"/>
        <w:spacing w:line="360" w:lineRule="auto"/>
        <w:ind w:firstLine="420" w:firstLineChars="200"/>
        <w:outlineLvl w:val="0"/>
        <w:rPr>
          <w:rFonts w:ascii="宋体" w:hAnsi="宋体"/>
        </w:rPr>
      </w:pPr>
      <w:r>
        <w:rPr>
          <w:rFonts w:hint="eastAsia" w:ascii="宋体" w:hAnsi="宋体"/>
        </w:rPr>
        <w:t>（3）退市风险</w:t>
      </w:r>
    </w:p>
    <w:p w14:paraId="7042754C">
      <w:pPr>
        <w:adjustRightInd w:val="0"/>
        <w:snapToGrid w:val="0"/>
        <w:spacing w:line="360" w:lineRule="auto"/>
        <w:ind w:firstLine="420" w:firstLineChars="200"/>
        <w:outlineLvl w:val="0"/>
        <w:rPr>
          <w:rFonts w:ascii="宋体" w:hAnsi="宋体"/>
        </w:rPr>
      </w:pPr>
      <w:r>
        <w:rPr>
          <w:rFonts w:hint="eastAsia" w:ascii="宋体" w:hAnsi="宋体"/>
        </w:rPr>
        <w:t>根据北京证券交易所退市制度，上市企业退市情形较多，一旦所投资的北京证券交易所上市企业进入退市流程，有可能退入新三板创新层或基础层挂牌交易，或转入退市公司板块，基金可能无法及时将该企业调出投资组合，从而面临退出难度较大、流动性变差、变现成本较高以及股价大幅波动的风险，可能对基金净值造成不利影响。</w:t>
      </w:r>
    </w:p>
    <w:p w14:paraId="409ACE42">
      <w:pPr>
        <w:adjustRightInd w:val="0"/>
        <w:snapToGrid w:val="0"/>
        <w:spacing w:line="360" w:lineRule="auto"/>
        <w:ind w:firstLine="420" w:firstLineChars="200"/>
        <w:outlineLvl w:val="0"/>
        <w:rPr>
          <w:rFonts w:ascii="宋体" w:hAnsi="宋体"/>
        </w:rPr>
      </w:pPr>
      <w:r>
        <w:rPr>
          <w:rFonts w:hint="eastAsia" w:ascii="宋体" w:hAnsi="宋体"/>
        </w:rPr>
        <w:t>（4）企业流动性风险</w:t>
      </w:r>
    </w:p>
    <w:p w14:paraId="0DE79851">
      <w:pPr>
        <w:adjustRightInd w:val="0"/>
        <w:snapToGrid w:val="0"/>
        <w:spacing w:line="360" w:lineRule="auto"/>
        <w:ind w:firstLine="420" w:firstLineChars="200"/>
        <w:outlineLvl w:val="0"/>
        <w:rPr>
          <w:rFonts w:ascii="宋体" w:hAnsi="宋体"/>
        </w:rPr>
      </w:pPr>
      <w:r>
        <w:rPr>
          <w:rFonts w:hint="eastAsia" w:ascii="宋体" w:hAnsi="宋体"/>
        </w:rPr>
        <w:t>北京证券交易所投资门槛较高，个人投资者参与度相对较低；此外，由于北京证券交易所上市企业规模小，部分企业股权较为集中，由此可能导致整体流动性相对较弱。若投资者在特定阶段对个券形成一致预期，基金可能面临无法及时变现及其他相关流动性风险。</w:t>
      </w:r>
    </w:p>
    <w:p w14:paraId="08CB02D7">
      <w:pPr>
        <w:adjustRightInd w:val="0"/>
        <w:snapToGrid w:val="0"/>
        <w:spacing w:line="360" w:lineRule="auto"/>
        <w:ind w:firstLine="420" w:firstLineChars="200"/>
        <w:outlineLvl w:val="0"/>
        <w:rPr>
          <w:rFonts w:ascii="宋体" w:hAnsi="宋体"/>
        </w:rPr>
      </w:pPr>
      <w:r>
        <w:rPr>
          <w:rFonts w:hint="eastAsia" w:ascii="宋体" w:hAnsi="宋体"/>
        </w:rPr>
        <w:t>（5）监管规则变化的风险</w:t>
      </w:r>
    </w:p>
    <w:p w14:paraId="6F38BA69">
      <w:pPr>
        <w:adjustRightInd w:val="0"/>
        <w:snapToGrid w:val="0"/>
        <w:spacing w:line="360" w:lineRule="auto"/>
        <w:ind w:firstLine="420" w:firstLineChars="200"/>
        <w:outlineLvl w:val="0"/>
        <w:rPr>
          <w:rFonts w:ascii="宋体" w:hAnsi="宋体"/>
        </w:rPr>
      </w:pPr>
      <w:r>
        <w:rPr>
          <w:rFonts w:hint="eastAsia" w:ascii="宋体" w:hAnsi="宋体"/>
        </w:rPr>
        <w:t>北京证券交易所相关法律、行政法规、部门规章、规范性文件和交易所业务规则，可能根据市场情况进行修改完善，或者补充制定新的法律法规和业务规则，可能对基金投资运作产生影响，或导致基金投资运作相应调整变化。</w:t>
      </w:r>
    </w:p>
    <w:p w14:paraId="6E5432D8">
      <w:pPr>
        <w:adjustRightInd w:val="0"/>
        <w:snapToGrid w:val="0"/>
        <w:spacing w:line="360" w:lineRule="auto"/>
        <w:ind w:firstLine="426"/>
        <w:rPr>
          <w:rFonts w:ascii="宋体" w:hAnsi="宋体" w:cs="Arial"/>
          <w:b/>
          <w:bCs/>
        </w:rPr>
      </w:pPr>
      <w:r>
        <w:rPr>
          <w:rFonts w:hint="eastAsia" w:ascii="宋体" w:hAnsi="宋体" w:cs="Arial"/>
          <w:b/>
          <w:bCs/>
        </w:rPr>
        <w:t>二十一、指数编制机构停止服务的风险</w:t>
      </w:r>
    </w:p>
    <w:p w14:paraId="2F2F8D78">
      <w:pPr>
        <w:adjustRightInd w:val="0"/>
        <w:snapToGrid w:val="0"/>
        <w:spacing w:line="360" w:lineRule="auto"/>
        <w:ind w:firstLine="426"/>
        <w:rPr>
          <w:rFonts w:ascii="宋体" w:hAnsi="宋体" w:cs="Arial"/>
        </w:rPr>
      </w:pPr>
      <w:r>
        <w:rPr>
          <w:rFonts w:hint="eastAsia" w:ascii="宋体" w:hAnsi="宋体" w:cs="Arial"/>
        </w:rPr>
        <w:t>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转换运作方式、与其他基金合并或者终止基金合同等，并在6个月内召集基金份额持有人大会。</w:t>
      </w:r>
    </w:p>
    <w:p w14:paraId="4E52F7F4">
      <w:pPr>
        <w:adjustRightInd w:val="0"/>
        <w:snapToGrid w:val="0"/>
        <w:spacing w:line="360" w:lineRule="auto"/>
        <w:ind w:firstLine="426"/>
        <w:rPr>
          <w:rFonts w:ascii="宋体" w:hAnsi="宋体" w:cs="Arial"/>
        </w:rPr>
      </w:pPr>
      <w:r>
        <w:rPr>
          <w:rFonts w:hint="eastAsia" w:ascii="宋体" w:hAnsi="宋体" w:cs="Arial"/>
        </w:rPr>
        <w:t>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w:t>
      </w:r>
    </w:p>
    <w:p w14:paraId="5FFF30CB">
      <w:pPr>
        <w:adjustRightInd w:val="0"/>
        <w:snapToGrid w:val="0"/>
        <w:spacing w:line="360" w:lineRule="auto"/>
        <w:ind w:firstLine="426"/>
        <w:rPr>
          <w:rFonts w:ascii="宋体" w:hAnsi="宋体" w:cs="Arial"/>
          <w:b/>
          <w:bCs/>
        </w:rPr>
      </w:pPr>
      <w:r>
        <w:rPr>
          <w:rFonts w:hint="eastAsia" w:ascii="宋体" w:hAnsi="宋体" w:cs="Arial"/>
          <w:b/>
          <w:bCs/>
        </w:rPr>
        <w:t>二十二、跟踪误差控制未达约定目标的风险</w:t>
      </w:r>
    </w:p>
    <w:p w14:paraId="5BFFBDD3">
      <w:pPr>
        <w:adjustRightInd w:val="0"/>
        <w:snapToGrid w:val="0"/>
        <w:spacing w:line="360" w:lineRule="auto"/>
        <w:ind w:firstLine="426"/>
        <w:rPr>
          <w:rFonts w:ascii="宋体" w:hAnsi="宋体" w:cs="Arial"/>
        </w:rPr>
      </w:pPr>
      <w:r>
        <w:rPr>
          <w:rFonts w:hint="eastAsia" w:ascii="宋体" w:hAnsi="宋体" w:cs="Arial"/>
        </w:rPr>
        <w:t>在正常情况下，本基金力争控制投资组合的净值增长率与业绩比较基准之间的预期日均跟踪偏离度的绝对值小于0.2%，预期年化跟踪误差不超过2%，但因标的指数编制规则调整或其他因素可能导致跟踪误差超过上述范围，本基金净值表现与指数价格走势可能发生较大偏离。</w:t>
      </w:r>
    </w:p>
    <w:p w14:paraId="7D223EEF">
      <w:pPr>
        <w:tabs>
          <w:tab w:val="left" w:pos="851"/>
          <w:tab w:val="left" w:pos="1134"/>
        </w:tabs>
        <w:adjustRightInd w:val="0"/>
        <w:snapToGrid w:val="0"/>
        <w:spacing w:line="360" w:lineRule="auto"/>
        <w:ind w:firstLine="422" w:firstLineChars="200"/>
        <w:outlineLvl w:val="0"/>
        <w:rPr>
          <w:rFonts w:ascii="宋体" w:hAnsi="宋体"/>
          <w:b/>
        </w:rPr>
      </w:pPr>
      <w:r>
        <w:rPr>
          <w:rFonts w:hint="eastAsia" w:ascii="宋体" w:hAnsi="宋体"/>
          <w:b/>
        </w:rPr>
        <w:t>二十三、成份股停牌的风险</w:t>
      </w:r>
    </w:p>
    <w:p w14:paraId="25D55D9F">
      <w:pPr>
        <w:adjustRightInd w:val="0"/>
        <w:snapToGrid w:val="0"/>
        <w:spacing w:line="360" w:lineRule="auto"/>
        <w:ind w:firstLine="426"/>
        <w:rPr>
          <w:rFonts w:ascii="宋体" w:hAnsi="宋体" w:cs="Arial"/>
        </w:rPr>
      </w:pPr>
      <w:r>
        <w:rPr>
          <w:rFonts w:hint="eastAsia" w:ascii="宋体" w:hAnsi="宋体" w:cs="Arial"/>
        </w:rPr>
        <w:t>标的指数成份股可能因各种原因临时或长期停牌，发生成份股停牌时可能面临如下风险：</w:t>
      </w:r>
    </w:p>
    <w:p w14:paraId="05756DEA">
      <w:pPr>
        <w:adjustRightInd w:val="0"/>
        <w:snapToGrid w:val="0"/>
        <w:spacing w:line="360" w:lineRule="auto"/>
        <w:ind w:firstLine="426"/>
        <w:rPr>
          <w:rFonts w:ascii="宋体" w:hAnsi="宋体" w:cs="Arial"/>
        </w:rPr>
      </w:pPr>
      <w:r>
        <w:rPr>
          <w:rFonts w:hint="eastAsia" w:ascii="宋体" w:hAnsi="宋体" w:cs="Arial"/>
        </w:rPr>
        <w:t>1</w:t>
      </w:r>
      <w:r>
        <w:rPr>
          <w:rFonts w:ascii="宋体" w:hAnsi="宋体" w:cs="Arial"/>
        </w:rPr>
        <w:t>、</w:t>
      </w:r>
      <w:r>
        <w:rPr>
          <w:rFonts w:hint="eastAsia" w:ascii="宋体" w:hAnsi="宋体" w:cs="Arial"/>
        </w:rPr>
        <w:t>基金可能因无法及时调整投资组合而导致跟踪偏离度和跟踪误差扩大。</w:t>
      </w:r>
    </w:p>
    <w:p w14:paraId="0506529F">
      <w:pPr>
        <w:adjustRightInd w:val="0"/>
        <w:snapToGrid w:val="0"/>
        <w:spacing w:line="360" w:lineRule="auto"/>
        <w:ind w:firstLine="426"/>
        <w:rPr>
          <w:rFonts w:ascii="宋体" w:hAnsi="宋体" w:cs="Arial"/>
        </w:rPr>
      </w:pPr>
      <w:r>
        <w:rPr>
          <w:rFonts w:hint="eastAsia" w:ascii="宋体" w:hAnsi="宋体" w:cs="Arial"/>
        </w:rPr>
        <w:t>2</w:t>
      </w:r>
      <w:r>
        <w:rPr>
          <w:rFonts w:ascii="宋体" w:hAnsi="宋体" w:cs="Arial"/>
        </w:rPr>
        <w:t>、</w:t>
      </w:r>
      <w:r>
        <w:rPr>
          <w:rFonts w:hint="eastAsia" w:ascii="宋体" w:hAnsi="宋体" w:cs="Arial"/>
        </w:rPr>
        <w:t>停牌成份股可能因其权重占比、市场复牌预期、现金替代标识等因素影响本基金二级市场价格的折溢价水平。</w:t>
      </w:r>
    </w:p>
    <w:p w14:paraId="5E9C6278">
      <w:pPr>
        <w:adjustRightInd w:val="0"/>
        <w:snapToGrid w:val="0"/>
        <w:spacing w:line="360" w:lineRule="auto"/>
        <w:ind w:firstLine="426"/>
        <w:rPr>
          <w:rFonts w:ascii="宋体" w:hAnsi="宋体" w:cs="Arial"/>
        </w:rPr>
      </w:pPr>
      <w:r>
        <w:rPr>
          <w:rFonts w:hint="eastAsia" w:ascii="宋体" w:hAnsi="宋体" w:cs="Arial"/>
        </w:rPr>
        <w:t>3</w:t>
      </w:r>
      <w:r>
        <w:rPr>
          <w:rFonts w:ascii="宋体" w:hAnsi="宋体" w:cs="Arial"/>
        </w:rPr>
        <w:t>、</w:t>
      </w:r>
      <w:r>
        <w:rPr>
          <w:rFonts w:hint="eastAsia" w:ascii="宋体" w:hAnsi="宋体" w:cs="Arial"/>
        </w:rPr>
        <w:t>若成份股停牌时间较长，在约定时间内仍未能及时买入或卖出的，则该部分款项将按照约定方式进行结算（具体见招募说明书“基金份额的申购与赎回”之“申购赎回清单的内容与格式”相关约定），由此可能影响投资者的投资损益并使基金产生跟踪偏离度和跟踪误差。</w:t>
      </w:r>
    </w:p>
    <w:p w14:paraId="307A8517">
      <w:pPr>
        <w:adjustRightInd w:val="0"/>
        <w:snapToGrid w:val="0"/>
        <w:spacing w:line="360" w:lineRule="auto"/>
        <w:ind w:firstLine="426"/>
        <w:rPr>
          <w:rFonts w:ascii="宋体" w:hAnsi="宋体" w:cs="Arial"/>
        </w:rPr>
      </w:pPr>
      <w:r>
        <w:rPr>
          <w:rFonts w:hint="eastAsia" w:ascii="宋体" w:hAnsi="宋体" w:cs="Arial"/>
        </w:rPr>
        <w:t>4</w:t>
      </w:r>
      <w:r>
        <w:rPr>
          <w:rFonts w:ascii="宋体" w:hAnsi="宋体" w:cs="Arial"/>
        </w:rPr>
        <w:t>、</w:t>
      </w:r>
      <w:r>
        <w:rPr>
          <w:rFonts w:hint="eastAsia" w:ascii="宋体" w:hAnsi="宋体" w:cs="Arial"/>
        </w:rPr>
        <w:t>在极端情况下，标的指数成份股可能大面积停牌，基金可能无法及时卖出成份股以获取足额的符合要求的赎回对价，由此基金管理人可能在申购赎回清单中设置较低的赎回份额上限或者采取暂停赎回的措施，投资者将面临无法赎回全部或部分基金份额的风险。</w:t>
      </w:r>
    </w:p>
    <w:p w14:paraId="6750819E">
      <w:pPr>
        <w:tabs>
          <w:tab w:val="left" w:pos="851"/>
          <w:tab w:val="left" w:pos="1134"/>
        </w:tabs>
        <w:adjustRightInd w:val="0"/>
        <w:snapToGrid w:val="0"/>
        <w:spacing w:line="360" w:lineRule="auto"/>
        <w:ind w:firstLine="422" w:firstLineChars="200"/>
        <w:outlineLvl w:val="0"/>
        <w:rPr>
          <w:rFonts w:ascii="宋体" w:hAnsi="宋体"/>
          <w:b/>
        </w:rPr>
      </w:pPr>
      <w:r>
        <w:rPr>
          <w:rFonts w:hint="eastAsia" w:ascii="宋体" w:hAnsi="宋体"/>
          <w:b/>
        </w:rPr>
        <w:t>二十四、成份股退市的风险</w:t>
      </w:r>
    </w:p>
    <w:p w14:paraId="1689886E">
      <w:pPr>
        <w:adjustRightInd w:val="0"/>
        <w:snapToGrid w:val="0"/>
        <w:spacing w:line="360" w:lineRule="auto"/>
        <w:ind w:firstLine="426"/>
        <w:rPr>
          <w:rFonts w:ascii="宋体" w:hAnsi="宋体" w:cs="Arial"/>
        </w:rPr>
      </w:pPr>
      <w:r>
        <w:rPr>
          <w:rFonts w:hint="eastAsia" w:ascii="宋体" w:hAnsi="宋体" w:cs="Arial"/>
        </w:rPr>
        <w:t>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w:t>
      </w:r>
    </w:p>
    <w:p w14:paraId="3543AB5E">
      <w:pPr>
        <w:adjustRightInd w:val="0"/>
        <w:snapToGrid w:val="0"/>
        <w:spacing w:line="360" w:lineRule="auto"/>
        <w:ind w:firstLine="422" w:firstLineChars="200"/>
        <w:outlineLvl w:val="0"/>
        <w:rPr>
          <w:rFonts w:ascii="宋体" w:hAnsi="宋体" w:cs="Arial"/>
          <w:b/>
        </w:rPr>
      </w:pPr>
      <w:r>
        <w:rPr>
          <w:rFonts w:hint="eastAsia" w:ascii="宋体" w:hAnsi="宋体"/>
          <w:b/>
        </w:rPr>
        <w:t>二十五、</w:t>
      </w:r>
      <w:r>
        <w:rPr>
          <w:rFonts w:ascii="宋体" w:hAnsi="宋体" w:cs="Arial"/>
          <w:b/>
        </w:rPr>
        <w:t>管理风险与操作风险</w:t>
      </w:r>
      <w:bookmarkEnd w:id="186"/>
      <w:r>
        <w:rPr>
          <w:rFonts w:ascii="宋体" w:hAnsi="宋体" w:cs="Arial"/>
          <w:b/>
        </w:rPr>
        <w:t xml:space="preserve"> </w:t>
      </w:r>
    </w:p>
    <w:p w14:paraId="001212F6">
      <w:pPr>
        <w:autoSpaceDE w:val="0"/>
        <w:autoSpaceDN w:val="0"/>
        <w:adjustRightInd w:val="0"/>
        <w:snapToGrid w:val="0"/>
        <w:spacing w:line="360" w:lineRule="auto"/>
        <w:ind w:firstLine="420" w:firstLineChars="200"/>
        <w:rPr>
          <w:rFonts w:ascii="宋体" w:hAnsi="宋体" w:cs="Arial"/>
          <w:kern w:val="0"/>
        </w:rPr>
      </w:pPr>
      <w:r>
        <w:rPr>
          <w:rFonts w:ascii="宋体" w:hAnsi="宋体" w:cs="Arial"/>
          <w:kern w:val="0"/>
        </w:rPr>
        <w:t xml:space="preserve">基金管理人、基金托管人等相关当事人的业务发展状况、人员配备、管理水平与内部控制等对基金收益水平存在影响。因业务扩张过快、行业内过度竞争、对主要业务人员过度依赖等可能会产生影响投资人利益的风险。 </w:t>
      </w:r>
    </w:p>
    <w:p w14:paraId="506E2ABA">
      <w:pPr>
        <w:autoSpaceDE w:val="0"/>
        <w:autoSpaceDN w:val="0"/>
        <w:adjustRightInd w:val="0"/>
        <w:snapToGrid w:val="0"/>
        <w:spacing w:line="360" w:lineRule="auto"/>
        <w:ind w:firstLine="420" w:firstLineChars="200"/>
        <w:rPr>
          <w:rFonts w:ascii="宋体" w:hAnsi="宋体" w:cs="Arial"/>
          <w:kern w:val="0"/>
        </w:rPr>
      </w:pPr>
      <w:r>
        <w:rPr>
          <w:rFonts w:ascii="宋体" w:hAnsi="宋体" w:cs="Arial"/>
          <w:kern w:val="0"/>
        </w:rPr>
        <w:t xml:space="preserve">相关当事人在业务各环节操作过程中，可能因内部控制存在缺陷或者人为因素造成操作失误或违反操作规程等引致风险，例如，申购、赎回清单编制错误、越权违规交易、欺诈行为及交易错误等风险。 </w:t>
      </w:r>
    </w:p>
    <w:p w14:paraId="2D6A06BA">
      <w:pPr>
        <w:adjustRightInd w:val="0"/>
        <w:snapToGrid w:val="0"/>
        <w:spacing w:line="360" w:lineRule="auto"/>
        <w:ind w:firstLine="422" w:firstLineChars="200"/>
        <w:outlineLvl w:val="0"/>
        <w:rPr>
          <w:rFonts w:ascii="宋体" w:hAnsi="宋体" w:cs="Arial"/>
          <w:b/>
        </w:rPr>
      </w:pPr>
      <w:bookmarkStart w:id="188" w:name="_Toc293495065"/>
      <w:r>
        <w:rPr>
          <w:rFonts w:hint="eastAsia" w:ascii="宋体" w:hAnsi="宋体" w:cs="Arial"/>
          <w:b/>
        </w:rPr>
        <w:t>二十六、</w:t>
      </w:r>
      <w:r>
        <w:rPr>
          <w:rFonts w:ascii="宋体" w:hAnsi="宋体" w:cs="Arial"/>
          <w:b/>
        </w:rPr>
        <w:t>技术风险</w:t>
      </w:r>
      <w:bookmarkEnd w:id="188"/>
    </w:p>
    <w:p w14:paraId="5790D6ED">
      <w:pPr>
        <w:autoSpaceDE w:val="0"/>
        <w:autoSpaceDN w:val="0"/>
        <w:adjustRightInd w:val="0"/>
        <w:snapToGrid w:val="0"/>
        <w:spacing w:line="360" w:lineRule="auto"/>
        <w:ind w:firstLine="420" w:firstLineChars="200"/>
        <w:rPr>
          <w:rFonts w:ascii="宋体" w:hAnsi="宋体" w:cs="Arial"/>
          <w:kern w:val="0"/>
        </w:rPr>
      </w:pPr>
      <w:r>
        <w:rPr>
          <w:rFonts w:ascii="宋体" w:hAnsi="宋体" w:cs="Arial"/>
          <w:kern w:val="0"/>
        </w:rPr>
        <w:t>在本基金的投资、交易、服务与后台运作等业务过程中，可能因为技术系统的故障或差错导致投资人的利益受到影响。这种技术风险可能来自基金管理人、基金托管人、证券交易所、登记机构及销售代理机构等。</w:t>
      </w:r>
    </w:p>
    <w:p w14:paraId="6A921544">
      <w:pPr>
        <w:adjustRightInd w:val="0"/>
        <w:snapToGrid w:val="0"/>
        <w:spacing w:line="360" w:lineRule="auto"/>
        <w:ind w:firstLine="422" w:firstLineChars="200"/>
        <w:outlineLvl w:val="0"/>
        <w:rPr>
          <w:rFonts w:ascii="宋体" w:hAnsi="宋体" w:cs="Arial"/>
          <w:b/>
        </w:rPr>
      </w:pPr>
      <w:bookmarkStart w:id="189" w:name="_Toc293495066"/>
      <w:r>
        <w:rPr>
          <w:rFonts w:hint="eastAsia" w:ascii="宋体" w:hAnsi="宋体" w:cs="Arial"/>
          <w:b/>
        </w:rPr>
        <w:t>二十七、</w:t>
      </w:r>
      <w:r>
        <w:rPr>
          <w:rFonts w:ascii="宋体" w:hAnsi="宋体" w:cs="Arial"/>
          <w:b/>
        </w:rPr>
        <w:t>不可抗力</w:t>
      </w:r>
      <w:bookmarkEnd w:id="189"/>
      <w:r>
        <w:rPr>
          <w:rFonts w:ascii="宋体" w:hAnsi="宋体" w:cs="Arial"/>
          <w:b/>
        </w:rPr>
        <w:t xml:space="preserve"> </w:t>
      </w:r>
    </w:p>
    <w:p w14:paraId="0146C360">
      <w:pPr>
        <w:adjustRightInd w:val="0"/>
        <w:snapToGrid w:val="0"/>
        <w:spacing w:line="360" w:lineRule="auto"/>
        <w:ind w:firstLine="420" w:firstLineChars="200"/>
        <w:rPr>
          <w:rFonts w:ascii="宋体" w:hAnsi="宋体" w:cs="Arial"/>
          <w:kern w:val="0"/>
        </w:rPr>
      </w:pPr>
      <w:r>
        <w:rPr>
          <w:rFonts w:ascii="宋体" w:hAnsi="宋体" w:cs="Arial"/>
          <w:kern w:val="0"/>
        </w:rPr>
        <w:t>战争、自然灾害等不可抗力可能导致基金资产有遭受损失的风险。基金管理人、基金托管人、证券交易所、登记机构和销售代理机构等可能因不可抗力无法正常工作，从而影响基金的各项业务按正常时限完成。</w:t>
      </w:r>
      <w:bookmarkStart w:id="190" w:name="_Toc524923235"/>
      <w:bookmarkStart w:id="191" w:name="_Toc454717524"/>
      <w:bookmarkStart w:id="192" w:name="_Toc520693901"/>
      <w:bookmarkStart w:id="193" w:name="_Toc520693803"/>
      <w:bookmarkStart w:id="194" w:name="_Toc214873606"/>
    </w:p>
    <w:p w14:paraId="3DD96B9D">
      <w:pPr>
        <w:adjustRightInd w:val="0"/>
        <w:snapToGrid w:val="0"/>
        <w:spacing w:line="360" w:lineRule="auto"/>
        <w:ind w:firstLine="562" w:firstLineChars="200"/>
        <w:rPr>
          <w:rFonts w:ascii="宋体" w:hAnsi="宋体" w:cs="Arial"/>
          <w:b/>
          <w:bCs/>
          <w:sz w:val="28"/>
          <w:szCs w:val="28"/>
        </w:rPr>
        <w:sectPr>
          <w:footerReference r:id="rId39" w:type="first"/>
          <w:footerReference r:id="rId38" w:type="default"/>
          <w:pgSz w:w="11906" w:h="16838"/>
          <w:pgMar w:top="1440" w:right="1800" w:bottom="1440" w:left="1800" w:header="851" w:footer="992" w:gutter="0"/>
          <w:pgNumType w:start="1"/>
          <w:cols w:space="720" w:num="1"/>
          <w:docGrid w:linePitch="312" w:charSpace="0"/>
        </w:sectPr>
      </w:pPr>
    </w:p>
    <w:p w14:paraId="3223653E">
      <w:pPr>
        <w:pStyle w:val="2"/>
        <w:snapToGrid w:val="0"/>
        <w:spacing w:before="0" w:after="0" w:line="360" w:lineRule="auto"/>
        <w:ind w:firstLine="422" w:firstLineChars="150"/>
        <w:rPr>
          <w:rFonts w:hAnsi="宋体" w:eastAsia="宋体" w:cs="Arial"/>
          <w:sz w:val="28"/>
          <w:szCs w:val="28"/>
        </w:rPr>
      </w:pPr>
      <w:bookmarkStart w:id="195" w:name="_Toc91110287"/>
      <w:bookmarkStart w:id="196" w:name="_Toc32258"/>
      <w:bookmarkStart w:id="197" w:name="_Toc8052757"/>
      <w:r>
        <w:rPr>
          <w:rFonts w:hAnsi="宋体" w:eastAsia="宋体" w:cs="Arial"/>
          <w:sz w:val="28"/>
          <w:szCs w:val="28"/>
        </w:rPr>
        <w:t>第</w:t>
      </w:r>
      <w:r>
        <w:rPr>
          <w:rFonts w:hint="eastAsia" w:hAnsi="宋体" w:eastAsia="宋体" w:cs="Arial"/>
          <w:sz w:val="28"/>
          <w:szCs w:val="28"/>
        </w:rPr>
        <w:t>十九</w:t>
      </w:r>
      <w:r>
        <w:rPr>
          <w:rFonts w:hAnsi="宋体" w:eastAsia="宋体" w:cs="Arial"/>
          <w:sz w:val="28"/>
          <w:szCs w:val="28"/>
        </w:rPr>
        <w:t xml:space="preserve">部分  </w:t>
      </w:r>
      <w:bookmarkEnd w:id="190"/>
      <w:bookmarkEnd w:id="191"/>
      <w:bookmarkEnd w:id="192"/>
      <w:bookmarkEnd w:id="193"/>
      <w:r>
        <w:rPr>
          <w:rFonts w:hAnsi="宋体" w:eastAsia="宋体" w:cs="Arial"/>
          <w:sz w:val="28"/>
          <w:szCs w:val="28"/>
        </w:rPr>
        <w:t>基金合同的变更、终止与基金财产的清算</w:t>
      </w:r>
      <w:bookmarkEnd w:id="194"/>
      <w:bookmarkEnd w:id="195"/>
      <w:bookmarkEnd w:id="196"/>
      <w:bookmarkEnd w:id="197"/>
    </w:p>
    <w:p w14:paraId="12EFD94D">
      <w:pPr>
        <w:spacing w:line="360" w:lineRule="auto"/>
        <w:rPr>
          <w:rFonts w:ascii="宋体" w:hAnsi="宋体"/>
        </w:rPr>
      </w:pPr>
    </w:p>
    <w:p w14:paraId="16700BAC">
      <w:pPr>
        <w:snapToGrid w:val="0"/>
        <w:spacing w:line="360" w:lineRule="auto"/>
        <w:ind w:firstLine="422" w:firstLineChars="200"/>
        <w:rPr>
          <w:rFonts w:asciiTheme="minorEastAsia" w:hAnsiTheme="minorEastAsia"/>
          <w:b/>
          <w:bCs/>
        </w:rPr>
      </w:pPr>
      <w:bookmarkStart w:id="198" w:name="_Hlk95334315"/>
      <w:bookmarkStart w:id="199" w:name="_Toc214873607"/>
      <w:r>
        <w:rPr>
          <w:rFonts w:hint="eastAsia" w:asciiTheme="minorEastAsia" w:hAnsiTheme="minorEastAsia"/>
          <w:b/>
          <w:bCs/>
        </w:rPr>
        <w:t>一、《基金合同》的变更</w:t>
      </w:r>
    </w:p>
    <w:p w14:paraId="637C7327">
      <w:pPr>
        <w:snapToGrid w:val="0"/>
        <w:spacing w:line="360" w:lineRule="auto"/>
        <w:ind w:firstLine="420" w:firstLineChars="200"/>
        <w:rPr>
          <w:rFonts w:asciiTheme="minorEastAsia" w:hAnsiTheme="minorEastAsia"/>
        </w:rPr>
      </w:pPr>
      <w:r>
        <w:rPr>
          <w:rFonts w:hint="eastAsia" w:asciiTheme="minorEastAsia" w:hAnsiTheme="minorEastAsia"/>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385A8110">
      <w:pPr>
        <w:snapToGrid w:val="0"/>
        <w:spacing w:line="360" w:lineRule="auto"/>
        <w:ind w:firstLine="420" w:firstLineChars="200"/>
        <w:rPr>
          <w:rFonts w:asciiTheme="minorEastAsia" w:hAnsiTheme="minorEastAsia"/>
        </w:rPr>
      </w:pPr>
      <w:r>
        <w:rPr>
          <w:rFonts w:hint="eastAsia" w:asciiTheme="minorEastAsia" w:hAnsiTheme="minorEastAsia"/>
        </w:rPr>
        <w:t>2、关于《基金合同》变更的基金份额持有人大会决议自生效后方可执行，自决议生效后按规定在规定媒介公告。</w:t>
      </w:r>
    </w:p>
    <w:p w14:paraId="0316158A">
      <w:pPr>
        <w:snapToGrid w:val="0"/>
        <w:spacing w:line="360" w:lineRule="auto"/>
        <w:ind w:firstLine="422" w:firstLineChars="200"/>
        <w:rPr>
          <w:rFonts w:asciiTheme="minorEastAsia" w:hAnsiTheme="minorEastAsia"/>
          <w:b/>
          <w:bCs/>
        </w:rPr>
      </w:pPr>
      <w:r>
        <w:rPr>
          <w:rFonts w:hint="eastAsia" w:asciiTheme="minorEastAsia" w:hAnsiTheme="minorEastAsia"/>
          <w:b/>
          <w:bCs/>
        </w:rPr>
        <w:t>二、《基金合同》的终止事由</w:t>
      </w:r>
    </w:p>
    <w:p w14:paraId="0144F0A1">
      <w:pPr>
        <w:snapToGrid w:val="0"/>
        <w:spacing w:line="360" w:lineRule="auto"/>
        <w:ind w:firstLine="420" w:firstLineChars="200"/>
        <w:rPr>
          <w:rFonts w:asciiTheme="minorEastAsia" w:hAnsiTheme="minorEastAsia"/>
        </w:rPr>
      </w:pPr>
      <w:r>
        <w:rPr>
          <w:rFonts w:hint="eastAsia" w:asciiTheme="minorEastAsia" w:hAnsiTheme="minorEastAsia"/>
        </w:rPr>
        <w:t>有下列情形之一的，经履行相关程序后，《基金合同》应当终止：</w:t>
      </w:r>
    </w:p>
    <w:p w14:paraId="4CD00B62">
      <w:pPr>
        <w:snapToGrid w:val="0"/>
        <w:spacing w:line="360" w:lineRule="auto"/>
        <w:ind w:firstLine="420" w:firstLineChars="200"/>
        <w:rPr>
          <w:rFonts w:asciiTheme="minorEastAsia" w:hAnsiTheme="minorEastAsia"/>
        </w:rPr>
      </w:pPr>
      <w:r>
        <w:rPr>
          <w:rFonts w:hint="eastAsia" w:asciiTheme="minorEastAsia" w:hAnsiTheme="minorEastAsia"/>
        </w:rPr>
        <w:t>1、基金份额持有人大会决定终止的；</w:t>
      </w:r>
    </w:p>
    <w:p w14:paraId="64519698">
      <w:pPr>
        <w:snapToGrid w:val="0"/>
        <w:spacing w:line="360" w:lineRule="auto"/>
        <w:ind w:firstLine="420" w:firstLineChars="200"/>
        <w:rPr>
          <w:rFonts w:asciiTheme="minorEastAsia" w:hAnsiTheme="minorEastAsia"/>
        </w:rPr>
      </w:pPr>
      <w:r>
        <w:rPr>
          <w:rFonts w:hint="eastAsia" w:asciiTheme="minorEastAsia" w:hAnsiTheme="minorEastAsia"/>
        </w:rPr>
        <w:t>2、基金管理人、基金托管人职责终止，在6个月内没有新基金管理人、新基金托管人承接的；</w:t>
      </w:r>
    </w:p>
    <w:p w14:paraId="290B36D0">
      <w:pPr>
        <w:snapToGrid w:val="0"/>
        <w:spacing w:line="360" w:lineRule="auto"/>
        <w:ind w:firstLine="420" w:firstLineChars="200"/>
        <w:rPr>
          <w:rFonts w:asciiTheme="minorEastAsia" w:hAnsiTheme="minorEastAsia"/>
        </w:rPr>
      </w:pPr>
      <w:r>
        <w:rPr>
          <w:rFonts w:hint="eastAsia" w:asciiTheme="minorEastAsia" w:hAnsiTheme="minorEastAsia"/>
        </w:rPr>
        <w:t>3、《基金合同》约定的其他情形；</w:t>
      </w:r>
    </w:p>
    <w:p w14:paraId="2E428B20">
      <w:pPr>
        <w:snapToGrid w:val="0"/>
        <w:spacing w:line="360" w:lineRule="auto"/>
        <w:ind w:firstLine="420" w:firstLineChars="200"/>
        <w:rPr>
          <w:rFonts w:asciiTheme="minorEastAsia" w:hAnsiTheme="minorEastAsia"/>
        </w:rPr>
      </w:pPr>
      <w:r>
        <w:rPr>
          <w:rFonts w:hint="eastAsia" w:asciiTheme="minorEastAsia" w:hAnsiTheme="minorEastAsia"/>
        </w:rPr>
        <w:t>4、相关法律法规和中国证监会规定的其他情况。</w:t>
      </w:r>
    </w:p>
    <w:p w14:paraId="49E021FE">
      <w:pPr>
        <w:snapToGrid w:val="0"/>
        <w:spacing w:line="360" w:lineRule="auto"/>
        <w:ind w:firstLine="422" w:firstLineChars="200"/>
        <w:rPr>
          <w:rFonts w:asciiTheme="minorEastAsia" w:hAnsiTheme="minorEastAsia"/>
          <w:b/>
          <w:bCs/>
        </w:rPr>
      </w:pPr>
      <w:r>
        <w:rPr>
          <w:rFonts w:hint="eastAsia" w:asciiTheme="minorEastAsia" w:hAnsiTheme="minorEastAsia"/>
          <w:b/>
          <w:bCs/>
        </w:rPr>
        <w:t>三、基金财产的清算</w:t>
      </w:r>
    </w:p>
    <w:p w14:paraId="3684DF2C">
      <w:pPr>
        <w:snapToGrid w:val="0"/>
        <w:spacing w:line="360" w:lineRule="auto"/>
        <w:ind w:firstLine="420" w:firstLineChars="200"/>
        <w:rPr>
          <w:rFonts w:asciiTheme="minorEastAsia" w:hAnsiTheme="minorEastAsia"/>
        </w:rPr>
      </w:pPr>
      <w:r>
        <w:rPr>
          <w:rFonts w:hint="eastAsia" w:asciiTheme="minorEastAsia" w:hAnsiTheme="minorEastAsia"/>
        </w:rPr>
        <w:t>1、基金财产清算小组：自出现《基金合同》终止事由之日起30个工作日内成立基金财产清算小组，基金管理人组织基金财产清算小组并在中国证监会的监督下进行基金清算。</w:t>
      </w:r>
    </w:p>
    <w:p w14:paraId="227262EB">
      <w:pPr>
        <w:snapToGrid w:val="0"/>
        <w:spacing w:line="360" w:lineRule="auto"/>
        <w:ind w:firstLine="420" w:firstLineChars="200"/>
        <w:rPr>
          <w:rFonts w:asciiTheme="minorEastAsia" w:hAnsiTheme="minorEastAsia"/>
        </w:rPr>
      </w:pPr>
      <w:r>
        <w:rPr>
          <w:rFonts w:hint="eastAsia" w:asciiTheme="minorEastAsia" w:hAnsiTheme="minorEastAsia"/>
        </w:rPr>
        <w:t>2、在基金财产清算小组接管基金财产之前，基金管理人和基金托管人应按照《基金合同》和托管协议的规定继续履行保护基金财产安全的职责。</w:t>
      </w:r>
    </w:p>
    <w:p w14:paraId="1949933C">
      <w:pPr>
        <w:snapToGrid w:val="0"/>
        <w:spacing w:line="360" w:lineRule="auto"/>
        <w:ind w:firstLine="420" w:firstLineChars="200"/>
        <w:rPr>
          <w:rFonts w:asciiTheme="minorEastAsia" w:hAnsiTheme="minorEastAsia"/>
        </w:rPr>
      </w:pPr>
      <w:r>
        <w:rPr>
          <w:rFonts w:hint="eastAsia" w:asciiTheme="minorEastAsia" w:hAnsiTheme="minorEastAsia"/>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36A231AD">
      <w:pPr>
        <w:snapToGrid w:val="0"/>
        <w:spacing w:line="360" w:lineRule="auto"/>
        <w:ind w:firstLine="420" w:firstLineChars="200"/>
        <w:rPr>
          <w:rFonts w:asciiTheme="minorEastAsia" w:hAnsiTheme="minorEastAsia"/>
        </w:rPr>
      </w:pPr>
      <w:r>
        <w:rPr>
          <w:rFonts w:hint="eastAsia" w:asciiTheme="minorEastAsia" w:hAnsiTheme="minorEastAsia"/>
        </w:rPr>
        <w:t>4、基金财产清算小组职责：基金财产清算小组负责基金财产的保管、清理、估价、变现和分配。基金财产清算小组可以依法进行必要的民事活动。</w:t>
      </w:r>
    </w:p>
    <w:p w14:paraId="07587B44">
      <w:pPr>
        <w:snapToGrid w:val="0"/>
        <w:spacing w:line="360" w:lineRule="auto"/>
        <w:ind w:firstLine="420" w:firstLineChars="200"/>
        <w:rPr>
          <w:rFonts w:asciiTheme="minorEastAsia" w:hAnsiTheme="minorEastAsia"/>
        </w:rPr>
      </w:pPr>
      <w:r>
        <w:rPr>
          <w:rFonts w:hint="eastAsia" w:asciiTheme="minorEastAsia" w:hAnsiTheme="minorEastAsia"/>
        </w:rPr>
        <w:t>5、在基金财产清算过程中，基金管理人和基金托管人应各自履行职责，继续忠实、勤勉、尽责地履行基金合同和托管协议规定的义务，维护基金份额持有人的合法权益。</w:t>
      </w:r>
    </w:p>
    <w:p w14:paraId="687D82C4">
      <w:pPr>
        <w:snapToGrid w:val="0"/>
        <w:spacing w:line="360" w:lineRule="auto"/>
        <w:ind w:firstLine="420" w:firstLineChars="200"/>
        <w:rPr>
          <w:rFonts w:asciiTheme="minorEastAsia" w:hAnsiTheme="minorEastAsia"/>
        </w:rPr>
      </w:pPr>
      <w:r>
        <w:rPr>
          <w:rFonts w:hint="eastAsia" w:asciiTheme="minorEastAsia" w:hAnsiTheme="minorEastAsia"/>
        </w:rPr>
        <w:t>6、基金财产清算程序：</w:t>
      </w:r>
    </w:p>
    <w:p w14:paraId="320E99B5">
      <w:pPr>
        <w:snapToGrid w:val="0"/>
        <w:spacing w:line="360" w:lineRule="auto"/>
        <w:ind w:firstLine="420" w:firstLineChars="200"/>
        <w:rPr>
          <w:rFonts w:asciiTheme="minorEastAsia" w:hAnsiTheme="minorEastAsia"/>
        </w:rPr>
      </w:pPr>
      <w:r>
        <w:rPr>
          <w:rFonts w:hint="eastAsia" w:asciiTheme="minorEastAsia" w:hAnsiTheme="minorEastAsia"/>
        </w:rPr>
        <w:t>（1）《基金合同》终止情形出现时，由基金财产清算小组统一接管基金；</w:t>
      </w:r>
    </w:p>
    <w:p w14:paraId="752B7BEF">
      <w:pPr>
        <w:snapToGrid w:val="0"/>
        <w:spacing w:line="360" w:lineRule="auto"/>
        <w:ind w:firstLine="420" w:firstLineChars="200"/>
        <w:rPr>
          <w:rFonts w:asciiTheme="minorEastAsia" w:hAnsiTheme="minorEastAsia"/>
        </w:rPr>
      </w:pPr>
      <w:r>
        <w:rPr>
          <w:rFonts w:hint="eastAsia" w:asciiTheme="minorEastAsia" w:hAnsiTheme="minorEastAsia"/>
        </w:rPr>
        <w:t>（2）对基金财产和债权债务进行清理和确认；</w:t>
      </w:r>
    </w:p>
    <w:p w14:paraId="203E6F18">
      <w:pPr>
        <w:snapToGrid w:val="0"/>
        <w:spacing w:line="360" w:lineRule="auto"/>
        <w:ind w:firstLine="420" w:firstLineChars="200"/>
        <w:rPr>
          <w:rFonts w:asciiTheme="minorEastAsia" w:hAnsiTheme="minorEastAsia"/>
        </w:rPr>
      </w:pPr>
      <w:r>
        <w:rPr>
          <w:rFonts w:hint="eastAsia" w:asciiTheme="minorEastAsia" w:hAnsiTheme="minorEastAsia"/>
        </w:rPr>
        <w:t>（3）对基金财产进行估值和变现；</w:t>
      </w:r>
    </w:p>
    <w:p w14:paraId="1638BB85">
      <w:pPr>
        <w:snapToGrid w:val="0"/>
        <w:spacing w:line="360" w:lineRule="auto"/>
        <w:ind w:firstLine="420" w:firstLineChars="200"/>
        <w:rPr>
          <w:rFonts w:asciiTheme="minorEastAsia" w:hAnsiTheme="minorEastAsia"/>
        </w:rPr>
      </w:pPr>
      <w:r>
        <w:rPr>
          <w:rFonts w:hint="eastAsia" w:asciiTheme="minorEastAsia" w:hAnsiTheme="minorEastAsia"/>
        </w:rPr>
        <w:t>（4）制作清算报告；</w:t>
      </w:r>
    </w:p>
    <w:p w14:paraId="197EA1F4">
      <w:pPr>
        <w:snapToGrid w:val="0"/>
        <w:spacing w:line="360" w:lineRule="auto"/>
        <w:ind w:firstLine="420" w:firstLineChars="200"/>
        <w:rPr>
          <w:rFonts w:asciiTheme="minorEastAsia" w:hAnsiTheme="minorEastAsia"/>
        </w:rPr>
      </w:pPr>
      <w:r>
        <w:rPr>
          <w:rFonts w:hint="eastAsia" w:asciiTheme="minorEastAsia" w:hAnsiTheme="minorEastAsia"/>
        </w:rPr>
        <w:t>（5）聘请符合《中华人民共和国证券法》规定的会计师事务所对清算报告进行外部审计，聘请律师事务所对清算报告出具法律意见书；</w:t>
      </w:r>
    </w:p>
    <w:p w14:paraId="2A17CFCE">
      <w:pPr>
        <w:snapToGrid w:val="0"/>
        <w:spacing w:line="360" w:lineRule="auto"/>
        <w:ind w:firstLine="420" w:firstLineChars="200"/>
        <w:rPr>
          <w:rFonts w:asciiTheme="minorEastAsia" w:hAnsiTheme="minorEastAsia"/>
        </w:rPr>
      </w:pPr>
      <w:r>
        <w:rPr>
          <w:rFonts w:hint="eastAsia" w:asciiTheme="minorEastAsia" w:hAnsiTheme="minorEastAsia"/>
        </w:rPr>
        <w:t>（6）将清算报告报中国证监会备案并公告；</w:t>
      </w:r>
    </w:p>
    <w:p w14:paraId="6E8BD438">
      <w:pPr>
        <w:snapToGrid w:val="0"/>
        <w:spacing w:line="360" w:lineRule="auto"/>
        <w:ind w:firstLine="420" w:firstLineChars="200"/>
        <w:rPr>
          <w:rFonts w:asciiTheme="minorEastAsia" w:hAnsiTheme="minorEastAsia"/>
        </w:rPr>
      </w:pPr>
      <w:r>
        <w:rPr>
          <w:rFonts w:hint="eastAsia" w:asciiTheme="minorEastAsia" w:hAnsiTheme="minorEastAsia"/>
        </w:rPr>
        <w:t>（7）对基金剩余财产进行分配。</w:t>
      </w:r>
    </w:p>
    <w:p w14:paraId="05596601">
      <w:pPr>
        <w:snapToGrid w:val="0"/>
        <w:spacing w:line="360" w:lineRule="auto"/>
        <w:ind w:firstLine="420" w:firstLineChars="200"/>
        <w:rPr>
          <w:rFonts w:asciiTheme="minorEastAsia" w:hAnsiTheme="minorEastAsia"/>
        </w:rPr>
      </w:pPr>
      <w:r>
        <w:rPr>
          <w:rFonts w:hint="eastAsia" w:asciiTheme="minorEastAsia" w:hAnsiTheme="minorEastAsia"/>
        </w:rPr>
        <w:t>7、基金财产清算的期限为6个月，但因本基金所持证券的流动性受到限制而不能及时变现的，清算期限相应顺延。</w:t>
      </w:r>
    </w:p>
    <w:p w14:paraId="51AAD901">
      <w:pPr>
        <w:snapToGrid w:val="0"/>
        <w:spacing w:line="360" w:lineRule="auto"/>
        <w:ind w:firstLine="422" w:firstLineChars="200"/>
        <w:rPr>
          <w:rFonts w:asciiTheme="minorEastAsia" w:hAnsiTheme="minorEastAsia"/>
          <w:b/>
          <w:bCs/>
        </w:rPr>
      </w:pPr>
      <w:r>
        <w:rPr>
          <w:rFonts w:hint="eastAsia" w:asciiTheme="minorEastAsia" w:hAnsiTheme="minorEastAsia"/>
          <w:b/>
          <w:bCs/>
        </w:rPr>
        <w:t>四、清算费用</w:t>
      </w:r>
    </w:p>
    <w:p w14:paraId="2253CE63">
      <w:pPr>
        <w:snapToGrid w:val="0"/>
        <w:spacing w:line="360" w:lineRule="auto"/>
        <w:ind w:firstLine="420" w:firstLineChars="200"/>
        <w:rPr>
          <w:rFonts w:asciiTheme="minorEastAsia" w:hAnsiTheme="minorEastAsia"/>
        </w:rPr>
      </w:pPr>
      <w:r>
        <w:rPr>
          <w:rFonts w:hint="eastAsia" w:asciiTheme="minorEastAsia" w:hAnsiTheme="minorEastAsia"/>
        </w:rPr>
        <w:t>清算费用是指基金财产清算小组在进行基金财产清算过程中发生的所有合理费用，清算费用由基金财产清算小组优先从基金剩余财产中支付。</w:t>
      </w:r>
    </w:p>
    <w:p w14:paraId="04216956">
      <w:pPr>
        <w:snapToGrid w:val="0"/>
        <w:spacing w:line="360" w:lineRule="auto"/>
        <w:ind w:firstLine="422" w:firstLineChars="200"/>
        <w:rPr>
          <w:rFonts w:asciiTheme="minorEastAsia" w:hAnsiTheme="minorEastAsia"/>
          <w:b/>
          <w:bCs/>
        </w:rPr>
      </w:pPr>
      <w:r>
        <w:rPr>
          <w:rFonts w:hint="eastAsia" w:asciiTheme="minorEastAsia" w:hAnsiTheme="minorEastAsia"/>
          <w:b/>
          <w:bCs/>
        </w:rPr>
        <w:t>五、基金财产清算剩余资产的分配</w:t>
      </w:r>
    </w:p>
    <w:p w14:paraId="10D2B2A8">
      <w:pPr>
        <w:snapToGrid w:val="0"/>
        <w:spacing w:line="360" w:lineRule="auto"/>
        <w:ind w:firstLine="420" w:firstLineChars="200"/>
        <w:rPr>
          <w:rFonts w:asciiTheme="minorEastAsia" w:hAnsiTheme="minorEastAsia"/>
        </w:rPr>
      </w:pPr>
      <w:r>
        <w:rPr>
          <w:rFonts w:hint="eastAsia" w:asciiTheme="minorEastAsia" w:hAnsiTheme="minorEastAsia"/>
        </w:rPr>
        <w:t>依据基金财产清算的分配方案，将基金财产清算后的全部剩余资产扣除基金财产清算费用、交纳所欠税款并清偿基金债务后，按基金份额持有人持有的基金份额比例进行分配。</w:t>
      </w:r>
    </w:p>
    <w:p w14:paraId="7E1C8329">
      <w:pPr>
        <w:snapToGrid w:val="0"/>
        <w:spacing w:line="360" w:lineRule="auto"/>
        <w:ind w:firstLine="422" w:firstLineChars="200"/>
        <w:rPr>
          <w:rFonts w:asciiTheme="minorEastAsia" w:hAnsiTheme="minorEastAsia"/>
          <w:b/>
          <w:bCs/>
        </w:rPr>
      </w:pPr>
      <w:r>
        <w:rPr>
          <w:rFonts w:hint="eastAsia" w:asciiTheme="minorEastAsia" w:hAnsiTheme="minorEastAsia"/>
          <w:b/>
          <w:bCs/>
        </w:rPr>
        <w:t>六、基金财产清算的公告</w:t>
      </w:r>
    </w:p>
    <w:p w14:paraId="26E0BB93">
      <w:pPr>
        <w:snapToGrid w:val="0"/>
        <w:spacing w:line="360" w:lineRule="auto"/>
        <w:ind w:firstLine="420" w:firstLineChars="200"/>
        <w:rPr>
          <w:rFonts w:asciiTheme="minorEastAsia" w:hAnsiTheme="minorEastAsia"/>
        </w:rPr>
      </w:pPr>
      <w:r>
        <w:rPr>
          <w:rFonts w:hint="eastAsia" w:asciiTheme="minorEastAsia" w:hAnsiTheme="minorEastAsia"/>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1688BDA9">
      <w:pPr>
        <w:snapToGrid w:val="0"/>
        <w:spacing w:line="360" w:lineRule="auto"/>
        <w:ind w:firstLine="422" w:firstLineChars="200"/>
        <w:rPr>
          <w:rFonts w:asciiTheme="minorEastAsia" w:hAnsiTheme="minorEastAsia"/>
          <w:b/>
          <w:bCs/>
        </w:rPr>
      </w:pPr>
      <w:r>
        <w:rPr>
          <w:rFonts w:hint="eastAsia" w:asciiTheme="minorEastAsia" w:hAnsiTheme="minorEastAsia"/>
          <w:b/>
          <w:bCs/>
        </w:rPr>
        <w:t>七、基金财产清算账册及文件的保存</w:t>
      </w:r>
    </w:p>
    <w:p w14:paraId="07FA9445">
      <w:pPr>
        <w:adjustRightInd w:val="0"/>
        <w:snapToGrid w:val="0"/>
        <w:spacing w:line="360" w:lineRule="auto"/>
        <w:ind w:firstLine="420" w:firstLineChars="200"/>
        <w:rPr>
          <w:rFonts w:ascii="宋体" w:hAnsi="宋体" w:cs="Arial"/>
          <w:sz w:val="28"/>
          <w:szCs w:val="28"/>
        </w:rPr>
        <w:sectPr>
          <w:footerReference r:id="rId41" w:type="first"/>
          <w:footerReference r:id="rId40" w:type="default"/>
          <w:pgSz w:w="11906" w:h="16838"/>
          <w:pgMar w:top="1440" w:right="1800" w:bottom="1440" w:left="1800" w:header="851" w:footer="992" w:gutter="0"/>
          <w:pgNumType w:start="1"/>
          <w:cols w:space="720" w:num="1"/>
          <w:docGrid w:linePitch="312" w:charSpace="0"/>
        </w:sectPr>
      </w:pPr>
      <w:r>
        <w:rPr>
          <w:rFonts w:hint="eastAsia" w:asciiTheme="minorEastAsia" w:hAnsiTheme="minorEastAsia"/>
        </w:rPr>
        <w:t>基金财产清算账册及有关文件由基金托管人保存，保存期限按照法律法规的规定执行。</w:t>
      </w:r>
      <w:bookmarkEnd w:id="198"/>
    </w:p>
    <w:p w14:paraId="49093EAB">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200" w:name="_Toc8052758"/>
      <w:bookmarkStart w:id="201" w:name="_Toc9535"/>
      <w:bookmarkStart w:id="202" w:name="_Toc91110288"/>
      <w:r>
        <w:rPr>
          <w:rFonts w:ascii="宋体" w:hAnsi="宋体" w:eastAsia="宋体" w:cs="Arial"/>
          <w:kern w:val="0"/>
          <w:sz w:val="28"/>
          <w:szCs w:val="28"/>
        </w:rPr>
        <w:t>第</w:t>
      </w:r>
      <w:r>
        <w:rPr>
          <w:rFonts w:hint="eastAsia" w:ascii="宋体" w:hAnsi="宋体" w:eastAsia="宋体" w:cs="Arial"/>
          <w:kern w:val="0"/>
          <w:sz w:val="28"/>
          <w:szCs w:val="28"/>
        </w:rPr>
        <w:t>二十</w:t>
      </w:r>
      <w:r>
        <w:rPr>
          <w:rFonts w:ascii="宋体" w:hAnsi="宋体" w:eastAsia="宋体" w:cs="Arial"/>
          <w:kern w:val="0"/>
          <w:sz w:val="28"/>
          <w:szCs w:val="28"/>
        </w:rPr>
        <w:t>部分  基金合同的内容摘要</w:t>
      </w:r>
      <w:bookmarkEnd w:id="199"/>
      <w:bookmarkEnd w:id="200"/>
      <w:bookmarkEnd w:id="201"/>
      <w:bookmarkEnd w:id="202"/>
    </w:p>
    <w:p w14:paraId="02B60A87">
      <w:pPr>
        <w:adjustRightInd w:val="0"/>
        <w:snapToGrid w:val="0"/>
        <w:spacing w:line="360" w:lineRule="auto"/>
        <w:ind w:firstLine="422" w:firstLineChars="200"/>
        <w:rPr>
          <w:rFonts w:ascii="宋体" w:hAnsi="宋体" w:cs="Arial"/>
          <w:b/>
          <w:bCs/>
          <w:kern w:val="0"/>
        </w:rPr>
      </w:pPr>
      <w:bookmarkStart w:id="203" w:name="_Hlk95335465"/>
    </w:p>
    <w:p w14:paraId="1CBE9FCE">
      <w:pPr>
        <w:adjustRightInd w:val="0"/>
        <w:snapToGrid w:val="0"/>
        <w:spacing w:line="360" w:lineRule="auto"/>
        <w:ind w:firstLine="422" w:firstLineChars="200"/>
        <w:rPr>
          <w:rFonts w:ascii="宋体" w:hAnsi="宋体" w:cs="Arial"/>
          <w:b/>
          <w:bCs/>
          <w:kern w:val="0"/>
        </w:rPr>
      </w:pPr>
      <w:r>
        <w:rPr>
          <w:rFonts w:hint="eastAsia" w:ascii="宋体" w:hAnsi="宋体" w:cs="Arial"/>
          <w:b/>
          <w:bCs/>
          <w:kern w:val="0"/>
        </w:rPr>
        <w:t>一、基金份额持有人、基金管理人和基金托管人的权利、义务</w:t>
      </w:r>
    </w:p>
    <w:p w14:paraId="5805759B">
      <w:pPr>
        <w:adjustRightInd w:val="0"/>
        <w:snapToGrid w:val="0"/>
        <w:spacing w:line="360" w:lineRule="auto"/>
        <w:ind w:firstLine="420" w:firstLineChars="200"/>
        <w:rPr>
          <w:rFonts w:ascii="宋体" w:hAnsi="宋体" w:cs="Arial"/>
          <w:kern w:val="0"/>
        </w:rPr>
      </w:pPr>
      <w:r>
        <w:rPr>
          <w:rFonts w:hint="eastAsia" w:ascii="宋体" w:hAnsi="宋体" w:cs="Arial"/>
          <w:kern w:val="0"/>
        </w:rPr>
        <w:t>（一）基金份额持有人的权利与义务</w:t>
      </w:r>
    </w:p>
    <w:p w14:paraId="647DAEFF">
      <w:pPr>
        <w:adjustRightInd w:val="0"/>
        <w:snapToGrid w:val="0"/>
        <w:spacing w:line="360" w:lineRule="auto"/>
        <w:ind w:firstLine="420" w:firstLineChars="200"/>
        <w:rPr>
          <w:rFonts w:ascii="宋体" w:hAnsi="宋体" w:cs="Arial"/>
          <w:kern w:val="0"/>
        </w:rPr>
      </w:pPr>
      <w:r>
        <w:rPr>
          <w:rFonts w:hint="eastAsia" w:ascii="宋体" w:hAnsi="宋体" w:cs="Arial"/>
          <w:kern w:val="0"/>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44AF57DC">
      <w:pPr>
        <w:adjustRightInd w:val="0"/>
        <w:snapToGrid w:val="0"/>
        <w:spacing w:line="360" w:lineRule="auto"/>
        <w:ind w:firstLine="420" w:firstLineChars="200"/>
        <w:rPr>
          <w:rFonts w:ascii="宋体" w:hAnsi="宋体" w:cs="Arial"/>
          <w:kern w:val="0"/>
        </w:rPr>
      </w:pPr>
      <w:r>
        <w:rPr>
          <w:rFonts w:hint="eastAsia" w:ascii="宋体" w:hAnsi="宋体" w:cs="Arial"/>
          <w:kern w:val="0"/>
        </w:rPr>
        <w:t>每份基金份额具有同等的合法权益。</w:t>
      </w:r>
    </w:p>
    <w:p w14:paraId="15CA69FE">
      <w:pPr>
        <w:adjustRightInd w:val="0"/>
        <w:snapToGrid w:val="0"/>
        <w:spacing w:line="360" w:lineRule="auto"/>
        <w:ind w:firstLine="420" w:firstLineChars="200"/>
        <w:rPr>
          <w:rFonts w:ascii="宋体" w:hAnsi="宋体" w:cs="Arial"/>
          <w:kern w:val="0"/>
        </w:rPr>
      </w:pPr>
      <w:r>
        <w:rPr>
          <w:rFonts w:hint="eastAsia" w:ascii="宋体" w:hAnsi="宋体" w:cs="Arial"/>
          <w:kern w:val="0"/>
        </w:rPr>
        <w:t>1、根据《基金法》、《运作办法》及其他有关规定，基金份额持有人的权利包括但不限于：</w:t>
      </w:r>
    </w:p>
    <w:p w14:paraId="1150EB4D">
      <w:pPr>
        <w:adjustRightInd w:val="0"/>
        <w:snapToGrid w:val="0"/>
        <w:spacing w:line="360" w:lineRule="auto"/>
        <w:ind w:firstLine="420" w:firstLineChars="200"/>
        <w:rPr>
          <w:rFonts w:ascii="宋体" w:hAnsi="宋体" w:cs="Arial"/>
          <w:kern w:val="0"/>
        </w:rPr>
      </w:pPr>
      <w:r>
        <w:rPr>
          <w:rFonts w:hint="eastAsia" w:ascii="宋体" w:hAnsi="宋体" w:cs="Arial"/>
          <w:kern w:val="0"/>
        </w:rPr>
        <w:t>（1）分享基金财产收益；</w:t>
      </w:r>
    </w:p>
    <w:p w14:paraId="685F9B06">
      <w:pPr>
        <w:adjustRightInd w:val="0"/>
        <w:snapToGrid w:val="0"/>
        <w:spacing w:line="360" w:lineRule="auto"/>
        <w:ind w:firstLine="420" w:firstLineChars="200"/>
        <w:rPr>
          <w:rFonts w:ascii="宋体" w:hAnsi="宋体" w:cs="Arial"/>
          <w:kern w:val="0"/>
        </w:rPr>
      </w:pPr>
      <w:r>
        <w:rPr>
          <w:rFonts w:hint="eastAsia" w:ascii="宋体" w:hAnsi="宋体" w:cs="Arial"/>
          <w:kern w:val="0"/>
        </w:rPr>
        <w:t>（2）参与分配清算后的剩余基金财产；</w:t>
      </w:r>
    </w:p>
    <w:p w14:paraId="36CB1BE8">
      <w:pPr>
        <w:adjustRightInd w:val="0"/>
        <w:snapToGrid w:val="0"/>
        <w:spacing w:line="360" w:lineRule="auto"/>
        <w:ind w:firstLine="420" w:firstLineChars="200"/>
        <w:rPr>
          <w:rFonts w:ascii="宋体" w:hAnsi="宋体" w:cs="Arial"/>
          <w:kern w:val="0"/>
        </w:rPr>
      </w:pPr>
      <w:r>
        <w:rPr>
          <w:rFonts w:hint="eastAsia" w:ascii="宋体" w:hAnsi="宋体" w:cs="Arial"/>
          <w:kern w:val="0"/>
        </w:rPr>
        <w:t>（3）依法转让或者申请赎回其持有的基金份额；</w:t>
      </w:r>
    </w:p>
    <w:p w14:paraId="28FA6E3F">
      <w:pPr>
        <w:adjustRightInd w:val="0"/>
        <w:snapToGrid w:val="0"/>
        <w:spacing w:line="360" w:lineRule="auto"/>
        <w:ind w:firstLine="420" w:firstLineChars="200"/>
        <w:rPr>
          <w:rFonts w:ascii="宋体" w:hAnsi="宋体" w:cs="Arial"/>
          <w:kern w:val="0"/>
        </w:rPr>
      </w:pPr>
      <w:r>
        <w:rPr>
          <w:rFonts w:hint="eastAsia" w:ascii="宋体" w:hAnsi="宋体" w:cs="Arial"/>
          <w:kern w:val="0"/>
        </w:rPr>
        <w:t>（4）按照规定要求召开基金份额持有人大会或者召集基金份额持有人大会；</w:t>
      </w:r>
    </w:p>
    <w:p w14:paraId="2A642DFF">
      <w:pPr>
        <w:adjustRightInd w:val="0"/>
        <w:snapToGrid w:val="0"/>
        <w:spacing w:line="360" w:lineRule="auto"/>
        <w:ind w:firstLine="420" w:firstLineChars="200"/>
        <w:rPr>
          <w:rFonts w:ascii="宋体" w:hAnsi="宋体" w:cs="Arial"/>
          <w:kern w:val="0"/>
        </w:rPr>
      </w:pPr>
      <w:r>
        <w:rPr>
          <w:rFonts w:hint="eastAsia" w:ascii="宋体" w:hAnsi="宋体" w:cs="Arial"/>
          <w:kern w:val="0"/>
        </w:rPr>
        <w:t>（5）出席或者委派代表出席基金份额持有人大会，对基金份额持有人大会审议事项行使表决权；</w:t>
      </w:r>
    </w:p>
    <w:p w14:paraId="60455192">
      <w:pPr>
        <w:adjustRightInd w:val="0"/>
        <w:snapToGrid w:val="0"/>
        <w:spacing w:line="360" w:lineRule="auto"/>
        <w:ind w:firstLine="420" w:firstLineChars="200"/>
        <w:rPr>
          <w:rFonts w:ascii="宋体" w:hAnsi="宋体" w:cs="Arial"/>
          <w:kern w:val="0"/>
        </w:rPr>
      </w:pPr>
      <w:r>
        <w:rPr>
          <w:rFonts w:hint="eastAsia" w:ascii="宋体" w:hAnsi="宋体" w:cs="Arial"/>
          <w:kern w:val="0"/>
        </w:rPr>
        <w:t>（6）查阅或者复制公开披露的基金信息资料；</w:t>
      </w:r>
    </w:p>
    <w:p w14:paraId="5E57483F">
      <w:pPr>
        <w:adjustRightInd w:val="0"/>
        <w:snapToGrid w:val="0"/>
        <w:spacing w:line="360" w:lineRule="auto"/>
        <w:ind w:firstLine="420" w:firstLineChars="200"/>
        <w:rPr>
          <w:rFonts w:ascii="宋体" w:hAnsi="宋体" w:cs="Arial"/>
          <w:kern w:val="0"/>
        </w:rPr>
      </w:pPr>
      <w:r>
        <w:rPr>
          <w:rFonts w:hint="eastAsia" w:ascii="宋体" w:hAnsi="宋体" w:cs="Arial"/>
          <w:kern w:val="0"/>
        </w:rPr>
        <w:t>（7）监督基金管理人的投资运作；</w:t>
      </w:r>
    </w:p>
    <w:p w14:paraId="557B7C8A">
      <w:pPr>
        <w:adjustRightInd w:val="0"/>
        <w:snapToGrid w:val="0"/>
        <w:spacing w:line="360" w:lineRule="auto"/>
        <w:ind w:firstLine="420" w:firstLineChars="200"/>
        <w:rPr>
          <w:rFonts w:ascii="宋体" w:hAnsi="宋体" w:cs="Arial"/>
          <w:kern w:val="0"/>
        </w:rPr>
      </w:pPr>
      <w:r>
        <w:rPr>
          <w:rFonts w:hint="eastAsia" w:ascii="宋体" w:hAnsi="宋体" w:cs="Arial"/>
          <w:kern w:val="0"/>
        </w:rPr>
        <w:t>（8）对基金管理人、基金托管人、基金服务机构损害其合法权益的行为依法提起诉讼或仲裁；</w:t>
      </w:r>
    </w:p>
    <w:p w14:paraId="7D65AA4C">
      <w:pPr>
        <w:adjustRightInd w:val="0"/>
        <w:snapToGrid w:val="0"/>
        <w:spacing w:line="360" w:lineRule="auto"/>
        <w:ind w:firstLine="420" w:firstLineChars="200"/>
        <w:rPr>
          <w:rFonts w:ascii="宋体" w:hAnsi="宋体" w:cs="Arial"/>
          <w:kern w:val="0"/>
        </w:rPr>
      </w:pPr>
      <w:r>
        <w:rPr>
          <w:rFonts w:hint="eastAsia" w:ascii="宋体" w:hAnsi="宋体" w:cs="Arial"/>
          <w:kern w:val="0"/>
        </w:rPr>
        <w:t>（9）法律法规及中国证监会规定的和《基金合同》约定的其他权利。</w:t>
      </w:r>
    </w:p>
    <w:p w14:paraId="40432297">
      <w:pPr>
        <w:adjustRightInd w:val="0"/>
        <w:snapToGrid w:val="0"/>
        <w:spacing w:line="360" w:lineRule="auto"/>
        <w:ind w:firstLine="420" w:firstLineChars="200"/>
        <w:rPr>
          <w:rFonts w:ascii="宋体" w:hAnsi="宋体" w:cs="Arial"/>
          <w:kern w:val="0"/>
        </w:rPr>
      </w:pPr>
      <w:r>
        <w:rPr>
          <w:rFonts w:hint="eastAsia" w:ascii="宋体" w:hAnsi="宋体" w:cs="Arial"/>
          <w:kern w:val="0"/>
        </w:rPr>
        <w:t>2、根据《基金法》、《运作办法》及其他有关规定，基金份额持有人的义务包括但不限于：</w:t>
      </w:r>
    </w:p>
    <w:p w14:paraId="6A92D3CB">
      <w:pPr>
        <w:adjustRightInd w:val="0"/>
        <w:snapToGrid w:val="0"/>
        <w:spacing w:line="360" w:lineRule="auto"/>
        <w:ind w:firstLine="420" w:firstLineChars="200"/>
        <w:rPr>
          <w:rFonts w:ascii="宋体" w:hAnsi="宋体" w:cs="Arial"/>
          <w:kern w:val="0"/>
        </w:rPr>
      </w:pPr>
      <w:r>
        <w:rPr>
          <w:rFonts w:hint="eastAsia" w:ascii="宋体" w:hAnsi="宋体" w:cs="Arial"/>
          <w:kern w:val="0"/>
        </w:rPr>
        <w:t>（1）认真阅读并遵守《基金合同》、招募说明书及基金产品资料概要等信息披露文件；</w:t>
      </w:r>
    </w:p>
    <w:p w14:paraId="1DD403E4">
      <w:pPr>
        <w:adjustRightInd w:val="0"/>
        <w:snapToGrid w:val="0"/>
        <w:spacing w:line="360" w:lineRule="auto"/>
        <w:ind w:firstLine="420" w:firstLineChars="200"/>
        <w:rPr>
          <w:rFonts w:ascii="宋体" w:hAnsi="宋体" w:cs="Arial"/>
          <w:kern w:val="0"/>
        </w:rPr>
      </w:pPr>
      <w:r>
        <w:rPr>
          <w:rFonts w:hint="eastAsia" w:ascii="宋体" w:hAnsi="宋体" w:cs="Arial"/>
          <w:kern w:val="0"/>
        </w:rPr>
        <w:t>（2）了解所投资基金产品，了解自身风险承受能力，自主判断基金的投资价值，自主做出投资决策，自行承担投资风险；</w:t>
      </w:r>
    </w:p>
    <w:p w14:paraId="69A5FFF1">
      <w:pPr>
        <w:adjustRightInd w:val="0"/>
        <w:snapToGrid w:val="0"/>
        <w:spacing w:line="360" w:lineRule="auto"/>
        <w:ind w:firstLine="420" w:firstLineChars="200"/>
        <w:rPr>
          <w:rFonts w:ascii="宋体" w:hAnsi="宋体" w:cs="Arial"/>
          <w:kern w:val="0"/>
        </w:rPr>
      </w:pPr>
      <w:r>
        <w:rPr>
          <w:rFonts w:hint="eastAsia" w:ascii="宋体" w:hAnsi="宋体" w:cs="Arial"/>
          <w:kern w:val="0"/>
        </w:rPr>
        <w:t>（3）关注基金信息披露，及时行使权利和履行义务；</w:t>
      </w:r>
    </w:p>
    <w:p w14:paraId="2058B0A5">
      <w:pPr>
        <w:adjustRightInd w:val="0"/>
        <w:snapToGrid w:val="0"/>
        <w:spacing w:line="360" w:lineRule="auto"/>
        <w:ind w:firstLine="420" w:firstLineChars="200"/>
        <w:rPr>
          <w:rFonts w:ascii="宋体" w:hAnsi="宋体" w:cs="Arial"/>
          <w:kern w:val="0"/>
        </w:rPr>
      </w:pPr>
      <w:r>
        <w:rPr>
          <w:rFonts w:hint="eastAsia" w:ascii="宋体" w:hAnsi="宋体" w:cs="Arial"/>
          <w:kern w:val="0"/>
        </w:rPr>
        <w:t>（4）交纳基金认购款项和/或认购股票、申购对价及法律法规和《基金合同》所规定的费用；</w:t>
      </w:r>
    </w:p>
    <w:p w14:paraId="057D7998">
      <w:pPr>
        <w:adjustRightInd w:val="0"/>
        <w:snapToGrid w:val="0"/>
        <w:spacing w:line="360" w:lineRule="auto"/>
        <w:ind w:firstLine="420" w:firstLineChars="200"/>
        <w:rPr>
          <w:rFonts w:ascii="宋体" w:hAnsi="宋体" w:cs="Arial"/>
          <w:kern w:val="0"/>
        </w:rPr>
      </w:pPr>
      <w:r>
        <w:rPr>
          <w:rFonts w:hint="eastAsia" w:ascii="宋体" w:hAnsi="宋体" w:cs="Arial"/>
          <w:kern w:val="0"/>
        </w:rPr>
        <w:t>（5）在其持有的基金份额范围内，承担基金亏损或者《基金合同》终止的有限责任；</w:t>
      </w:r>
    </w:p>
    <w:p w14:paraId="39AE72EB">
      <w:pPr>
        <w:adjustRightInd w:val="0"/>
        <w:snapToGrid w:val="0"/>
        <w:spacing w:line="360" w:lineRule="auto"/>
        <w:ind w:firstLine="420" w:firstLineChars="200"/>
        <w:rPr>
          <w:rFonts w:ascii="宋体" w:hAnsi="宋体" w:cs="Arial"/>
          <w:kern w:val="0"/>
        </w:rPr>
      </w:pPr>
      <w:r>
        <w:rPr>
          <w:rFonts w:hint="eastAsia" w:ascii="宋体" w:hAnsi="宋体" w:cs="Arial"/>
          <w:kern w:val="0"/>
        </w:rPr>
        <w:t>（6）不从事任何有损基金及其他《基金合同》当事人合法权益的活动；</w:t>
      </w:r>
    </w:p>
    <w:p w14:paraId="747B6BC6">
      <w:pPr>
        <w:adjustRightInd w:val="0"/>
        <w:snapToGrid w:val="0"/>
        <w:spacing w:line="360" w:lineRule="auto"/>
        <w:ind w:firstLine="420" w:firstLineChars="200"/>
        <w:rPr>
          <w:rFonts w:ascii="宋体" w:hAnsi="宋体" w:cs="Arial"/>
          <w:kern w:val="0"/>
        </w:rPr>
      </w:pPr>
      <w:r>
        <w:rPr>
          <w:rFonts w:hint="eastAsia" w:ascii="宋体" w:hAnsi="宋体" w:cs="Arial"/>
          <w:kern w:val="0"/>
        </w:rPr>
        <w:t>（7）执行生效的基金份额持有人大会的决议；</w:t>
      </w:r>
    </w:p>
    <w:p w14:paraId="3DE272EE">
      <w:pPr>
        <w:adjustRightInd w:val="0"/>
        <w:snapToGrid w:val="0"/>
        <w:spacing w:line="360" w:lineRule="auto"/>
        <w:ind w:firstLine="420" w:firstLineChars="200"/>
        <w:rPr>
          <w:rFonts w:ascii="宋体" w:hAnsi="宋体" w:cs="Arial"/>
          <w:kern w:val="0"/>
        </w:rPr>
      </w:pPr>
      <w:r>
        <w:rPr>
          <w:rFonts w:hint="eastAsia" w:ascii="宋体" w:hAnsi="宋体" w:cs="Arial"/>
          <w:kern w:val="0"/>
        </w:rPr>
        <w:t>（8）返还在基金交易过程中因任何原因获得的不当得利；</w:t>
      </w:r>
    </w:p>
    <w:p w14:paraId="335FF2CC">
      <w:pPr>
        <w:adjustRightInd w:val="0"/>
        <w:snapToGrid w:val="0"/>
        <w:spacing w:line="360" w:lineRule="auto"/>
        <w:ind w:firstLine="420" w:firstLineChars="200"/>
        <w:rPr>
          <w:rFonts w:ascii="宋体" w:hAnsi="宋体" w:cs="Arial"/>
          <w:kern w:val="0"/>
        </w:rPr>
      </w:pPr>
      <w:r>
        <w:rPr>
          <w:rFonts w:hint="eastAsia" w:ascii="宋体" w:hAnsi="宋体" w:cs="Arial"/>
          <w:kern w:val="0"/>
        </w:rPr>
        <w:t>（9）法律法规及中国证监会规定的和《基金合同》约定的其他义务。</w:t>
      </w:r>
    </w:p>
    <w:p w14:paraId="02F249E4">
      <w:pPr>
        <w:adjustRightInd w:val="0"/>
        <w:snapToGrid w:val="0"/>
        <w:spacing w:line="360" w:lineRule="auto"/>
        <w:ind w:firstLine="420" w:firstLineChars="200"/>
        <w:rPr>
          <w:rFonts w:ascii="宋体" w:hAnsi="宋体" w:cs="Arial"/>
          <w:kern w:val="0"/>
        </w:rPr>
      </w:pPr>
      <w:r>
        <w:rPr>
          <w:rFonts w:hint="eastAsia" w:ascii="宋体" w:hAnsi="宋体" w:cs="Arial"/>
          <w:kern w:val="0"/>
        </w:rPr>
        <w:t>（二）基金管理人的权利与义务</w:t>
      </w:r>
    </w:p>
    <w:p w14:paraId="240951C6">
      <w:pPr>
        <w:adjustRightInd w:val="0"/>
        <w:snapToGrid w:val="0"/>
        <w:spacing w:line="360" w:lineRule="auto"/>
        <w:ind w:firstLine="420" w:firstLineChars="200"/>
        <w:rPr>
          <w:rFonts w:ascii="宋体" w:hAnsi="宋体" w:cs="Arial"/>
          <w:kern w:val="0"/>
        </w:rPr>
      </w:pPr>
      <w:r>
        <w:rPr>
          <w:rFonts w:hint="eastAsia" w:ascii="宋体" w:hAnsi="宋体" w:cs="Arial"/>
          <w:kern w:val="0"/>
        </w:rPr>
        <w:t>1、根据《基金法》、《运作办法》及其他有关规定，基金管理人的权利包括但不限于：</w:t>
      </w:r>
    </w:p>
    <w:p w14:paraId="1492D746">
      <w:pPr>
        <w:adjustRightInd w:val="0"/>
        <w:snapToGrid w:val="0"/>
        <w:spacing w:line="360" w:lineRule="auto"/>
        <w:ind w:firstLine="420" w:firstLineChars="200"/>
        <w:rPr>
          <w:rFonts w:ascii="宋体" w:hAnsi="宋体" w:cs="Arial"/>
          <w:kern w:val="0"/>
        </w:rPr>
      </w:pPr>
      <w:r>
        <w:rPr>
          <w:rFonts w:hint="eastAsia" w:ascii="宋体" w:hAnsi="宋体" w:cs="Arial"/>
          <w:kern w:val="0"/>
        </w:rPr>
        <w:t>（1）依法募集资金；</w:t>
      </w:r>
    </w:p>
    <w:p w14:paraId="605967B4">
      <w:pPr>
        <w:adjustRightInd w:val="0"/>
        <w:snapToGrid w:val="0"/>
        <w:spacing w:line="360" w:lineRule="auto"/>
        <w:ind w:firstLine="420" w:firstLineChars="200"/>
        <w:rPr>
          <w:rFonts w:ascii="宋体" w:hAnsi="宋体" w:cs="Arial"/>
          <w:kern w:val="0"/>
        </w:rPr>
      </w:pPr>
      <w:r>
        <w:rPr>
          <w:rFonts w:hint="eastAsia" w:ascii="宋体" w:hAnsi="宋体" w:cs="Arial"/>
          <w:kern w:val="0"/>
        </w:rPr>
        <w:t>（2）自《基金合同》生效之日起，根据法律法规和《基金合同》独立运用并管理基金财产；</w:t>
      </w:r>
    </w:p>
    <w:p w14:paraId="60EC44F9">
      <w:pPr>
        <w:adjustRightInd w:val="0"/>
        <w:snapToGrid w:val="0"/>
        <w:spacing w:line="360" w:lineRule="auto"/>
        <w:ind w:firstLine="420" w:firstLineChars="200"/>
        <w:rPr>
          <w:rFonts w:ascii="宋体" w:hAnsi="宋体" w:cs="Arial"/>
          <w:kern w:val="0"/>
        </w:rPr>
      </w:pPr>
      <w:r>
        <w:rPr>
          <w:rFonts w:hint="eastAsia" w:ascii="宋体" w:hAnsi="宋体" w:cs="Arial"/>
          <w:kern w:val="0"/>
        </w:rPr>
        <w:t>（3）依照《基金合同》收取基金管理费以及法律法规规定或中国证监会批准的其他费用；</w:t>
      </w:r>
    </w:p>
    <w:p w14:paraId="631EE377">
      <w:pPr>
        <w:adjustRightInd w:val="0"/>
        <w:snapToGrid w:val="0"/>
        <w:spacing w:line="360" w:lineRule="auto"/>
        <w:ind w:firstLine="420" w:firstLineChars="200"/>
        <w:rPr>
          <w:rFonts w:ascii="宋体" w:hAnsi="宋体" w:cs="Arial"/>
          <w:kern w:val="0"/>
        </w:rPr>
      </w:pPr>
      <w:r>
        <w:rPr>
          <w:rFonts w:hint="eastAsia" w:ascii="宋体" w:hAnsi="宋体" w:cs="Arial"/>
          <w:kern w:val="0"/>
        </w:rPr>
        <w:t>（4）销售基金份额；</w:t>
      </w:r>
    </w:p>
    <w:p w14:paraId="3309325C">
      <w:pPr>
        <w:adjustRightInd w:val="0"/>
        <w:snapToGrid w:val="0"/>
        <w:spacing w:line="360" w:lineRule="auto"/>
        <w:ind w:firstLine="420" w:firstLineChars="200"/>
        <w:rPr>
          <w:rFonts w:ascii="宋体" w:hAnsi="宋体" w:cs="Arial"/>
          <w:kern w:val="0"/>
        </w:rPr>
      </w:pPr>
      <w:r>
        <w:rPr>
          <w:rFonts w:hint="eastAsia" w:ascii="宋体" w:hAnsi="宋体" w:cs="Arial"/>
          <w:kern w:val="0"/>
        </w:rPr>
        <w:t>（5）按照规定召集基金份额持有人大会；</w:t>
      </w:r>
    </w:p>
    <w:p w14:paraId="02DDBD01">
      <w:pPr>
        <w:adjustRightInd w:val="0"/>
        <w:snapToGrid w:val="0"/>
        <w:spacing w:line="360" w:lineRule="auto"/>
        <w:ind w:firstLine="420" w:firstLineChars="200"/>
        <w:rPr>
          <w:rFonts w:ascii="宋体" w:hAnsi="宋体" w:cs="Arial"/>
          <w:kern w:val="0"/>
        </w:rPr>
      </w:pPr>
      <w:r>
        <w:rPr>
          <w:rFonts w:hint="eastAsia" w:ascii="宋体" w:hAnsi="宋体" w:cs="Arial"/>
          <w:kern w:val="0"/>
        </w:rPr>
        <w:t>（6）依据《基金合同》及有关法律规定监督基金托管人，如认为基金托管人违反了《基金合同》及国家有关法律规定，应呈报中国证监会和其他监管部门，并采取必要措施保护基金投资者的利益；</w:t>
      </w:r>
    </w:p>
    <w:p w14:paraId="0FA89114">
      <w:pPr>
        <w:adjustRightInd w:val="0"/>
        <w:snapToGrid w:val="0"/>
        <w:spacing w:line="360" w:lineRule="auto"/>
        <w:ind w:firstLine="420" w:firstLineChars="200"/>
        <w:rPr>
          <w:rFonts w:ascii="宋体" w:hAnsi="宋体" w:cs="Arial"/>
          <w:kern w:val="0"/>
        </w:rPr>
      </w:pPr>
      <w:r>
        <w:rPr>
          <w:rFonts w:hint="eastAsia" w:ascii="宋体" w:hAnsi="宋体" w:cs="Arial"/>
          <w:kern w:val="0"/>
        </w:rPr>
        <w:t>（7）在基金托管人更换时，提名新的基金托管人；</w:t>
      </w:r>
    </w:p>
    <w:p w14:paraId="50D26B35">
      <w:pPr>
        <w:adjustRightInd w:val="0"/>
        <w:snapToGrid w:val="0"/>
        <w:spacing w:line="360" w:lineRule="auto"/>
        <w:ind w:firstLine="420" w:firstLineChars="200"/>
        <w:rPr>
          <w:rFonts w:ascii="宋体" w:hAnsi="宋体" w:cs="Arial"/>
          <w:kern w:val="0"/>
        </w:rPr>
      </w:pPr>
      <w:r>
        <w:rPr>
          <w:rFonts w:hint="eastAsia" w:ascii="宋体" w:hAnsi="宋体" w:cs="Arial"/>
          <w:kern w:val="0"/>
        </w:rPr>
        <w:t xml:space="preserve">（8）选择、更换基金销售机构，对基金销售机构的相关行为进行监督和处理； </w:t>
      </w:r>
    </w:p>
    <w:p w14:paraId="3367B0EA">
      <w:pPr>
        <w:adjustRightInd w:val="0"/>
        <w:snapToGrid w:val="0"/>
        <w:spacing w:line="360" w:lineRule="auto"/>
        <w:ind w:firstLine="420" w:firstLineChars="200"/>
        <w:rPr>
          <w:rFonts w:ascii="宋体" w:hAnsi="宋体" w:cs="Arial"/>
          <w:kern w:val="0"/>
        </w:rPr>
      </w:pPr>
      <w:r>
        <w:rPr>
          <w:rFonts w:hint="eastAsia" w:ascii="宋体" w:hAnsi="宋体" w:cs="Arial"/>
          <w:kern w:val="0"/>
        </w:rPr>
        <w:t xml:space="preserve">（9）担任或委托其他符合条件的机构担任基金登记机构办理基金登记业务并获得《基金合同》规定的费用； </w:t>
      </w:r>
    </w:p>
    <w:p w14:paraId="2BFAC0A0">
      <w:pPr>
        <w:adjustRightInd w:val="0"/>
        <w:snapToGrid w:val="0"/>
        <w:spacing w:line="360" w:lineRule="auto"/>
        <w:ind w:firstLine="420" w:firstLineChars="200"/>
        <w:rPr>
          <w:rFonts w:ascii="宋体" w:hAnsi="宋体" w:cs="Arial"/>
          <w:kern w:val="0"/>
        </w:rPr>
      </w:pPr>
      <w:r>
        <w:rPr>
          <w:rFonts w:hint="eastAsia" w:ascii="宋体" w:hAnsi="宋体" w:cs="Arial"/>
          <w:kern w:val="0"/>
        </w:rPr>
        <w:t>（10）依据《基金合同》及有关法律规定决定基金收益的分配方案；</w:t>
      </w:r>
      <w:r>
        <w:rPr>
          <w:rFonts w:hint="eastAsia" w:ascii="宋体" w:hAnsi="宋体" w:cs="Arial"/>
          <w:kern w:val="0"/>
        </w:rPr>
        <w:tab/>
      </w:r>
    </w:p>
    <w:p w14:paraId="4DBC75C4">
      <w:pPr>
        <w:adjustRightInd w:val="0"/>
        <w:snapToGrid w:val="0"/>
        <w:spacing w:line="360" w:lineRule="auto"/>
        <w:ind w:firstLine="420" w:firstLineChars="200"/>
        <w:rPr>
          <w:rFonts w:ascii="宋体" w:hAnsi="宋体" w:cs="Arial"/>
          <w:kern w:val="0"/>
        </w:rPr>
      </w:pPr>
      <w:r>
        <w:rPr>
          <w:rFonts w:hint="eastAsia" w:ascii="宋体" w:hAnsi="宋体" w:cs="Arial"/>
          <w:kern w:val="0"/>
        </w:rPr>
        <w:t xml:space="preserve">（11）在《基金合同》约定的范围内，拒绝或暂停受理申购与赎回申请； </w:t>
      </w:r>
    </w:p>
    <w:p w14:paraId="51FED085">
      <w:pPr>
        <w:adjustRightInd w:val="0"/>
        <w:snapToGrid w:val="0"/>
        <w:spacing w:line="360" w:lineRule="auto"/>
        <w:ind w:firstLine="420" w:firstLineChars="200"/>
        <w:rPr>
          <w:rFonts w:ascii="宋体" w:hAnsi="宋体" w:cs="Arial"/>
          <w:kern w:val="0"/>
        </w:rPr>
      </w:pPr>
      <w:r>
        <w:rPr>
          <w:rFonts w:hint="eastAsia" w:ascii="宋体" w:hAnsi="宋体" w:cs="Arial"/>
          <w:kern w:val="0"/>
        </w:rPr>
        <w:t>（12）依照法律法规为基金的利益对被投资公司行使股东权利，为基金的利益行使因基金财产投资于证券所产生的权利；</w:t>
      </w:r>
    </w:p>
    <w:p w14:paraId="379262DF">
      <w:pPr>
        <w:adjustRightInd w:val="0"/>
        <w:snapToGrid w:val="0"/>
        <w:spacing w:line="360" w:lineRule="auto"/>
        <w:ind w:firstLine="420" w:firstLineChars="200"/>
        <w:rPr>
          <w:rFonts w:ascii="宋体" w:hAnsi="宋体" w:cs="Arial"/>
          <w:kern w:val="0"/>
        </w:rPr>
      </w:pPr>
      <w:r>
        <w:rPr>
          <w:rFonts w:hint="eastAsia" w:ascii="宋体" w:hAnsi="宋体" w:cs="Arial"/>
          <w:kern w:val="0"/>
        </w:rPr>
        <w:t>（13）在法律法规允许的前提下，为基金的利益依法为基金进行融资和转融通证券出借业务；</w:t>
      </w:r>
    </w:p>
    <w:p w14:paraId="05E7D5B7">
      <w:pPr>
        <w:adjustRightInd w:val="0"/>
        <w:snapToGrid w:val="0"/>
        <w:spacing w:line="360" w:lineRule="auto"/>
        <w:ind w:firstLine="420" w:firstLineChars="200"/>
        <w:rPr>
          <w:rFonts w:ascii="宋体" w:hAnsi="宋体" w:cs="Arial"/>
          <w:kern w:val="0"/>
        </w:rPr>
      </w:pPr>
      <w:r>
        <w:rPr>
          <w:rFonts w:hint="eastAsia" w:ascii="宋体" w:hAnsi="宋体" w:cs="Arial"/>
          <w:kern w:val="0"/>
        </w:rPr>
        <w:t>（14）以基金管理人的名义，代表基金份额持有人的利益行使诉讼权利或者实施其他法律行为；</w:t>
      </w:r>
      <w:r>
        <w:rPr>
          <w:rFonts w:hint="eastAsia" w:ascii="宋体" w:hAnsi="宋体" w:cs="Arial"/>
          <w:kern w:val="0"/>
        </w:rPr>
        <w:tab/>
      </w:r>
    </w:p>
    <w:p w14:paraId="29FE72A6">
      <w:pPr>
        <w:adjustRightInd w:val="0"/>
        <w:snapToGrid w:val="0"/>
        <w:spacing w:line="360" w:lineRule="auto"/>
        <w:ind w:firstLine="420" w:firstLineChars="200"/>
        <w:rPr>
          <w:rFonts w:ascii="宋体" w:hAnsi="宋体" w:cs="Arial"/>
          <w:kern w:val="0"/>
        </w:rPr>
      </w:pPr>
      <w:r>
        <w:rPr>
          <w:rFonts w:hint="eastAsia" w:ascii="宋体" w:hAnsi="宋体" w:cs="Arial"/>
          <w:kern w:val="0"/>
        </w:rPr>
        <w:t>（15）选择、更换律师事务所、会计师事务所、证券、期货经纪商或其他为基金提供服务的外部机构；</w:t>
      </w:r>
      <w:r>
        <w:rPr>
          <w:rFonts w:hint="eastAsia" w:ascii="宋体" w:hAnsi="宋体" w:cs="Arial"/>
          <w:kern w:val="0"/>
        </w:rPr>
        <w:tab/>
      </w:r>
    </w:p>
    <w:p w14:paraId="21810161">
      <w:pPr>
        <w:adjustRightInd w:val="0"/>
        <w:snapToGrid w:val="0"/>
        <w:spacing w:line="360" w:lineRule="auto"/>
        <w:ind w:firstLine="420" w:firstLineChars="200"/>
        <w:rPr>
          <w:rFonts w:ascii="宋体" w:hAnsi="宋体" w:cs="Arial"/>
          <w:kern w:val="0"/>
        </w:rPr>
      </w:pPr>
      <w:r>
        <w:rPr>
          <w:rFonts w:hint="eastAsia" w:ascii="宋体" w:hAnsi="宋体" w:cs="Arial"/>
          <w:kern w:val="0"/>
        </w:rPr>
        <w:t>（16）在符合有关法律、法规、相关证券交易所及登记机构相关业务规则的规定及基金合同的前提下，制订和调整有关基金认购、申购、赎回等业务规则；</w:t>
      </w:r>
    </w:p>
    <w:p w14:paraId="6D1EAD1E">
      <w:pPr>
        <w:adjustRightInd w:val="0"/>
        <w:snapToGrid w:val="0"/>
        <w:spacing w:line="360" w:lineRule="auto"/>
        <w:ind w:firstLine="420" w:firstLineChars="200"/>
        <w:rPr>
          <w:rFonts w:ascii="宋体" w:hAnsi="宋体" w:cs="Arial"/>
          <w:kern w:val="0"/>
        </w:rPr>
      </w:pPr>
      <w:r>
        <w:rPr>
          <w:rFonts w:hint="eastAsia" w:ascii="宋体" w:hAnsi="宋体" w:cs="Arial"/>
          <w:kern w:val="0"/>
        </w:rPr>
        <w:t>（17）法律法规及中国证监会规定的和《基金合同》约定的其他权利。</w:t>
      </w:r>
    </w:p>
    <w:p w14:paraId="4CE451A8">
      <w:pPr>
        <w:adjustRightInd w:val="0"/>
        <w:snapToGrid w:val="0"/>
        <w:spacing w:line="360" w:lineRule="auto"/>
        <w:ind w:firstLine="420" w:firstLineChars="200"/>
        <w:rPr>
          <w:rFonts w:ascii="宋体" w:hAnsi="宋体" w:cs="Arial"/>
          <w:kern w:val="0"/>
        </w:rPr>
      </w:pPr>
      <w:r>
        <w:rPr>
          <w:rFonts w:hint="eastAsia" w:ascii="宋体" w:hAnsi="宋体" w:cs="Arial"/>
          <w:kern w:val="0"/>
        </w:rPr>
        <w:t>2、根据《基金法》、《运作办法》及其他有关规定，基金管理人的义务包括但不限于：</w:t>
      </w:r>
    </w:p>
    <w:p w14:paraId="6E1D7A50">
      <w:pPr>
        <w:adjustRightInd w:val="0"/>
        <w:snapToGrid w:val="0"/>
        <w:spacing w:line="360" w:lineRule="auto"/>
        <w:ind w:firstLine="420" w:firstLineChars="200"/>
        <w:rPr>
          <w:rFonts w:ascii="宋体" w:hAnsi="宋体" w:cs="Arial"/>
          <w:kern w:val="0"/>
        </w:rPr>
      </w:pPr>
      <w:r>
        <w:rPr>
          <w:rFonts w:hint="eastAsia" w:ascii="宋体" w:hAnsi="宋体" w:cs="Arial"/>
          <w:kern w:val="0"/>
        </w:rPr>
        <w:t>（1）依法募集资金，办理或者委托经中国证监会认定的其他机构代为办理基金份额的发售、申购、赎回和登记事宜；</w:t>
      </w:r>
    </w:p>
    <w:p w14:paraId="7BEA388F">
      <w:pPr>
        <w:adjustRightInd w:val="0"/>
        <w:snapToGrid w:val="0"/>
        <w:spacing w:line="360" w:lineRule="auto"/>
        <w:ind w:firstLine="420" w:firstLineChars="200"/>
        <w:rPr>
          <w:rFonts w:ascii="宋体" w:hAnsi="宋体" w:cs="Arial"/>
          <w:kern w:val="0"/>
        </w:rPr>
      </w:pPr>
      <w:r>
        <w:rPr>
          <w:rFonts w:hint="eastAsia" w:ascii="宋体" w:hAnsi="宋体" w:cs="Arial"/>
          <w:kern w:val="0"/>
        </w:rPr>
        <w:t>（2）办理基金备案手续；</w:t>
      </w:r>
    </w:p>
    <w:p w14:paraId="6388BC8F">
      <w:pPr>
        <w:adjustRightInd w:val="0"/>
        <w:snapToGrid w:val="0"/>
        <w:spacing w:line="360" w:lineRule="auto"/>
        <w:ind w:firstLine="420" w:firstLineChars="200"/>
        <w:rPr>
          <w:rFonts w:ascii="宋体" w:hAnsi="宋体" w:cs="Arial"/>
          <w:kern w:val="0"/>
        </w:rPr>
      </w:pPr>
      <w:r>
        <w:rPr>
          <w:rFonts w:hint="eastAsia" w:ascii="宋体" w:hAnsi="宋体" w:cs="Arial"/>
          <w:kern w:val="0"/>
        </w:rPr>
        <w:t>（3）自《基金合同》生效之日起，以诚实信用、谨慎勤勉的原则管理和运用基金财产；</w:t>
      </w:r>
    </w:p>
    <w:p w14:paraId="0FB6A879">
      <w:pPr>
        <w:adjustRightInd w:val="0"/>
        <w:snapToGrid w:val="0"/>
        <w:spacing w:line="360" w:lineRule="auto"/>
        <w:ind w:firstLine="420" w:firstLineChars="200"/>
        <w:rPr>
          <w:rFonts w:ascii="宋体" w:hAnsi="宋体" w:cs="Arial"/>
          <w:kern w:val="0"/>
        </w:rPr>
      </w:pPr>
      <w:r>
        <w:rPr>
          <w:rFonts w:hint="eastAsia" w:ascii="宋体" w:hAnsi="宋体" w:cs="Arial"/>
          <w:kern w:val="0"/>
        </w:rPr>
        <w:t>（4）配备足够的具有专业资格的人员进行基金投资分析、决策，以专业化的经营方式管理和运作基金财产；</w:t>
      </w:r>
    </w:p>
    <w:p w14:paraId="6D69DA5C">
      <w:pPr>
        <w:adjustRightInd w:val="0"/>
        <w:snapToGrid w:val="0"/>
        <w:spacing w:line="360" w:lineRule="auto"/>
        <w:ind w:firstLine="420" w:firstLineChars="200"/>
        <w:rPr>
          <w:rFonts w:ascii="宋体" w:hAnsi="宋体" w:cs="Arial"/>
          <w:kern w:val="0"/>
        </w:rPr>
      </w:pPr>
      <w:r>
        <w:rPr>
          <w:rFonts w:hint="eastAsia" w:ascii="宋体" w:hAnsi="宋体" w:cs="Arial"/>
          <w:kern w:val="0"/>
        </w:rPr>
        <w:t>（5）建立健全内部风险控制、监察与稽核、财务管理及人事管理等制度，保证所管理的基金财产和基金管理人的财产相互独立，对所管理的不同基金分别管理，分别记账，进行证券投资；</w:t>
      </w:r>
    </w:p>
    <w:p w14:paraId="10EAE24D">
      <w:pPr>
        <w:adjustRightInd w:val="0"/>
        <w:snapToGrid w:val="0"/>
        <w:spacing w:line="360" w:lineRule="auto"/>
        <w:ind w:firstLine="420" w:firstLineChars="200"/>
        <w:rPr>
          <w:rFonts w:ascii="宋体" w:hAnsi="宋体" w:cs="Arial"/>
          <w:kern w:val="0"/>
        </w:rPr>
      </w:pPr>
      <w:r>
        <w:rPr>
          <w:rFonts w:hint="eastAsia" w:ascii="宋体" w:hAnsi="宋体" w:cs="Arial"/>
          <w:kern w:val="0"/>
        </w:rPr>
        <w:t>（6）除依据《基金法》、《基金合同》及其他有关规定外，不得利用基金财产为自己及任何第三人谋取利益，不得委托第三人运作基金财产；</w:t>
      </w:r>
    </w:p>
    <w:p w14:paraId="1DF86696">
      <w:pPr>
        <w:adjustRightInd w:val="0"/>
        <w:snapToGrid w:val="0"/>
        <w:spacing w:line="360" w:lineRule="auto"/>
        <w:ind w:firstLine="420" w:firstLineChars="200"/>
        <w:rPr>
          <w:rFonts w:ascii="宋体" w:hAnsi="宋体" w:cs="Arial"/>
          <w:kern w:val="0"/>
        </w:rPr>
      </w:pPr>
      <w:r>
        <w:rPr>
          <w:rFonts w:hint="eastAsia" w:ascii="宋体" w:hAnsi="宋体" w:cs="Arial"/>
          <w:kern w:val="0"/>
        </w:rPr>
        <w:t>（7）依法接受基金托管人的监督；</w:t>
      </w:r>
    </w:p>
    <w:p w14:paraId="5D844E53">
      <w:pPr>
        <w:adjustRightInd w:val="0"/>
        <w:snapToGrid w:val="0"/>
        <w:spacing w:line="360" w:lineRule="auto"/>
        <w:ind w:firstLine="420" w:firstLineChars="200"/>
        <w:rPr>
          <w:rFonts w:ascii="宋体" w:hAnsi="宋体" w:cs="Arial"/>
          <w:kern w:val="0"/>
        </w:rPr>
      </w:pPr>
      <w:r>
        <w:rPr>
          <w:rFonts w:hint="eastAsia" w:ascii="宋体" w:hAnsi="宋体" w:cs="Arial"/>
          <w:kern w:val="0"/>
        </w:rPr>
        <w:t>（8）采取适当合理的措施使计算基金份额认购价格、申购对价、赎回对价的方法符合《基金合同》等法律文件的规定，按有关规定计算并公告基金净值信息，确定基金份额申购、赎回对价，编制申购赎回清单；</w:t>
      </w:r>
    </w:p>
    <w:p w14:paraId="37BDAB15">
      <w:pPr>
        <w:adjustRightInd w:val="0"/>
        <w:snapToGrid w:val="0"/>
        <w:spacing w:line="360" w:lineRule="auto"/>
        <w:ind w:firstLine="420" w:firstLineChars="200"/>
        <w:rPr>
          <w:rFonts w:ascii="宋体" w:hAnsi="宋体" w:cs="Arial"/>
          <w:kern w:val="0"/>
        </w:rPr>
      </w:pPr>
      <w:r>
        <w:rPr>
          <w:rFonts w:hint="eastAsia" w:ascii="宋体" w:hAnsi="宋体" w:cs="Arial"/>
          <w:kern w:val="0"/>
        </w:rPr>
        <w:t>（9）进行基金会计核算并编制基金财务会计报告；</w:t>
      </w:r>
    </w:p>
    <w:p w14:paraId="025911CF">
      <w:pPr>
        <w:adjustRightInd w:val="0"/>
        <w:snapToGrid w:val="0"/>
        <w:spacing w:line="360" w:lineRule="auto"/>
        <w:ind w:firstLine="420" w:firstLineChars="200"/>
        <w:rPr>
          <w:rFonts w:ascii="宋体" w:hAnsi="宋体" w:cs="Arial"/>
          <w:kern w:val="0"/>
        </w:rPr>
      </w:pPr>
      <w:r>
        <w:rPr>
          <w:rFonts w:hint="eastAsia" w:ascii="宋体" w:hAnsi="宋体" w:cs="Arial"/>
          <w:kern w:val="0"/>
        </w:rPr>
        <w:t>（10）编制季度报告、中期报告和年度报告；</w:t>
      </w:r>
    </w:p>
    <w:p w14:paraId="2E0CE920">
      <w:pPr>
        <w:adjustRightInd w:val="0"/>
        <w:snapToGrid w:val="0"/>
        <w:spacing w:line="360" w:lineRule="auto"/>
        <w:ind w:firstLine="420" w:firstLineChars="200"/>
        <w:rPr>
          <w:rFonts w:ascii="宋体" w:hAnsi="宋体" w:cs="Arial"/>
          <w:kern w:val="0"/>
        </w:rPr>
      </w:pPr>
      <w:r>
        <w:rPr>
          <w:rFonts w:hint="eastAsia" w:ascii="宋体" w:hAnsi="宋体" w:cs="Arial"/>
          <w:kern w:val="0"/>
        </w:rPr>
        <w:t>（11）严格按照《基金法》、《基金合同》及其他有关规定，履行信息披露及报告义务；</w:t>
      </w:r>
    </w:p>
    <w:p w14:paraId="40582993">
      <w:pPr>
        <w:adjustRightInd w:val="0"/>
        <w:snapToGrid w:val="0"/>
        <w:spacing w:line="360" w:lineRule="auto"/>
        <w:ind w:firstLine="420" w:firstLineChars="200"/>
        <w:rPr>
          <w:rFonts w:ascii="宋体" w:hAnsi="宋体" w:cs="Arial"/>
          <w:kern w:val="0"/>
        </w:rPr>
      </w:pPr>
      <w:r>
        <w:rPr>
          <w:rFonts w:hint="eastAsia" w:ascii="宋体" w:hAnsi="宋体" w:cs="Arial"/>
          <w:kern w:val="0"/>
        </w:rPr>
        <w:t>（12）保守基金商业秘密，不泄露基金投资计划、投资意向等。除《基金法》、《基金合同》及其他有关规定另有规定外，在基金信息公开披露前应予保密，不向他人泄露，向审计、法律等外部专业顾问提供的情况除外；</w:t>
      </w:r>
    </w:p>
    <w:p w14:paraId="113FB8AF">
      <w:pPr>
        <w:adjustRightInd w:val="0"/>
        <w:snapToGrid w:val="0"/>
        <w:spacing w:line="360" w:lineRule="auto"/>
        <w:ind w:firstLine="420" w:firstLineChars="200"/>
        <w:rPr>
          <w:rFonts w:ascii="宋体" w:hAnsi="宋体" w:cs="Arial"/>
          <w:kern w:val="0"/>
        </w:rPr>
      </w:pPr>
      <w:r>
        <w:rPr>
          <w:rFonts w:hint="eastAsia" w:ascii="宋体" w:hAnsi="宋体" w:cs="Arial"/>
          <w:kern w:val="0"/>
        </w:rPr>
        <w:t>（13）按《基金合同》的约定确定基金收益分配方案，及时向基金份额持有人分配基金收益；</w:t>
      </w:r>
    </w:p>
    <w:p w14:paraId="549CC19A">
      <w:pPr>
        <w:adjustRightInd w:val="0"/>
        <w:snapToGrid w:val="0"/>
        <w:spacing w:line="360" w:lineRule="auto"/>
        <w:ind w:firstLine="420" w:firstLineChars="200"/>
        <w:rPr>
          <w:rFonts w:ascii="宋体" w:hAnsi="宋体" w:cs="Arial"/>
          <w:kern w:val="0"/>
        </w:rPr>
      </w:pPr>
      <w:r>
        <w:rPr>
          <w:rFonts w:hint="eastAsia" w:ascii="宋体" w:hAnsi="宋体" w:cs="Arial"/>
          <w:kern w:val="0"/>
        </w:rPr>
        <w:t>（14）按规定受理申购与赎回申请，及时、足额支付赎回对价；</w:t>
      </w:r>
    </w:p>
    <w:p w14:paraId="1CBC1B59">
      <w:pPr>
        <w:adjustRightInd w:val="0"/>
        <w:snapToGrid w:val="0"/>
        <w:spacing w:line="360" w:lineRule="auto"/>
        <w:ind w:firstLine="420" w:firstLineChars="200"/>
        <w:rPr>
          <w:rFonts w:ascii="宋体" w:hAnsi="宋体" w:cs="Arial"/>
          <w:kern w:val="0"/>
        </w:rPr>
      </w:pPr>
      <w:r>
        <w:rPr>
          <w:rFonts w:hint="eastAsia" w:ascii="宋体" w:hAnsi="宋体" w:cs="Arial"/>
          <w:kern w:val="0"/>
        </w:rPr>
        <w:t>（15）依据《基金法》、《基金合同》及其他有关规定召集基金份额持有人大会或配合基金托管人、基金份额持有人依法召集基金份额持有人大会；</w:t>
      </w:r>
    </w:p>
    <w:p w14:paraId="7771D61B">
      <w:pPr>
        <w:adjustRightInd w:val="0"/>
        <w:snapToGrid w:val="0"/>
        <w:spacing w:line="360" w:lineRule="auto"/>
        <w:ind w:firstLine="420" w:firstLineChars="200"/>
        <w:rPr>
          <w:rFonts w:ascii="宋体" w:hAnsi="宋体" w:cs="Arial"/>
          <w:kern w:val="0"/>
        </w:rPr>
      </w:pPr>
      <w:r>
        <w:rPr>
          <w:rFonts w:hint="eastAsia" w:ascii="宋体" w:hAnsi="宋体" w:cs="Arial"/>
          <w:kern w:val="0"/>
        </w:rPr>
        <w:t>（16）按规定保存基金财产管理业务活动的会计账册、报表、记录和其他相关资料，保存期限不低于法定最低期限；</w:t>
      </w:r>
    </w:p>
    <w:p w14:paraId="652FD386">
      <w:pPr>
        <w:adjustRightInd w:val="0"/>
        <w:snapToGrid w:val="0"/>
        <w:spacing w:line="360" w:lineRule="auto"/>
        <w:ind w:firstLine="420" w:firstLineChars="200"/>
        <w:rPr>
          <w:rFonts w:ascii="宋体" w:hAnsi="宋体" w:cs="Arial"/>
          <w:kern w:val="0"/>
        </w:rPr>
      </w:pPr>
      <w:r>
        <w:rPr>
          <w:rFonts w:hint="eastAsia" w:ascii="宋体" w:hAnsi="宋体" w:cs="Arial"/>
          <w:kern w:val="0"/>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76D2B67C">
      <w:pPr>
        <w:adjustRightInd w:val="0"/>
        <w:snapToGrid w:val="0"/>
        <w:spacing w:line="360" w:lineRule="auto"/>
        <w:ind w:firstLine="420" w:firstLineChars="200"/>
        <w:rPr>
          <w:rFonts w:ascii="宋体" w:hAnsi="宋体" w:cs="Arial"/>
          <w:kern w:val="0"/>
        </w:rPr>
      </w:pPr>
      <w:r>
        <w:rPr>
          <w:rFonts w:hint="eastAsia" w:ascii="宋体" w:hAnsi="宋体" w:cs="Arial"/>
          <w:kern w:val="0"/>
        </w:rPr>
        <w:t>（18）组织并参加基金财产清算小组，参与基金财产的保管、清理、估价、变现和分配；</w:t>
      </w:r>
    </w:p>
    <w:p w14:paraId="0CAFA817">
      <w:pPr>
        <w:adjustRightInd w:val="0"/>
        <w:snapToGrid w:val="0"/>
        <w:spacing w:line="360" w:lineRule="auto"/>
        <w:ind w:firstLine="420" w:firstLineChars="200"/>
        <w:rPr>
          <w:rFonts w:ascii="宋体" w:hAnsi="宋体" w:cs="Arial"/>
          <w:kern w:val="0"/>
        </w:rPr>
      </w:pPr>
      <w:r>
        <w:rPr>
          <w:rFonts w:hint="eastAsia" w:ascii="宋体" w:hAnsi="宋体" w:cs="Arial"/>
          <w:kern w:val="0"/>
        </w:rPr>
        <w:t>（19）面临解散、依法被撤销或者被依法宣告破产时，及时报告中国证监会，并通知基金托管人；</w:t>
      </w:r>
    </w:p>
    <w:p w14:paraId="49D02357">
      <w:pPr>
        <w:adjustRightInd w:val="0"/>
        <w:snapToGrid w:val="0"/>
        <w:spacing w:line="360" w:lineRule="auto"/>
        <w:ind w:firstLine="420" w:firstLineChars="200"/>
        <w:rPr>
          <w:rFonts w:ascii="宋体" w:hAnsi="宋体" w:cs="Arial"/>
          <w:kern w:val="0"/>
        </w:rPr>
      </w:pPr>
      <w:r>
        <w:rPr>
          <w:rFonts w:hint="eastAsia" w:ascii="宋体" w:hAnsi="宋体" w:cs="Arial"/>
          <w:kern w:val="0"/>
        </w:rPr>
        <w:t>（20）因违反《基金合同》导致基金财产的损失或损害基金份额持有人合法权益时，应当承担赔偿责任，其赔偿责任不因其退任而免除；</w:t>
      </w:r>
    </w:p>
    <w:p w14:paraId="50E8A828">
      <w:pPr>
        <w:adjustRightInd w:val="0"/>
        <w:snapToGrid w:val="0"/>
        <w:spacing w:line="360" w:lineRule="auto"/>
        <w:ind w:firstLine="420" w:firstLineChars="200"/>
        <w:rPr>
          <w:rFonts w:ascii="宋体" w:hAnsi="宋体" w:cs="Arial"/>
          <w:kern w:val="0"/>
        </w:rPr>
      </w:pPr>
      <w:r>
        <w:rPr>
          <w:rFonts w:hint="eastAsia" w:ascii="宋体" w:hAnsi="宋体" w:cs="Arial"/>
          <w:kern w:val="0"/>
        </w:rPr>
        <w:t>（21）监督基金托管人按法律法规和《基金合同》规定履行自己的义务，基金托管人违反《基金合同》造成基金财产损失时，基金管理人应为基金份额持有人利益向基金托管人追偿；</w:t>
      </w:r>
    </w:p>
    <w:p w14:paraId="0887E16C">
      <w:pPr>
        <w:adjustRightInd w:val="0"/>
        <w:snapToGrid w:val="0"/>
        <w:spacing w:line="360" w:lineRule="auto"/>
        <w:ind w:firstLine="420" w:firstLineChars="200"/>
        <w:rPr>
          <w:rFonts w:ascii="宋体" w:hAnsi="宋体" w:cs="Arial"/>
          <w:kern w:val="0"/>
        </w:rPr>
      </w:pPr>
      <w:r>
        <w:rPr>
          <w:rFonts w:hint="eastAsia" w:ascii="宋体" w:hAnsi="宋体" w:cs="Arial"/>
          <w:kern w:val="0"/>
        </w:rPr>
        <w:t>（22）当基金管理人将其义务委托第三方处理时，应当对第三方处理有关基金事务的行为承担责任；</w:t>
      </w:r>
    </w:p>
    <w:p w14:paraId="5FDFAC5F">
      <w:pPr>
        <w:adjustRightInd w:val="0"/>
        <w:snapToGrid w:val="0"/>
        <w:spacing w:line="360" w:lineRule="auto"/>
        <w:ind w:firstLine="420" w:firstLineChars="200"/>
        <w:rPr>
          <w:rFonts w:ascii="宋体" w:hAnsi="宋体" w:cs="Arial"/>
          <w:kern w:val="0"/>
        </w:rPr>
      </w:pPr>
      <w:r>
        <w:rPr>
          <w:rFonts w:hint="eastAsia" w:ascii="宋体" w:hAnsi="宋体" w:cs="Arial"/>
          <w:kern w:val="0"/>
        </w:rPr>
        <w:t>（23）以基金管理人名义，代表基金份额持有人利益行使诉讼权利或实施其他法律行为；</w:t>
      </w:r>
    </w:p>
    <w:p w14:paraId="22E4A4EF">
      <w:pPr>
        <w:adjustRightInd w:val="0"/>
        <w:snapToGrid w:val="0"/>
        <w:spacing w:line="360" w:lineRule="auto"/>
        <w:ind w:firstLine="420" w:firstLineChars="200"/>
        <w:rPr>
          <w:rFonts w:ascii="宋体" w:hAnsi="宋体" w:cs="Arial"/>
          <w:kern w:val="0"/>
        </w:rPr>
      </w:pPr>
      <w:r>
        <w:rPr>
          <w:rFonts w:hint="eastAsia" w:ascii="宋体" w:hAnsi="宋体" w:cs="Arial"/>
          <w:kern w:val="0"/>
        </w:rPr>
        <w:t>（24）基金在募集期间未能达到基金的备案条件，《基金合同》不能生效，基金管理人承担全部募集费用，将已募集资金并加计银行同期活期存款利息在基金募集期结束后30日内退还基金认购人，对于基金募集期间网下股票认购所冻结的股票，发售代理机构应予以解冻；</w:t>
      </w:r>
    </w:p>
    <w:p w14:paraId="3898384C">
      <w:pPr>
        <w:adjustRightInd w:val="0"/>
        <w:snapToGrid w:val="0"/>
        <w:spacing w:line="360" w:lineRule="auto"/>
        <w:ind w:firstLine="420" w:firstLineChars="200"/>
        <w:rPr>
          <w:rFonts w:ascii="宋体" w:hAnsi="宋体" w:cs="Arial"/>
          <w:kern w:val="0"/>
        </w:rPr>
      </w:pPr>
      <w:r>
        <w:rPr>
          <w:rFonts w:hint="eastAsia" w:ascii="宋体" w:hAnsi="宋体" w:cs="Arial"/>
          <w:kern w:val="0"/>
        </w:rPr>
        <w:t>（25）执行生效的基金份额持有人大会的决议；</w:t>
      </w:r>
    </w:p>
    <w:p w14:paraId="42B47C6C">
      <w:pPr>
        <w:adjustRightInd w:val="0"/>
        <w:snapToGrid w:val="0"/>
        <w:spacing w:line="360" w:lineRule="auto"/>
        <w:ind w:firstLine="420" w:firstLineChars="200"/>
        <w:rPr>
          <w:rFonts w:ascii="宋体" w:hAnsi="宋体" w:cs="Arial"/>
          <w:kern w:val="0"/>
        </w:rPr>
      </w:pPr>
      <w:r>
        <w:rPr>
          <w:rFonts w:hint="eastAsia" w:ascii="宋体" w:hAnsi="宋体" w:cs="Arial"/>
          <w:kern w:val="0"/>
        </w:rPr>
        <w:t>（26）建立并保存基金份额持有人名册；</w:t>
      </w:r>
    </w:p>
    <w:p w14:paraId="211619A5">
      <w:pPr>
        <w:adjustRightInd w:val="0"/>
        <w:snapToGrid w:val="0"/>
        <w:spacing w:line="360" w:lineRule="auto"/>
        <w:ind w:firstLine="420" w:firstLineChars="200"/>
        <w:rPr>
          <w:rFonts w:ascii="宋体" w:hAnsi="宋体" w:cs="Arial"/>
          <w:kern w:val="0"/>
        </w:rPr>
      </w:pPr>
      <w:r>
        <w:rPr>
          <w:rFonts w:hint="eastAsia" w:ascii="宋体" w:hAnsi="宋体" w:cs="Arial"/>
          <w:kern w:val="0"/>
        </w:rPr>
        <w:t>（27）法律法规及中国证监会规定的和《基金合同》约定的其他义务。</w:t>
      </w:r>
    </w:p>
    <w:p w14:paraId="67E2A3AF">
      <w:pPr>
        <w:adjustRightInd w:val="0"/>
        <w:snapToGrid w:val="0"/>
        <w:spacing w:line="360" w:lineRule="auto"/>
        <w:ind w:firstLine="420" w:firstLineChars="200"/>
        <w:rPr>
          <w:rFonts w:ascii="宋体" w:hAnsi="宋体" w:cs="Arial"/>
          <w:kern w:val="0"/>
        </w:rPr>
      </w:pPr>
      <w:r>
        <w:rPr>
          <w:rFonts w:hint="eastAsia" w:ascii="宋体" w:hAnsi="宋体" w:cs="Arial"/>
          <w:kern w:val="0"/>
        </w:rPr>
        <w:t>（三）</w:t>
      </w:r>
      <w:r>
        <w:rPr>
          <w:rFonts w:hint="eastAsia" w:ascii="宋体" w:hAnsi="宋体" w:cs="Arial"/>
          <w:kern w:val="0"/>
        </w:rPr>
        <w:tab/>
      </w:r>
      <w:r>
        <w:rPr>
          <w:rFonts w:hint="eastAsia" w:ascii="宋体" w:hAnsi="宋体" w:cs="Arial"/>
          <w:kern w:val="0"/>
        </w:rPr>
        <w:t>基金托管人的权利与义务</w:t>
      </w:r>
    </w:p>
    <w:p w14:paraId="7CAE5B1E">
      <w:pPr>
        <w:adjustRightInd w:val="0"/>
        <w:snapToGrid w:val="0"/>
        <w:spacing w:line="360" w:lineRule="auto"/>
        <w:ind w:firstLine="420" w:firstLineChars="200"/>
        <w:rPr>
          <w:rFonts w:ascii="宋体" w:hAnsi="宋体" w:cs="Arial"/>
          <w:kern w:val="0"/>
        </w:rPr>
      </w:pPr>
      <w:r>
        <w:rPr>
          <w:rFonts w:hint="eastAsia" w:ascii="宋体" w:hAnsi="宋体" w:cs="Arial"/>
          <w:kern w:val="0"/>
        </w:rPr>
        <w:t>1、根据《基金法》、《运作办法》及其他有关规定，基金托管人的权利包括但不限于：</w:t>
      </w:r>
    </w:p>
    <w:p w14:paraId="47EA9957">
      <w:pPr>
        <w:adjustRightInd w:val="0"/>
        <w:snapToGrid w:val="0"/>
        <w:spacing w:line="360" w:lineRule="auto"/>
        <w:ind w:firstLine="420" w:firstLineChars="200"/>
        <w:rPr>
          <w:rFonts w:ascii="宋体" w:hAnsi="宋体" w:cs="Arial"/>
          <w:kern w:val="0"/>
        </w:rPr>
      </w:pPr>
      <w:r>
        <w:rPr>
          <w:rFonts w:hint="eastAsia" w:ascii="宋体" w:hAnsi="宋体" w:cs="Arial"/>
          <w:kern w:val="0"/>
        </w:rPr>
        <w:t>（1）自《基金合同》生效之日起，依法律法规和《基金合同》的规定安全保管基金财产；</w:t>
      </w:r>
    </w:p>
    <w:p w14:paraId="0E0979CC">
      <w:pPr>
        <w:adjustRightInd w:val="0"/>
        <w:snapToGrid w:val="0"/>
        <w:spacing w:line="360" w:lineRule="auto"/>
        <w:ind w:firstLine="420" w:firstLineChars="200"/>
        <w:rPr>
          <w:rFonts w:ascii="宋体" w:hAnsi="宋体" w:cs="Arial"/>
          <w:kern w:val="0"/>
        </w:rPr>
      </w:pPr>
      <w:r>
        <w:rPr>
          <w:rFonts w:hint="eastAsia" w:ascii="宋体" w:hAnsi="宋体" w:cs="Arial"/>
          <w:kern w:val="0"/>
        </w:rPr>
        <w:t>（2）依《基金合同》约定获得基金托管费以及法律法规规定或监管部门批准的其他费用；</w:t>
      </w:r>
    </w:p>
    <w:p w14:paraId="1C923CC3">
      <w:pPr>
        <w:adjustRightInd w:val="0"/>
        <w:snapToGrid w:val="0"/>
        <w:spacing w:line="360" w:lineRule="auto"/>
        <w:ind w:firstLine="420" w:firstLineChars="200"/>
        <w:rPr>
          <w:rFonts w:ascii="宋体" w:hAnsi="宋体" w:cs="Arial"/>
          <w:kern w:val="0"/>
        </w:rPr>
      </w:pPr>
      <w:r>
        <w:rPr>
          <w:rFonts w:hint="eastAsia" w:ascii="宋体" w:hAnsi="宋体" w:cs="Arial"/>
          <w:kern w:val="0"/>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131BA6A">
      <w:pPr>
        <w:adjustRightInd w:val="0"/>
        <w:snapToGrid w:val="0"/>
        <w:spacing w:line="360" w:lineRule="auto"/>
        <w:ind w:firstLine="420" w:firstLineChars="200"/>
        <w:rPr>
          <w:rFonts w:ascii="宋体" w:hAnsi="宋体" w:cs="Arial"/>
          <w:kern w:val="0"/>
        </w:rPr>
      </w:pPr>
      <w:r>
        <w:rPr>
          <w:rFonts w:hint="eastAsia" w:ascii="宋体" w:hAnsi="宋体" w:cs="Arial"/>
          <w:kern w:val="0"/>
        </w:rPr>
        <w:t>（4）根据相关市场规则，为基金开设资金账户、证券账户等投资所需账户，为基金办理证券、期货交易资金清算；</w:t>
      </w:r>
    </w:p>
    <w:p w14:paraId="5BC9497A">
      <w:pPr>
        <w:adjustRightInd w:val="0"/>
        <w:snapToGrid w:val="0"/>
        <w:spacing w:line="360" w:lineRule="auto"/>
        <w:ind w:firstLine="420" w:firstLineChars="200"/>
        <w:rPr>
          <w:rFonts w:ascii="宋体" w:hAnsi="宋体" w:cs="Arial"/>
          <w:kern w:val="0"/>
        </w:rPr>
      </w:pPr>
      <w:r>
        <w:rPr>
          <w:rFonts w:hint="eastAsia" w:ascii="宋体" w:hAnsi="宋体" w:cs="Arial"/>
          <w:kern w:val="0"/>
        </w:rPr>
        <w:t>（5）提议召开或召集基金份额持有人大会；</w:t>
      </w:r>
    </w:p>
    <w:p w14:paraId="5414A669">
      <w:pPr>
        <w:adjustRightInd w:val="0"/>
        <w:snapToGrid w:val="0"/>
        <w:spacing w:line="360" w:lineRule="auto"/>
        <w:ind w:firstLine="420" w:firstLineChars="200"/>
        <w:rPr>
          <w:rFonts w:ascii="宋体" w:hAnsi="宋体" w:cs="Arial"/>
          <w:kern w:val="0"/>
        </w:rPr>
      </w:pPr>
      <w:r>
        <w:rPr>
          <w:rFonts w:hint="eastAsia" w:ascii="宋体" w:hAnsi="宋体" w:cs="Arial"/>
          <w:kern w:val="0"/>
        </w:rPr>
        <w:t>（6）在基金管理人更换时，提名新的基金管理人；</w:t>
      </w:r>
    </w:p>
    <w:p w14:paraId="3740E2DC">
      <w:pPr>
        <w:adjustRightInd w:val="0"/>
        <w:snapToGrid w:val="0"/>
        <w:spacing w:line="360" w:lineRule="auto"/>
        <w:ind w:firstLine="420" w:firstLineChars="200"/>
        <w:rPr>
          <w:rFonts w:ascii="宋体" w:hAnsi="宋体" w:cs="Arial"/>
          <w:kern w:val="0"/>
        </w:rPr>
      </w:pPr>
      <w:r>
        <w:rPr>
          <w:rFonts w:hint="eastAsia" w:ascii="宋体" w:hAnsi="宋体" w:cs="Arial"/>
          <w:kern w:val="0"/>
        </w:rPr>
        <w:t>（7）法律法规及中国证监会规定的和《基金合同》约定的其他权利。</w:t>
      </w:r>
    </w:p>
    <w:p w14:paraId="4F4BEE28">
      <w:pPr>
        <w:adjustRightInd w:val="0"/>
        <w:snapToGrid w:val="0"/>
        <w:spacing w:line="360" w:lineRule="auto"/>
        <w:ind w:firstLine="420" w:firstLineChars="200"/>
        <w:rPr>
          <w:rFonts w:ascii="宋体" w:hAnsi="宋体" w:cs="Arial"/>
          <w:kern w:val="0"/>
        </w:rPr>
      </w:pPr>
      <w:r>
        <w:rPr>
          <w:rFonts w:hint="eastAsia" w:ascii="宋体" w:hAnsi="宋体" w:cs="Arial"/>
          <w:kern w:val="0"/>
        </w:rPr>
        <w:t>2、根据《基金法》、《运作办法》及其他有关规定，基金托管人的义务包括但不限于：</w:t>
      </w:r>
    </w:p>
    <w:p w14:paraId="2EFC6560">
      <w:pPr>
        <w:adjustRightInd w:val="0"/>
        <w:snapToGrid w:val="0"/>
        <w:spacing w:line="360" w:lineRule="auto"/>
        <w:ind w:firstLine="420" w:firstLineChars="200"/>
        <w:rPr>
          <w:rFonts w:ascii="宋体" w:hAnsi="宋体" w:cs="Arial"/>
          <w:kern w:val="0"/>
        </w:rPr>
      </w:pPr>
      <w:r>
        <w:rPr>
          <w:rFonts w:hint="eastAsia" w:ascii="宋体" w:hAnsi="宋体" w:cs="Arial"/>
          <w:kern w:val="0"/>
        </w:rPr>
        <w:t>（1）以诚实信用、勤勉尽责的原则持有并安全保管基金财产；</w:t>
      </w:r>
    </w:p>
    <w:p w14:paraId="23C9DC7C">
      <w:pPr>
        <w:adjustRightInd w:val="0"/>
        <w:snapToGrid w:val="0"/>
        <w:spacing w:line="360" w:lineRule="auto"/>
        <w:ind w:firstLine="420" w:firstLineChars="200"/>
        <w:rPr>
          <w:rFonts w:ascii="宋体" w:hAnsi="宋体" w:cs="Arial"/>
          <w:kern w:val="0"/>
        </w:rPr>
      </w:pPr>
      <w:r>
        <w:rPr>
          <w:rFonts w:hint="eastAsia" w:ascii="宋体" w:hAnsi="宋体" w:cs="Arial"/>
          <w:kern w:val="0"/>
        </w:rPr>
        <w:t>（2）设立专门的基金托管部门，具有符合要求的营业场所，配备足够的、合格的熟悉基金托管业务的专职人员，负责基金财产托管事宜；</w:t>
      </w:r>
    </w:p>
    <w:p w14:paraId="121C34E6">
      <w:pPr>
        <w:adjustRightInd w:val="0"/>
        <w:snapToGrid w:val="0"/>
        <w:spacing w:line="360" w:lineRule="auto"/>
        <w:ind w:firstLine="420" w:firstLineChars="200"/>
        <w:rPr>
          <w:rFonts w:ascii="宋体" w:hAnsi="宋体" w:cs="Arial"/>
          <w:kern w:val="0"/>
        </w:rPr>
      </w:pPr>
      <w:r>
        <w:rPr>
          <w:rFonts w:hint="eastAsia" w:ascii="宋体" w:hAnsi="宋体" w:cs="Arial"/>
          <w:kern w:val="0"/>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5F2629B4">
      <w:pPr>
        <w:adjustRightInd w:val="0"/>
        <w:snapToGrid w:val="0"/>
        <w:spacing w:line="360" w:lineRule="auto"/>
        <w:ind w:firstLine="420" w:firstLineChars="200"/>
        <w:rPr>
          <w:rFonts w:ascii="宋体" w:hAnsi="宋体" w:cs="Arial"/>
          <w:kern w:val="0"/>
        </w:rPr>
      </w:pPr>
      <w:r>
        <w:rPr>
          <w:rFonts w:hint="eastAsia" w:ascii="宋体" w:hAnsi="宋体" w:cs="Arial"/>
          <w:kern w:val="0"/>
        </w:rPr>
        <w:t>（4）除依据《基金法》、《基金合同》及其他有关规定外，不得利用基金财产为自己及任何第三人谋取利益，不得委托第三人托管基金财产；</w:t>
      </w:r>
    </w:p>
    <w:p w14:paraId="561AC989">
      <w:pPr>
        <w:adjustRightInd w:val="0"/>
        <w:snapToGrid w:val="0"/>
        <w:spacing w:line="360" w:lineRule="auto"/>
        <w:ind w:firstLine="420" w:firstLineChars="200"/>
        <w:rPr>
          <w:rFonts w:ascii="宋体" w:hAnsi="宋体" w:cs="Arial"/>
          <w:kern w:val="0"/>
        </w:rPr>
      </w:pPr>
      <w:r>
        <w:rPr>
          <w:rFonts w:hint="eastAsia" w:ascii="宋体" w:hAnsi="宋体" w:cs="Arial"/>
          <w:kern w:val="0"/>
        </w:rPr>
        <w:t>（5）保管由基金管理人代表基金签订的与基金有关的重大合同及有关凭证；</w:t>
      </w:r>
    </w:p>
    <w:p w14:paraId="5CB2833B">
      <w:pPr>
        <w:adjustRightInd w:val="0"/>
        <w:snapToGrid w:val="0"/>
        <w:spacing w:line="360" w:lineRule="auto"/>
        <w:ind w:firstLine="420" w:firstLineChars="200"/>
        <w:rPr>
          <w:rFonts w:ascii="宋体" w:hAnsi="宋体" w:cs="Arial"/>
          <w:kern w:val="0"/>
        </w:rPr>
      </w:pPr>
      <w:r>
        <w:rPr>
          <w:rFonts w:hint="eastAsia" w:ascii="宋体" w:hAnsi="宋体" w:cs="Arial"/>
          <w:kern w:val="0"/>
        </w:rPr>
        <w:t>（6）按规定开设基金财产的资金账户、证券账户等投资所需账户，按照《基金合同》的约定，根据基金管理人的投资指令，及时办理清算、交割事宜；</w:t>
      </w:r>
    </w:p>
    <w:p w14:paraId="47614EF1">
      <w:pPr>
        <w:adjustRightInd w:val="0"/>
        <w:snapToGrid w:val="0"/>
        <w:spacing w:line="360" w:lineRule="auto"/>
        <w:ind w:firstLine="420" w:firstLineChars="200"/>
        <w:rPr>
          <w:rFonts w:ascii="宋体" w:hAnsi="宋体" w:cs="Arial"/>
          <w:kern w:val="0"/>
        </w:rPr>
      </w:pPr>
      <w:r>
        <w:rPr>
          <w:rFonts w:hint="eastAsia" w:ascii="宋体" w:hAnsi="宋体" w:cs="Arial"/>
          <w:kern w:val="0"/>
        </w:rPr>
        <w:t>（7）保守基金商业秘密，除《基金法》、《基金合同》及其他有关规定另有规定外，在基金信息公开披露前予以保密，向审计、法律等外部专业顾问提供的情况除外；</w:t>
      </w:r>
    </w:p>
    <w:p w14:paraId="7B1E4B97">
      <w:pPr>
        <w:adjustRightInd w:val="0"/>
        <w:snapToGrid w:val="0"/>
        <w:spacing w:line="360" w:lineRule="auto"/>
        <w:ind w:firstLine="420" w:firstLineChars="200"/>
        <w:rPr>
          <w:rFonts w:ascii="宋体" w:hAnsi="宋体" w:cs="Arial"/>
          <w:kern w:val="0"/>
        </w:rPr>
      </w:pPr>
      <w:r>
        <w:rPr>
          <w:rFonts w:hint="eastAsia" w:ascii="宋体" w:hAnsi="宋体" w:cs="Arial"/>
          <w:kern w:val="0"/>
        </w:rPr>
        <w:t>（8）复核、审查基金管理人计算的基金资产净值、基金份额净值、基金份额申购、赎回对价的现金部分；</w:t>
      </w:r>
    </w:p>
    <w:p w14:paraId="5446CA1A">
      <w:pPr>
        <w:adjustRightInd w:val="0"/>
        <w:snapToGrid w:val="0"/>
        <w:spacing w:line="360" w:lineRule="auto"/>
        <w:ind w:firstLine="420" w:firstLineChars="200"/>
        <w:rPr>
          <w:rFonts w:ascii="宋体" w:hAnsi="宋体" w:cs="Arial"/>
          <w:kern w:val="0"/>
        </w:rPr>
      </w:pPr>
      <w:r>
        <w:rPr>
          <w:rFonts w:hint="eastAsia" w:ascii="宋体" w:hAnsi="宋体" w:cs="Arial"/>
          <w:kern w:val="0"/>
        </w:rPr>
        <w:t>（9）办理与基金托管业务活动有关的信息披露事项；</w:t>
      </w:r>
    </w:p>
    <w:p w14:paraId="3AC4372A">
      <w:pPr>
        <w:adjustRightInd w:val="0"/>
        <w:snapToGrid w:val="0"/>
        <w:spacing w:line="360" w:lineRule="auto"/>
        <w:ind w:firstLine="420" w:firstLineChars="200"/>
        <w:rPr>
          <w:rFonts w:ascii="宋体" w:hAnsi="宋体" w:cs="Arial"/>
          <w:kern w:val="0"/>
        </w:rPr>
      </w:pPr>
      <w:r>
        <w:rPr>
          <w:rFonts w:hint="eastAsia" w:ascii="宋体" w:hAnsi="宋体" w:cs="Arial"/>
          <w:kern w:val="0"/>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1485196E">
      <w:pPr>
        <w:adjustRightInd w:val="0"/>
        <w:snapToGrid w:val="0"/>
        <w:spacing w:line="360" w:lineRule="auto"/>
        <w:ind w:firstLine="420" w:firstLineChars="200"/>
        <w:rPr>
          <w:rFonts w:ascii="宋体" w:hAnsi="宋体" w:cs="Arial"/>
          <w:kern w:val="0"/>
        </w:rPr>
      </w:pPr>
      <w:r>
        <w:rPr>
          <w:rFonts w:hint="eastAsia" w:ascii="宋体" w:hAnsi="宋体" w:cs="Arial"/>
          <w:kern w:val="0"/>
        </w:rPr>
        <w:t>（11）保存基金托管业务活动的记录、账册、报表和其他相关资料，保存期限按照法律法规的规定执行；</w:t>
      </w:r>
    </w:p>
    <w:p w14:paraId="512D5C43">
      <w:pPr>
        <w:adjustRightInd w:val="0"/>
        <w:snapToGrid w:val="0"/>
        <w:spacing w:line="360" w:lineRule="auto"/>
        <w:ind w:firstLine="420" w:firstLineChars="200"/>
        <w:rPr>
          <w:rFonts w:ascii="宋体" w:hAnsi="宋体" w:cs="Arial"/>
          <w:kern w:val="0"/>
        </w:rPr>
      </w:pPr>
      <w:r>
        <w:rPr>
          <w:rFonts w:hint="eastAsia" w:ascii="宋体" w:hAnsi="宋体" w:cs="Arial"/>
          <w:kern w:val="0"/>
        </w:rPr>
        <w:t>（12）从基金管理人或其委托的登记机构处接收并保存基金份额持有人名册；</w:t>
      </w:r>
    </w:p>
    <w:p w14:paraId="5439653C">
      <w:pPr>
        <w:adjustRightInd w:val="0"/>
        <w:snapToGrid w:val="0"/>
        <w:spacing w:line="360" w:lineRule="auto"/>
        <w:ind w:firstLine="420" w:firstLineChars="200"/>
        <w:rPr>
          <w:rFonts w:ascii="宋体" w:hAnsi="宋体" w:cs="Arial"/>
          <w:kern w:val="0"/>
        </w:rPr>
      </w:pPr>
      <w:r>
        <w:rPr>
          <w:rFonts w:hint="eastAsia" w:ascii="宋体" w:hAnsi="宋体" w:cs="Arial"/>
          <w:kern w:val="0"/>
        </w:rPr>
        <w:t>（13）按规定制作相关账册并与基金管理人核对；</w:t>
      </w:r>
    </w:p>
    <w:p w14:paraId="38ED820B">
      <w:pPr>
        <w:adjustRightInd w:val="0"/>
        <w:snapToGrid w:val="0"/>
        <w:spacing w:line="360" w:lineRule="auto"/>
        <w:ind w:firstLine="420" w:firstLineChars="200"/>
        <w:rPr>
          <w:rFonts w:ascii="宋体" w:hAnsi="宋体" w:cs="Arial"/>
          <w:kern w:val="0"/>
        </w:rPr>
      </w:pPr>
      <w:r>
        <w:rPr>
          <w:rFonts w:hint="eastAsia" w:ascii="宋体" w:hAnsi="宋体" w:cs="Arial"/>
          <w:kern w:val="0"/>
        </w:rPr>
        <w:t>（14）依据基金管理人的指令或有关规定向基金份额持有人支付基金收益和赎回对价的现金部分；</w:t>
      </w:r>
    </w:p>
    <w:p w14:paraId="0AA2B245">
      <w:pPr>
        <w:adjustRightInd w:val="0"/>
        <w:snapToGrid w:val="0"/>
        <w:spacing w:line="360" w:lineRule="auto"/>
        <w:ind w:firstLine="420" w:firstLineChars="200"/>
        <w:rPr>
          <w:rFonts w:ascii="宋体" w:hAnsi="宋体" w:cs="Arial"/>
          <w:kern w:val="0"/>
        </w:rPr>
      </w:pPr>
      <w:r>
        <w:rPr>
          <w:rFonts w:hint="eastAsia" w:ascii="宋体" w:hAnsi="宋体" w:cs="Arial"/>
          <w:kern w:val="0"/>
        </w:rPr>
        <w:t>（15）依据《基金法》、《基金合同》及其他有关规定，召集基金份额持有人大会或配合基金管理人、基金份额持有人依法召集基金份额持有人大会；</w:t>
      </w:r>
    </w:p>
    <w:p w14:paraId="1E9DC57A">
      <w:pPr>
        <w:adjustRightInd w:val="0"/>
        <w:snapToGrid w:val="0"/>
        <w:spacing w:line="360" w:lineRule="auto"/>
        <w:ind w:firstLine="420" w:firstLineChars="200"/>
        <w:rPr>
          <w:rFonts w:ascii="宋体" w:hAnsi="宋体" w:cs="Arial"/>
          <w:kern w:val="0"/>
        </w:rPr>
      </w:pPr>
      <w:r>
        <w:rPr>
          <w:rFonts w:hint="eastAsia" w:ascii="宋体" w:hAnsi="宋体" w:cs="Arial"/>
          <w:kern w:val="0"/>
        </w:rPr>
        <w:t>（16）按照法律法规和《基金合同》和托管协议的规定监督基金管理人的投资运作；</w:t>
      </w:r>
    </w:p>
    <w:p w14:paraId="25ADACF1">
      <w:pPr>
        <w:adjustRightInd w:val="0"/>
        <w:snapToGrid w:val="0"/>
        <w:spacing w:line="360" w:lineRule="auto"/>
        <w:ind w:firstLine="420" w:firstLineChars="200"/>
        <w:rPr>
          <w:rFonts w:ascii="宋体" w:hAnsi="宋体" w:cs="Arial"/>
          <w:kern w:val="0"/>
        </w:rPr>
      </w:pPr>
      <w:r>
        <w:rPr>
          <w:rFonts w:hint="eastAsia" w:ascii="宋体" w:hAnsi="宋体" w:cs="Arial"/>
          <w:kern w:val="0"/>
        </w:rPr>
        <w:t>（17）参加基金财产清算小组，参与基金财产的保管、清理、估价、变现和分配；</w:t>
      </w:r>
    </w:p>
    <w:p w14:paraId="12D0684E">
      <w:pPr>
        <w:adjustRightInd w:val="0"/>
        <w:snapToGrid w:val="0"/>
        <w:spacing w:line="360" w:lineRule="auto"/>
        <w:ind w:firstLine="420" w:firstLineChars="200"/>
        <w:rPr>
          <w:rFonts w:ascii="宋体" w:hAnsi="宋体" w:cs="Arial"/>
          <w:kern w:val="0"/>
        </w:rPr>
      </w:pPr>
      <w:r>
        <w:rPr>
          <w:rFonts w:hint="eastAsia" w:ascii="宋体" w:hAnsi="宋体" w:cs="Arial"/>
          <w:kern w:val="0"/>
        </w:rPr>
        <w:t>（18）面临解散、依法被撤销或者被依法宣告破产时，及时报告中国证监会和银行业监督管理机构，并通知基金管理人；</w:t>
      </w:r>
    </w:p>
    <w:p w14:paraId="603E2823">
      <w:pPr>
        <w:adjustRightInd w:val="0"/>
        <w:snapToGrid w:val="0"/>
        <w:spacing w:line="360" w:lineRule="auto"/>
        <w:ind w:firstLine="420" w:firstLineChars="200"/>
        <w:rPr>
          <w:rFonts w:ascii="宋体" w:hAnsi="宋体" w:cs="Arial"/>
          <w:kern w:val="0"/>
        </w:rPr>
      </w:pPr>
      <w:r>
        <w:rPr>
          <w:rFonts w:hint="eastAsia" w:ascii="宋体" w:hAnsi="宋体" w:cs="Arial"/>
          <w:kern w:val="0"/>
        </w:rPr>
        <w:t>（19）因违反《基金合同》导致基金财产损失时，应承担赔偿责任，其赔偿责任不因其退任而免除；</w:t>
      </w:r>
    </w:p>
    <w:p w14:paraId="4B96C292">
      <w:pPr>
        <w:adjustRightInd w:val="0"/>
        <w:snapToGrid w:val="0"/>
        <w:spacing w:line="360" w:lineRule="auto"/>
        <w:ind w:firstLine="420" w:firstLineChars="200"/>
        <w:rPr>
          <w:rFonts w:ascii="宋体" w:hAnsi="宋体" w:cs="Arial"/>
          <w:kern w:val="0"/>
        </w:rPr>
      </w:pPr>
      <w:r>
        <w:rPr>
          <w:rFonts w:hint="eastAsia" w:ascii="宋体" w:hAnsi="宋体" w:cs="Arial"/>
          <w:kern w:val="0"/>
        </w:rPr>
        <w:t>（20）按规定监督基金管理人按法律法规和《基金合同》规定履行自己的义务，基金管理人因违反《基金合同》造成基金财产损失时，应为基金份额持有人利益向基金管理人追偿；</w:t>
      </w:r>
    </w:p>
    <w:p w14:paraId="71B33E8B">
      <w:pPr>
        <w:adjustRightInd w:val="0"/>
        <w:snapToGrid w:val="0"/>
        <w:spacing w:line="360" w:lineRule="auto"/>
        <w:ind w:firstLine="420" w:firstLineChars="200"/>
        <w:rPr>
          <w:rFonts w:ascii="宋体" w:hAnsi="宋体" w:cs="Arial"/>
          <w:kern w:val="0"/>
        </w:rPr>
      </w:pPr>
      <w:r>
        <w:rPr>
          <w:rFonts w:hint="eastAsia" w:ascii="宋体" w:hAnsi="宋体" w:cs="Arial"/>
          <w:kern w:val="0"/>
        </w:rPr>
        <w:t>（21）执行生效的基金份额持有人大会的决议；</w:t>
      </w:r>
    </w:p>
    <w:p w14:paraId="04733CBB">
      <w:pPr>
        <w:adjustRightInd w:val="0"/>
        <w:snapToGrid w:val="0"/>
        <w:spacing w:line="360" w:lineRule="auto"/>
        <w:ind w:firstLine="420" w:firstLineChars="200"/>
        <w:rPr>
          <w:rFonts w:ascii="宋体" w:hAnsi="宋体" w:cs="Arial"/>
          <w:kern w:val="0"/>
        </w:rPr>
      </w:pPr>
      <w:r>
        <w:rPr>
          <w:rFonts w:hint="eastAsia" w:ascii="宋体" w:hAnsi="宋体" w:cs="Arial"/>
          <w:kern w:val="0"/>
        </w:rPr>
        <w:t>（22）法律法规及中国证监会规定的和《基金合同》约定的其他义务。</w:t>
      </w:r>
    </w:p>
    <w:p w14:paraId="53ED8A81">
      <w:pPr>
        <w:adjustRightInd w:val="0"/>
        <w:snapToGrid w:val="0"/>
        <w:spacing w:line="360" w:lineRule="auto"/>
        <w:ind w:firstLine="422" w:firstLineChars="200"/>
        <w:rPr>
          <w:rFonts w:ascii="宋体" w:hAnsi="宋体" w:cs="Arial"/>
          <w:b/>
          <w:bCs/>
          <w:kern w:val="0"/>
        </w:rPr>
      </w:pPr>
      <w:r>
        <w:rPr>
          <w:rFonts w:hint="eastAsia" w:ascii="宋体" w:hAnsi="宋体" w:cs="Arial"/>
          <w:b/>
          <w:bCs/>
          <w:kern w:val="0"/>
        </w:rPr>
        <w:t>二、基金份额持有人大会召集、议事及表决的程序和规则</w:t>
      </w:r>
    </w:p>
    <w:p w14:paraId="5AE75605">
      <w:pPr>
        <w:adjustRightInd w:val="0"/>
        <w:snapToGrid w:val="0"/>
        <w:spacing w:line="360" w:lineRule="auto"/>
        <w:ind w:firstLine="420" w:firstLineChars="200"/>
        <w:rPr>
          <w:rFonts w:ascii="宋体" w:hAnsi="宋体" w:cs="Arial"/>
          <w:kern w:val="0"/>
        </w:rPr>
      </w:pPr>
      <w:r>
        <w:rPr>
          <w:rFonts w:hint="eastAsia" w:ascii="宋体" w:hAnsi="宋体" w:cs="Arial"/>
          <w:kern w:val="0"/>
        </w:rPr>
        <w:t>基金份额持有人大会由基金份额持有人组成，基金份额持有人的合法授权代表有权代表基金份额持有人出席会议并表决。基金份额持有人持有的每一基金份额拥有平等的投票权。</w:t>
      </w:r>
    </w:p>
    <w:p w14:paraId="77DBF1E1">
      <w:pPr>
        <w:adjustRightInd w:val="0"/>
        <w:snapToGrid w:val="0"/>
        <w:spacing w:line="360" w:lineRule="auto"/>
        <w:ind w:firstLine="420" w:firstLineChars="200"/>
        <w:rPr>
          <w:rFonts w:ascii="宋体" w:hAnsi="宋体" w:cs="Arial"/>
          <w:kern w:val="0"/>
        </w:rPr>
      </w:pPr>
      <w:r>
        <w:rPr>
          <w:rFonts w:hint="eastAsia" w:ascii="宋体" w:hAnsi="宋体" w:cs="Arial"/>
          <w:kern w:val="0"/>
        </w:rPr>
        <w:t>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w:t>
      </w:r>
    </w:p>
    <w:p w14:paraId="4BDB2C70">
      <w:pPr>
        <w:adjustRightInd w:val="0"/>
        <w:snapToGrid w:val="0"/>
        <w:spacing w:line="360" w:lineRule="auto"/>
        <w:ind w:firstLine="420" w:firstLineChars="200"/>
        <w:rPr>
          <w:rFonts w:ascii="宋体" w:hAnsi="宋体" w:cs="Arial"/>
          <w:kern w:val="0"/>
        </w:rPr>
      </w:pPr>
      <w:r>
        <w:rPr>
          <w:rFonts w:hint="eastAsia" w:ascii="宋体" w:hAnsi="宋体" w:cs="Arial"/>
          <w:kern w:val="0"/>
        </w:rPr>
        <w:t>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w:t>
      </w:r>
    </w:p>
    <w:p w14:paraId="3244AD83">
      <w:pPr>
        <w:adjustRightInd w:val="0"/>
        <w:snapToGrid w:val="0"/>
        <w:spacing w:line="360" w:lineRule="auto"/>
        <w:ind w:firstLine="420" w:firstLineChars="200"/>
        <w:rPr>
          <w:rFonts w:ascii="宋体" w:hAnsi="宋体" w:cs="Arial"/>
          <w:kern w:val="0"/>
        </w:rPr>
      </w:pPr>
      <w:r>
        <w:rPr>
          <w:rFonts w:hint="eastAsia" w:ascii="宋体" w:hAnsi="宋体" w:cs="Arial"/>
          <w:kern w:val="0"/>
        </w:rPr>
        <w:t>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w:t>
      </w:r>
    </w:p>
    <w:p w14:paraId="0FC158DA">
      <w:pPr>
        <w:adjustRightInd w:val="0"/>
        <w:snapToGrid w:val="0"/>
        <w:spacing w:line="360" w:lineRule="auto"/>
        <w:ind w:firstLine="420" w:firstLineChars="200"/>
        <w:rPr>
          <w:rFonts w:ascii="宋体" w:hAnsi="宋体" w:cs="Arial"/>
          <w:kern w:val="0"/>
        </w:rPr>
      </w:pPr>
      <w:r>
        <w:rPr>
          <w:rFonts w:hint="eastAsia" w:ascii="宋体" w:hAnsi="宋体" w:cs="Arial"/>
          <w:kern w:val="0"/>
        </w:rPr>
        <w:t>本基金份额持有人大会不设日常机构。</w:t>
      </w:r>
    </w:p>
    <w:p w14:paraId="077A6A02">
      <w:pPr>
        <w:adjustRightInd w:val="0"/>
        <w:snapToGrid w:val="0"/>
        <w:spacing w:line="360" w:lineRule="auto"/>
        <w:ind w:firstLine="420" w:firstLineChars="200"/>
        <w:rPr>
          <w:rFonts w:ascii="宋体" w:hAnsi="宋体" w:cs="Arial"/>
          <w:kern w:val="0"/>
        </w:rPr>
      </w:pPr>
      <w:r>
        <w:rPr>
          <w:rFonts w:hint="eastAsia" w:ascii="宋体" w:hAnsi="宋体" w:cs="Arial"/>
          <w:kern w:val="0"/>
        </w:rPr>
        <w:t>法律法规或监管机构对基金份额持有人大会另有规定的，从其规定。</w:t>
      </w:r>
    </w:p>
    <w:p w14:paraId="7E4174C9">
      <w:pPr>
        <w:adjustRightInd w:val="0"/>
        <w:snapToGrid w:val="0"/>
        <w:spacing w:line="360" w:lineRule="auto"/>
        <w:ind w:firstLine="420" w:firstLineChars="200"/>
        <w:rPr>
          <w:rFonts w:ascii="宋体" w:hAnsi="宋体" w:cs="Arial"/>
          <w:kern w:val="0"/>
        </w:rPr>
      </w:pPr>
      <w:r>
        <w:rPr>
          <w:rFonts w:hint="eastAsia" w:ascii="宋体" w:hAnsi="宋体" w:cs="Arial"/>
          <w:kern w:val="0"/>
        </w:rPr>
        <w:t>（一）召开事由</w:t>
      </w:r>
    </w:p>
    <w:p w14:paraId="302A4DB7">
      <w:pPr>
        <w:adjustRightInd w:val="0"/>
        <w:snapToGrid w:val="0"/>
        <w:spacing w:line="360" w:lineRule="auto"/>
        <w:ind w:firstLine="420" w:firstLineChars="200"/>
        <w:rPr>
          <w:rFonts w:ascii="宋体" w:hAnsi="宋体" w:cs="Arial"/>
          <w:kern w:val="0"/>
        </w:rPr>
      </w:pPr>
      <w:r>
        <w:rPr>
          <w:rFonts w:hint="eastAsia" w:ascii="宋体" w:hAnsi="宋体" w:cs="Arial"/>
          <w:kern w:val="0"/>
        </w:rPr>
        <w:t>1、除法律法规、中国证监会另有规定外，当出现或需要决定下列事由之一的，应当召开基金份额持有人大会：</w:t>
      </w:r>
    </w:p>
    <w:p w14:paraId="61F42159">
      <w:pPr>
        <w:adjustRightInd w:val="0"/>
        <w:snapToGrid w:val="0"/>
        <w:spacing w:line="360" w:lineRule="auto"/>
        <w:ind w:firstLine="420" w:firstLineChars="200"/>
        <w:rPr>
          <w:rFonts w:ascii="宋体" w:hAnsi="宋体" w:cs="Arial"/>
          <w:kern w:val="0"/>
        </w:rPr>
      </w:pPr>
      <w:r>
        <w:rPr>
          <w:rFonts w:hint="eastAsia" w:ascii="宋体" w:hAnsi="宋体" w:cs="Arial"/>
          <w:kern w:val="0"/>
        </w:rPr>
        <w:t>（1）终止《基金合同》，《基金合同》另有约定的除外；</w:t>
      </w:r>
    </w:p>
    <w:p w14:paraId="6DB03230">
      <w:pPr>
        <w:adjustRightInd w:val="0"/>
        <w:snapToGrid w:val="0"/>
        <w:spacing w:line="360" w:lineRule="auto"/>
        <w:ind w:firstLine="420" w:firstLineChars="200"/>
        <w:rPr>
          <w:rFonts w:ascii="宋体" w:hAnsi="宋体" w:cs="Arial"/>
          <w:kern w:val="0"/>
        </w:rPr>
      </w:pPr>
      <w:r>
        <w:rPr>
          <w:rFonts w:hint="eastAsia" w:ascii="宋体" w:hAnsi="宋体" w:cs="Arial"/>
          <w:kern w:val="0"/>
        </w:rPr>
        <w:t>（2）更换基金管理人；</w:t>
      </w:r>
    </w:p>
    <w:p w14:paraId="1B8259FE">
      <w:pPr>
        <w:adjustRightInd w:val="0"/>
        <w:snapToGrid w:val="0"/>
        <w:spacing w:line="360" w:lineRule="auto"/>
        <w:ind w:firstLine="420" w:firstLineChars="200"/>
        <w:rPr>
          <w:rFonts w:ascii="宋体" w:hAnsi="宋体" w:cs="Arial"/>
          <w:kern w:val="0"/>
        </w:rPr>
      </w:pPr>
      <w:r>
        <w:rPr>
          <w:rFonts w:hint="eastAsia" w:ascii="宋体" w:hAnsi="宋体" w:cs="Arial"/>
          <w:kern w:val="0"/>
        </w:rPr>
        <w:t>（3）更换基金托管人；</w:t>
      </w:r>
    </w:p>
    <w:p w14:paraId="72C3372B">
      <w:pPr>
        <w:adjustRightInd w:val="0"/>
        <w:snapToGrid w:val="0"/>
        <w:spacing w:line="360" w:lineRule="auto"/>
        <w:ind w:firstLine="420" w:firstLineChars="200"/>
        <w:rPr>
          <w:rFonts w:ascii="宋体" w:hAnsi="宋体" w:cs="Arial"/>
          <w:kern w:val="0"/>
        </w:rPr>
      </w:pPr>
      <w:r>
        <w:rPr>
          <w:rFonts w:hint="eastAsia" w:ascii="宋体" w:hAnsi="宋体" w:cs="Arial"/>
          <w:kern w:val="0"/>
        </w:rPr>
        <w:t>（4）转换基金运作方式；</w:t>
      </w:r>
    </w:p>
    <w:p w14:paraId="46285AEA">
      <w:pPr>
        <w:adjustRightInd w:val="0"/>
        <w:snapToGrid w:val="0"/>
        <w:spacing w:line="360" w:lineRule="auto"/>
        <w:ind w:firstLine="420" w:firstLineChars="200"/>
        <w:rPr>
          <w:rFonts w:ascii="宋体" w:hAnsi="宋体" w:cs="Arial"/>
          <w:kern w:val="0"/>
        </w:rPr>
      </w:pPr>
      <w:r>
        <w:rPr>
          <w:rFonts w:hint="eastAsia" w:ascii="宋体" w:hAnsi="宋体" w:cs="Arial"/>
          <w:kern w:val="0"/>
        </w:rPr>
        <w:t>（5）调整基金管理人、基金托管人的报酬标准；</w:t>
      </w:r>
    </w:p>
    <w:p w14:paraId="1534AB3C">
      <w:pPr>
        <w:adjustRightInd w:val="0"/>
        <w:snapToGrid w:val="0"/>
        <w:spacing w:line="360" w:lineRule="auto"/>
        <w:ind w:firstLine="420" w:firstLineChars="200"/>
        <w:rPr>
          <w:rFonts w:ascii="宋体" w:hAnsi="宋体" w:cs="Arial"/>
          <w:kern w:val="0"/>
        </w:rPr>
      </w:pPr>
      <w:r>
        <w:rPr>
          <w:rFonts w:hint="eastAsia" w:ascii="宋体" w:hAnsi="宋体" w:cs="Arial"/>
          <w:kern w:val="0"/>
        </w:rPr>
        <w:t>（6）变更基金类别；</w:t>
      </w:r>
    </w:p>
    <w:p w14:paraId="2099E9AD">
      <w:pPr>
        <w:adjustRightInd w:val="0"/>
        <w:snapToGrid w:val="0"/>
        <w:spacing w:line="360" w:lineRule="auto"/>
        <w:ind w:firstLine="420" w:firstLineChars="200"/>
        <w:rPr>
          <w:rFonts w:ascii="宋体" w:hAnsi="宋体" w:cs="Arial"/>
          <w:kern w:val="0"/>
        </w:rPr>
      </w:pPr>
      <w:r>
        <w:rPr>
          <w:rFonts w:hint="eastAsia" w:ascii="宋体" w:hAnsi="宋体" w:cs="Arial"/>
          <w:kern w:val="0"/>
        </w:rPr>
        <w:t>（7）本基金与其他基金的合并；</w:t>
      </w:r>
    </w:p>
    <w:p w14:paraId="4BA65342">
      <w:pPr>
        <w:adjustRightInd w:val="0"/>
        <w:snapToGrid w:val="0"/>
        <w:spacing w:line="360" w:lineRule="auto"/>
        <w:ind w:firstLine="420" w:firstLineChars="200"/>
        <w:rPr>
          <w:rFonts w:ascii="宋体" w:hAnsi="宋体" w:cs="Arial"/>
          <w:kern w:val="0"/>
        </w:rPr>
      </w:pPr>
      <w:r>
        <w:rPr>
          <w:rFonts w:hint="eastAsia" w:ascii="宋体" w:hAnsi="宋体" w:cs="Arial"/>
          <w:kern w:val="0"/>
        </w:rPr>
        <w:t>（8）变更基金投资目标、范围或策略；</w:t>
      </w:r>
    </w:p>
    <w:p w14:paraId="46D4FAC5">
      <w:pPr>
        <w:adjustRightInd w:val="0"/>
        <w:snapToGrid w:val="0"/>
        <w:spacing w:line="360" w:lineRule="auto"/>
        <w:ind w:firstLine="420" w:firstLineChars="200"/>
        <w:rPr>
          <w:rFonts w:ascii="宋体" w:hAnsi="宋体" w:cs="Arial"/>
          <w:kern w:val="0"/>
        </w:rPr>
      </w:pPr>
      <w:r>
        <w:rPr>
          <w:rFonts w:hint="eastAsia" w:ascii="宋体" w:hAnsi="宋体" w:cs="Arial"/>
          <w:kern w:val="0"/>
        </w:rPr>
        <w:t>（9）变更基金份额持有人大会程序；</w:t>
      </w:r>
    </w:p>
    <w:p w14:paraId="73A531B4">
      <w:pPr>
        <w:adjustRightInd w:val="0"/>
        <w:snapToGrid w:val="0"/>
        <w:spacing w:line="360" w:lineRule="auto"/>
        <w:ind w:firstLine="420" w:firstLineChars="200"/>
        <w:rPr>
          <w:rFonts w:ascii="宋体" w:hAnsi="宋体" w:cs="Arial"/>
          <w:kern w:val="0"/>
        </w:rPr>
      </w:pPr>
      <w:r>
        <w:rPr>
          <w:rFonts w:hint="eastAsia" w:ascii="宋体" w:hAnsi="宋体" w:cs="Arial"/>
          <w:kern w:val="0"/>
        </w:rPr>
        <w:t>（10）基金管理人或基金托管人要求召开基金份额持有人大会；</w:t>
      </w:r>
    </w:p>
    <w:p w14:paraId="2370B3F0">
      <w:pPr>
        <w:adjustRightInd w:val="0"/>
        <w:snapToGrid w:val="0"/>
        <w:spacing w:line="360" w:lineRule="auto"/>
        <w:ind w:firstLine="420" w:firstLineChars="200"/>
        <w:rPr>
          <w:rFonts w:ascii="宋体" w:hAnsi="宋体" w:cs="Arial"/>
          <w:kern w:val="0"/>
        </w:rPr>
      </w:pPr>
      <w:r>
        <w:rPr>
          <w:rFonts w:hint="eastAsia" w:ascii="宋体" w:hAnsi="宋体" w:cs="Arial"/>
          <w:kern w:val="0"/>
        </w:rPr>
        <w:t>（11）单独或合计持有本基金总份额10%以上（含10%）基金份额的基金份额持有人（以基金管理人收到提议当日的基金份额计算，下同）就同一事项书面要求召开基金份额持有人大会；</w:t>
      </w:r>
    </w:p>
    <w:p w14:paraId="35B3C73E">
      <w:pPr>
        <w:adjustRightInd w:val="0"/>
        <w:snapToGrid w:val="0"/>
        <w:spacing w:line="360" w:lineRule="auto"/>
        <w:ind w:firstLine="420" w:firstLineChars="200"/>
        <w:rPr>
          <w:rFonts w:ascii="宋体" w:hAnsi="宋体" w:cs="Arial"/>
          <w:kern w:val="0"/>
        </w:rPr>
      </w:pPr>
      <w:r>
        <w:rPr>
          <w:rFonts w:hint="eastAsia" w:ascii="宋体" w:hAnsi="宋体" w:cs="Arial"/>
          <w:kern w:val="0"/>
        </w:rPr>
        <w:t>（12）对基金合同当事人权利和义务产生重大影响的其他事项；</w:t>
      </w:r>
    </w:p>
    <w:p w14:paraId="4CEF732F">
      <w:pPr>
        <w:adjustRightInd w:val="0"/>
        <w:snapToGrid w:val="0"/>
        <w:spacing w:line="360" w:lineRule="auto"/>
        <w:ind w:firstLine="420" w:firstLineChars="200"/>
        <w:rPr>
          <w:rFonts w:ascii="宋体" w:hAnsi="宋体" w:cs="Arial"/>
          <w:kern w:val="0"/>
        </w:rPr>
      </w:pPr>
      <w:r>
        <w:rPr>
          <w:rFonts w:hint="eastAsia" w:ascii="宋体" w:hAnsi="宋体" w:cs="Arial"/>
          <w:kern w:val="0"/>
        </w:rPr>
        <w:t>（13）终止基金上市，但因基金不再具备上市条件而被上海证券交易所终止上市的除外；</w:t>
      </w:r>
    </w:p>
    <w:p w14:paraId="1922ADDD">
      <w:pPr>
        <w:adjustRightInd w:val="0"/>
        <w:snapToGrid w:val="0"/>
        <w:spacing w:line="360" w:lineRule="auto"/>
        <w:ind w:firstLine="420" w:firstLineChars="200"/>
        <w:rPr>
          <w:rFonts w:ascii="宋体" w:hAnsi="宋体" w:cs="Arial"/>
          <w:kern w:val="0"/>
        </w:rPr>
      </w:pPr>
      <w:r>
        <w:rPr>
          <w:rFonts w:hint="eastAsia" w:ascii="宋体" w:hAnsi="宋体" w:cs="Arial"/>
          <w:kern w:val="0"/>
        </w:rPr>
        <w:t>（14）法律法规、《基金合同》或中国证监会规定的其他应当召开基金份额持有人大会的事项。</w:t>
      </w:r>
    </w:p>
    <w:p w14:paraId="6274BE51">
      <w:pPr>
        <w:adjustRightInd w:val="0"/>
        <w:snapToGrid w:val="0"/>
        <w:spacing w:line="360" w:lineRule="auto"/>
        <w:ind w:firstLine="420" w:firstLineChars="200"/>
        <w:rPr>
          <w:rFonts w:ascii="宋体" w:hAnsi="宋体" w:cs="Arial"/>
          <w:kern w:val="0"/>
        </w:rPr>
      </w:pPr>
      <w:r>
        <w:rPr>
          <w:rFonts w:hint="eastAsia" w:ascii="宋体" w:hAnsi="宋体" w:cs="Arial"/>
          <w:kern w:val="0"/>
        </w:rPr>
        <w:t xml:space="preserve">2、在法律法规规定和《基金合同》约定的范围内且对基金份额持有人利益无实质性不利影响的前提下，以下情况可由基金管理人和基金托管人协商后修改，不需召开基金份额持有人大会： </w:t>
      </w:r>
    </w:p>
    <w:p w14:paraId="33B60AC2">
      <w:pPr>
        <w:adjustRightInd w:val="0"/>
        <w:snapToGrid w:val="0"/>
        <w:spacing w:line="360" w:lineRule="auto"/>
        <w:ind w:firstLine="420" w:firstLineChars="200"/>
        <w:rPr>
          <w:rFonts w:ascii="宋体" w:hAnsi="宋体" w:cs="Arial"/>
          <w:kern w:val="0"/>
        </w:rPr>
      </w:pPr>
      <w:r>
        <w:rPr>
          <w:rFonts w:hint="eastAsia" w:ascii="宋体" w:hAnsi="宋体" w:cs="Arial"/>
          <w:kern w:val="0"/>
        </w:rPr>
        <w:t>（1）法律法规要求增加的基金费用的收取；</w:t>
      </w:r>
    </w:p>
    <w:p w14:paraId="69C78C71">
      <w:pPr>
        <w:adjustRightInd w:val="0"/>
        <w:snapToGrid w:val="0"/>
        <w:spacing w:line="360" w:lineRule="auto"/>
        <w:ind w:firstLine="420" w:firstLineChars="200"/>
        <w:rPr>
          <w:rFonts w:ascii="宋体" w:hAnsi="宋体" w:cs="Arial"/>
          <w:kern w:val="0"/>
        </w:rPr>
      </w:pPr>
      <w:r>
        <w:rPr>
          <w:rFonts w:hint="eastAsia" w:ascii="宋体" w:hAnsi="宋体" w:cs="Arial"/>
          <w:kern w:val="0"/>
        </w:rPr>
        <w:t>（2）调整本基金的申购费率、变更收费方式或调整基金份额类别设置、对基金份额分类办法及规则进行调整；</w:t>
      </w:r>
    </w:p>
    <w:p w14:paraId="2763AE55">
      <w:pPr>
        <w:adjustRightInd w:val="0"/>
        <w:snapToGrid w:val="0"/>
        <w:spacing w:line="360" w:lineRule="auto"/>
        <w:ind w:firstLine="420" w:firstLineChars="200"/>
        <w:rPr>
          <w:rFonts w:ascii="宋体" w:hAnsi="宋体" w:cs="Arial"/>
          <w:kern w:val="0"/>
        </w:rPr>
      </w:pPr>
      <w:r>
        <w:rPr>
          <w:rFonts w:hint="eastAsia" w:ascii="宋体" w:hAnsi="宋体" w:cs="Arial"/>
          <w:kern w:val="0"/>
        </w:rPr>
        <w:t>（3）因相应的法律法规、上海证券交易所或者登记机构的相关业务规则发生变动而应当对《基金合同》进行修改；</w:t>
      </w:r>
    </w:p>
    <w:p w14:paraId="3623C035">
      <w:pPr>
        <w:adjustRightInd w:val="0"/>
        <w:snapToGrid w:val="0"/>
        <w:spacing w:line="360" w:lineRule="auto"/>
        <w:ind w:firstLine="420" w:firstLineChars="200"/>
        <w:rPr>
          <w:rFonts w:ascii="宋体" w:hAnsi="宋体" w:cs="Arial"/>
          <w:kern w:val="0"/>
        </w:rPr>
      </w:pPr>
      <w:r>
        <w:rPr>
          <w:rFonts w:hint="eastAsia" w:ascii="宋体" w:hAnsi="宋体" w:cs="Arial"/>
          <w:kern w:val="0"/>
        </w:rPr>
        <w:t>（4）对《基金合同》的修改对基金份额持有人利益无实质性不利影响或修改不涉及《基金合同》当事人权利义务关系发生重大变化；</w:t>
      </w:r>
    </w:p>
    <w:p w14:paraId="1491761E">
      <w:pPr>
        <w:adjustRightInd w:val="0"/>
        <w:snapToGrid w:val="0"/>
        <w:spacing w:line="360" w:lineRule="auto"/>
        <w:ind w:firstLine="420" w:firstLineChars="200"/>
        <w:rPr>
          <w:rFonts w:ascii="宋体" w:hAnsi="宋体" w:cs="Arial"/>
          <w:kern w:val="0"/>
        </w:rPr>
      </w:pPr>
      <w:r>
        <w:rPr>
          <w:rFonts w:hint="eastAsia" w:ascii="宋体" w:hAnsi="宋体" w:cs="Arial"/>
          <w:kern w:val="0"/>
        </w:rPr>
        <w:t>（5）基金管理人、相关证券交易所和登记机构等调整有关基金申购、赎回、交易、转托管、非交易过户等业务的规则；</w:t>
      </w:r>
    </w:p>
    <w:p w14:paraId="2B6D0D9A">
      <w:pPr>
        <w:adjustRightInd w:val="0"/>
        <w:snapToGrid w:val="0"/>
        <w:spacing w:line="360" w:lineRule="auto"/>
        <w:ind w:firstLine="420" w:firstLineChars="200"/>
        <w:rPr>
          <w:rFonts w:ascii="宋体" w:hAnsi="宋体" w:cs="Arial"/>
          <w:kern w:val="0"/>
        </w:rPr>
      </w:pPr>
      <w:r>
        <w:rPr>
          <w:rFonts w:hint="eastAsia" w:ascii="宋体" w:hAnsi="宋体" w:cs="Arial"/>
          <w:kern w:val="0"/>
        </w:rPr>
        <w:t>（6）经履行相关程序后，基金推出新业务或服务；</w:t>
      </w:r>
    </w:p>
    <w:p w14:paraId="11AFA956">
      <w:pPr>
        <w:adjustRightInd w:val="0"/>
        <w:snapToGrid w:val="0"/>
        <w:spacing w:line="360" w:lineRule="auto"/>
        <w:ind w:firstLine="420" w:firstLineChars="200"/>
        <w:rPr>
          <w:rFonts w:ascii="宋体" w:hAnsi="宋体" w:cs="Arial"/>
          <w:kern w:val="0"/>
        </w:rPr>
      </w:pPr>
      <w:r>
        <w:rPr>
          <w:rFonts w:hint="eastAsia" w:ascii="宋体" w:hAnsi="宋体" w:cs="Arial"/>
          <w:kern w:val="0"/>
        </w:rPr>
        <w:t>（7）调整基金的申购赎回方式及申购对价、赎回对价组成；调整申购赎回清单的内容，调整申购赎回清单计算和公告时间或频率；</w:t>
      </w:r>
    </w:p>
    <w:p w14:paraId="1AFFFA4C">
      <w:pPr>
        <w:adjustRightInd w:val="0"/>
        <w:snapToGrid w:val="0"/>
        <w:spacing w:line="360" w:lineRule="auto"/>
        <w:ind w:firstLine="420" w:firstLineChars="200"/>
        <w:rPr>
          <w:rFonts w:ascii="宋体" w:hAnsi="宋体" w:cs="Arial"/>
          <w:kern w:val="0"/>
        </w:rPr>
      </w:pPr>
      <w:r>
        <w:rPr>
          <w:rFonts w:hint="eastAsia" w:ascii="宋体" w:hAnsi="宋体" w:cs="Arial"/>
          <w:kern w:val="0"/>
        </w:rPr>
        <w:t>（8）按照法律法规和《基金合同》规定不需召开基金份额持有人大会的其他情形。</w:t>
      </w:r>
    </w:p>
    <w:p w14:paraId="6931F5F8">
      <w:pPr>
        <w:adjustRightInd w:val="0"/>
        <w:snapToGrid w:val="0"/>
        <w:spacing w:line="360" w:lineRule="auto"/>
        <w:ind w:firstLine="420" w:firstLineChars="200"/>
        <w:rPr>
          <w:rFonts w:ascii="宋体" w:hAnsi="宋体" w:cs="Arial"/>
          <w:kern w:val="0"/>
        </w:rPr>
      </w:pPr>
      <w:r>
        <w:rPr>
          <w:rFonts w:hint="eastAsia" w:ascii="宋体" w:hAnsi="宋体" w:cs="Arial"/>
          <w:kern w:val="0"/>
        </w:rPr>
        <w:t>（二）会议召集人及召集方式</w:t>
      </w:r>
    </w:p>
    <w:p w14:paraId="3CB62C6C">
      <w:pPr>
        <w:adjustRightInd w:val="0"/>
        <w:snapToGrid w:val="0"/>
        <w:spacing w:line="360" w:lineRule="auto"/>
        <w:ind w:firstLine="420" w:firstLineChars="200"/>
        <w:rPr>
          <w:rFonts w:ascii="宋体" w:hAnsi="宋体" w:cs="Arial"/>
          <w:kern w:val="0"/>
        </w:rPr>
      </w:pPr>
      <w:r>
        <w:rPr>
          <w:rFonts w:hint="eastAsia" w:ascii="宋体" w:hAnsi="宋体" w:cs="Arial"/>
          <w:kern w:val="0"/>
        </w:rPr>
        <w:t>1、除法律法规规定或《基金合同》另有约定外，基金份额持有人大会由基金管理人召集。</w:t>
      </w:r>
    </w:p>
    <w:p w14:paraId="33D2F258">
      <w:pPr>
        <w:adjustRightInd w:val="0"/>
        <w:snapToGrid w:val="0"/>
        <w:spacing w:line="360" w:lineRule="auto"/>
        <w:ind w:firstLine="420" w:firstLineChars="200"/>
        <w:rPr>
          <w:rFonts w:ascii="宋体" w:hAnsi="宋体" w:cs="Arial"/>
          <w:kern w:val="0"/>
        </w:rPr>
      </w:pPr>
      <w:r>
        <w:rPr>
          <w:rFonts w:hint="eastAsia" w:ascii="宋体" w:hAnsi="宋体" w:cs="Arial"/>
          <w:kern w:val="0"/>
        </w:rPr>
        <w:t>2、基金管理人未按规定召集或不能召集时，由基金托管人召集。</w:t>
      </w:r>
    </w:p>
    <w:p w14:paraId="3EA7DBE8">
      <w:pPr>
        <w:adjustRightInd w:val="0"/>
        <w:snapToGrid w:val="0"/>
        <w:spacing w:line="360" w:lineRule="auto"/>
        <w:ind w:firstLine="420" w:firstLineChars="200"/>
        <w:rPr>
          <w:rFonts w:ascii="宋体" w:hAnsi="宋体" w:cs="Arial"/>
          <w:kern w:val="0"/>
        </w:rPr>
      </w:pPr>
      <w:r>
        <w:rPr>
          <w:rFonts w:hint="eastAsia" w:ascii="宋体" w:hAnsi="宋体" w:cs="Arial"/>
          <w:kern w:val="0"/>
        </w:rPr>
        <w:t>3、基金托管人认为有必要召开基金份额持有人大会的，应当向基金管理人提出书面提议。基金管理人应当自收到书面提议之日起 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48AC2720">
      <w:pPr>
        <w:adjustRightInd w:val="0"/>
        <w:snapToGrid w:val="0"/>
        <w:spacing w:line="360" w:lineRule="auto"/>
        <w:ind w:firstLine="420" w:firstLineChars="200"/>
        <w:rPr>
          <w:rFonts w:ascii="宋体" w:hAnsi="宋体" w:cs="Arial"/>
          <w:kern w:val="0"/>
        </w:rPr>
      </w:pPr>
      <w:r>
        <w:rPr>
          <w:rFonts w:hint="eastAsia" w:ascii="宋体" w:hAnsi="宋体" w:cs="Arial"/>
          <w:kern w:val="0"/>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0F65DA48">
      <w:pPr>
        <w:adjustRightInd w:val="0"/>
        <w:snapToGrid w:val="0"/>
        <w:spacing w:line="360" w:lineRule="auto"/>
        <w:ind w:firstLine="420" w:firstLineChars="200"/>
        <w:rPr>
          <w:rFonts w:ascii="宋体" w:hAnsi="宋体" w:cs="Arial"/>
          <w:kern w:val="0"/>
        </w:rPr>
      </w:pPr>
      <w:r>
        <w:rPr>
          <w:rFonts w:hint="eastAsia" w:ascii="宋体" w:hAnsi="宋体" w:cs="Arial"/>
          <w:kern w:val="0"/>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5173C5F6">
      <w:pPr>
        <w:adjustRightInd w:val="0"/>
        <w:snapToGrid w:val="0"/>
        <w:spacing w:line="360" w:lineRule="auto"/>
        <w:ind w:firstLine="420" w:firstLineChars="200"/>
        <w:rPr>
          <w:rFonts w:ascii="宋体" w:hAnsi="宋体" w:cs="Arial"/>
          <w:kern w:val="0"/>
        </w:rPr>
      </w:pPr>
      <w:r>
        <w:rPr>
          <w:rFonts w:hint="eastAsia" w:ascii="宋体" w:hAnsi="宋体" w:cs="Arial"/>
          <w:kern w:val="0"/>
        </w:rPr>
        <w:t>6、基金份额持有人会议的召集人负责选择确定开会时间、地点、方式和权益登记日。</w:t>
      </w:r>
    </w:p>
    <w:p w14:paraId="617E44FC">
      <w:pPr>
        <w:adjustRightInd w:val="0"/>
        <w:snapToGrid w:val="0"/>
        <w:spacing w:line="360" w:lineRule="auto"/>
        <w:ind w:firstLine="420" w:firstLineChars="200"/>
        <w:rPr>
          <w:rFonts w:ascii="宋体" w:hAnsi="宋体" w:cs="Arial"/>
          <w:kern w:val="0"/>
        </w:rPr>
      </w:pPr>
      <w:r>
        <w:rPr>
          <w:rFonts w:hint="eastAsia" w:ascii="宋体" w:hAnsi="宋体" w:cs="Arial"/>
          <w:kern w:val="0"/>
        </w:rPr>
        <w:t>（三）召开基金份额持有人大会的通知时间、通知内容、通知方式</w:t>
      </w:r>
    </w:p>
    <w:p w14:paraId="4429507D">
      <w:pPr>
        <w:adjustRightInd w:val="0"/>
        <w:snapToGrid w:val="0"/>
        <w:spacing w:line="360" w:lineRule="auto"/>
        <w:ind w:firstLine="420" w:firstLineChars="200"/>
        <w:rPr>
          <w:rFonts w:ascii="宋体" w:hAnsi="宋体" w:cs="Arial"/>
          <w:kern w:val="0"/>
        </w:rPr>
      </w:pPr>
      <w:r>
        <w:rPr>
          <w:rFonts w:hint="eastAsia" w:ascii="宋体" w:hAnsi="宋体" w:cs="Arial"/>
          <w:kern w:val="0"/>
        </w:rPr>
        <w:t>1、召开基金份额持有人大会，召集人应于会议召开前30日，在规定媒介公告。基金份额持有人大会通知应至少载明以下内容：</w:t>
      </w:r>
    </w:p>
    <w:p w14:paraId="00019631">
      <w:pPr>
        <w:adjustRightInd w:val="0"/>
        <w:snapToGrid w:val="0"/>
        <w:spacing w:line="360" w:lineRule="auto"/>
        <w:ind w:firstLine="420" w:firstLineChars="200"/>
        <w:rPr>
          <w:rFonts w:ascii="宋体" w:hAnsi="宋体" w:cs="Arial"/>
          <w:kern w:val="0"/>
        </w:rPr>
      </w:pPr>
      <w:r>
        <w:rPr>
          <w:rFonts w:hint="eastAsia" w:ascii="宋体" w:hAnsi="宋体" w:cs="Arial"/>
          <w:kern w:val="0"/>
        </w:rPr>
        <w:t>（1）会议召开的时间、地点和会议形式；</w:t>
      </w:r>
    </w:p>
    <w:p w14:paraId="57EB93EA">
      <w:pPr>
        <w:adjustRightInd w:val="0"/>
        <w:snapToGrid w:val="0"/>
        <w:spacing w:line="360" w:lineRule="auto"/>
        <w:ind w:firstLine="420" w:firstLineChars="200"/>
        <w:rPr>
          <w:rFonts w:ascii="宋体" w:hAnsi="宋体" w:cs="Arial"/>
          <w:kern w:val="0"/>
        </w:rPr>
      </w:pPr>
      <w:r>
        <w:rPr>
          <w:rFonts w:hint="eastAsia" w:ascii="宋体" w:hAnsi="宋体" w:cs="Arial"/>
          <w:kern w:val="0"/>
        </w:rPr>
        <w:t>（2）会议拟审议的事项、议事程序和表决方式；</w:t>
      </w:r>
    </w:p>
    <w:p w14:paraId="0396681B">
      <w:pPr>
        <w:adjustRightInd w:val="0"/>
        <w:snapToGrid w:val="0"/>
        <w:spacing w:line="360" w:lineRule="auto"/>
        <w:ind w:firstLine="420" w:firstLineChars="200"/>
        <w:rPr>
          <w:rFonts w:ascii="宋体" w:hAnsi="宋体" w:cs="Arial"/>
          <w:kern w:val="0"/>
        </w:rPr>
      </w:pPr>
      <w:r>
        <w:rPr>
          <w:rFonts w:hint="eastAsia" w:ascii="宋体" w:hAnsi="宋体" w:cs="Arial"/>
          <w:kern w:val="0"/>
        </w:rPr>
        <w:t>（3）有权出席基金份额持有人大会的基金份额持有人的权益登记日；</w:t>
      </w:r>
    </w:p>
    <w:p w14:paraId="3C248AF5">
      <w:pPr>
        <w:adjustRightInd w:val="0"/>
        <w:snapToGrid w:val="0"/>
        <w:spacing w:line="360" w:lineRule="auto"/>
        <w:ind w:firstLine="420" w:firstLineChars="200"/>
        <w:rPr>
          <w:rFonts w:ascii="宋体" w:hAnsi="宋体" w:cs="Arial"/>
          <w:kern w:val="0"/>
        </w:rPr>
      </w:pPr>
      <w:r>
        <w:rPr>
          <w:rFonts w:hint="eastAsia" w:ascii="宋体" w:hAnsi="宋体" w:cs="Arial"/>
          <w:kern w:val="0"/>
        </w:rPr>
        <w:t>（4）授权委托证明的内容要求（包括但不限于代理人身份，代理权限和代理有效期限等）、送达时间和地点；</w:t>
      </w:r>
    </w:p>
    <w:p w14:paraId="60F3A6DA">
      <w:pPr>
        <w:adjustRightInd w:val="0"/>
        <w:snapToGrid w:val="0"/>
        <w:spacing w:line="360" w:lineRule="auto"/>
        <w:ind w:firstLine="420" w:firstLineChars="200"/>
        <w:rPr>
          <w:rFonts w:ascii="宋体" w:hAnsi="宋体" w:cs="Arial"/>
          <w:kern w:val="0"/>
        </w:rPr>
      </w:pPr>
      <w:r>
        <w:rPr>
          <w:rFonts w:hint="eastAsia" w:ascii="宋体" w:hAnsi="宋体" w:cs="Arial"/>
          <w:kern w:val="0"/>
        </w:rPr>
        <w:t>（5）会务常设联系人姓名及联系电话；</w:t>
      </w:r>
    </w:p>
    <w:p w14:paraId="7E54EED4">
      <w:pPr>
        <w:adjustRightInd w:val="0"/>
        <w:snapToGrid w:val="0"/>
        <w:spacing w:line="360" w:lineRule="auto"/>
        <w:ind w:firstLine="420" w:firstLineChars="200"/>
        <w:rPr>
          <w:rFonts w:ascii="宋体" w:hAnsi="宋体" w:cs="Arial"/>
          <w:kern w:val="0"/>
        </w:rPr>
      </w:pPr>
      <w:r>
        <w:rPr>
          <w:rFonts w:hint="eastAsia" w:ascii="宋体" w:hAnsi="宋体" w:cs="Arial"/>
          <w:kern w:val="0"/>
        </w:rPr>
        <w:t>（6）出席会议者必须准备的文件和必须履行的手续；</w:t>
      </w:r>
    </w:p>
    <w:p w14:paraId="1B5B41F7">
      <w:pPr>
        <w:adjustRightInd w:val="0"/>
        <w:snapToGrid w:val="0"/>
        <w:spacing w:line="360" w:lineRule="auto"/>
        <w:ind w:firstLine="420" w:firstLineChars="200"/>
        <w:rPr>
          <w:rFonts w:ascii="宋体" w:hAnsi="宋体" w:cs="Arial"/>
          <w:kern w:val="0"/>
        </w:rPr>
      </w:pPr>
      <w:r>
        <w:rPr>
          <w:rFonts w:hint="eastAsia" w:ascii="宋体" w:hAnsi="宋体" w:cs="Arial"/>
          <w:kern w:val="0"/>
        </w:rPr>
        <w:t>（7）召集人需要通知的其他事项。</w:t>
      </w:r>
    </w:p>
    <w:p w14:paraId="16FE5974">
      <w:pPr>
        <w:adjustRightInd w:val="0"/>
        <w:snapToGrid w:val="0"/>
        <w:spacing w:line="360" w:lineRule="auto"/>
        <w:ind w:firstLine="420" w:firstLineChars="200"/>
        <w:rPr>
          <w:rFonts w:ascii="宋体" w:hAnsi="宋体" w:cs="Arial"/>
          <w:kern w:val="0"/>
        </w:rPr>
      </w:pPr>
      <w:r>
        <w:rPr>
          <w:rFonts w:hint="eastAsia" w:ascii="宋体" w:hAnsi="宋体" w:cs="Arial"/>
          <w:kern w:val="0"/>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36BA7DE0">
      <w:pPr>
        <w:adjustRightInd w:val="0"/>
        <w:snapToGrid w:val="0"/>
        <w:spacing w:line="360" w:lineRule="auto"/>
        <w:ind w:firstLine="420" w:firstLineChars="200"/>
        <w:rPr>
          <w:rFonts w:ascii="宋体" w:hAnsi="宋体" w:cs="Arial"/>
          <w:kern w:val="0"/>
        </w:rPr>
      </w:pPr>
      <w:r>
        <w:rPr>
          <w:rFonts w:hint="eastAsia" w:ascii="宋体" w:hAnsi="宋体" w:cs="Arial"/>
          <w:kern w:val="0"/>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2B7BBFD6">
      <w:pPr>
        <w:adjustRightInd w:val="0"/>
        <w:snapToGrid w:val="0"/>
        <w:spacing w:line="360" w:lineRule="auto"/>
        <w:ind w:firstLine="420" w:firstLineChars="200"/>
        <w:rPr>
          <w:rFonts w:ascii="宋体" w:hAnsi="宋体" w:cs="Arial"/>
          <w:kern w:val="0"/>
        </w:rPr>
      </w:pPr>
      <w:r>
        <w:rPr>
          <w:rFonts w:hint="eastAsia" w:ascii="宋体" w:hAnsi="宋体" w:cs="Arial"/>
          <w:kern w:val="0"/>
        </w:rPr>
        <w:t>（四）基金份额持有人出席会议的方式</w:t>
      </w:r>
    </w:p>
    <w:p w14:paraId="457B36D4">
      <w:pPr>
        <w:adjustRightInd w:val="0"/>
        <w:snapToGrid w:val="0"/>
        <w:spacing w:line="360" w:lineRule="auto"/>
        <w:ind w:firstLine="420" w:firstLineChars="200"/>
        <w:rPr>
          <w:rFonts w:ascii="宋体" w:hAnsi="宋体" w:cs="Arial"/>
          <w:kern w:val="0"/>
        </w:rPr>
      </w:pPr>
      <w:r>
        <w:rPr>
          <w:rFonts w:hint="eastAsia" w:ascii="宋体" w:hAnsi="宋体" w:cs="Arial"/>
          <w:kern w:val="0"/>
        </w:rPr>
        <w:t>基金份额持有人大会可通过现场开会方式、通讯开会方式或法律法规、监管机构允许的其他方式召开，会议的召开方式由会议召集人确定。</w:t>
      </w:r>
    </w:p>
    <w:p w14:paraId="22F344CD">
      <w:pPr>
        <w:adjustRightInd w:val="0"/>
        <w:snapToGrid w:val="0"/>
        <w:spacing w:line="360" w:lineRule="auto"/>
        <w:ind w:firstLine="420" w:firstLineChars="200"/>
        <w:rPr>
          <w:rFonts w:ascii="宋体" w:hAnsi="宋体" w:cs="Arial"/>
          <w:kern w:val="0"/>
        </w:rPr>
      </w:pPr>
      <w:r>
        <w:rPr>
          <w:rFonts w:hint="eastAsia" w:ascii="宋体" w:hAnsi="宋体" w:cs="Arial"/>
          <w:kern w:val="0"/>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69A32185">
      <w:pPr>
        <w:adjustRightInd w:val="0"/>
        <w:snapToGrid w:val="0"/>
        <w:spacing w:line="360" w:lineRule="auto"/>
        <w:ind w:firstLine="420" w:firstLineChars="200"/>
        <w:rPr>
          <w:rFonts w:ascii="宋体" w:hAnsi="宋体" w:cs="Arial"/>
          <w:kern w:val="0"/>
        </w:rPr>
      </w:pPr>
      <w:r>
        <w:rPr>
          <w:rFonts w:hint="eastAsia" w:ascii="宋体" w:hAnsi="宋体" w:cs="Arial"/>
          <w:kern w:val="0"/>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3249DC3C">
      <w:pPr>
        <w:adjustRightInd w:val="0"/>
        <w:snapToGrid w:val="0"/>
        <w:spacing w:line="360" w:lineRule="auto"/>
        <w:ind w:firstLine="420" w:firstLineChars="200"/>
        <w:rPr>
          <w:rFonts w:ascii="宋体" w:hAnsi="宋体" w:cs="Arial"/>
          <w:kern w:val="0"/>
        </w:rPr>
      </w:pPr>
      <w:r>
        <w:rPr>
          <w:rFonts w:hint="eastAsia" w:ascii="宋体" w:hAnsi="宋体" w:cs="Arial"/>
          <w:kern w:val="0"/>
        </w:rPr>
        <w:t>（2）经核对，汇总到会者出示的在权益登记日持有基金份额的凭证显示，有效的基金份额不少于本基金在权益登记日基金总份额的二分之一（含二分之一）。</w:t>
      </w:r>
    </w:p>
    <w:p w14:paraId="5692B95F">
      <w:pPr>
        <w:adjustRightInd w:val="0"/>
        <w:snapToGrid w:val="0"/>
        <w:spacing w:line="360" w:lineRule="auto"/>
        <w:ind w:firstLine="420" w:firstLineChars="200"/>
        <w:rPr>
          <w:rFonts w:ascii="宋体" w:hAnsi="宋体" w:cs="Arial"/>
          <w:kern w:val="0"/>
        </w:rPr>
      </w:pPr>
      <w:r>
        <w:rPr>
          <w:rFonts w:hint="eastAsia" w:ascii="宋体" w:hAnsi="宋体" w:cs="Arial"/>
          <w:kern w:val="0"/>
        </w:rPr>
        <w:t>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55DE479A">
      <w:pPr>
        <w:adjustRightInd w:val="0"/>
        <w:snapToGrid w:val="0"/>
        <w:spacing w:line="360" w:lineRule="auto"/>
        <w:ind w:firstLine="420" w:firstLineChars="200"/>
        <w:rPr>
          <w:rFonts w:ascii="宋体" w:hAnsi="宋体" w:cs="Arial"/>
          <w:kern w:val="0"/>
        </w:rPr>
      </w:pPr>
      <w:r>
        <w:rPr>
          <w:rFonts w:hint="eastAsia" w:ascii="宋体" w:hAnsi="宋体" w:cs="Arial"/>
          <w:kern w:val="0"/>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4B6DD3D5">
      <w:pPr>
        <w:adjustRightInd w:val="0"/>
        <w:snapToGrid w:val="0"/>
        <w:spacing w:line="360" w:lineRule="auto"/>
        <w:ind w:firstLine="420" w:firstLineChars="200"/>
        <w:rPr>
          <w:rFonts w:ascii="宋体" w:hAnsi="宋体" w:cs="Arial"/>
          <w:kern w:val="0"/>
        </w:rPr>
      </w:pPr>
      <w:r>
        <w:rPr>
          <w:rFonts w:hint="eastAsia" w:ascii="宋体" w:hAnsi="宋体" w:cs="Arial"/>
          <w:kern w:val="0"/>
        </w:rPr>
        <w:t>在同时符合以下条件时，通讯开会的方式视为有效：</w:t>
      </w:r>
    </w:p>
    <w:p w14:paraId="4F647A01">
      <w:pPr>
        <w:adjustRightInd w:val="0"/>
        <w:snapToGrid w:val="0"/>
        <w:spacing w:line="360" w:lineRule="auto"/>
        <w:ind w:firstLine="420" w:firstLineChars="200"/>
        <w:rPr>
          <w:rFonts w:ascii="宋体" w:hAnsi="宋体" w:cs="Arial"/>
          <w:kern w:val="0"/>
        </w:rPr>
      </w:pPr>
      <w:r>
        <w:rPr>
          <w:rFonts w:hint="eastAsia" w:ascii="宋体" w:hAnsi="宋体" w:cs="Arial"/>
          <w:kern w:val="0"/>
        </w:rPr>
        <w:t>（1）会议召集人按《基金合同》约定公布会议通知后，在 2个工作日内连续公布相关提示性公告；</w:t>
      </w:r>
    </w:p>
    <w:p w14:paraId="5CA95A38">
      <w:pPr>
        <w:adjustRightInd w:val="0"/>
        <w:snapToGrid w:val="0"/>
        <w:spacing w:line="360" w:lineRule="auto"/>
        <w:ind w:firstLine="420" w:firstLineChars="200"/>
        <w:rPr>
          <w:rFonts w:ascii="宋体" w:hAnsi="宋体" w:cs="Arial"/>
          <w:kern w:val="0"/>
        </w:rPr>
      </w:pPr>
      <w:r>
        <w:rPr>
          <w:rFonts w:hint="eastAsia" w:ascii="宋体" w:hAnsi="宋体" w:cs="Arial"/>
          <w:kern w:val="0"/>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7F6F8B9">
      <w:pPr>
        <w:adjustRightInd w:val="0"/>
        <w:snapToGrid w:val="0"/>
        <w:spacing w:line="360" w:lineRule="auto"/>
        <w:ind w:firstLine="420" w:firstLineChars="200"/>
        <w:rPr>
          <w:rFonts w:ascii="宋体" w:hAnsi="宋体" w:cs="Arial"/>
          <w:kern w:val="0"/>
        </w:rPr>
      </w:pPr>
      <w:r>
        <w:rPr>
          <w:rFonts w:hint="eastAsia" w:ascii="宋体" w:hAnsi="宋体" w:cs="Arial"/>
          <w:kern w:val="0"/>
        </w:rPr>
        <w:t>（3）本人直接出具表决意见或授权他人代表出具表决意见的，基金份额持有人所持有的基金份额不小于在权益登记日基金总份额的二分之一（含二分之一）；</w:t>
      </w:r>
    </w:p>
    <w:p w14:paraId="08B0BE02">
      <w:pPr>
        <w:adjustRightInd w:val="0"/>
        <w:snapToGrid w:val="0"/>
        <w:spacing w:line="360" w:lineRule="auto"/>
        <w:ind w:firstLine="420" w:firstLineChars="200"/>
        <w:rPr>
          <w:rFonts w:ascii="宋体" w:hAnsi="宋体" w:cs="Arial"/>
          <w:kern w:val="0"/>
        </w:rPr>
      </w:pPr>
      <w:r>
        <w:rPr>
          <w:rFonts w:hint="eastAsia" w:ascii="宋体" w:hAnsi="宋体" w:cs="Arial"/>
          <w:kern w:val="0"/>
        </w:rPr>
        <w:t>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7F75FC4F">
      <w:pPr>
        <w:adjustRightInd w:val="0"/>
        <w:snapToGrid w:val="0"/>
        <w:spacing w:line="360" w:lineRule="auto"/>
        <w:ind w:firstLine="420" w:firstLineChars="200"/>
        <w:rPr>
          <w:rFonts w:ascii="宋体" w:hAnsi="宋体" w:cs="Arial"/>
          <w:kern w:val="0"/>
        </w:rPr>
      </w:pPr>
      <w:r>
        <w:rPr>
          <w:rFonts w:hint="eastAsia" w:ascii="宋体" w:hAnsi="宋体" w:cs="Arial"/>
          <w:kern w:val="0"/>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6C5D5BA2">
      <w:pPr>
        <w:adjustRightInd w:val="0"/>
        <w:snapToGrid w:val="0"/>
        <w:spacing w:line="360" w:lineRule="auto"/>
        <w:ind w:firstLine="420" w:firstLineChars="200"/>
        <w:rPr>
          <w:rFonts w:ascii="宋体" w:hAnsi="宋体" w:cs="Arial"/>
          <w:kern w:val="0"/>
        </w:rPr>
      </w:pPr>
      <w:r>
        <w:rPr>
          <w:rFonts w:hint="eastAsia" w:ascii="宋体" w:hAnsi="宋体" w:cs="Arial"/>
          <w:kern w:val="0"/>
        </w:rPr>
        <w:t xml:space="preserve"> 3、在不违反法律法规或监管机构</w:t>
      </w:r>
      <w:r>
        <w:rPr>
          <w:rFonts w:ascii="宋体" w:hAnsi="宋体" w:cs="Arial"/>
          <w:kern w:val="0"/>
        </w:rPr>
        <w:t>规定</w:t>
      </w:r>
      <w:r>
        <w:rPr>
          <w:rFonts w:hint="eastAsia" w:ascii="宋体" w:hAnsi="宋体" w:cs="Arial"/>
          <w:kern w:val="0"/>
        </w:rPr>
        <w:t>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w:t>
      </w:r>
    </w:p>
    <w:p w14:paraId="54913649">
      <w:pPr>
        <w:adjustRightInd w:val="0"/>
        <w:snapToGrid w:val="0"/>
        <w:spacing w:line="360" w:lineRule="auto"/>
        <w:ind w:firstLine="420" w:firstLineChars="200"/>
        <w:rPr>
          <w:rFonts w:ascii="宋体" w:hAnsi="宋体" w:cs="Arial"/>
          <w:kern w:val="0"/>
        </w:rPr>
      </w:pPr>
      <w:r>
        <w:rPr>
          <w:rFonts w:hint="eastAsia" w:ascii="宋体" w:hAnsi="宋体" w:cs="Arial"/>
          <w:kern w:val="0"/>
        </w:rPr>
        <w:t>（五）议事内容与程序</w:t>
      </w:r>
    </w:p>
    <w:p w14:paraId="61DC5FAA">
      <w:pPr>
        <w:adjustRightInd w:val="0"/>
        <w:snapToGrid w:val="0"/>
        <w:spacing w:line="360" w:lineRule="auto"/>
        <w:ind w:firstLine="420" w:firstLineChars="200"/>
        <w:rPr>
          <w:rFonts w:ascii="宋体" w:hAnsi="宋体" w:cs="Arial"/>
          <w:kern w:val="0"/>
        </w:rPr>
      </w:pPr>
      <w:r>
        <w:rPr>
          <w:rFonts w:hint="eastAsia" w:ascii="宋体" w:hAnsi="宋体" w:cs="Arial"/>
          <w:kern w:val="0"/>
        </w:rPr>
        <w:t>1、议事内容及提案权</w:t>
      </w:r>
    </w:p>
    <w:p w14:paraId="5E4EF218">
      <w:pPr>
        <w:adjustRightInd w:val="0"/>
        <w:snapToGrid w:val="0"/>
        <w:spacing w:line="360" w:lineRule="auto"/>
        <w:ind w:firstLine="420" w:firstLineChars="200"/>
        <w:rPr>
          <w:rFonts w:ascii="宋体" w:hAnsi="宋体" w:cs="Arial"/>
          <w:kern w:val="0"/>
        </w:rPr>
      </w:pPr>
      <w:r>
        <w:rPr>
          <w:rFonts w:hint="eastAsia" w:ascii="宋体" w:hAnsi="宋体" w:cs="Arial"/>
          <w:kern w:val="0"/>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15AA6DCB">
      <w:pPr>
        <w:adjustRightInd w:val="0"/>
        <w:snapToGrid w:val="0"/>
        <w:spacing w:line="360" w:lineRule="auto"/>
        <w:ind w:firstLine="420" w:firstLineChars="200"/>
        <w:rPr>
          <w:rFonts w:ascii="宋体" w:hAnsi="宋体" w:cs="Arial"/>
          <w:kern w:val="0"/>
        </w:rPr>
      </w:pPr>
      <w:r>
        <w:rPr>
          <w:rFonts w:hint="eastAsia" w:ascii="宋体" w:hAnsi="宋体" w:cs="Arial"/>
          <w:kern w:val="0"/>
        </w:rPr>
        <w:t>基金份额持有人大会的召集人发出召集会议的通知后，对原有提案的修改应当在基金份额持有人大会召开前及时公告。</w:t>
      </w:r>
    </w:p>
    <w:p w14:paraId="4642CDE0">
      <w:pPr>
        <w:adjustRightInd w:val="0"/>
        <w:snapToGrid w:val="0"/>
        <w:spacing w:line="360" w:lineRule="auto"/>
        <w:ind w:firstLine="420" w:firstLineChars="200"/>
        <w:rPr>
          <w:rFonts w:ascii="宋体" w:hAnsi="宋体" w:cs="Arial"/>
          <w:kern w:val="0"/>
        </w:rPr>
      </w:pPr>
      <w:r>
        <w:rPr>
          <w:rFonts w:hint="eastAsia" w:ascii="宋体" w:hAnsi="宋体" w:cs="Arial"/>
          <w:kern w:val="0"/>
        </w:rPr>
        <w:t>基金份额持有人大会不得对未事先公告的议事内容进行表决。</w:t>
      </w:r>
    </w:p>
    <w:p w14:paraId="0BE0EF02">
      <w:pPr>
        <w:adjustRightInd w:val="0"/>
        <w:snapToGrid w:val="0"/>
        <w:spacing w:line="360" w:lineRule="auto"/>
        <w:ind w:firstLine="420" w:firstLineChars="200"/>
        <w:rPr>
          <w:rFonts w:ascii="宋体" w:hAnsi="宋体" w:cs="Arial"/>
          <w:kern w:val="0"/>
        </w:rPr>
      </w:pPr>
      <w:r>
        <w:rPr>
          <w:rFonts w:hint="eastAsia" w:ascii="宋体" w:hAnsi="宋体" w:cs="Arial"/>
          <w:kern w:val="0"/>
        </w:rPr>
        <w:t>2、议事程序</w:t>
      </w:r>
    </w:p>
    <w:p w14:paraId="4F3DD107">
      <w:pPr>
        <w:adjustRightInd w:val="0"/>
        <w:snapToGrid w:val="0"/>
        <w:spacing w:line="360" w:lineRule="auto"/>
        <w:ind w:firstLine="420" w:firstLineChars="200"/>
        <w:rPr>
          <w:rFonts w:ascii="宋体" w:hAnsi="宋体" w:cs="Arial"/>
          <w:kern w:val="0"/>
        </w:rPr>
      </w:pPr>
      <w:r>
        <w:rPr>
          <w:rFonts w:hint="eastAsia" w:ascii="宋体" w:hAnsi="宋体" w:cs="Arial"/>
          <w:kern w:val="0"/>
        </w:rPr>
        <w:t>（1）现场开会</w:t>
      </w:r>
    </w:p>
    <w:p w14:paraId="1188E751">
      <w:pPr>
        <w:adjustRightInd w:val="0"/>
        <w:snapToGrid w:val="0"/>
        <w:spacing w:line="360" w:lineRule="auto"/>
        <w:ind w:firstLine="420" w:firstLineChars="200"/>
        <w:rPr>
          <w:rFonts w:ascii="宋体" w:hAnsi="宋体" w:cs="Arial"/>
          <w:kern w:val="0"/>
        </w:rPr>
      </w:pPr>
      <w:r>
        <w:rPr>
          <w:rFonts w:hint="eastAsia" w:ascii="宋体" w:hAnsi="宋体" w:cs="Arial"/>
          <w:kern w:val="0"/>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4C1EC5DF">
      <w:pPr>
        <w:adjustRightInd w:val="0"/>
        <w:snapToGrid w:val="0"/>
        <w:spacing w:line="360" w:lineRule="auto"/>
        <w:ind w:firstLine="420" w:firstLineChars="200"/>
        <w:rPr>
          <w:rFonts w:ascii="宋体" w:hAnsi="宋体" w:cs="Arial"/>
          <w:kern w:val="0"/>
        </w:rPr>
      </w:pPr>
      <w:r>
        <w:rPr>
          <w:rFonts w:hint="eastAsia" w:ascii="宋体" w:hAnsi="宋体" w:cs="Arial"/>
          <w:kern w:val="0"/>
        </w:rPr>
        <w:t>会议召集人应当制作出席会议人员的签名册。签名册载明参加会议人员姓名（或单位名称）、身份证明文件号码、持有或代表有表决权的基金份额、委托人姓名（或单位名称）和联系方式等事项。</w:t>
      </w:r>
    </w:p>
    <w:p w14:paraId="5399E5BC">
      <w:pPr>
        <w:adjustRightInd w:val="0"/>
        <w:snapToGrid w:val="0"/>
        <w:spacing w:line="360" w:lineRule="auto"/>
        <w:ind w:firstLine="420" w:firstLineChars="200"/>
        <w:rPr>
          <w:rFonts w:ascii="宋体" w:hAnsi="宋体" w:cs="Arial"/>
          <w:kern w:val="0"/>
        </w:rPr>
      </w:pPr>
      <w:r>
        <w:rPr>
          <w:rFonts w:hint="eastAsia" w:ascii="宋体" w:hAnsi="宋体" w:cs="Arial"/>
          <w:kern w:val="0"/>
        </w:rPr>
        <w:t>（2）通讯开会</w:t>
      </w:r>
    </w:p>
    <w:p w14:paraId="520F4273">
      <w:pPr>
        <w:adjustRightInd w:val="0"/>
        <w:snapToGrid w:val="0"/>
        <w:spacing w:line="360" w:lineRule="auto"/>
        <w:ind w:firstLine="420" w:firstLineChars="200"/>
        <w:rPr>
          <w:rFonts w:ascii="宋体" w:hAnsi="宋体" w:cs="Arial"/>
          <w:kern w:val="0"/>
        </w:rPr>
      </w:pPr>
      <w:r>
        <w:rPr>
          <w:rFonts w:hint="eastAsia" w:ascii="宋体" w:hAnsi="宋体" w:cs="Arial"/>
          <w:kern w:val="0"/>
        </w:rPr>
        <w:t>在通讯开会的情况下，首先由召集人提前30日公布提案，在所通知的表决截止日期后2个工作日内在公证机关监督下由召集人统计全部有效表决，在公证机关监督下形成决议。</w:t>
      </w:r>
    </w:p>
    <w:p w14:paraId="2E7517DC">
      <w:pPr>
        <w:adjustRightInd w:val="0"/>
        <w:snapToGrid w:val="0"/>
        <w:spacing w:line="360" w:lineRule="auto"/>
        <w:ind w:firstLine="420" w:firstLineChars="200"/>
        <w:rPr>
          <w:rFonts w:ascii="宋体" w:hAnsi="宋体" w:cs="Arial"/>
          <w:kern w:val="0"/>
        </w:rPr>
      </w:pPr>
      <w:r>
        <w:rPr>
          <w:rFonts w:hint="eastAsia" w:ascii="宋体" w:hAnsi="宋体" w:cs="Arial"/>
          <w:kern w:val="0"/>
        </w:rPr>
        <w:t>（六）表决</w:t>
      </w:r>
    </w:p>
    <w:p w14:paraId="5D2123D8">
      <w:pPr>
        <w:adjustRightInd w:val="0"/>
        <w:snapToGrid w:val="0"/>
        <w:spacing w:line="360" w:lineRule="auto"/>
        <w:ind w:firstLine="420" w:firstLineChars="200"/>
        <w:rPr>
          <w:rFonts w:ascii="宋体" w:hAnsi="宋体" w:cs="Arial"/>
          <w:kern w:val="0"/>
        </w:rPr>
      </w:pPr>
      <w:r>
        <w:rPr>
          <w:rFonts w:hint="eastAsia" w:ascii="宋体" w:hAnsi="宋体" w:cs="Arial"/>
          <w:kern w:val="0"/>
        </w:rPr>
        <w:t>基金份额持有人所持每份基金份额有一票表决权。</w:t>
      </w:r>
    </w:p>
    <w:p w14:paraId="5B68F5E6">
      <w:pPr>
        <w:adjustRightInd w:val="0"/>
        <w:snapToGrid w:val="0"/>
        <w:spacing w:line="360" w:lineRule="auto"/>
        <w:ind w:firstLine="420" w:firstLineChars="200"/>
        <w:rPr>
          <w:rFonts w:ascii="宋体" w:hAnsi="宋体" w:cs="Arial"/>
          <w:kern w:val="0"/>
        </w:rPr>
      </w:pPr>
      <w:r>
        <w:rPr>
          <w:rFonts w:hint="eastAsia" w:ascii="宋体" w:hAnsi="宋体" w:cs="Arial"/>
          <w:kern w:val="0"/>
        </w:rPr>
        <w:t>基金份额持有人大会决议分为一般决议和特别决议：</w:t>
      </w:r>
    </w:p>
    <w:p w14:paraId="64AE6FFD">
      <w:pPr>
        <w:adjustRightInd w:val="0"/>
        <w:snapToGrid w:val="0"/>
        <w:spacing w:line="360" w:lineRule="auto"/>
        <w:ind w:firstLine="420" w:firstLineChars="200"/>
        <w:rPr>
          <w:rFonts w:ascii="宋体" w:hAnsi="宋体" w:cs="Arial"/>
          <w:kern w:val="0"/>
        </w:rPr>
      </w:pPr>
      <w:r>
        <w:rPr>
          <w:rFonts w:hint="eastAsia" w:ascii="宋体" w:hAnsi="宋体" w:cs="Arial"/>
          <w:kern w:val="0"/>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130B2B48">
      <w:pPr>
        <w:adjustRightInd w:val="0"/>
        <w:snapToGrid w:val="0"/>
        <w:spacing w:line="360" w:lineRule="auto"/>
        <w:ind w:firstLine="420" w:firstLineChars="200"/>
        <w:rPr>
          <w:rFonts w:ascii="宋体" w:hAnsi="宋体" w:cs="Arial"/>
          <w:kern w:val="0"/>
        </w:rPr>
      </w:pPr>
      <w:r>
        <w:rPr>
          <w:rFonts w:hint="eastAsia" w:ascii="宋体" w:hAnsi="宋体" w:cs="Arial"/>
          <w:kern w:val="0"/>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2E8831FD">
      <w:pPr>
        <w:adjustRightInd w:val="0"/>
        <w:snapToGrid w:val="0"/>
        <w:spacing w:line="360" w:lineRule="auto"/>
        <w:ind w:firstLine="420" w:firstLineChars="200"/>
        <w:rPr>
          <w:rFonts w:ascii="宋体" w:hAnsi="宋体" w:cs="Arial"/>
          <w:kern w:val="0"/>
        </w:rPr>
      </w:pPr>
      <w:r>
        <w:rPr>
          <w:rFonts w:hint="eastAsia" w:ascii="宋体" w:hAnsi="宋体" w:cs="Arial"/>
          <w:kern w:val="0"/>
        </w:rPr>
        <w:t>基金份额持有人大会采取记名方式进行投票表决。</w:t>
      </w:r>
    </w:p>
    <w:p w14:paraId="39F27FAB">
      <w:pPr>
        <w:adjustRightInd w:val="0"/>
        <w:snapToGrid w:val="0"/>
        <w:spacing w:line="360" w:lineRule="auto"/>
        <w:ind w:firstLine="420" w:firstLineChars="200"/>
        <w:rPr>
          <w:rFonts w:ascii="宋体" w:hAnsi="宋体" w:cs="Arial"/>
          <w:kern w:val="0"/>
        </w:rPr>
      </w:pPr>
      <w:r>
        <w:rPr>
          <w:rFonts w:hint="eastAsia" w:ascii="宋体" w:hAnsi="宋体" w:cs="Arial"/>
          <w:kern w:val="0"/>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271884E9">
      <w:pPr>
        <w:adjustRightInd w:val="0"/>
        <w:snapToGrid w:val="0"/>
        <w:spacing w:line="360" w:lineRule="auto"/>
        <w:ind w:firstLine="420" w:firstLineChars="200"/>
        <w:rPr>
          <w:rFonts w:ascii="宋体" w:hAnsi="宋体" w:cs="Arial"/>
          <w:kern w:val="0"/>
        </w:rPr>
      </w:pPr>
      <w:r>
        <w:rPr>
          <w:rFonts w:hint="eastAsia" w:ascii="宋体" w:hAnsi="宋体" w:cs="Arial"/>
          <w:kern w:val="0"/>
        </w:rPr>
        <w:t>基金份额持有人大会的各项提案或同一项提案内并列的各项议题应当分开审议、逐项表决。</w:t>
      </w:r>
    </w:p>
    <w:p w14:paraId="72AFA48D">
      <w:pPr>
        <w:adjustRightInd w:val="0"/>
        <w:snapToGrid w:val="0"/>
        <w:spacing w:line="360" w:lineRule="auto"/>
        <w:ind w:firstLine="420" w:firstLineChars="200"/>
        <w:rPr>
          <w:rFonts w:ascii="宋体" w:hAnsi="宋体" w:cs="Arial"/>
          <w:kern w:val="0"/>
        </w:rPr>
      </w:pPr>
      <w:r>
        <w:rPr>
          <w:rFonts w:hint="eastAsia" w:ascii="宋体" w:hAnsi="宋体" w:cs="Arial"/>
          <w:kern w:val="0"/>
        </w:rPr>
        <w:t>在上述规则的前提下，具体规则以召集人发布的基金份额持有人大会通知为准。</w:t>
      </w:r>
    </w:p>
    <w:p w14:paraId="5748A11E">
      <w:pPr>
        <w:adjustRightInd w:val="0"/>
        <w:snapToGrid w:val="0"/>
        <w:spacing w:line="360" w:lineRule="auto"/>
        <w:ind w:firstLine="420" w:firstLineChars="200"/>
        <w:rPr>
          <w:rFonts w:ascii="宋体" w:hAnsi="宋体" w:cs="Arial"/>
          <w:kern w:val="0"/>
        </w:rPr>
      </w:pPr>
      <w:r>
        <w:rPr>
          <w:rFonts w:hint="eastAsia" w:ascii="宋体" w:hAnsi="宋体" w:cs="Arial"/>
          <w:kern w:val="0"/>
        </w:rPr>
        <w:t>（七）计票</w:t>
      </w:r>
    </w:p>
    <w:p w14:paraId="1859EB52">
      <w:pPr>
        <w:adjustRightInd w:val="0"/>
        <w:snapToGrid w:val="0"/>
        <w:spacing w:line="360" w:lineRule="auto"/>
        <w:ind w:firstLine="420" w:firstLineChars="200"/>
        <w:rPr>
          <w:rFonts w:ascii="宋体" w:hAnsi="宋体" w:cs="Arial"/>
          <w:kern w:val="0"/>
        </w:rPr>
      </w:pPr>
      <w:r>
        <w:rPr>
          <w:rFonts w:hint="eastAsia" w:ascii="宋体" w:hAnsi="宋体" w:cs="Arial"/>
          <w:kern w:val="0"/>
        </w:rPr>
        <w:t>1、现场开会</w:t>
      </w:r>
    </w:p>
    <w:p w14:paraId="4CA56016">
      <w:pPr>
        <w:adjustRightInd w:val="0"/>
        <w:snapToGrid w:val="0"/>
        <w:spacing w:line="360" w:lineRule="auto"/>
        <w:ind w:firstLine="420" w:firstLineChars="200"/>
        <w:rPr>
          <w:rFonts w:ascii="宋体" w:hAnsi="宋体" w:cs="Arial"/>
          <w:kern w:val="0"/>
        </w:rPr>
      </w:pPr>
      <w:r>
        <w:rPr>
          <w:rFonts w:hint="eastAsia" w:ascii="宋体" w:hAnsi="宋体" w:cs="Arial"/>
          <w:kern w:val="0"/>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7F6407C7">
      <w:pPr>
        <w:adjustRightInd w:val="0"/>
        <w:snapToGrid w:val="0"/>
        <w:spacing w:line="360" w:lineRule="auto"/>
        <w:ind w:firstLine="420" w:firstLineChars="200"/>
        <w:rPr>
          <w:rFonts w:ascii="宋体" w:hAnsi="宋体" w:cs="Arial"/>
          <w:kern w:val="0"/>
        </w:rPr>
      </w:pPr>
      <w:r>
        <w:rPr>
          <w:rFonts w:hint="eastAsia" w:ascii="宋体" w:hAnsi="宋体" w:cs="Arial"/>
          <w:kern w:val="0"/>
        </w:rPr>
        <w:t>（2）监票人应当在基金份额持有人表决后立即进行清点并由大会主持人当场公布计票结果。</w:t>
      </w:r>
    </w:p>
    <w:p w14:paraId="3B8B4AB0">
      <w:pPr>
        <w:adjustRightInd w:val="0"/>
        <w:snapToGrid w:val="0"/>
        <w:spacing w:line="360" w:lineRule="auto"/>
        <w:ind w:firstLine="420" w:firstLineChars="200"/>
        <w:rPr>
          <w:rFonts w:ascii="宋体" w:hAnsi="宋体" w:cs="Arial"/>
          <w:kern w:val="0"/>
        </w:rPr>
      </w:pPr>
      <w:r>
        <w:rPr>
          <w:rFonts w:hint="eastAsia" w:ascii="宋体" w:hAnsi="宋体" w:cs="Arial"/>
          <w:kern w:val="0"/>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69BD2344">
      <w:pPr>
        <w:adjustRightInd w:val="0"/>
        <w:snapToGrid w:val="0"/>
        <w:spacing w:line="360" w:lineRule="auto"/>
        <w:ind w:firstLine="420" w:firstLineChars="200"/>
        <w:rPr>
          <w:rFonts w:ascii="宋体" w:hAnsi="宋体" w:cs="Arial"/>
          <w:kern w:val="0"/>
        </w:rPr>
      </w:pPr>
      <w:r>
        <w:rPr>
          <w:rFonts w:hint="eastAsia" w:ascii="宋体" w:hAnsi="宋体" w:cs="Arial"/>
          <w:kern w:val="0"/>
        </w:rPr>
        <w:t>（4）计票过程应由公证机关予以公证，基金管理人或基金托管人拒不出席大会的，不影响计票的效力。</w:t>
      </w:r>
    </w:p>
    <w:p w14:paraId="17FEE609">
      <w:pPr>
        <w:adjustRightInd w:val="0"/>
        <w:snapToGrid w:val="0"/>
        <w:spacing w:line="360" w:lineRule="auto"/>
        <w:ind w:firstLine="420" w:firstLineChars="200"/>
        <w:rPr>
          <w:rFonts w:ascii="宋体" w:hAnsi="宋体" w:cs="Arial"/>
          <w:kern w:val="0"/>
        </w:rPr>
      </w:pPr>
      <w:r>
        <w:rPr>
          <w:rFonts w:hint="eastAsia" w:ascii="宋体" w:hAnsi="宋体" w:cs="Arial"/>
          <w:kern w:val="0"/>
        </w:rPr>
        <w:t>2、通讯开会</w:t>
      </w:r>
    </w:p>
    <w:p w14:paraId="28CBA430">
      <w:pPr>
        <w:adjustRightInd w:val="0"/>
        <w:snapToGrid w:val="0"/>
        <w:spacing w:line="360" w:lineRule="auto"/>
        <w:ind w:firstLine="420" w:firstLineChars="200"/>
        <w:rPr>
          <w:rFonts w:ascii="宋体" w:hAnsi="宋体" w:cs="Arial"/>
          <w:kern w:val="0"/>
        </w:rPr>
      </w:pPr>
      <w:r>
        <w:rPr>
          <w:rFonts w:hint="eastAsia" w:ascii="宋体" w:hAnsi="宋体" w:cs="Arial"/>
          <w:kern w:val="0"/>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276692C4">
      <w:pPr>
        <w:adjustRightInd w:val="0"/>
        <w:snapToGrid w:val="0"/>
        <w:spacing w:line="360" w:lineRule="auto"/>
        <w:ind w:firstLine="420" w:firstLineChars="200"/>
        <w:rPr>
          <w:rFonts w:ascii="宋体" w:hAnsi="宋体" w:cs="Arial"/>
          <w:kern w:val="0"/>
        </w:rPr>
      </w:pPr>
      <w:r>
        <w:rPr>
          <w:rFonts w:hint="eastAsia" w:ascii="宋体" w:hAnsi="宋体" w:cs="Arial"/>
          <w:kern w:val="0"/>
        </w:rPr>
        <w:t>（八）生效与公告</w:t>
      </w:r>
    </w:p>
    <w:p w14:paraId="25192E10">
      <w:pPr>
        <w:adjustRightInd w:val="0"/>
        <w:snapToGrid w:val="0"/>
        <w:spacing w:line="360" w:lineRule="auto"/>
        <w:ind w:firstLine="420" w:firstLineChars="200"/>
        <w:rPr>
          <w:rFonts w:ascii="宋体" w:hAnsi="宋体" w:cs="Arial"/>
          <w:kern w:val="0"/>
        </w:rPr>
      </w:pPr>
      <w:r>
        <w:rPr>
          <w:rFonts w:hint="eastAsia" w:ascii="宋体" w:hAnsi="宋体" w:cs="Arial"/>
          <w:kern w:val="0"/>
        </w:rPr>
        <w:t>基金份额持有人大会的决议，召集人应当自通过之日起5日内报中国证监会备案。</w:t>
      </w:r>
    </w:p>
    <w:p w14:paraId="5208F2E1">
      <w:pPr>
        <w:adjustRightInd w:val="0"/>
        <w:snapToGrid w:val="0"/>
        <w:spacing w:line="360" w:lineRule="auto"/>
        <w:ind w:firstLine="420" w:firstLineChars="200"/>
        <w:rPr>
          <w:rFonts w:ascii="宋体" w:hAnsi="宋体" w:cs="Arial"/>
          <w:kern w:val="0"/>
        </w:rPr>
      </w:pPr>
      <w:r>
        <w:rPr>
          <w:rFonts w:hint="eastAsia" w:ascii="宋体" w:hAnsi="宋体" w:cs="Arial"/>
          <w:kern w:val="0"/>
        </w:rPr>
        <w:t>基金份额持有人大会的决议自表决通过之日起生效。</w:t>
      </w:r>
    </w:p>
    <w:p w14:paraId="3C5A7E20">
      <w:pPr>
        <w:adjustRightInd w:val="0"/>
        <w:snapToGrid w:val="0"/>
        <w:spacing w:line="360" w:lineRule="auto"/>
        <w:ind w:firstLine="420" w:firstLineChars="200"/>
        <w:rPr>
          <w:rFonts w:ascii="宋体" w:hAnsi="宋体" w:cs="Arial"/>
          <w:kern w:val="0"/>
        </w:rPr>
      </w:pPr>
      <w:r>
        <w:rPr>
          <w:rFonts w:hint="eastAsia" w:ascii="宋体" w:hAnsi="宋体" w:cs="Arial"/>
          <w:kern w:val="0"/>
        </w:rPr>
        <w:t>基金份额持有人大会决议自生效之日起依照《信息披露办法》在规定媒介上公告。如果采用通讯方式进行表决，在公告基金份额持有人大会决议时，必须将公证书全文、公证机构、公证员姓名等一同公告。</w:t>
      </w:r>
    </w:p>
    <w:p w14:paraId="76A56A0A">
      <w:pPr>
        <w:adjustRightInd w:val="0"/>
        <w:snapToGrid w:val="0"/>
        <w:spacing w:line="360" w:lineRule="auto"/>
        <w:ind w:firstLine="420" w:firstLineChars="200"/>
        <w:rPr>
          <w:rFonts w:ascii="宋体" w:hAnsi="宋体" w:cs="Arial"/>
          <w:kern w:val="0"/>
        </w:rPr>
      </w:pPr>
      <w:r>
        <w:rPr>
          <w:rFonts w:hint="eastAsia" w:ascii="宋体" w:hAnsi="宋体" w:cs="Arial"/>
          <w:kern w:val="0"/>
        </w:rPr>
        <w:t>基金管理人、基金托管人和基金份额持有人应当执行生效的基金份额持有人大会的决议。生效的基金份额持有人大会决议对全体基金份额持有人、基金管理人、基金托管人均有约束力。</w:t>
      </w:r>
    </w:p>
    <w:p w14:paraId="42E1E85C">
      <w:pPr>
        <w:adjustRightInd w:val="0"/>
        <w:snapToGrid w:val="0"/>
        <w:spacing w:line="360" w:lineRule="auto"/>
        <w:ind w:firstLine="420" w:firstLineChars="200"/>
        <w:rPr>
          <w:rFonts w:ascii="宋体" w:hAnsi="宋体" w:cs="Arial"/>
          <w:kern w:val="0"/>
        </w:rPr>
      </w:pPr>
      <w:r>
        <w:rPr>
          <w:rFonts w:hint="eastAsia" w:ascii="宋体" w:hAnsi="宋体" w:cs="Arial"/>
          <w:kern w:val="0"/>
        </w:rPr>
        <w:t>（九）本部分关于基金份额持有人大会召开事由、召开条件、议事程序、表决条件等规定，凡是直接引用法律法规的部分，如将来法律法规修改导致相关内容被取消或变更的，基金管理人与基金托管人协商一致并履行适当程序后，可直接对本部分内容进行修改和调整，无需召开基金份额持有人大会审议。</w:t>
      </w:r>
    </w:p>
    <w:p w14:paraId="6F9BEC75">
      <w:pPr>
        <w:adjustRightInd w:val="0"/>
        <w:snapToGrid w:val="0"/>
        <w:spacing w:line="360" w:lineRule="auto"/>
        <w:ind w:firstLine="422" w:firstLineChars="200"/>
        <w:rPr>
          <w:rFonts w:ascii="宋体" w:hAnsi="宋体" w:cs="Arial"/>
          <w:b/>
          <w:bCs/>
          <w:kern w:val="0"/>
        </w:rPr>
      </w:pPr>
      <w:r>
        <w:rPr>
          <w:rFonts w:hint="eastAsia" w:ascii="宋体" w:hAnsi="宋体" w:cs="Arial"/>
          <w:b/>
          <w:bCs/>
          <w:kern w:val="0"/>
        </w:rPr>
        <w:t>三、基金合同的变更、终止与基金财产的清算</w:t>
      </w:r>
    </w:p>
    <w:p w14:paraId="4BCB38F1">
      <w:pPr>
        <w:adjustRightInd w:val="0"/>
        <w:snapToGrid w:val="0"/>
        <w:spacing w:line="360" w:lineRule="auto"/>
        <w:ind w:firstLine="420" w:firstLineChars="200"/>
        <w:rPr>
          <w:rFonts w:ascii="宋体" w:hAnsi="宋体" w:cs="Arial"/>
          <w:kern w:val="0"/>
        </w:rPr>
      </w:pPr>
      <w:r>
        <w:rPr>
          <w:rFonts w:hint="eastAsia" w:ascii="宋体" w:hAnsi="宋体" w:cs="Arial"/>
          <w:kern w:val="0"/>
        </w:rPr>
        <w:t>（一）《基金合同》的变更</w:t>
      </w:r>
    </w:p>
    <w:p w14:paraId="4E5459E1">
      <w:pPr>
        <w:adjustRightInd w:val="0"/>
        <w:snapToGrid w:val="0"/>
        <w:spacing w:line="360" w:lineRule="auto"/>
        <w:ind w:firstLine="420" w:firstLineChars="200"/>
        <w:rPr>
          <w:rFonts w:ascii="宋体" w:hAnsi="宋体" w:cs="Arial"/>
          <w:kern w:val="0"/>
        </w:rPr>
      </w:pPr>
      <w:r>
        <w:rPr>
          <w:rFonts w:hint="eastAsia" w:ascii="宋体" w:hAnsi="宋体" w:cs="Arial"/>
          <w:kern w:val="0"/>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w:t>
      </w:r>
    </w:p>
    <w:p w14:paraId="1508EEE6">
      <w:pPr>
        <w:adjustRightInd w:val="0"/>
        <w:snapToGrid w:val="0"/>
        <w:spacing w:line="360" w:lineRule="auto"/>
        <w:ind w:firstLine="420" w:firstLineChars="200"/>
        <w:rPr>
          <w:rFonts w:ascii="宋体" w:hAnsi="宋体" w:cs="Arial"/>
          <w:kern w:val="0"/>
        </w:rPr>
      </w:pPr>
      <w:r>
        <w:rPr>
          <w:rFonts w:hint="eastAsia" w:ascii="宋体" w:hAnsi="宋体" w:cs="Arial"/>
          <w:kern w:val="0"/>
        </w:rPr>
        <w:t>2、关于《基金合同》变更的基金份额持有人大会决议自生效后方可执行，自决议生效后按规定在规定媒介公告。</w:t>
      </w:r>
    </w:p>
    <w:p w14:paraId="12C19F16">
      <w:pPr>
        <w:adjustRightInd w:val="0"/>
        <w:snapToGrid w:val="0"/>
        <w:spacing w:line="360" w:lineRule="auto"/>
        <w:ind w:firstLine="420" w:firstLineChars="200"/>
        <w:rPr>
          <w:rFonts w:ascii="宋体" w:hAnsi="宋体" w:cs="Arial"/>
          <w:kern w:val="0"/>
        </w:rPr>
      </w:pPr>
      <w:r>
        <w:rPr>
          <w:rFonts w:hint="eastAsia" w:ascii="宋体" w:hAnsi="宋体" w:cs="Arial"/>
          <w:kern w:val="0"/>
        </w:rPr>
        <w:t>（二）《基金合同》的终止事由</w:t>
      </w:r>
    </w:p>
    <w:p w14:paraId="2900C4F1">
      <w:pPr>
        <w:adjustRightInd w:val="0"/>
        <w:snapToGrid w:val="0"/>
        <w:spacing w:line="360" w:lineRule="auto"/>
        <w:ind w:firstLine="420" w:firstLineChars="200"/>
        <w:rPr>
          <w:rFonts w:ascii="宋体" w:hAnsi="宋体" w:cs="Arial"/>
          <w:kern w:val="0"/>
        </w:rPr>
      </w:pPr>
      <w:r>
        <w:rPr>
          <w:rFonts w:hint="eastAsia" w:ascii="宋体" w:hAnsi="宋体" w:cs="Arial"/>
          <w:kern w:val="0"/>
        </w:rPr>
        <w:t>有下列情形之一的，经履行相关程序后，《基金合同》应当终止：</w:t>
      </w:r>
    </w:p>
    <w:p w14:paraId="1D902300">
      <w:pPr>
        <w:adjustRightInd w:val="0"/>
        <w:snapToGrid w:val="0"/>
        <w:spacing w:line="360" w:lineRule="auto"/>
        <w:ind w:firstLine="420" w:firstLineChars="200"/>
        <w:rPr>
          <w:rFonts w:ascii="宋体" w:hAnsi="宋体" w:cs="Arial"/>
          <w:kern w:val="0"/>
        </w:rPr>
      </w:pPr>
      <w:r>
        <w:rPr>
          <w:rFonts w:hint="eastAsia" w:ascii="宋体" w:hAnsi="宋体" w:cs="Arial"/>
          <w:kern w:val="0"/>
        </w:rPr>
        <w:t>1、基金份额持有人大会决定终止的；</w:t>
      </w:r>
    </w:p>
    <w:p w14:paraId="3D9B7B7C">
      <w:pPr>
        <w:adjustRightInd w:val="0"/>
        <w:snapToGrid w:val="0"/>
        <w:spacing w:line="360" w:lineRule="auto"/>
        <w:ind w:firstLine="420" w:firstLineChars="200"/>
        <w:rPr>
          <w:rFonts w:ascii="宋体" w:hAnsi="宋体" w:cs="Arial"/>
          <w:kern w:val="0"/>
        </w:rPr>
      </w:pPr>
      <w:r>
        <w:rPr>
          <w:rFonts w:hint="eastAsia" w:ascii="宋体" w:hAnsi="宋体" w:cs="Arial"/>
          <w:kern w:val="0"/>
        </w:rPr>
        <w:t>2、基金管理人、基金托管人职责终止，在6个月内没有新基金管理人、新基金托管人承接的；</w:t>
      </w:r>
    </w:p>
    <w:p w14:paraId="10DD1EA3">
      <w:pPr>
        <w:adjustRightInd w:val="0"/>
        <w:snapToGrid w:val="0"/>
        <w:spacing w:line="360" w:lineRule="auto"/>
        <w:ind w:firstLine="420" w:firstLineChars="200"/>
        <w:rPr>
          <w:rFonts w:ascii="宋体" w:hAnsi="宋体" w:cs="Arial"/>
          <w:kern w:val="0"/>
        </w:rPr>
      </w:pPr>
      <w:r>
        <w:rPr>
          <w:rFonts w:hint="eastAsia" w:ascii="宋体" w:hAnsi="宋体" w:cs="Arial"/>
          <w:kern w:val="0"/>
        </w:rPr>
        <w:t>3、《基金合同》约定的其他情形；</w:t>
      </w:r>
    </w:p>
    <w:p w14:paraId="0DED1DD9">
      <w:pPr>
        <w:adjustRightInd w:val="0"/>
        <w:snapToGrid w:val="0"/>
        <w:spacing w:line="360" w:lineRule="auto"/>
        <w:ind w:firstLine="420" w:firstLineChars="200"/>
        <w:rPr>
          <w:rFonts w:ascii="宋体" w:hAnsi="宋体" w:cs="Arial"/>
          <w:kern w:val="0"/>
        </w:rPr>
      </w:pPr>
      <w:r>
        <w:rPr>
          <w:rFonts w:hint="eastAsia" w:ascii="宋体" w:hAnsi="宋体" w:cs="Arial"/>
          <w:kern w:val="0"/>
        </w:rPr>
        <w:t>4、相关法律法规和中国证监会规定的其他情况。</w:t>
      </w:r>
    </w:p>
    <w:p w14:paraId="5C9EBE02">
      <w:pPr>
        <w:adjustRightInd w:val="0"/>
        <w:snapToGrid w:val="0"/>
        <w:spacing w:line="360" w:lineRule="auto"/>
        <w:ind w:firstLine="420" w:firstLineChars="200"/>
        <w:rPr>
          <w:rFonts w:ascii="宋体" w:hAnsi="宋体" w:cs="Arial"/>
          <w:kern w:val="0"/>
        </w:rPr>
      </w:pPr>
      <w:r>
        <w:rPr>
          <w:rFonts w:hint="eastAsia" w:ascii="宋体" w:hAnsi="宋体" w:cs="Arial"/>
          <w:kern w:val="0"/>
        </w:rPr>
        <w:t>（三）基金财产的清算</w:t>
      </w:r>
    </w:p>
    <w:p w14:paraId="50EC4B10">
      <w:pPr>
        <w:adjustRightInd w:val="0"/>
        <w:snapToGrid w:val="0"/>
        <w:spacing w:line="360" w:lineRule="auto"/>
        <w:ind w:firstLine="420" w:firstLineChars="200"/>
        <w:rPr>
          <w:rFonts w:ascii="宋体" w:hAnsi="宋体" w:cs="Arial"/>
          <w:kern w:val="0"/>
        </w:rPr>
      </w:pPr>
      <w:r>
        <w:rPr>
          <w:rFonts w:hint="eastAsia" w:ascii="宋体" w:hAnsi="宋体" w:cs="Arial"/>
          <w:kern w:val="0"/>
        </w:rPr>
        <w:t>1、基金财产清算小组：自出现《基金合同》终止事由之日起30个工作日内成立基金财产清算小组，基金管理人组织基金财产清算小组并在中国证监会的监督下进行基金清算。</w:t>
      </w:r>
    </w:p>
    <w:p w14:paraId="140873B7">
      <w:pPr>
        <w:adjustRightInd w:val="0"/>
        <w:snapToGrid w:val="0"/>
        <w:spacing w:line="360" w:lineRule="auto"/>
        <w:ind w:firstLine="420" w:firstLineChars="200"/>
        <w:rPr>
          <w:rFonts w:ascii="宋体" w:hAnsi="宋体" w:cs="Arial"/>
          <w:kern w:val="0"/>
        </w:rPr>
      </w:pPr>
      <w:r>
        <w:rPr>
          <w:rFonts w:hint="eastAsia" w:ascii="宋体" w:hAnsi="宋体" w:cs="Arial"/>
          <w:kern w:val="0"/>
        </w:rPr>
        <w:t>2、在基金财产清算小组接管基金财产之前，基金管理人和基金托管人应按照《基金合同》和托管协议的规定继续履行保护基金财产安全的职责。</w:t>
      </w:r>
    </w:p>
    <w:p w14:paraId="234BF139">
      <w:pPr>
        <w:adjustRightInd w:val="0"/>
        <w:snapToGrid w:val="0"/>
        <w:spacing w:line="360" w:lineRule="auto"/>
        <w:ind w:firstLine="420" w:firstLineChars="200"/>
        <w:rPr>
          <w:rFonts w:ascii="宋体" w:hAnsi="宋体" w:cs="Arial"/>
          <w:kern w:val="0"/>
        </w:rPr>
      </w:pPr>
      <w:r>
        <w:rPr>
          <w:rFonts w:hint="eastAsia" w:ascii="宋体" w:hAnsi="宋体" w:cs="Arial"/>
          <w:kern w:val="0"/>
        </w:rPr>
        <w:t>3、基金财产清算小组组成：基金财产清算小组成员由基金管理人、基金托管人、符合《证券法》规定的注册会计师、律师以及中国证监会指定的人员组成。基金财产清算小组可以聘用必要的工作人员。</w:t>
      </w:r>
    </w:p>
    <w:p w14:paraId="3371E4F6">
      <w:pPr>
        <w:adjustRightInd w:val="0"/>
        <w:snapToGrid w:val="0"/>
        <w:spacing w:line="360" w:lineRule="auto"/>
        <w:ind w:firstLine="420" w:firstLineChars="200"/>
        <w:rPr>
          <w:rFonts w:ascii="宋体" w:hAnsi="宋体" w:cs="Arial"/>
          <w:kern w:val="0"/>
        </w:rPr>
      </w:pPr>
      <w:r>
        <w:rPr>
          <w:rFonts w:hint="eastAsia" w:ascii="宋体" w:hAnsi="宋体" w:cs="Arial"/>
          <w:kern w:val="0"/>
        </w:rPr>
        <w:t>4、基金财产清算小组职责：基金财产清算小组负责基金财产的保管、清理、估价、变现和分配。基金财产清算小组可以依法进行必要的民事活动。</w:t>
      </w:r>
    </w:p>
    <w:p w14:paraId="33696F42">
      <w:pPr>
        <w:adjustRightInd w:val="0"/>
        <w:snapToGrid w:val="0"/>
        <w:spacing w:line="360" w:lineRule="auto"/>
        <w:ind w:firstLine="420" w:firstLineChars="200"/>
        <w:rPr>
          <w:rFonts w:ascii="宋体" w:hAnsi="宋体" w:cs="Arial"/>
          <w:kern w:val="0"/>
        </w:rPr>
      </w:pPr>
      <w:r>
        <w:rPr>
          <w:rFonts w:hint="eastAsia" w:ascii="宋体" w:hAnsi="宋体" w:cs="Arial"/>
          <w:kern w:val="0"/>
        </w:rPr>
        <w:t>5、在基金财产清算过程中，基金管理人和基金托管人应各自履行职责，继续忠实、勤勉、尽责地履行基金合同和托管协议规定的义务，维护基金份额持有人的合法权益。</w:t>
      </w:r>
    </w:p>
    <w:p w14:paraId="6EDE1229">
      <w:pPr>
        <w:adjustRightInd w:val="0"/>
        <w:snapToGrid w:val="0"/>
        <w:spacing w:line="360" w:lineRule="auto"/>
        <w:ind w:firstLine="420" w:firstLineChars="200"/>
        <w:rPr>
          <w:rFonts w:ascii="宋体" w:hAnsi="宋体" w:cs="Arial"/>
          <w:kern w:val="0"/>
        </w:rPr>
      </w:pPr>
      <w:r>
        <w:rPr>
          <w:rFonts w:hint="eastAsia" w:ascii="宋体" w:hAnsi="宋体" w:cs="Arial"/>
          <w:kern w:val="0"/>
        </w:rPr>
        <w:t>6、基金财产清算程序：</w:t>
      </w:r>
    </w:p>
    <w:p w14:paraId="586BB145">
      <w:pPr>
        <w:adjustRightInd w:val="0"/>
        <w:snapToGrid w:val="0"/>
        <w:spacing w:line="360" w:lineRule="auto"/>
        <w:ind w:firstLine="420" w:firstLineChars="200"/>
        <w:rPr>
          <w:rFonts w:ascii="宋体" w:hAnsi="宋体" w:cs="Arial"/>
          <w:kern w:val="0"/>
        </w:rPr>
      </w:pPr>
      <w:r>
        <w:rPr>
          <w:rFonts w:hint="eastAsia" w:ascii="宋体" w:hAnsi="宋体" w:cs="Arial"/>
          <w:kern w:val="0"/>
        </w:rPr>
        <w:t>（1）《基金合同》终止情形出现时，由基金财产清算小组统一接管基金；</w:t>
      </w:r>
    </w:p>
    <w:p w14:paraId="367C8001">
      <w:pPr>
        <w:adjustRightInd w:val="0"/>
        <w:snapToGrid w:val="0"/>
        <w:spacing w:line="360" w:lineRule="auto"/>
        <w:ind w:firstLine="420" w:firstLineChars="200"/>
        <w:rPr>
          <w:rFonts w:ascii="宋体" w:hAnsi="宋体" w:cs="Arial"/>
          <w:kern w:val="0"/>
        </w:rPr>
      </w:pPr>
      <w:r>
        <w:rPr>
          <w:rFonts w:hint="eastAsia" w:ascii="宋体" w:hAnsi="宋体" w:cs="Arial"/>
          <w:kern w:val="0"/>
        </w:rPr>
        <w:t>（2）对基金财产和债权债务进行清理和确认；</w:t>
      </w:r>
    </w:p>
    <w:p w14:paraId="61477B55">
      <w:pPr>
        <w:adjustRightInd w:val="0"/>
        <w:snapToGrid w:val="0"/>
        <w:spacing w:line="360" w:lineRule="auto"/>
        <w:ind w:firstLine="420" w:firstLineChars="200"/>
        <w:rPr>
          <w:rFonts w:ascii="宋体" w:hAnsi="宋体" w:cs="Arial"/>
          <w:kern w:val="0"/>
        </w:rPr>
      </w:pPr>
      <w:r>
        <w:rPr>
          <w:rFonts w:hint="eastAsia" w:ascii="宋体" w:hAnsi="宋体" w:cs="Arial"/>
          <w:kern w:val="0"/>
        </w:rPr>
        <w:t>（3）对基金财产进行估值和变现；</w:t>
      </w:r>
    </w:p>
    <w:p w14:paraId="0E5344F9">
      <w:pPr>
        <w:adjustRightInd w:val="0"/>
        <w:snapToGrid w:val="0"/>
        <w:spacing w:line="360" w:lineRule="auto"/>
        <w:ind w:firstLine="420" w:firstLineChars="200"/>
        <w:rPr>
          <w:rFonts w:ascii="宋体" w:hAnsi="宋体" w:cs="Arial"/>
          <w:kern w:val="0"/>
        </w:rPr>
      </w:pPr>
      <w:r>
        <w:rPr>
          <w:rFonts w:hint="eastAsia" w:ascii="宋体" w:hAnsi="宋体" w:cs="Arial"/>
          <w:kern w:val="0"/>
        </w:rPr>
        <w:t>（4）制作清算报告；</w:t>
      </w:r>
    </w:p>
    <w:p w14:paraId="2B89B6CF">
      <w:pPr>
        <w:adjustRightInd w:val="0"/>
        <w:snapToGrid w:val="0"/>
        <w:spacing w:line="360" w:lineRule="auto"/>
        <w:ind w:firstLine="420" w:firstLineChars="200"/>
        <w:rPr>
          <w:rFonts w:ascii="宋体" w:hAnsi="宋体" w:cs="Arial"/>
          <w:kern w:val="0"/>
        </w:rPr>
      </w:pPr>
      <w:r>
        <w:rPr>
          <w:rFonts w:hint="eastAsia" w:ascii="宋体" w:hAnsi="宋体" w:cs="Arial"/>
          <w:kern w:val="0"/>
        </w:rPr>
        <w:t>（5）聘请符合《证券法》规定的会计师事务所对清算报告进行外部审计，聘请律师事务所对清算报告出具法律意见书；</w:t>
      </w:r>
    </w:p>
    <w:p w14:paraId="5D36FF6F">
      <w:pPr>
        <w:adjustRightInd w:val="0"/>
        <w:snapToGrid w:val="0"/>
        <w:spacing w:line="360" w:lineRule="auto"/>
        <w:ind w:firstLine="420" w:firstLineChars="200"/>
        <w:rPr>
          <w:rFonts w:ascii="宋体" w:hAnsi="宋体" w:cs="Arial"/>
          <w:kern w:val="0"/>
        </w:rPr>
      </w:pPr>
      <w:r>
        <w:rPr>
          <w:rFonts w:hint="eastAsia" w:ascii="宋体" w:hAnsi="宋体" w:cs="Arial"/>
          <w:kern w:val="0"/>
        </w:rPr>
        <w:t>（6）将清算报告报中国证监会备案并公告；</w:t>
      </w:r>
    </w:p>
    <w:p w14:paraId="21F2362B">
      <w:pPr>
        <w:adjustRightInd w:val="0"/>
        <w:snapToGrid w:val="0"/>
        <w:spacing w:line="360" w:lineRule="auto"/>
        <w:ind w:firstLine="420" w:firstLineChars="200"/>
        <w:rPr>
          <w:rFonts w:ascii="宋体" w:hAnsi="宋体" w:cs="Arial"/>
          <w:kern w:val="0"/>
        </w:rPr>
      </w:pPr>
      <w:r>
        <w:rPr>
          <w:rFonts w:hint="eastAsia" w:ascii="宋体" w:hAnsi="宋体" w:cs="Arial"/>
          <w:kern w:val="0"/>
        </w:rPr>
        <w:t>（7）对基金剩余财产进行分配。</w:t>
      </w:r>
    </w:p>
    <w:p w14:paraId="6414D83A">
      <w:pPr>
        <w:adjustRightInd w:val="0"/>
        <w:snapToGrid w:val="0"/>
        <w:spacing w:line="360" w:lineRule="auto"/>
        <w:ind w:firstLine="420" w:firstLineChars="200"/>
        <w:rPr>
          <w:rFonts w:ascii="宋体" w:hAnsi="宋体" w:cs="Arial"/>
          <w:kern w:val="0"/>
        </w:rPr>
      </w:pPr>
      <w:r>
        <w:rPr>
          <w:rFonts w:hint="eastAsia" w:ascii="宋体" w:hAnsi="宋体" w:cs="Arial"/>
          <w:kern w:val="0"/>
        </w:rPr>
        <w:t>7、基金财产清算的期限为6个月，但因本基金所持证券的流动性受到限制而不能及时变现的，清算期限相应顺延。</w:t>
      </w:r>
    </w:p>
    <w:p w14:paraId="0EB8034A">
      <w:pPr>
        <w:adjustRightInd w:val="0"/>
        <w:snapToGrid w:val="0"/>
        <w:spacing w:line="360" w:lineRule="auto"/>
        <w:ind w:firstLine="420" w:firstLineChars="200"/>
        <w:rPr>
          <w:rFonts w:ascii="宋体" w:hAnsi="宋体" w:cs="Arial"/>
          <w:kern w:val="0"/>
        </w:rPr>
      </w:pPr>
      <w:r>
        <w:rPr>
          <w:rFonts w:hint="eastAsia" w:ascii="宋体" w:hAnsi="宋体" w:cs="Arial"/>
          <w:kern w:val="0"/>
        </w:rPr>
        <w:t>（四）清算费用</w:t>
      </w:r>
    </w:p>
    <w:p w14:paraId="4462D5AB">
      <w:pPr>
        <w:adjustRightInd w:val="0"/>
        <w:snapToGrid w:val="0"/>
        <w:spacing w:line="360" w:lineRule="auto"/>
        <w:ind w:firstLine="420" w:firstLineChars="200"/>
        <w:rPr>
          <w:rFonts w:ascii="宋体" w:hAnsi="宋体" w:cs="Arial"/>
          <w:kern w:val="0"/>
        </w:rPr>
      </w:pPr>
      <w:r>
        <w:rPr>
          <w:rFonts w:hint="eastAsia" w:ascii="宋体" w:hAnsi="宋体" w:cs="Arial"/>
          <w:kern w:val="0"/>
        </w:rPr>
        <w:t>清算费用是指基金财产清算小组在进行基金财产清算过程中发生的所有合理费用，清算费用由基金财产清算小组优先从基金剩余财产中支付。</w:t>
      </w:r>
    </w:p>
    <w:p w14:paraId="1EABEC45">
      <w:pPr>
        <w:adjustRightInd w:val="0"/>
        <w:snapToGrid w:val="0"/>
        <w:spacing w:line="360" w:lineRule="auto"/>
        <w:ind w:firstLine="420" w:firstLineChars="200"/>
        <w:rPr>
          <w:rFonts w:ascii="宋体" w:hAnsi="宋体" w:cs="Arial"/>
          <w:kern w:val="0"/>
        </w:rPr>
      </w:pPr>
      <w:r>
        <w:rPr>
          <w:rFonts w:hint="eastAsia" w:ascii="宋体" w:hAnsi="宋体" w:cs="Arial"/>
          <w:kern w:val="0"/>
        </w:rPr>
        <w:t>（五）基金财产清算剩余资产的分配</w:t>
      </w:r>
    </w:p>
    <w:p w14:paraId="4493E32A">
      <w:pPr>
        <w:adjustRightInd w:val="0"/>
        <w:snapToGrid w:val="0"/>
        <w:spacing w:line="360" w:lineRule="auto"/>
        <w:ind w:firstLine="420" w:firstLineChars="200"/>
        <w:rPr>
          <w:rFonts w:ascii="宋体" w:hAnsi="宋体" w:cs="Arial"/>
          <w:kern w:val="0"/>
        </w:rPr>
      </w:pPr>
      <w:r>
        <w:rPr>
          <w:rFonts w:hint="eastAsia" w:ascii="宋体" w:hAnsi="宋体" w:cs="Arial"/>
          <w:kern w:val="0"/>
        </w:rPr>
        <w:t>依据基金财产清算的分配方案，将基金财产清算后的全部剩余资产扣除基金财产清算费用、交纳所欠税款并清偿基金债务后，按基金份额持有人持有的基金份额比例进行分配。</w:t>
      </w:r>
    </w:p>
    <w:p w14:paraId="787EA2C3">
      <w:pPr>
        <w:adjustRightInd w:val="0"/>
        <w:snapToGrid w:val="0"/>
        <w:spacing w:line="360" w:lineRule="auto"/>
        <w:ind w:firstLine="420" w:firstLineChars="200"/>
        <w:rPr>
          <w:rFonts w:ascii="宋体" w:hAnsi="宋体" w:cs="Arial"/>
          <w:kern w:val="0"/>
        </w:rPr>
      </w:pPr>
      <w:r>
        <w:rPr>
          <w:rFonts w:hint="eastAsia" w:ascii="宋体" w:hAnsi="宋体" w:cs="Arial"/>
          <w:kern w:val="0"/>
        </w:rPr>
        <w:t>（六）基金财产清算的公告</w:t>
      </w:r>
    </w:p>
    <w:p w14:paraId="2D37113F">
      <w:pPr>
        <w:adjustRightInd w:val="0"/>
        <w:snapToGrid w:val="0"/>
        <w:spacing w:line="360" w:lineRule="auto"/>
        <w:ind w:firstLine="420" w:firstLineChars="200"/>
        <w:rPr>
          <w:rFonts w:ascii="宋体" w:hAnsi="宋体" w:cs="Arial"/>
          <w:kern w:val="0"/>
        </w:rPr>
      </w:pPr>
      <w:r>
        <w:rPr>
          <w:rFonts w:hint="eastAsia" w:ascii="宋体" w:hAnsi="宋体" w:cs="Arial"/>
          <w:kern w:val="0"/>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349D61D9">
      <w:pPr>
        <w:adjustRightInd w:val="0"/>
        <w:snapToGrid w:val="0"/>
        <w:spacing w:line="360" w:lineRule="auto"/>
        <w:ind w:firstLine="420" w:firstLineChars="200"/>
        <w:rPr>
          <w:rFonts w:ascii="宋体" w:hAnsi="宋体" w:cs="Arial"/>
          <w:kern w:val="0"/>
        </w:rPr>
      </w:pPr>
      <w:r>
        <w:rPr>
          <w:rFonts w:hint="eastAsia" w:ascii="宋体" w:hAnsi="宋体" w:cs="Arial"/>
          <w:kern w:val="0"/>
        </w:rPr>
        <w:t>（七）基金财产清算账册及文件的保存</w:t>
      </w:r>
    </w:p>
    <w:p w14:paraId="14BF9202">
      <w:pPr>
        <w:adjustRightInd w:val="0"/>
        <w:snapToGrid w:val="0"/>
        <w:spacing w:line="360" w:lineRule="auto"/>
        <w:ind w:firstLine="420" w:firstLineChars="200"/>
        <w:rPr>
          <w:rFonts w:ascii="宋体" w:hAnsi="宋体" w:cs="Arial"/>
          <w:kern w:val="0"/>
        </w:rPr>
      </w:pPr>
      <w:r>
        <w:rPr>
          <w:rFonts w:hint="eastAsia" w:ascii="宋体" w:hAnsi="宋体" w:cs="Arial"/>
          <w:kern w:val="0"/>
        </w:rPr>
        <w:t>基金财产清算账册及有关文件由基金托管人保存，保存期限按照法律法规的规定执行。</w:t>
      </w:r>
    </w:p>
    <w:p w14:paraId="145117D8">
      <w:pPr>
        <w:adjustRightInd w:val="0"/>
        <w:snapToGrid w:val="0"/>
        <w:spacing w:line="360" w:lineRule="auto"/>
        <w:ind w:firstLine="422" w:firstLineChars="200"/>
        <w:rPr>
          <w:rFonts w:ascii="宋体" w:hAnsi="宋体" w:cs="Arial"/>
          <w:b/>
          <w:bCs/>
          <w:kern w:val="0"/>
        </w:rPr>
      </w:pPr>
      <w:r>
        <w:rPr>
          <w:rFonts w:hint="eastAsia" w:ascii="宋体" w:hAnsi="宋体" w:cs="Arial"/>
          <w:b/>
          <w:bCs/>
          <w:kern w:val="0"/>
        </w:rPr>
        <w:t>四、争议的处理</w:t>
      </w:r>
    </w:p>
    <w:p w14:paraId="060C6707">
      <w:pPr>
        <w:adjustRightInd w:val="0"/>
        <w:snapToGrid w:val="0"/>
        <w:spacing w:line="360" w:lineRule="auto"/>
        <w:ind w:firstLine="420" w:firstLineChars="200"/>
        <w:rPr>
          <w:rFonts w:ascii="宋体" w:hAnsi="宋体" w:cs="Arial"/>
          <w:kern w:val="0"/>
        </w:rPr>
      </w:pPr>
      <w:r>
        <w:rPr>
          <w:rFonts w:hint="eastAsia" w:ascii="宋体" w:hAnsi="宋体" w:cs="Arial"/>
          <w:kern w:val="0"/>
        </w:rPr>
        <w:t>各方当事人同意，因《基金合同》而产生的或与《基金合同》有关的一切争议，如不愿或者不能通过协商、调解解决的，应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14:paraId="24D93BCE">
      <w:pPr>
        <w:adjustRightInd w:val="0"/>
        <w:snapToGrid w:val="0"/>
        <w:spacing w:line="360" w:lineRule="auto"/>
        <w:ind w:firstLine="420" w:firstLineChars="200"/>
        <w:rPr>
          <w:rFonts w:ascii="宋体" w:hAnsi="宋体" w:cs="Arial"/>
          <w:kern w:val="0"/>
        </w:rPr>
      </w:pPr>
      <w:r>
        <w:rPr>
          <w:rFonts w:hint="eastAsia" w:ascii="宋体" w:hAnsi="宋体" w:cs="Arial"/>
          <w:kern w:val="0"/>
        </w:rPr>
        <w:t>争议处理期间，基金管理人、基金托管人应恪守基金管理人和基金托管人的职责，各自继续忠实、勤勉、尽责地履行基金合同和基金托管协议规定的义务，维护基金份额持有人的合法权益。</w:t>
      </w:r>
    </w:p>
    <w:p w14:paraId="3CD81385">
      <w:pPr>
        <w:adjustRightInd w:val="0"/>
        <w:snapToGrid w:val="0"/>
        <w:spacing w:line="360" w:lineRule="auto"/>
        <w:ind w:firstLine="420" w:firstLineChars="200"/>
        <w:rPr>
          <w:rFonts w:ascii="宋体" w:hAnsi="宋体" w:cs="Arial"/>
          <w:kern w:val="0"/>
        </w:rPr>
      </w:pPr>
      <w:r>
        <w:rPr>
          <w:rFonts w:hint="eastAsia" w:ascii="宋体" w:hAnsi="宋体" w:cs="Arial"/>
          <w:kern w:val="0"/>
        </w:rPr>
        <w:t>《基金合同》受中国法律（为本基金合同之目的，在此不包括香港、澳门特别行政区法律和台湾地区的有关规定）管辖并从其解释。</w:t>
      </w:r>
    </w:p>
    <w:p w14:paraId="4871AC4F">
      <w:pPr>
        <w:adjustRightInd w:val="0"/>
        <w:snapToGrid w:val="0"/>
        <w:spacing w:line="360" w:lineRule="auto"/>
        <w:ind w:firstLine="422" w:firstLineChars="200"/>
        <w:rPr>
          <w:rFonts w:ascii="宋体" w:hAnsi="宋体" w:cs="Arial"/>
          <w:b/>
          <w:bCs/>
          <w:kern w:val="0"/>
        </w:rPr>
      </w:pPr>
      <w:r>
        <w:rPr>
          <w:rFonts w:hint="eastAsia" w:ascii="宋体" w:hAnsi="宋体" w:cs="Arial"/>
          <w:b/>
          <w:bCs/>
          <w:kern w:val="0"/>
        </w:rPr>
        <w:t>五、基金合同存放地和投资者取得合同的方式</w:t>
      </w:r>
    </w:p>
    <w:p w14:paraId="0D561154">
      <w:pPr>
        <w:adjustRightInd w:val="0"/>
        <w:snapToGrid w:val="0"/>
        <w:spacing w:line="360" w:lineRule="auto"/>
        <w:ind w:firstLine="420" w:firstLineChars="200"/>
        <w:rPr>
          <w:rFonts w:ascii="宋体" w:hAnsi="宋体" w:cs="Arial"/>
          <w:kern w:val="0"/>
        </w:rPr>
        <w:sectPr>
          <w:footerReference r:id="rId43" w:type="first"/>
          <w:footerReference r:id="rId42" w:type="default"/>
          <w:pgSz w:w="11906" w:h="16838"/>
          <w:pgMar w:top="1440" w:right="1800" w:bottom="1440" w:left="1800" w:header="851" w:footer="992" w:gutter="0"/>
          <w:pgNumType w:start="1"/>
          <w:cols w:space="720" w:num="1"/>
          <w:docGrid w:linePitch="312" w:charSpace="0"/>
        </w:sectPr>
      </w:pPr>
      <w:r>
        <w:rPr>
          <w:rFonts w:hint="eastAsia" w:ascii="宋体" w:hAnsi="宋体" w:cs="Arial"/>
          <w:kern w:val="0"/>
        </w:rPr>
        <w:t>本基金合同可印制成册，供投资人在基金管理人、基金托管人、代销机构和登记机构办公场所查阅。</w:t>
      </w:r>
      <w:bookmarkEnd w:id="203"/>
      <w:bookmarkStart w:id="204" w:name="_Toc31577"/>
      <w:bookmarkStart w:id="205" w:name="_Toc214873614"/>
      <w:bookmarkStart w:id="206" w:name="_Toc8052759"/>
      <w:bookmarkStart w:id="207" w:name="_Toc91110289"/>
    </w:p>
    <w:p w14:paraId="3DCBE36F"/>
    <w:p w14:paraId="51E0FFAD">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r>
        <w:rPr>
          <w:rFonts w:ascii="宋体" w:hAnsi="宋体" w:eastAsia="宋体" w:cs="Arial"/>
          <w:kern w:val="0"/>
          <w:sz w:val="28"/>
          <w:szCs w:val="28"/>
        </w:rPr>
        <w:t>第二十</w:t>
      </w:r>
      <w:r>
        <w:rPr>
          <w:rFonts w:hint="eastAsia" w:ascii="宋体" w:hAnsi="宋体" w:eastAsia="宋体" w:cs="Arial"/>
          <w:kern w:val="0"/>
          <w:sz w:val="28"/>
          <w:szCs w:val="28"/>
        </w:rPr>
        <w:t>一</w:t>
      </w:r>
      <w:r>
        <w:rPr>
          <w:rFonts w:ascii="宋体" w:hAnsi="宋体" w:eastAsia="宋体" w:cs="Arial"/>
          <w:kern w:val="0"/>
          <w:sz w:val="28"/>
          <w:szCs w:val="28"/>
        </w:rPr>
        <w:t>部分  基金托管协议的内容摘要</w:t>
      </w:r>
      <w:bookmarkEnd w:id="204"/>
      <w:bookmarkEnd w:id="205"/>
      <w:bookmarkEnd w:id="206"/>
      <w:bookmarkEnd w:id="207"/>
    </w:p>
    <w:p w14:paraId="3FBD6E55">
      <w:pPr>
        <w:numPr>
          <w:ilvl w:val="0"/>
          <w:numId w:val="7"/>
        </w:numPr>
        <w:spacing w:line="360" w:lineRule="auto"/>
        <w:rPr>
          <w:rFonts w:ascii="宋体" w:hAnsi="宋体" w:cs="Arial"/>
          <w:b/>
        </w:rPr>
      </w:pPr>
      <w:bookmarkStart w:id="208" w:name="_Toc288639814"/>
      <w:bookmarkStart w:id="209" w:name="_Toc286319592"/>
      <w:bookmarkStart w:id="210" w:name="_Toc116900096"/>
      <w:bookmarkStart w:id="211" w:name="_Toc278986604"/>
      <w:bookmarkStart w:id="212" w:name="_Toc278986889"/>
      <w:bookmarkStart w:id="213" w:name="_Toc287014241"/>
      <w:bookmarkStart w:id="214" w:name="_Toc252355955"/>
      <w:bookmarkStart w:id="215" w:name="_Toc278986829"/>
      <w:bookmarkStart w:id="216" w:name="_Hlk95335853"/>
      <w:r>
        <w:rPr>
          <w:rFonts w:hint="eastAsia" w:ascii="宋体" w:hAnsi="宋体" w:cs="Arial"/>
          <w:b/>
        </w:rPr>
        <w:t>基金</w:t>
      </w:r>
      <w:r>
        <w:rPr>
          <w:rFonts w:ascii="宋体" w:hAnsi="宋体" w:cs="Arial"/>
          <w:b/>
        </w:rPr>
        <w:t>托管协议当事人</w:t>
      </w:r>
      <w:bookmarkEnd w:id="208"/>
      <w:bookmarkEnd w:id="209"/>
      <w:bookmarkEnd w:id="210"/>
      <w:bookmarkEnd w:id="211"/>
      <w:bookmarkEnd w:id="212"/>
      <w:bookmarkEnd w:id="213"/>
      <w:bookmarkEnd w:id="214"/>
      <w:bookmarkEnd w:id="215"/>
    </w:p>
    <w:p w14:paraId="613E8E97">
      <w:pPr>
        <w:spacing w:line="360" w:lineRule="auto"/>
        <w:ind w:firstLine="420" w:firstLineChars="200"/>
        <w:rPr>
          <w:rFonts w:ascii="宋体" w:hAnsi="宋体" w:cs="Arial"/>
        </w:rPr>
      </w:pPr>
      <w:bookmarkStart w:id="217" w:name="_Toc252355957"/>
      <w:bookmarkStart w:id="218" w:name="_Toc278986890"/>
      <w:bookmarkStart w:id="219" w:name="_Toc116900098"/>
      <w:bookmarkStart w:id="220" w:name="_Toc278986605"/>
      <w:bookmarkStart w:id="221" w:name="_Toc287014242"/>
      <w:bookmarkStart w:id="222" w:name="_Toc288639815"/>
      <w:bookmarkStart w:id="223" w:name="_Toc278986830"/>
      <w:bookmarkStart w:id="224" w:name="_Toc286319593"/>
      <w:r>
        <w:rPr>
          <w:rFonts w:hint="eastAsia" w:ascii="宋体" w:hAnsi="宋体" w:cs="Arial"/>
        </w:rPr>
        <w:t>（一）基金管理人</w:t>
      </w:r>
    </w:p>
    <w:p w14:paraId="37F11D49">
      <w:pPr>
        <w:spacing w:line="360" w:lineRule="auto"/>
        <w:ind w:firstLine="420" w:firstLineChars="200"/>
        <w:rPr>
          <w:rFonts w:ascii="宋体" w:hAnsi="宋体" w:cs="Arial"/>
        </w:rPr>
      </w:pPr>
      <w:r>
        <w:rPr>
          <w:rFonts w:hint="eastAsia" w:ascii="宋体" w:hAnsi="宋体" w:cs="Arial"/>
        </w:rPr>
        <w:t>名称：博时基金管理有限公司</w:t>
      </w:r>
    </w:p>
    <w:p w14:paraId="37FD389C">
      <w:pPr>
        <w:spacing w:line="360" w:lineRule="auto"/>
        <w:ind w:firstLine="420" w:firstLineChars="200"/>
        <w:rPr>
          <w:rFonts w:ascii="宋体" w:hAnsi="宋体" w:cs="Arial"/>
        </w:rPr>
      </w:pPr>
      <w:r>
        <w:rPr>
          <w:rFonts w:hint="eastAsia" w:ascii="宋体" w:hAnsi="宋体" w:cs="Arial"/>
        </w:rPr>
        <w:t>注册地址：深圳市福田区莲花街道福新社区益田路5999号基金大厦21层</w:t>
      </w:r>
    </w:p>
    <w:p w14:paraId="08719044">
      <w:pPr>
        <w:spacing w:line="360" w:lineRule="auto"/>
        <w:ind w:firstLine="420" w:firstLineChars="200"/>
        <w:rPr>
          <w:rFonts w:ascii="宋体" w:hAnsi="宋体" w:cs="Arial"/>
        </w:rPr>
      </w:pPr>
      <w:r>
        <w:rPr>
          <w:rFonts w:hint="eastAsia" w:ascii="宋体" w:hAnsi="宋体" w:cs="Arial"/>
        </w:rPr>
        <w:t>办公地址：深圳市福田区莲花街道福新社区益田路5999号基金大厦21层</w:t>
      </w:r>
    </w:p>
    <w:p w14:paraId="07B84125">
      <w:pPr>
        <w:spacing w:line="360" w:lineRule="auto"/>
        <w:ind w:firstLine="420" w:firstLineChars="200"/>
        <w:rPr>
          <w:rFonts w:ascii="宋体" w:hAnsi="宋体" w:cs="Arial"/>
        </w:rPr>
      </w:pPr>
      <w:r>
        <w:rPr>
          <w:rFonts w:hint="eastAsia" w:ascii="宋体" w:hAnsi="宋体" w:cs="Arial"/>
        </w:rPr>
        <w:t>法定代表人：张东</w:t>
      </w:r>
    </w:p>
    <w:p w14:paraId="42A7E402">
      <w:pPr>
        <w:spacing w:line="360" w:lineRule="auto"/>
        <w:ind w:firstLine="420" w:firstLineChars="200"/>
        <w:rPr>
          <w:rFonts w:ascii="宋体" w:hAnsi="宋体" w:cs="Arial"/>
        </w:rPr>
      </w:pPr>
      <w:r>
        <w:rPr>
          <w:rFonts w:hint="eastAsia" w:ascii="宋体" w:hAnsi="宋体" w:cs="Arial"/>
        </w:rPr>
        <w:t>成立日期：1998年7月13日</w:t>
      </w:r>
    </w:p>
    <w:p w14:paraId="3DE30A14">
      <w:pPr>
        <w:spacing w:line="360" w:lineRule="auto"/>
        <w:ind w:firstLine="420" w:firstLineChars="200"/>
        <w:rPr>
          <w:rFonts w:ascii="宋体" w:hAnsi="宋体" w:cs="Arial"/>
        </w:rPr>
      </w:pPr>
      <w:r>
        <w:rPr>
          <w:rFonts w:hint="eastAsia" w:ascii="宋体" w:hAnsi="宋体" w:cs="Arial"/>
        </w:rPr>
        <w:t>批准设立机关及批准设立文号：中国证监会证监基字【1998】26号</w:t>
      </w:r>
    </w:p>
    <w:p w14:paraId="4A066394">
      <w:pPr>
        <w:spacing w:line="360" w:lineRule="auto"/>
        <w:ind w:firstLine="420" w:firstLineChars="200"/>
        <w:rPr>
          <w:rFonts w:ascii="宋体" w:hAnsi="宋体" w:cs="Arial"/>
        </w:rPr>
      </w:pPr>
      <w:r>
        <w:rPr>
          <w:rFonts w:hint="eastAsia" w:ascii="宋体" w:hAnsi="宋体" w:cs="Arial"/>
        </w:rPr>
        <w:t>组织形式：有限责任公司</w:t>
      </w:r>
    </w:p>
    <w:p w14:paraId="7226F516">
      <w:pPr>
        <w:spacing w:line="360" w:lineRule="auto"/>
        <w:ind w:firstLine="420" w:firstLineChars="200"/>
        <w:rPr>
          <w:rFonts w:ascii="宋体" w:hAnsi="宋体" w:cs="Arial"/>
        </w:rPr>
      </w:pPr>
      <w:r>
        <w:rPr>
          <w:rFonts w:hint="eastAsia" w:ascii="宋体" w:hAnsi="宋体" w:cs="Arial"/>
        </w:rPr>
        <w:t>注册资本：2.5亿元</w:t>
      </w:r>
    </w:p>
    <w:p w14:paraId="5B954267">
      <w:pPr>
        <w:spacing w:line="360" w:lineRule="auto"/>
        <w:ind w:firstLine="420" w:firstLineChars="200"/>
        <w:rPr>
          <w:rFonts w:ascii="宋体" w:hAnsi="宋体" w:cs="Arial"/>
        </w:rPr>
      </w:pPr>
      <w:r>
        <w:rPr>
          <w:rFonts w:hint="eastAsia" w:ascii="宋体" w:hAnsi="宋体" w:cs="Arial"/>
        </w:rPr>
        <w:t>存续期间：持续经营</w:t>
      </w:r>
    </w:p>
    <w:p w14:paraId="08215B8A">
      <w:pPr>
        <w:spacing w:line="360" w:lineRule="auto"/>
        <w:ind w:firstLine="420" w:firstLineChars="200"/>
        <w:rPr>
          <w:rFonts w:ascii="宋体" w:hAnsi="宋体" w:cs="Arial"/>
        </w:rPr>
      </w:pPr>
      <w:r>
        <w:rPr>
          <w:rFonts w:hint="eastAsia" w:ascii="宋体" w:hAnsi="宋体" w:cs="Arial"/>
        </w:rPr>
        <w:t xml:space="preserve">经营范围：基金募集、基金销售、资产管理和中国证监会许可的其他业务 </w:t>
      </w:r>
    </w:p>
    <w:p w14:paraId="02C162C0">
      <w:pPr>
        <w:spacing w:line="360" w:lineRule="auto"/>
        <w:ind w:firstLine="420" w:firstLineChars="200"/>
        <w:rPr>
          <w:rFonts w:ascii="宋体" w:hAnsi="宋体" w:cs="Arial"/>
        </w:rPr>
      </w:pPr>
      <w:r>
        <w:rPr>
          <w:rFonts w:hint="eastAsia" w:ascii="宋体" w:hAnsi="宋体" w:cs="Arial"/>
        </w:rPr>
        <w:t>（二）基金托管人</w:t>
      </w:r>
    </w:p>
    <w:p w14:paraId="4FF61A45">
      <w:pPr>
        <w:spacing w:line="360" w:lineRule="auto"/>
        <w:ind w:firstLine="420" w:firstLineChars="200"/>
        <w:rPr>
          <w:rFonts w:ascii="宋体" w:hAnsi="宋体" w:cs="Arial"/>
        </w:rPr>
      </w:pPr>
      <w:r>
        <w:rPr>
          <w:rFonts w:hint="eastAsia" w:ascii="宋体" w:hAnsi="宋体" w:cs="Arial"/>
        </w:rPr>
        <w:t>名称：中国建设银行股份有限公司(简称：中国建设银行)</w:t>
      </w:r>
    </w:p>
    <w:p w14:paraId="2F5A9D97">
      <w:pPr>
        <w:spacing w:line="360" w:lineRule="auto"/>
        <w:ind w:firstLine="420" w:firstLineChars="200"/>
        <w:rPr>
          <w:rFonts w:ascii="宋体" w:hAnsi="宋体" w:cs="Arial"/>
        </w:rPr>
      </w:pPr>
      <w:r>
        <w:rPr>
          <w:rFonts w:hint="eastAsia" w:ascii="宋体" w:hAnsi="宋体" w:cs="Arial"/>
        </w:rPr>
        <w:t>住所：北京市西城区金融大街25号</w:t>
      </w:r>
    </w:p>
    <w:p w14:paraId="425C7023">
      <w:pPr>
        <w:spacing w:line="360" w:lineRule="auto"/>
        <w:ind w:firstLine="420" w:firstLineChars="200"/>
        <w:rPr>
          <w:rFonts w:ascii="宋体" w:hAnsi="宋体" w:cs="Arial"/>
        </w:rPr>
      </w:pPr>
      <w:r>
        <w:rPr>
          <w:rFonts w:hint="eastAsia" w:ascii="宋体" w:hAnsi="宋体" w:cs="Arial"/>
        </w:rPr>
        <w:t>办公地址：北京市西城区闹市口大街1号院1号楼</w:t>
      </w:r>
    </w:p>
    <w:p w14:paraId="6F46D716">
      <w:pPr>
        <w:spacing w:line="360" w:lineRule="auto"/>
        <w:ind w:firstLine="420" w:firstLineChars="200"/>
        <w:rPr>
          <w:rFonts w:ascii="宋体" w:hAnsi="宋体" w:cs="Arial"/>
        </w:rPr>
      </w:pPr>
      <w:r>
        <w:rPr>
          <w:rFonts w:hint="eastAsia" w:ascii="宋体" w:hAnsi="宋体" w:cs="Arial"/>
        </w:rPr>
        <w:t>邮政编码：100033</w:t>
      </w:r>
    </w:p>
    <w:p w14:paraId="0BB6682C">
      <w:pPr>
        <w:spacing w:line="360" w:lineRule="auto"/>
        <w:ind w:firstLine="420" w:firstLineChars="200"/>
        <w:rPr>
          <w:rFonts w:ascii="宋体" w:hAnsi="宋体" w:cs="Arial"/>
        </w:rPr>
      </w:pPr>
      <w:r>
        <w:rPr>
          <w:rFonts w:hint="eastAsia" w:ascii="宋体" w:hAnsi="宋体" w:cs="Arial"/>
        </w:rPr>
        <w:t>法定代表人：张金良</w:t>
      </w:r>
    </w:p>
    <w:p w14:paraId="6FC71927">
      <w:pPr>
        <w:spacing w:line="360" w:lineRule="auto"/>
        <w:ind w:firstLine="420" w:firstLineChars="200"/>
        <w:rPr>
          <w:rFonts w:ascii="宋体" w:hAnsi="宋体" w:cs="Arial"/>
        </w:rPr>
      </w:pPr>
      <w:r>
        <w:rPr>
          <w:rFonts w:hint="eastAsia" w:ascii="宋体" w:hAnsi="宋体" w:cs="Arial"/>
        </w:rPr>
        <w:t>成立日期：2004年09月17日</w:t>
      </w:r>
    </w:p>
    <w:p w14:paraId="441CDDB6">
      <w:pPr>
        <w:spacing w:line="360" w:lineRule="auto"/>
        <w:ind w:firstLine="420" w:firstLineChars="200"/>
        <w:rPr>
          <w:rFonts w:ascii="宋体" w:hAnsi="宋体" w:cs="Arial"/>
        </w:rPr>
      </w:pPr>
      <w:r>
        <w:rPr>
          <w:rFonts w:hint="eastAsia" w:ascii="宋体" w:hAnsi="宋体" w:cs="Arial"/>
        </w:rPr>
        <w:t>基金托管业务批准文号：中国证监会证监基字[1998]12号</w:t>
      </w:r>
    </w:p>
    <w:p w14:paraId="2272625D">
      <w:pPr>
        <w:spacing w:line="360" w:lineRule="auto"/>
        <w:ind w:firstLine="420" w:firstLineChars="200"/>
        <w:rPr>
          <w:rFonts w:ascii="宋体" w:hAnsi="宋体" w:cs="Arial"/>
        </w:rPr>
      </w:pPr>
      <w:r>
        <w:rPr>
          <w:rFonts w:hint="eastAsia" w:ascii="宋体" w:hAnsi="宋体" w:cs="Arial"/>
        </w:rPr>
        <w:t>组织形式：股份有限公司</w:t>
      </w:r>
    </w:p>
    <w:p w14:paraId="19345C0F">
      <w:pPr>
        <w:spacing w:line="360" w:lineRule="auto"/>
        <w:ind w:firstLine="420" w:firstLineChars="200"/>
        <w:rPr>
          <w:rFonts w:ascii="宋体" w:hAnsi="宋体" w:cs="Arial"/>
        </w:rPr>
      </w:pPr>
      <w:r>
        <w:rPr>
          <w:rFonts w:hint="eastAsia" w:ascii="宋体" w:hAnsi="宋体" w:cs="Arial"/>
        </w:rPr>
        <w:t>注册资本：贰仟陆佰壹拾陆亿零叁拾捌万壹仟肆佰伍拾玖元整</w:t>
      </w:r>
    </w:p>
    <w:p w14:paraId="08BC6FDD">
      <w:pPr>
        <w:spacing w:line="360" w:lineRule="auto"/>
        <w:ind w:firstLine="420" w:firstLineChars="200"/>
        <w:rPr>
          <w:rFonts w:ascii="宋体" w:hAnsi="宋体" w:cs="Arial"/>
        </w:rPr>
      </w:pPr>
      <w:r>
        <w:rPr>
          <w:rFonts w:hint="eastAsia" w:ascii="宋体" w:hAnsi="宋体" w:cs="Arial"/>
        </w:rPr>
        <w:t>存续期间：持续经营</w:t>
      </w:r>
    </w:p>
    <w:p w14:paraId="401C1E8B">
      <w:pPr>
        <w:spacing w:line="360" w:lineRule="auto"/>
        <w:ind w:firstLine="420" w:firstLineChars="200"/>
        <w:rPr>
          <w:rFonts w:ascii="宋体" w:hAnsi="宋体" w:cs="Arial"/>
        </w:rPr>
      </w:pPr>
      <w:r>
        <w:rPr>
          <w:rFonts w:hint="eastAsia" w:ascii="宋体" w:hAnsi="宋体" w:cs="Arial"/>
        </w:rPr>
        <w:t>经营范围：吸收公众存款；发放短期、中期、长期贷款；办理国内外结算；办理票据承兑与贴现；发行金融债券；代理发行、代理兑付、承销政府债券；买卖政府债券、金融债券；从事同业拆借；买卖、代理买卖外汇；从事银行卡业务；提供信用证服务及担保；代理收付款项及代理保险业务；提供保管箱服务；经中国银行业监督管理机构等监管部门批准的其他业务。</w:t>
      </w:r>
    </w:p>
    <w:p w14:paraId="11CC8940">
      <w:pPr>
        <w:spacing w:line="360" w:lineRule="auto"/>
        <w:ind w:firstLine="422" w:firstLineChars="200"/>
        <w:rPr>
          <w:rFonts w:ascii="宋体" w:hAnsi="宋体" w:cs="Arial"/>
          <w:b/>
        </w:rPr>
      </w:pPr>
      <w:r>
        <w:rPr>
          <w:rFonts w:hint="eastAsia" w:ascii="宋体" w:hAnsi="宋体" w:cs="Arial"/>
          <w:b/>
          <w:bCs/>
        </w:rPr>
        <w:t>二、</w:t>
      </w:r>
      <w:r>
        <w:rPr>
          <w:rFonts w:ascii="宋体" w:hAnsi="宋体" w:cs="Arial"/>
          <w:b/>
        </w:rPr>
        <w:t>基金托管人对基金管理人的业务监督和核查</w:t>
      </w:r>
      <w:bookmarkEnd w:id="217"/>
      <w:bookmarkEnd w:id="218"/>
      <w:bookmarkEnd w:id="219"/>
      <w:bookmarkEnd w:id="220"/>
      <w:bookmarkEnd w:id="221"/>
      <w:bookmarkEnd w:id="222"/>
      <w:bookmarkEnd w:id="223"/>
      <w:bookmarkEnd w:id="224"/>
    </w:p>
    <w:p w14:paraId="6EBA0C0D">
      <w:pPr>
        <w:spacing w:line="360" w:lineRule="auto"/>
        <w:ind w:firstLine="420" w:firstLineChars="200"/>
        <w:rPr>
          <w:rFonts w:ascii="宋体" w:hAnsi="宋体" w:cs="Arial"/>
        </w:rPr>
      </w:pPr>
      <w:bookmarkStart w:id="225" w:name="_Toc278986606"/>
      <w:bookmarkStart w:id="226" w:name="_Toc278986891"/>
      <w:bookmarkStart w:id="227" w:name="_Toc286319594"/>
      <w:bookmarkStart w:id="228" w:name="_Toc287014243"/>
      <w:bookmarkStart w:id="229" w:name="_Toc288639816"/>
      <w:bookmarkStart w:id="230" w:name="_Toc252355958"/>
      <w:bookmarkStart w:id="231" w:name="_Toc278986831"/>
      <w:r>
        <w:rPr>
          <w:rFonts w:hint="eastAsia" w:ascii="宋体" w:hAnsi="宋体" w:cs="Arial"/>
        </w:rPr>
        <w:t>（一）基金托管人根据有关法律法规的规定及《基金合同》的约定，对基金投资范围、投资对象进行监督。《基金合同》明确约定基金投资风格或证券选择标准的，基金管理人应按照基金托管人要求的格式，将拟投资的标的证券库提供给基金托管人，基金管理人可以根据实际情况的变化，对标的证券库予以更新和调整并及时书面通知基金托管人。 基金托管人根据上述投资范围对基金实际投资是否符合《基金合同》关于证券选择标准的约定进行监督。</w:t>
      </w:r>
    </w:p>
    <w:p w14:paraId="726D4A94">
      <w:pPr>
        <w:spacing w:line="360" w:lineRule="auto"/>
        <w:ind w:firstLine="420" w:firstLineChars="200"/>
        <w:rPr>
          <w:rFonts w:ascii="宋体" w:hAnsi="宋体" w:cs="Arial"/>
        </w:rPr>
      </w:pPr>
      <w:r>
        <w:rPr>
          <w:rFonts w:hint="eastAsia" w:ascii="宋体" w:hAnsi="宋体" w:cs="Arial"/>
        </w:rPr>
        <w:t>本基金主要投资于标的指数成份股和备选成份股（含存托凭证）。</w:t>
      </w:r>
    </w:p>
    <w:p w14:paraId="65D2F358">
      <w:pPr>
        <w:spacing w:line="360" w:lineRule="auto"/>
        <w:ind w:firstLine="420" w:firstLineChars="200"/>
        <w:rPr>
          <w:rFonts w:ascii="宋体" w:hAnsi="宋体" w:cs="Arial"/>
        </w:rPr>
      </w:pPr>
      <w:r>
        <w:rPr>
          <w:rFonts w:hint="eastAsia" w:ascii="宋体" w:hAnsi="宋体" w:cs="Arial"/>
        </w:rPr>
        <w:t>为更好地实现基金的投资目标，本基金可能会少量投资于依法发行上市的非成份股（包括创业板及其他经中国证监会核准或注册上市的股票和存托凭证）、债券（包括国债、金融债、地方政府债、政府支持债券、政府支持机构债券、企业债、公司债、可转换债券（含可分离交易可转债）、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w:t>
      </w:r>
    </w:p>
    <w:p w14:paraId="68CE603E">
      <w:pPr>
        <w:spacing w:line="360" w:lineRule="auto"/>
        <w:ind w:firstLine="420" w:firstLineChars="200"/>
        <w:rPr>
          <w:rFonts w:ascii="宋体" w:hAnsi="宋体" w:cs="Arial"/>
        </w:rPr>
      </w:pPr>
      <w:r>
        <w:rPr>
          <w:rFonts w:hint="eastAsia" w:ascii="宋体" w:hAnsi="宋体" w:cs="Arial"/>
        </w:rPr>
        <w:t>本基金可根据法律法规的规定参与融资和转融通证券出借业务。</w:t>
      </w:r>
    </w:p>
    <w:p w14:paraId="504F0C3B">
      <w:pPr>
        <w:spacing w:line="360" w:lineRule="auto"/>
        <w:ind w:firstLine="420" w:firstLineChars="200"/>
        <w:rPr>
          <w:rFonts w:ascii="宋体" w:hAnsi="宋体" w:cs="Arial"/>
        </w:rPr>
      </w:pPr>
      <w:r>
        <w:rPr>
          <w:rFonts w:hint="eastAsia" w:ascii="宋体" w:hAnsi="宋体" w:cs="Arial"/>
        </w:rPr>
        <w:t>如法律法规或中国证监会以后允许基金投资其他品种，本基金管理人在履行适当程序后，可以将其纳入本基金的投资范围。</w:t>
      </w:r>
    </w:p>
    <w:p w14:paraId="039507E2">
      <w:pPr>
        <w:spacing w:line="360" w:lineRule="auto"/>
        <w:ind w:firstLine="420" w:firstLineChars="200"/>
        <w:rPr>
          <w:rFonts w:ascii="宋体" w:hAnsi="宋体" w:cs="Arial"/>
        </w:rPr>
      </w:pPr>
      <w:r>
        <w:rPr>
          <w:rFonts w:hint="eastAsia" w:ascii="宋体" w:hAnsi="宋体" w:cs="Arial"/>
        </w:rPr>
        <w:t>本基金投资于标的指数成份股和备选成份股（含存托凭证）的资产比例不低于基金资产净值的90%，且不低于非现金基金资产的80%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w:t>
      </w:r>
    </w:p>
    <w:p w14:paraId="075C116B">
      <w:pPr>
        <w:spacing w:line="360" w:lineRule="auto"/>
        <w:ind w:firstLine="420" w:firstLineChars="200"/>
        <w:rPr>
          <w:rFonts w:ascii="宋体" w:hAnsi="宋体" w:cs="Arial"/>
        </w:rPr>
      </w:pPr>
      <w:r>
        <w:rPr>
          <w:rFonts w:hint="eastAsia" w:ascii="宋体" w:hAnsi="宋体" w:cs="Arial"/>
        </w:rPr>
        <w:t>若法律法规的相关规定发生变更或监管机构允许，本基金管理人在履行适当程序后，可对上述资产配置比例进行调整。</w:t>
      </w:r>
    </w:p>
    <w:p w14:paraId="7214DEB4">
      <w:pPr>
        <w:spacing w:line="360" w:lineRule="auto"/>
        <w:ind w:firstLine="420" w:firstLineChars="200"/>
        <w:rPr>
          <w:rFonts w:ascii="宋体" w:hAnsi="宋体" w:cs="Arial"/>
        </w:rPr>
      </w:pPr>
      <w:r>
        <w:rPr>
          <w:rFonts w:hint="eastAsia" w:ascii="宋体" w:hAnsi="宋体" w:cs="Arial"/>
        </w:rPr>
        <w:t>（二）基金托管人根据有关法律法规的规定及《基金合同》的约定，对基金投资、融资比例进行监督。基金托管人按下述比例和调整期限进行监督：</w:t>
      </w:r>
    </w:p>
    <w:p w14:paraId="25B09F5F">
      <w:pPr>
        <w:spacing w:line="360" w:lineRule="auto"/>
        <w:ind w:firstLine="420" w:firstLineChars="200"/>
        <w:rPr>
          <w:rFonts w:ascii="宋体" w:hAnsi="宋体" w:cs="Arial"/>
        </w:rPr>
      </w:pPr>
      <w:r>
        <w:rPr>
          <w:rFonts w:hint="eastAsia" w:ascii="宋体" w:hAnsi="宋体" w:cs="Arial"/>
        </w:rPr>
        <w:t>（1）本基金投资于标的指数成份股和备选成份股（含存托凭证）的资产比例不低于基金资产净值的90%，且不低于非现金基金资产的80%；</w:t>
      </w:r>
    </w:p>
    <w:p w14:paraId="03DEBC48">
      <w:pPr>
        <w:spacing w:line="360" w:lineRule="auto"/>
        <w:ind w:firstLine="420" w:firstLineChars="200"/>
        <w:rPr>
          <w:rFonts w:ascii="宋体" w:hAnsi="宋体" w:cs="Arial"/>
        </w:rPr>
      </w:pPr>
      <w:r>
        <w:rPr>
          <w:rFonts w:hint="eastAsia" w:ascii="宋体" w:hAnsi="宋体" w:cs="Arial"/>
        </w:rPr>
        <w:t>（2）本基金每个交易日日终在扣除股指期货、股票期权和国债期货合约需缴纳的交易保证金后，应当保持不低于交易保证金一倍的现金，其中现金不包括结算备付金、存出保证金和应收申购款等；</w:t>
      </w:r>
    </w:p>
    <w:p w14:paraId="12E9D58C">
      <w:pPr>
        <w:spacing w:line="360" w:lineRule="auto"/>
        <w:ind w:firstLine="420" w:firstLineChars="200"/>
        <w:rPr>
          <w:rFonts w:ascii="宋体" w:hAnsi="宋体" w:cs="Arial"/>
        </w:rPr>
      </w:pPr>
      <w:r>
        <w:rPr>
          <w:rFonts w:hint="eastAsia" w:ascii="宋体" w:hAnsi="宋体" w:cs="Arial"/>
        </w:rPr>
        <w:t>（3）本基金持有的全部资产支持证券，其市值不得超过基金资产净值的20％；</w:t>
      </w:r>
    </w:p>
    <w:p w14:paraId="2FB228F6">
      <w:pPr>
        <w:spacing w:line="360" w:lineRule="auto"/>
        <w:ind w:firstLine="420" w:firstLineChars="200"/>
        <w:rPr>
          <w:rFonts w:ascii="宋体" w:hAnsi="宋体" w:cs="Arial"/>
        </w:rPr>
      </w:pPr>
      <w:r>
        <w:rPr>
          <w:rFonts w:hint="eastAsia" w:ascii="宋体" w:hAnsi="宋体" w:cs="Arial"/>
        </w:rPr>
        <w:t>（4）本基金投资于同一原始权益人的各类资产支持证券的比例，不得超过基金资产净值的10％；</w:t>
      </w:r>
    </w:p>
    <w:p w14:paraId="60DA3BAF">
      <w:pPr>
        <w:spacing w:line="360" w:lineRule="auto"/>
        <w:ind w:firstLine="420" w:firstLineChars="200"/>
        <w:rPr>
          <w:rFonts w:ascii="宋体" w:hAnsi="宋体" w:cs="Arial"/>
        </w:rPr>
      </w:pPr>
      <w:r>
        <w:rPr>
          <w:rFonts w:hint="eastAsia" w:ascii="宋体" w:hAnsi="宋体" w:cs="Arial"/>
        </w:rPr>
        <w:t>（5）本基金持有的同一(指同一信用级别)资产支持证券的比例，不得超过该资产支持证券规模的10％；</w:t>
      </w:r>
    </w:p>
    <w:p w14:paraId="2F308C01">
      <w:pPr>
        <w:spacing w:line="360" w:lineRule="auto"/>
        <w:ind w:firstLine="420" w:firstLineChars="200"/>
        <w:rPr>
          <w:rFonts w:ascii="宋体" w:hAnsi="宋体" w:cs="Arial"/>
        </w:rPr>
      </w:pPr>
      <w:r>
        <w:rPr>
          <w:rFonts w:hint="eastAsia" w:ascii="宋体" w:hAnsi="宋体" w:cs="Arial"/>
        </w:rPr>
        <w:t>（6）本基金管理人管理的且在本基金托管人处托管的全部基金投资于同一原始权益人的各类资产支持证券，不得超过其各类资产支持证券合计规模的10％；</w:t>
      </w:r>
    </w:p>
    <w:p w14:paraId="7477DDA0">
      <w:pPr>
        <w:spacing w:line="360" w:lineRule="auto"/>
        <w:ind w:firstLine="420" w:firstLineChars="200"/>
        <w:rPr>
          <w:rFonts w:ascii="宋体" w:hAnsi="宋体" w:cs="Arial"/>
        </w:rPr>
      </w:pPr>
      <w:r>
        <w:rPr>
          <w:rFonts w:hint="eastAsia" w:ascii="宋体" w:hAnsi="宋体" w:cs="Arial"/>
        </w:rPr>
        <w:t>（7）本基金应投资于信用级别评级为BBB以上(含BBB)的资产支持证券。基金持有资产支持证券期间，如果其信用等级下降、不再符合投资标准，应在评级报告发布之日起3个月内予以全部卖出；</w:t>
      </w:r>
    </w:p>
    <w:p w14:paraId="357E261B">
      <w:pPr>
        <w:spacing w:line="360" w:lineRule="auto"/>
        <w:ind w:firstLine="420" w:firstLineChars="200"/>
        <w:rPr>
          <w:rFonts w:ascii="宋体" w:hAnsi="宋体" w:cs="Arial"/>
        </w:rPr>
      </w:pPr>
      <w:r>
        <w:rPr>
          <w:rFonts w:hint="eastAsia" w:ascii="宋体" w:hAnsi="宋体" w:cs="Arial"/>
        </w:rPr>
        <w:t>（8）基金财产参与股票发行申购，本基金所申报的金额不超过本基金的总资产，本基金所申报的股票数量不超过拟发行股票公司本次发行股票的总量；</w:t>
      </w:r>
    </w:p>
    <w:p w14:paraId="4388B1B3">
      <w:pPr>
        <w:spacing w:line="360" w:lineRule="auto"/>
        <w:ind w:firstLine="420" w:firstLineChars="200"/>
        <w:rPr>
          <w:rFonts w:ascii="宋体" w:hAnsi="宋体" w:cs="Arial"/>
        </w:rPr>
      </w:pPr>
      <w:r>
        <w:rPr>
          <w:rFonts w:hint="eastAsia" w:ascii="宋体" w:hAnsi="宋体" w:cs="Arial"/>
        </w:rPr>
        <w:t>（9）本基金资产总值不得超过基金资产净值的140%；</w:t>
      </w:r>
    </w:p>
    <w:p w14:paraId="6E15FC56">
      <w:pPr>
        <w:spacing w:line="360" w:lineRule="auto"/>
        <w:ind w:firstLine="420" w:firstLineChars="200"/>
        <w:rPr>
          <w:rFonts w:ascii="宋体" w:hAnsi="宋体" w:cs="Arial"/>
        </w:rPr>
      </w:pPr>
      <w:r>
        <w:rPr>
          <w:rFonts w:hint="eastAsia" w:ascii="宋体" w:hAnsi="宋体" w:cs="Arial"/>
        </w:rPr>
        <w:t>（10）本基金参与融资的，在任何交易日日终，本基金持有的融资买入股票与其他有价证券市值之和，不得超过基金资产净值的95%；</w:t>
      </w:r>
    </w:p>
    <w:p w14:paraId="5C7E670D">
      <w:pPr>
        <w:spacing w:line="360" w:lineRule="auto"/>
        <w:ind w:firstLine="420" w:firstLineChars="200"/>
        <w:rPr>
          <w:rFonts w:ascii="宋体" w:hAnsi="宋体" w:cs="Arial"/>
        </w:rPr>
      </w:pPr>
      <w:r>
        <w:rPr>
          <w:rFonts w:hint="eastAsia" w:ascii="宋体" w:hAnsi="宋体" w:cs="Arial"/>
        </w:rPr>
        <w:t>（11）本基金参与转融通证券出借交易应当符合以下要求：</w:t>
      </w:r>
    </w:p>
    <w:p w14:paraId="784448A4">
      <w:pPr>
        <w:spacing w:line="360" w:lineRule="auto"/>
        <w:ind w:firstLine="420" w:firstLineChars="200"/>
        <w:rPr>
          <w:rFonts w:ascii="宋体" w:hAnsi="宋体" w:cs="Arial"/>
        </w:rPr>
      </w:pPr>
      <w:r>
        <w:rPr>
          <w:rFonts w:hint="eastAsia" w:ascii="宋体" w:hAnsi="宋体" w:cs="Arial"/>
        </w:rPr>
        <w:t>1）出借证券资产不得超过基金资产净值的30%，出借期限在10个交易日以上的出借证券应纳入《流动性风险管理规定》所述流动性受限证券的范围；</w:t>
      </w:r>
    </w:p>
    <w:p w14:paraId="6EA3C37F">
      <w:pPr>
        <w:spacing w:line="360" w:lineRule="auto"/>
        <w:ind w:firstLine="420" w:firstLineChars="200"/>
        <w:rPr>
          <w:rFonts w:ascii="宋体" w:hAnsi="宋体" w:cs="Arial"/>
        </w:rPr>
      </w:pPr>
      <w:r>
        <w:rPr>
          <w:rFonts w:hint="eastAsia" w:ascii="宋体" w:hAnsi="宋体" w:cs="Arial"/>
        </w:rPr>
        <w:t>2）参与出借业务的单只证券不得超过基金持有该证券总量的30%；</w:t>
      </w:r>
    </w:p>
    <w:p w14:paraId="1B8FCC29">
      <w:pPr>
        <w:spacing w:line="360" w:lineRule="auto"/>
        <w:ind w:firstLine="420" w:firstLineChars="200"/>
        <w:rPr>
          <w:rFonts w:ascii="宋体" w:hAnsi="宋体" w:cs="Arial"/>
        </w:rPr>
      </w:pPr>
      <w:r>
        <w:rPr>
          <w:rFonts w:hint="eastAsia" w:ascii="宋体" w:hAnsi="宋体" w:cs="Arial"/>
        </w:rPr>
        <w:t>3）最近6个月内日均基金资产净值不得低于2亿元；</w:t>
      </w:r>
    </w:p>
    <w:p w14:paraId="7697FF75">
      <w:pPr>
        <w:spacing w:line="360" w:lineRule="auto"/>
        <w:ind w:firstLine="420" w:firstLineChars="200"/>
        <w:rPr>
          <w:rFonts w:ascii="宋体" w:hAnsi="宋体" w:cs="Arial"/>
        </w:rPr>
      </w:pPr>
      <w:r>
        <w:rPr>
          <w:rFonts w:hint="eastAsia" w:ascii="宋体" w:hAnsi="宋体" w:cs="Arial"/>
        </w:rPr>
        <w:t>4）证券出借的平均剩余期限不得超过30天，平均剩余期限按照市值加权平均计算；</w:t>
      </w:r>
    </w:p>
    <w:p w14:paraId="40301F0B">
      <w:pPr>
        <w:spacing w:line="360" w:lineRule="auto"/>
        <w:ind w:firstLine="420" w:firstLineChars="200"/>
        <w:rPr>
          <w:rFonts w:ascii="宋体" w:hAnsi="宋体" w:cs="Arial"/>
        </w:rPr>
      </w:pPr>
      <w:r>
        <w:rPr>
          <w:rFonts w:hint="eastAsia" w:ascii="宋体" w:hAnsi="宋体" w:cs="Arial"/>
        </w:rPr>
        <w:t>因证券市场波动、上市公司合并、基金规模变动等基金管理人之外的因素致使基金投资不符合上述规定的，基金管理人不得新增出借业务；</w:t>
      </w:r>
    </w:p>
    <w:p w14:paraId="1123C66F">
      <w:pPr>
        <w:spacing w:line="360" w:lineRule="auto"/>
        <w:ind w:firstLine="420" w:firstLineChars="200"/>
        <w:rPr>
          <w:rFonts w:ascii="宋体" w:hAnsi="宋体" w:cs="Arial"/>
        </w:rPr>
      </w:pPr>
      <w:r>
        <w:rPr>
          <w:rFonts w:hint="eastAsia" w:ascii="宋体" w:hAnsi="宋体" w:cs="Arial"/>
        </w:rPr>
        <w:t>（12）本基金参与股指期货、国债期货交易的，应当依据下列标准建构组合：</w:t>
      </w:r>
    </w:p>
    <w:p w14:paraId="24805735">
      <w:pPr>
        <w:spacing w:line="360" w:lineRule="auto"/>
        <w:ind w:firstLine="420" w:firstLineChars="200"/>
        <w:rPr>
          <w:rFonts w:ascii="宋体" w:hAnsi="宋体" w:cs="Arial"/>
        </w:rPr>
      </w:pPr>
      <w:r>
        <w:rPr>
          <w:rFonts w:hint="eastAsia" w:ascii="宋体" w:hAnsi="宋体" w:cs="Arial"/>
        </w:rPr>
        <w:t>1）在任何交易日日终，持有的买入股指期货合约价值，不得超过基金资产净值的10%；在任何交易日日终，持有的买入国债期货合约价值，不得超过基金资产净值的15%；</w:t>
      </w:r>
    </w:p>
    <w:p w14:paraId="6A9E5FA6">
      <w:pPr>
        <w:spacing w:line="360" w:lineRule="auto"/>
        <w:ind w:firstLine="420" w:firstLineChars="200"/>
        <w:rPr>
          <w:rFonts w:ascii="宋体" w:hAnsi="宋体" w:cs="Arial"/>
        </w:rPr>
      </w:pPr>
      <w:r>
        <w:rPr>
          <w:rFonts w:hint="eastAsia" w:ascii="宋体" w:hAnsi="宋体" w:cs="Arial"/>
        </w:rPr>
        <w:t>2）在任何交易日日终，持有的买入期货合约价值与有价证券市值之和，不得超过基金资产净值的100%，其中，有价证券指股票、债券（不含到期日在一年以内的政府债券）、资产支持证券、买入返售金融资产（不含质押式回购）等；</w:t>
      </w:r>
    </w:p>
    <w:p w14:paraId="58C84383">
      <w:pPr>
        <w:spacing w:line="360" w:lineRule="auto"/>
        <w:ind w:firstLine="420" w:firstLineChars="200"/>
        <w:rPr>
          <w:rFonts w:ascii="宋体" w:hAnsi="宋体" w:cs="Arial"/>
        </w:rPr>
      </w:pPr>
      <w:r>
        <w:rPr>
          <w:rFonts w:hint="eastAsia" w:ascii="宋体" w:hAnsi="宋体" w:cs="Arial"/>
        </w:rPr>
        <w:t>3）在任何交易日日终，持有的卖出股指期货合约价值不得超过基金持有的股票总市值的20%；在任何交易日日终，持有的卖出国债期货合约价值不得超过基金持有的债券总市值的30%；</w:t>
      </w:r>
    </w:p>
    <w:p w14:paraId="15D2DB20">
      <w:pPr>
        <w:spacing w:line="360" w:lineRule="auto"/>
        <w:ind w:firstLine="420" w:firstLineChars="200"/>
        <w:rPr>
          <w:rFonts w:ascii="宋体" w:hAnsi="宋体" w:cs="Arial"/>
        </w:rPr>
      </w:pPr>
      <w:r>
        <w:rPr>
          <w:rFonts w:hint="eastAsia" w:ascii="宋体" w:hAnsi="宋体" w:cs="Arial"/>
        </w:rPr>
        <w:t>4）在任何交易日内交易（不包括平仓）的股指期货合约的成交金额不得超过上一交易日基金资产净值的20%；在任何交易日内交易（不包括平仓）的国债期货合约的成交金额不得超过上一交易日基金资产净值的30%；</w:t>
      </w:r>
    </w:p>
    <w:p w14:paraId="552D08A1">
      <w:pPr>
        <w:spacing w:line="360" w:lineRule="auto"/>
        <w:ind w:firstLine="420" w:firstLineChars="200"/>
        <w:rPr>
          <w:rFonts w:ascii="宋体" w:hAnsi="宋体" w:cs="Arial"/>
        </w:rPr>
      </w:pPr>
      <w:r>
        <w:rPr>
          <w:rFonts w:hint="eastAsia" w:ascii="宋体" w:hAnsi="宋体" w:cs="Arial"/>
        </w:rPr>
        <w:t>5）本基金所持有的股票市值和买入、卖出股指期货合约价值，合计（轧差计算）应当符合基金合同关于股票投资比例有关约定；</w:t>
      </w:r>
    </w:p>
    <w:p w14:paraId="3BB0F68F">
      <w:pPr>
        <w:spacing w:line="360" w:lineRule="auto"/>
        <w:ind w:firstLine="420" w:firstLineChars="200"/>
        <w:rPr>
          <w:rFonts w:ascii="宋体" w:hAnsi="宋体" w:cs="Arial"/>
        </w:rPr>
      </w:pPr>
      <w:r>
        <w:rPr>
          <w:rFonts w:hint="eastAsia" w:ascii="宋体" w:hAnsi="宋体" w:cs="Arial"/>
        </w:rPr>
        <w:t>（13）本基金投资股票期权应当符合以下要求：</w:t>
      </w:r>
    </w:p>
    <w:p w14:paraId="0EEF9F46">
      <w:pPr>
        <w:spacing w:line="360" w:lineRule="auto"/>
        <w:ind w:firstLine="420" w:firstLineChars="200"/>
        <w:rPr>
          <w:rFonts w:ascii="宋体" w:hAnsi="宋体" w:cs="Arial"/>
        </w:rPr>
      </w:pPr>
      <w:r>
        <w:rPr>
          <w:rFonts w:hint="eastAsia" w:ascii="宋体" w:hAnsi="宋体" w:cs="Arial"/>
        </w:rPr>
        <w:t>基金因未平仓的股票期权合约支付和收取的权利金总额不得超过基金资产净值的10%；未平仓的股票期权合约面值不得超过基金资产净值的20%。其中，合约面值按照行权价乘以合约乘数计算；</w:t>
      </w:r>
    </w:p>
    <w:p w14:paraId="19BDF34F">
      <w:pPr>
        <w:spacing w:line="360" w:lineRule="auto"/>
        <w:ind w:firstLine="420" w:firstLineChars="200"/>
        <w:rPr>
          <w:rFonts w:ascii="宋体" w:hAnsi="宋体" w:cs="Arial"/>
        </w:rPr>
      </w:pPr>
      <w:r>
        <w:rPr>
          <w:rFonts w:hint="eastAsia" w:ascii="宋体" w:hAnsi="宋体" w:cs="Arial"/>
        </w:rPr>
        <w:t>（14）本基金投资流通受限证券，基金管理人应制订严格的投资决策流程和风险控制制度，防范流动性风险、法律风险和操作风险等各种风险；</w:t>
      </w:r>
    </w:p>
    <w:p w14:paraId="272BDDFD">
      <w:pPr>
        <w:spacing w:line="360" w:lineRule="auto"/>
        <w:ind w:firstLine="420" w:firstLineChars="200"/>
        <w:rPr>
          <w:rFonts w:ascii="宋体" w:hAnsi="宋体" w:cs="Arial"/>
        </w:rPr>
      </w:pPr>
      <w:r>
        <w:rPr>
          <w:rFonts w:hint="eastAsia" w:ascii="宋体" w:hAnsi="宋体" w:cs="Arial"/>
        </w:rPr>
        <w:t>（15）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14:paraId="58F006E7">
      <w:pPr>
        <w:spacing w:line="360" w:lineRule="auto"/>
        <w:ind w:firstLine="420" w:firstLineChars="200"/>
        <w:rPr>
          <w:rFonts w:ascii="宋体" w:hAnsi="宋体" w:cs="Arial"/>
        </w:rPr>
      </w:pPr>
      <w:r>
        <w:rPr>
          <w:rFonts w:hint="eastAsia" w:ascii="宋体" w:hAnsi="宋体" w:cs="Arial"/>
        </w:rPr>
        <w:t>（16）本基金投资存托凭证的比例限制依照境内上市交易的股票执行，与境内上市交易的股票合并计算；</w:t>
      </w:r>
    </w:p>
    <w:p w14:paraId="0B45BD83">
      <w:pPr>
        <w:spacing w:line="360" w:lineRule="auto"/>
        <w:ind w:firstLine="420" w:firstLineChars="200"/>
        <w:rPr>
          <w:rFonts w:ascii="宋体" w:hAnsi="宋体" w:cs="Arial"/>
        </w:rPr>
      </w:pPr>
      <w:r>
        <w:rPr>
          <w:rFonts w:hint="eastAsia" w:ascii="宋体" w:hAnsi="宋体" w:cs="Arial"/>
        </w:rPr>
        <w:t>（17）法律法规及中国证监会规定的和《基金合同》约定的其他投资限制。</w:t>
      </w:r>
    </w:p>
    <w:p w14:paraId="0D840C28">
      <w:pPr>
        <w:spacing w:line="360" w:lineRule="auto"/>
        <w:ind w:firstLine="420" w:firstLineChars="200"/>
        <w:rPr>
          <w:rFonts w:ascii="宋体" w:hAnsi="宋体" w:cs="Arial"/>
        </w:rPr>
      </w:pPr>
      <w:r>
        <w:rPr>
          <w:rFonts w:hint="eastAsia" w:ascii="宋体" w:hAnsi="宋体" w:cs="Arial"/>
        </w:rPr>
        <w:t>除第（2）、（7）、（11）、（15）条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14:paraId="1DD30B89">
      <w:pPr>
        <w:spacing w:line="360" w:lineRule="auto"/>
        <w:ind w:firstLine="420" w:firstLineChars="200"/>
        <w:rPr>
          <w:rFonts w:ascii="宋体" w:hAnsi="宋体" w:cs="Arial"/>
        </w:rPr>
      </w:pPr>
      <w:r>
        <w:rPr>
          <w:rFonts w:hint="eastAsia" w:ascii="宋体" w:hAnsi="宋体" w:cs="Arial"/>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446E58AB">
      <w:pPr>
        <w:spacing w:line="360" w:lineRule="auto"/>
        <w:ind w:firstLine="420" w:firstLineChars="200"/>
        <w:rPr>
          <w:rFonts w:ascii="宋体" w:hAnsi="宋体" w:cs="Arial"/>
        </w:rPr>
      </w:pPr>
      <w:r>
        <w:rPr>
          <w:rFonts w:hint="eastAsia" w:ascii="宋体" w:hAnsi="宋体" w:cs="Arial"/>
        </w:rPr>
        <w:t>法律法规或监管部门取消或调整上述限制，如适用于本基金，基金管理人在与基金托管人协商一致并履行适当程序后，则本基金投资不再受相关限制或按照调整后的规定执行。</w:t>
      </w:r>
    </w:p>
    <w:p w14:paraId="584C600D">
      <w:pPr>
        <w:spacing w:line="360" w:lineRule="auto"/>
        <w:ind w:firstLine="420" w:firstLineChars="200"/>
        <w:rPr>
          <w:rFonts w:ascii="宋体" w:hAnsi="宋体" w:cs="Arial"/>
        </w:rPr>
      </w:pPr>
      <w:r>
        <w:rPr>
          <w:rFonts w:hint="eastAsia" w:ascii="宋体" w:hAnsi="宋体" w:cs="Arial"/>
        </w:rPr>
        <w:t>（三）基金托管人根据有关法律法规的规定及《基金合同》的约定，对本托管协议第十五条第（九）款基金投资禁止行为通过事后监督方式进行监督。</w:t>
      </w:r>
    </w:p>
    <w:p w14:paraId="050DBAF4">
      <w:pPr>
        <w:spacing w:line="360" w:lineRule="auto"/>
        <w:ind w:firstLine="420" w:firstLineChars="200"/>
        <w:rPr>
          <w:rFonts w:ascii="宋体" w:hAnsi="宋体" w:cs="Arial"/>
        </w:rPr>
      </w:pPr>
      <w:r>
        <w:rPr>
          <w:rFonts w:hint="eastAsia" w:ascii="宋体" w:hAnsi="宋体" w:cs="Arial"/>
        </w:rPr>
        <w:t>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w:t>
      </w:r>
    </w:p>
    <w:p w14:paraId="7AC9C927">
      <w:pPr>
        <w:spacing w:line="360" w:lineRule="auto"/>
        <w:ind w:firstLine="420" w:firstLineChars="200"/>
        <w:rPr>
          <w:rFonts w:ascii="宋体" w:hAnsi="宋体" w:cs="Arial"/>
        </w:rPr>
      </w:pPr>
      <w:r>
        <w:rPr>
          <w:rFonts w:hint="eastAsia" w:ascii="宋体" w:hAnsi="宋体" w:cs="Arial"/>
        </w:rPr>
        <w:t>（四）基金托管人根据有关法律法规的规定及《基金合同》的约定，对基金管理人投资流通受限证券进行监督。</w:t>
      </w:r>
    </w:p>
    <w:p w14:paraId="2A36C4F2">
      <w:pPr>
        <w:spacing w:line="360" w:lineRule="auto"/>
        <w:ind w:firstLine="420" w:firstLineChars="200"/>
        <w:rPr>
          <w:rFonts w:ascii="宋体" w:hAnsi="宋体" w:cs="Arial"/>
        </w:rPr>
      </w:pPr>
      <w:r>
        <w:rPr>
          <w:rFonts w:hint="eastAsia" w:ascii="宋体" w:hAnsi="宋体" w:cs="Arial"/>
        </w:rPr>
        <w:t>基金管理人投资流通受限证券，应事先根据中国证监会相关规定，明确基金投资流通受限证券的比例，制订严格的投资决策流程和风险控制制度，防范流动性风险、法律风险和操作风险等各种风险。</w:t>
      </w:r>
    </w:p>
    <w:p w14:paraId="122E416C">
      <w:pPr>
        <w:spacing w:line="360" w:lineRule="auto"/>
        <w:ind w:firstLine="420" w:firstLineChars="200"/>
        <w:rPr>
          <w:rFonts w:ascii="宋体" w:hAnsi="宋体" w:cs="Arial"/>
        </w:rPr>
      </w:pPr>
      <w:r>
        <w:rPr>
          <w:rFonts w:hint="eastAsia" w:ascii="宋体" w:hAnsi="宋体" w:cs="Arial"/>
        </w:rPr>
        <w:t>1.本基金投资的流通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14:paraId="139086FB">
      <w:pPr>
        <w:spacing w:line="360" w:lineRule="auto"/>
        <w:ind w:firstLine="420" w:firstLineChars="200"/>
        <w:rPr>
          <w:rFonts w:ascii="宋体" w:hAnsi="宋体" w:cs="Arial"/>
        </w:rPr>
      </w:pPr>
      <w:r>
        <w:rPr>
          <w:rFonts w:hint="eastAsia" w:ascii="宋体" w:hAnsi="宋体" w:cs="Arial"/>
        </w:rPr>
        <w:t>本基金投资的流通受限证券限于可由中国证券登记结算有限责任公司或中央国债登记结算有限责任公司负责登记和存管，并可在证券交易所或全国银行间债券市场交易的证券。</w:t>
      </w:r>
    </w:p>
    <w:p w14:paraId="2A970E3F">
      <w:pPr>
        <w:spacing w:line="360" w:lineRule="auto"/>
        <w:ind w:firstLine="420" w:firstLineChars="200"/>
        <w:rPr>
          <w:rFonts w:ascii="宋体" w:hAnsi="宋体" w:cs="Arial"/>
        </w:rPr>
      </w:pPr>
      <w:r>
        <w:rPr>
          <w:rFonts w:hint="eastAsia" w:ascii="宋体" w:hAnsi="宋体" w:cs="Arial"/>
        </w:rPr>
        <w:t>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w:t>
      </w:r>
    </w:p>
    <w:p w14:paraId="000A502C">
      <w:pPr>
        <w:spacing w:line="360" w:lineRule="auto"/>
        <w:ind w:firstLine="420" w:firstLineChars="200"/>
        <w:rPr>
          <w:rFonts w:ascii="宋体" w:hAnsi="宋体" w:cs="Arial"/>
        </w:rPr>
      </w:pPr>
      <w:r>
        <w:rPr>
          <w:rFonts w:hint="eastAsia" w:ascii="宋体" w:hAnsi="宋体" w:cs="Arial"/>
        </w:rPr>
        <w:t>本基金投资流通受限证券，不得预付任何形式的保证金。若有最新法律法规、监管政策变更规定的，根据最新法律法规、监管政策执行。</w:t>
      </w:r>
    </w:p>
    <w:p w14:paraId="26B24DD3">
      <w:pPr>
        <w:spacing w:line="360" w:lineRule="auto"/>
        <w:ind w:firstLine="420" w:firstLineChars="200"/>
        <w:rPr>
          <w:rFonts w:ascii="宋体" w:hAnsi="宋体" w:cs="Arial"/>
        </w:rPr>
      </w:pPr>
      <w:r>
        <w:rPr>
          <w:rFonts w:hint="eastAsia" w:ascii="宋体" w:hAnsi="宋体" w:cs="Arial"/>
        </w:rPr>
        <w:t>2.基金管理人投资非公开发行股票，应制订流动性风险处置预案并经其董事会批准。风险处置预案应包括但不限于因投资流通受限证券需要解决的基金投资比例限制失调、基金流动性困难以及相关损失的应对解决措施，以及有关异常情况的处置。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如因基金管理人原因导致本基金出现损失致使基金托管人承担连带赔偿责任的，基金管理人应赔偿基金托管人由此遭受的损失。</w:t>
      </w:r>
    </w:p>
    <w:p w14:paraId="21606714">
      <w:pPr>
        <w:spacing w:line="360" w:lineRule="auto"/>
        <w:ind w:firstLine="420" w:firstLineChars="200"/>
        <w:rPr>
          <w:rFonts w:ascii="宋体" w:hAnsi="宋体" w:cs="Arial"/>
        </w:rPr>
      </w:pPr>
      <w:r>
        <w:rPr>
          <w:rFonts w:hint="eastAsia" w:ascii="宋体" w:hAnsi="宋体" w:cs="Arial"/>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14:paraId="0A5F4010">
      <w:pPr>
        <w:spacing w:line="360" w:lineRule="auto"/>
        <w:ind w:firstLine="420" w:firstLineChars="200"/>
        <w:rPr>
          <w:rFonts w:ascii="宋体" w:hAnsi="宋体" w:cs="Arial"/>
        </w:rPr>
      </w:pPr>
      <w:r>
        <w:rPr>
          <w:rFonts w:hint="eastAsia" w:ascii="宋体" w:hAnsi="宋体" w:cs="Arial"/>
        </w:rPr>
        <w:t>（1）中国证监会批准发行非公开发行股票的批准文件。</w:t>
      </w:r>
    </w:p>
    <w:p w14:paraId="03295878">
      <w:pPr>
        <w:spacing w:line="360" w:lineRule="auto"/>
        <w:ind w:firstLine="420" w:firstLineChars="200"/>
        <w:rPr>
          <w:rFonts w:ascii="宋体" w:hAnsi="宋体" w:cs="Arial"/>
        </w:rPr>
      </w:pPr>
      <w:r>
        <w:rPr>
          <w:rFonts w:hint="eastAsia" w:ascii="宋体" w:hAnsi="宋体" w:cs="Arial"/>
        </w:rPr>
        <w:t>（2）非公开发行股票有关发行数量、发行价格、锁定期等发行资料。</w:t>
      </w:r>
    </w:p>
    <w:p w14:paraId="64339EFA">
      <w:pPr>
        <w:spacing w:line="360" w:lineRule="auto"/>
        <w:ind w:firstLine="420" w:firstLineChars="200"/>
        <w:rPr>
          <w:rFonts w:ascii="宋体" w:hAnsi="宋体" w:cs="Arial"/>
        </w:rPr>
      </w:pPr>
      <w:r>
        <w:rPr>
          <w:rFonts w:hint="eastAsia" w:ascii="宋体" w:hAnsi="宋体" w:cs="Arial"/>
        </w:rPr>
        <w:t>（3）基金拟认购的数量、价格、总成本、账面价值。</w:t>
      </w:r>
    </w:p>
    <w:p w14:paraId="2B66BD2F">
      <w:pPr>
        <w:spacing w:line="360" w:lineRule="auto"/>
        <w:ind w:firstLine="420" w:firstLineChars="200"/>
        <w:rPr>
          <w:rFonts w:ascii="宋体" w:hAnsi="宋体" w:cs="Arial"/>
        </w:rPr>
      </w:pPr>
      <w:r>
        <w:rPr>
          <w:rFonts w:hint="eastAsia" w:ascii="宋体" w:hAnsi="宋体" w:cs="Arial"/>
        </w:rPr>
        <w:t>4.基金管理人应在本基金投资非公开发行股票后两个交易日内，在中国证监会规定媒介披露所投资非公开发行股票的名称、数量、总成本、账面价值，以及总成本和账面价值占基金资产净值的比例、锁定期等信息。</w:t>
      </w:r>
    </w:p>
    <w:p w14:paraId="1F746ED2">
      <w:pPr>
        <w:spacing w:line="360" w:lineRule="auto"/>
        <w:ind w:firstLine="420" w:firstLineChars="200"/>
        <w:rPr>
          <w:rFonts w:ascii="宋体" w:hAnsi="宋体" w:cs="Arial"/>
        </w:rPr>
      </w:pPr>
      <w:r>
        <w:rPr>
          <w:rFonts w:hint="eastAsia" w:ascii="宋体" w:hAnsi="宋体" w:cs="Arial"/>
        </w:rPr>
        <w:t>本基金有关投资流通受限证券比例如违反有关限制规定，在合理期限内未能进行及时调整，基金管理人应在两日内编制临时报告书，予以公告。</w:t>
      </w:r>
    </w:p>
    <w:p w14:paraId="50CC3159">
      <w:pPr>
        <w:spacing w:line="360" w:lineRule="auto"/>
        <w:ind w:firstLine="420" w:firstLineChars="200"/>
        <w:rPr>
          <w:rFonts w:ascii="宋体" w:hAnsi="宋体" w:cs="Arial"/>
        </w:rPr>
      </w:pPr>
      <w:r>
        <w:rPr>
          <w:rFonts w:hint="eastAsia" w:ascii="宋体" w:hAnsi="宋体" w:cs="Arial"/>
        </w:rPr>
        <w:t>5.相关法律法规对基金投资流通受限证券有新规定的，从其规定。</w:t>
      </w:r>
    </w:p>
    <w:p w14:paraId="448E12FA">
      <w:pPr>
        <w:spacing w:line="360" w:lineRule="auto"/>
        <w:ind w:firstLine="420" w:firstLineChars="200"/>
        <w:rPr>
          <w:rFonts w:ascii="宋体" w:hAnsi="宋体" w:cs="Arial"/>
        </w:rPr>
      </w:pPr>
      <w:r>
        <w:rPr>
          <w:rFonts w:hint="eastAsia" w:ascii="宋体" w:hAnsi="宋体" w:cs="Arial"/>
        </w:rPr>
        <w:t>（五）基金参与转融通证券出借业务，基金管理人应当遵守谨慎经营的原则，配备技术系统和专业人员，制定科学合理的投资策略和风险管理制度，完善业务流程，有效防范和控制风险，基金托管人将对基金参与出借业务进行监督与复核。</w:t>
      </w:r>
    </w:p>
    <w:p w14:paraId="197ACD06">
      <w:pPr>
        <w:spacing w:line="360" w:lineRule="auto"/>
        <w:ind w:firstLine="420" w:firstLineChars="200"/>
        <w:rPr>
          <w:rFonts w:ascii="宋体" w:hAnsi="宋体" w:cs="Arial"/>
        </w:rPr>
      </w:pPr>
      <w:r>
        <w:rPr>
          <w:rFonts w:hint="eastAsia" w:ascii="宋体" w:hAnsi="宋体" w:cs="Arial"/>
        </w:rPr>
        <w:t>（六）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14:paraId="17182E9B">
      <w:pPr>
        <w:spacing w:line="360" w:lineRule="auto"/>
        <w:ind w:firstLine="420" w:firstLineChars="200"/>
        <w:rPr>
          <w:rFonts w:ascii="宋体" w:hAnsi="宋体" w:cs="Arial"/>
        </w:rPr>
      </w:pPr>
      <w:r>
        <w:rPr>
          <w:rFonts w:hint="eastAsia" w:ascii="宋体" w:hAnsi="宋体" w:cs="Arial"/>
        </w:rPr>
        <w:t>（七）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14:paraId="15C0B878">
      <w:pPr>
        <w:spacing w:line="360" w:lineRule="auto"/>
        <w:ind w:firstLine="420" w:firstLineChars="200"/>
        <w:rPr>
          <w:rFonts w:ascii="宋体" w:hAnsi="宋体" w:cs="Arial"/>
        </w:rPr>
      </w:pPr>
      <w:r>
        <w:rPr>
          <w:rFonts w:hint="eastAsia" w:ascii="宋体" w:hAnsi="宋体" w:cs="Arial"/>
        </w:rPr>
        <w:t>（八）基金托管人投资监督的准确性和完整性受限于基金管理人、证券经纪商及其他中介机构提供的数据和信息。基金托管人在充分获取所必需数据信息的前提下提供投资监督服务。</w:t>
      </w:r>
    </w:p>
    <w:p w14:paraId="1D718400">
      <w:pPr>
        <w:spacing w:line="360" w:lineRule="auto"/>
        <w:ind w:firstLine="420" w:firstLineChars="200"/>
        <w:rPr>
          <w:rFonts w:ascii="宋体" w:hAnsi="宋体" w:cs="Arial"/>
        </w:rPr>
      </w:pPr>
      <w:r>
        <w:rPr>
          <w:rFonts w:hint="eastAsia" w:ascii="宋体" w:hAnsi="宋体" w:cs="Arial"/>
        </w:rPr>
        <w:t>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14:paraId="26E1B484">
      <w:pPr>
        <w:spacing w:line="360" w:lineRule="auto"/>
        <w:ind w:firstLine="420" w:firstLineChars="200"/>
        <w:rPr>
          <w:rFonts w:ascii="宋体" w:hAnsi="宋体" w:cs="Arial"/>
        </w:rPr>
      </w:pPr>
      <w:r>
        <w:rPr>
          <w:rFonts w:hint="eastAsia" w:ascii="宋体" w:hAnsi="宋体" w:cs="Arial"/>
        </w:rPr>
        <w:t>（九 ）若基金托管人发现基金管理人依据交易程序已经生效的指令违反法律、行政法规和其他有关规定，或者违反《基金合同》约定的，应当及时通知基金管理人，由此造成的损失由基金管理人承担。</w:t>
      </w:r>
    </w:p>
    <w:p w14:paraId="3BD6EE7D">
      <w:pPr>
        <w:numPr>
          <w:ilvl w:val="0"/>
          <w:numId w:val="8"/>
        </w:numPr>
        <w:spacing w:line="360" w:lineRule="auto"/>
        <w:ind w:firstLine="420" w:firstLineChars="200"/>
        <w:rPr>
          <w:rFonts w:ascii="宋体" w:hAnsi="宋体" w:cs="Arial"/>
        </w:rPr>
      </w:pPr>
      <w:r>
        <w:rPr>
          <w:rFonts w:hint="eastAsia" w:ascii="宋体" w:hAnsi="宋体" w:cs="Arial"/>
        </w:rPr>
        <w:t>基金托管人发现基金管理人有重大违规行为，应及时报告中国证监会，同时通知基金管理人限期纠正，并将纠正结果报告中国证监会。基金管理人无正当理由，拒绝、阻挠基金托管人根据本托管协议规定行使监督权，或采取拖延、欺诈等手段妨碍基金托管人进行有效监督，情节严重或经基金托管人提出警告仍不改正的，基金托管人应报告中国证监会。</w:t>
      </w:r>
    </w:p>
    <w:p w14:paraId="3F8816A3">
      <w:pPr>
        <w:spacing w:line="360" w:lineRule="auto"/>
        <w:ind w:firstLine="422" w:firstLineChars="200"/>
        <w:rPr>
          <w:rFonts w:ascii="宋体" w:hAnsi="宋体" w:cs="Arial"/>
          <w:b/>
        </w:rPr>
      </w:pPr>
      <w:r>
        <w:rPr>
          <w:rFonts w:ascii="宋体" w:hAnsi="宋体" w:cs="Arial"/>
          <w:b/>
        </w:rPr>
        <w:t>三、</w:t>
      </w:r>
      <w:bookmarkEnd w:id="225"/>
      <w:bookmarkEnd w:id="226"/>
      <w:bookmarkEnd w:id="227"/>
      <w:bookmarkEnd w:id="228"/>
      <w:bookmarkEnd w:id="229"/>
      <w:bookmarkEnd w:id="230"/>
      <w:bookmarkEnd w:id="231"/>
      <w:r>
        <w:rPr>
          <w:rFonts w:hint="eastAsia" w:ascii="宋体" w:hAnsi="宋体" w:cs="Arial"/>
          <w:b/>
        </w:rPr>
        <w:t>基金管理人对基金托管人的业务核查</w:t>
      </w:r>
    </w:p>
    <w:p w14:paraId="62D95443">
      <w:pPr>
        <w:spacing w:line="360" w:lineRule="auto"/>
        <w:ind w:firstLine="420" w:firstLineChars="200"/>
        <w:rPr>
          <w:rFonts w:ascii="宋体" w:hAnsi="宋体" w:cs="Arial"/>
        </w:rPr>
      </w:pPr>
      <w:bookmarkStart w:id="232" w:name="_Toc286319595"/>
      <w:bookmarkStart w:id="233" w:name="_Toc278986607"/>
      <w:bookmarkStart w:id="234" w:name="_Toc278986832"/>
      <w:bookmarkStart w:id="235" w:name="_Toc287014244"/>
      <w:bookmarkStart w:id="236" w:name="_Toc278986892"/>
      <w:bookmarkStart w:id="237" w:name="_Toc288639817"/>
      <w:r>
        <w:rPr>
          <w:rFonts w:hint="eastAsia" w:ascii="宋体" w:hAnsi="宋体" w:cs="Arial"/>
        </w:rPr>
        <w:t>（一）基金管理人对基金托管人履行托管职责情况进行核查，核查事项包括基金托管人安全保管基金财产、开设基金财产的资金账户和证券账户、复核基金管理人计算的基金资产净值和基金份额净值、根据基金管理人指令办理清算交收、相关信息披露和监督基金投资运作等行为。</w:t>
      </w:r>
    </w:p>
    <w:p w14:paraId="46828181">
      <w:pPr>
        <w:spacing w:line="360" w:lineRule="auto"/>
        <w:ind w:firstLine="420" w:firstLineChars="200"/>
        <w:rPr>
          <w:rFonts w:ascii="宋体" w:hAnsi="宋体" w:cs="Arial"/>
        </w:rPr>
      </w:pPr>
      <w:r>
        <w:rPr>
          <w:rFonts w:hint="eastAsia" w:ascii="宋体" w:hAnsi="宋体" w:cs="Arial"/>
        </w:rPr>
        <w:t>（二）基金管理人发现基金托管人擅自挪用基金财产、未对基金财产实行分账管理、未执行或无故延迟执行基金管理人资金划拨指令、泄露基金投资信息等违反《基金法》、《基金合同》、本协议及其他有关规定时，应及时以书面方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14:paraId="17AF12AC">
      <w:pPr>
        <w:spacing w:line="360" w:lineRule="auto"/>
        <w:ind w:firstLine="420" w:firstLineChars="200"/>
        <w:rPr>
          <w:rFonts w:ascii="宋体" w:hAnsi="宋体" w:cs="Arial"/>
        </w:rPr>
      </w:pPr>
      <w:r>
        <w:rPr>
          <w:rFonts w:hint="eastAsia" w:ascii="宋体" w:hAnsi="宋体" w:cs="Arial"/>
        </w:rPr>
        <w:t>（三）基金管理人发现基金托管人有重大违规行为，应及时报告中国证监会，同时通知基金托管人限期纠正，并将纠正结果报告中国证监会。基金托管人无正当理由，拒绝、阻挠基金管理人根据本协议规定行使监督权，或采取拖延、欺诈等手段妨碍基金管理人进行有效监督，情节严重或经基金管理人提出警告仍不改正的，基金管理人应报告中国证监会。</w:t>
      </w:r>
    </w:p>
    <w:p w14:paraId="326C1E09">
      <w:pPr>
        <w:spacing w:line="360" w:lineRule="auto"/>
        <w:ind w:firstLine="422" w:firstLineChars="200"/>
        <w:rPr>
          <w:rFonts w:ascii="宋体" w:hAnsi="宋体" w:cs="Arial"/>
          <w:b/>
        </w:rPr>
      </w:pPr>
      <w:r>
        <w:rPr>
          <w:rFonts w:ascii="宋体" w:hAnsi="宋体" w:cs="Arial"/>
          <w:b/>
        </w:rPr>
        <w:t>四、基金财产保管</w:t>
      </w:r>
      <w:bookmarkEnd w:id="232"/>
      <w:bookmarkEnd w:id="233"/>
      <w:bookmarkEnd w:id="234"/>
      <w:bookmarkEnd w:id="235"/>
      <w:bookmarkEnd w:id="236"/>
      <w:bookmarkEnd w:id="237"/>
    </w:p>
    <w:p w14:paraId="78C91908">
      <w:pPr>
        <w:spacing w:line="360" w:lineRule="auto"/>
        <w:ind w:firstLine="420" w:firstLineChars="200"/>
        <w:rPr>
          <w:rFonts w:ascii="宋体" w:hAnsi="宋体" w:cs="Arial"/>
        </w:rPr>
      </w:pPr>
      <w:bookmarkStart w:id="238" w:name="_Toc278986608"/>
      <w:bookmarkStart w:id="239" w:name="_Toc288639818"/>
      <w:bookmarkStart w:id="240" w:name="_Toc287014245"/>
      <w:bookmarkStart w:id="241" w:name="_Toc278986893"/>
      <w:bookmarkStart w:id="242" w:name="_Toc116900103"/>
      <w:bookmarkStart w:id="243" w:name="_Toc278986833"/>
      <w:bookmarkStart w:id="244" w:name="_Toc286319596"/>
      <w:bookmarkStart w:id="245" w:name="_Toc252355962"/>
      <w:r>
        <w:rPr>
          <w:rFonts w:hint="eastAsia" w:ascii="宋体" w:hAnsi="宋体" w:cs="Arial"/>
        </w:rPr>
        <w:t>（一）基金财产保管的原则</w:t>
      </w:r>
    </w:p>
    <w:p w14:paraId="55D238F9">
      <w:pPr>
        <w:spacing w:line="360" w:lineRule="auto"/>
        <w:ind w:firstLine="420" w:firstLineChars="200"/>
        <w:rPr>
          <w:rFonts w:ascii="宋体" w:hAnsi="宋体" w:cs="Arial"/>
        </w:rPr>
      </w:pPr>
      <w:r>
        <w:rPr>
          <w:rFonts w:hint="eastAsia" w:ascii="宋体" w:hAnsi="宋体" w:cs="Arial"/>
        </w:rPr>
        <w:t>1.基金财产应独立于基金管理人、基金托管人和证券经纪机构的固有财产。</w:t>
      </w:r>
    </w:p>
    <w:p w14:paraId="7CE0860A">
      <w:pPr>
        <w:spacing w:line="360" w:lineRule="auto"/>
        <w:ind w:firstLine="420" w:firstLineChars="200"/>
        <w:rPr>
          <w:rFonts w:ascii="宋体" w:hAnsi="宋体" w:cs="Arial"/>
        </w:rPr>
      </w:pPr>
      <w:r>
        <w:rPr>
          <w:rFonts w:hint="eastAsia" w:ascii="宋体" w:hAnsi="宋体" w:cs="Arial"/>
        </w:rPr>
        <w:t>2.基金托管人应安全保管基金财产。</w:t>
      </w:r>
    </w:p>
    <w:p w14:paraId="4C8328D1">
      <w:pPr>
        <w:spacing w:line="360" w:lineRule="auto"/>
        <w:ind w:firstLine="420" w:firstLineChars="200"/>
        <w:rPr>
          <w:rFonts w:ascii="宋体" w:hAnsi="宋体" w:cs="Arial"/>
        </w:rPr>
      </w:pPr>
      <w:r>
        <w:rPr>
          <w:rFonts w:hint="eastAsia" w:ascii="宋体" w:hAnsi="宋体" w:cs="Arial"/>
        </w:rPr>
        <w:t>3.基金托管人按照规定开设基金财产的资金账户和证券账户。</w:t>
      </w:r>
    </w:p>
    <w:p w14:paraId="5EC1A514">
      <w:pPr>
        <w:spacing w:line="360" w:lineRule="auto"/>
        <w:ind w:firstLine="420" w:firstLineChars="200"/>
        <w:rPr>
          <w:rFonts w:ascii="宋体" w:hAnsi="宋体" w:cs="Arial"/>
        </w:rPr>
      </w:pPr>
      <w:r>
        <w:rPr>
          <w:rFonts w:hint="eastAsia" w:ascii="宋体" w:hAnsi="宋体" w:cs="Arial"/>
        </w:rPr>
        <w:t>4.基金托管人对所托管的不同基金财产分别设置账户，确保基金财产的完整与独立。</w:t>
      </w:r>
    </w:p>
    <w:p w14:paraId="45E6D139">
      <w:pPr>
        <w:spacing w:line="360" w:lineRule="auto"/>
        <w:ind w:firstLine="420" w:firstLineChars="200"/>
        <w:rPr>
          <w:rFonts w:ascii="宋体" w:hAnsi="宋体" w:cs="Arial"/>
        </w:rPr>
      </w:pPr>
      <w:r>
        <w:rPr>
          <w:rFonts w:hint="eastAsia" w:ascii="宋体" w:hAnsi="宋体" w:cs="Arial"/>
        </w:rPr>
        <w:t>5.基金托管人按照《基金合同》和本协议的约定保管基金财产，如有特殊情况双方可另行协商解决。基金托管人未经基金管理人的指令，不得自行运用、处分、分配本基金的任何资产（不包含托管人开户银行或交易/登记结算机构扣收交易费、结算费和账户维护费等费用）。</w:t>
      </w:r>
    </w:p>
    <w:p w14:paraId="42F55332">
      <w:pPr>
        <w:spacing w:line="360" w:lineRule="auto"/>
        <w:ind w:firstLine="420" w:firstLineChars="200"/>
        <w:rPr>
          <w:rFonts w:ascii="宋体" w:hAnsi="宋体" w:cs="Arial"/>
        </w:rPr>
      </w:pPr>
      <w:r>
        <w:rPr>
          <w:rFonts w:hint="eastAsia" w:ascii="宋体" w:hAnsi="宋体" w:cs="Arial"/>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但应予以必要的协助和配合。</w:t>
      </w:r>
    </w:p>
    <w:p w14:paraId="588576AF">
      <w:pPr>
        <w:spacing w:line="360" w:lineRule="auto"/>
        <w:ind w:firstLine="420" w:firstLineChars="200"/>
        <w:rPr>
          <w:rFonts w:ascii="宋体" w:hAnsi="宋体" w:cs="Arial"/>
        </w:rPr>
      </w:pPr>
      <w:r>
        <w:rPr>
          <w:rFonts w:hint="eastAsia" w:ascii="宋体" w:hAnsi="宋体" w:cs="Arial"/>
        </w:rPr>
        <w:t>7.除依据法律法规和《基金合同》的规定外，基金托管人不得委托第三人托管基金财产。</w:t>
      </w:r>
    </w:p>
    <w:p w14:paraId="13270965">
      <w:pPr>
        <w:spacing w:line="360" w:lineRule="auto"/>
        <w:ind w:firstLine="420" w:firstLineChars="200"/>
        <w:rPr>
          <w:rFonts w:ascii="宋体" w:hAnsi="宋体" w:cs="Arial"/>
        </w:rPr>
      </w:pPr>
      <w:r>
        <w:rPr>
          <w:rFonts w:hint="eastAsia" w:ascii="宋体" w:hAnsi="宋体" w:cs="Arial"/>
        </w:rPr>
        <w:t>（二）基金募集期间及募集资金和股票的验资</w:t>
      </w:r>
    </w:p>
    <w:p w14:paraId="5BA017CB">
      <w:pPr>
        <w:spacing w:line="360" w:lineRule="auto"/>
        <w:ind w:firstLine="420" w:firstLineChars="200"/>
        <w:rPr>
          <w:rFonts w:ascii="宋体" w:hAnsi="宋体" w:cs="Arial"/>
        </w:rPr>
      </w:pPr>
      <w:r>
        <w:rPr>
          <w:rFonts w:hint="eastAsia" w:ascii="宋体" w:hAnsi="宋体" w:cs="Arial"/>
        </w:rPr>
        <w:t>1.基金募集期间募集的资金应存于基金管理人在具有托管资格的商业银行开立的“基金募集专户”。该账户由基金管理人开立并管理。</w:t>
      </w:r>
    </w:p>
    <w:p w14:paraId="27BDB81D">
      <w:pPr>
        <w:spacing w:line="360" w:lineRule="auto"/>
        <w:ind w:firstLine="420" w:firstLineChars="200"/>
        <w:rPr>
          <w:rFonts w:ascii="宋体" w:hAnsi="宋体" w:cs="Arial"/>
        </w:rPr>
      </w:pPr>
      <w:r>
        <w:rPr>
          <w:rFonts w:hint="eastAsia" w:ascii="宋体" w:hAnsi="宋体" w:cs="Arial"/>
        </w:rPr>
        <w:t>2.基金募集期满或基金停止募集时，募集的基金份额总额、基金募集金额（含股票市值）、基金份额持有人人数符合《基金法》、《运作办法》等有关规定后，基金管理人应将属于基金财产的全部资金和股票划入基金托管人开立的基金托管资金账户和证券账户，同时在规定时间内，聘请符合《中华人民共和国证券法》(以下简称《证券法》)规定的会计师事务所进行验资，出具验资报告。出具的验资报告由参加验资的2名或2名以上中国注册会计师签字方为有效。</w:t>
      </w:r>
    </w:p>
    <w:p w14:paraId="344D038F">
      <w:pPr>
        <w:spacing w:line="360" w:lineRule="auto"/>
        <w:ind w:firstLine="420" w:firstLineChars="200"/>
        <w:rPr>
          <w:rFonts w:ascii="宋体" w:hAnsi="宋体" w:cs="Arial"/>
        </w:rPr>
      </w:pPr>
      <w:r>
        <w:rPr>
          <w:rFonts w:hint="eastAsia" w:ascii="宋体" w:hAnsi="宋体" w:cs="Arial"/>
        </w:rPr>
        <w:t>3.若基金募集期限届满，未能达到《基金合同》生效的条件，由基金管理人或相关机构按规定办理退款、股票解冻及返还等事宜，基金托管人应提供必要的协助。</w:t>
      </w:r>
    </w:p>
    <w:p w14:paraId="098E4252">
      <w:pPr>
        <w:spacing w:line="360" w:lineRule="auto"/>
        <w:ind w:firstLine="420" w:firstLineChars="200"/>
        <w:rPr>
          <w:rFonts w:ascii="宋体" w:hAnsi="宋体" w:cs="Arial"/>
        </w:rPr>
      </w:pPr>
      <w:r>
        <w:rPr>
          <w:rFonts w:hint="eastAsia" w:ascii="宋体" w:hAnsi="宋体" w:cs="Arial"/>
        </w:rPr>
        <w:t>（三）基金托管资金账户的开立和管理</w:t>
      </w:r>
    </w:p>
    <w:p w14:paraId="3192EE33">
      <w:pPr>
        <w:spacing w:line="360" w:lineRule="auto"/>
        <w:ind w:firstLine="420" w:firstLineChars="200"/>
        <w:rPr>
          <w:rFonts w:ascii="宋体" w:hAnsi="宋体" w:cs="Arial"/>
        </w:rPr>
      </w:pPr>
      <w:r>
        <w:rPr>
          <w:rFonts w:hint="eastAsia" w:ascii="宋体" w:hAnsi="宋体" w:cs="Arial"/>
        </w:rPr>
        <w:t>1.基金托管人可以基金的名义在其营业机构开立基金的托管资金账户，并根据基金管理人合法合规的指令办理资金收付。户名原则上应当包含开户主体和产品名称字样。如法律法规或监管部门另有规定的，从其规定。本基金的银行预留印鉴由基金托管人保管和使用。</w:t>
      </w:r>
    </w:p>
    <w:p w14:paraId="6CC8ED05">
      <w:pPr>
        <w:spacing w:line="360" w:lineRule="auto"/>
        <w:ind w:firstLine="420" w:firstLineChars="200"/>
        <w:rPr>
          <w:rFonts w:ascii="宋体" w:hAnsi="宋体" w:cs="Arial"/>
        </w:rPr>
      </w:pPr>
      <w:r>
        <w:rPr>
          <w:rFonts w:hint="eastAsia" w:ascii="宋体" w:hAnsi="宋体" w:cs="Arial"/>
        </w:rPr>
        <w:t>2.基金托管资金账户的开立和使用，限于满足开展本基金业务的需要。基金托管人和基金管理人不得假借本基金的名义开立任何其他银行账户；亦不得使用基金的任何账户进行本基金业务以外的活动。</w:t>
      </w:r>
    </w:p>
    <w:p w14:paraId="7339D87E">
      <w:pPr>
        <w:spacing w:line="360" w:lineRule="auto"/>
        <w:ind w:firstLine="420" w:firstLineChars="200"/>
        <w:rPr>
          <w:rFonts w:ascii="宋体" w:hAnsi="宋体" w:cs="Arial"/>
        </w:rPr>
      </w:pPr>
      <w:r>
        <w:rPr>
          <w:rFonts w:hint="eastAsia" w:ascii="宋体" w:hAnsi="宋体" w:cs="Arial"/>
        </w:rPr>
        <w:t>3.基金托管资金账户的开立和管理应符合银行业监督管理机构的有关规定。</w:t>
      </w:r>
    </w:p>
    <w:p w14:paraId="0D334766">
      <w:pPr>
        <w:spacing w:line="360" w:lineRule="auto"/>
        <w:ind w:firstLine="420" w:firstLineChars="200"/>
        <w:rPr>
          <w:rFonts w:ascii="宋体" w:hAnsi="宋体" w:cs="Arial"/>
        </w:rPr>
      </w:pPr>
      <w:r>
        <w:rPr>
          <w:rFonts w:hint="eastAsia" w:ascii="宋体" w:hAnsi="宋体" w:cs="Arial"/>
        </w:rPr>
        <w:t>4.在符合法律法规规定的条件下，基金托管人可以通过基金托管人专用账户办理基金资产的支付。</w:t>
      </w:r>
    </w:p>
    <w:p w14:paraId="0346BDA5">
      <w:pPr>
        <w:spacing w:line="360" w:lineRule="auto"/>
        <w:ind w:firstLine="420" w:firstLineChars="200"/>
        <w:rPr>
          <w:rFonts w:ascii="宋体" w:hAnsi="宋体" w:cs="Arial"/>
        </w:rPr>
      </w:pPr>
      <w:r>
        <w:rPr>
          <w:rFonts w:hint="eastAsia" w:ascii="宋体" w:hAnsi="宋体" w:cs="Arial"/>
        </w:rPr>
        <w:t>5.基金管理人应于本基金终止运作并进入清算程序后及时完成收益兑付、费用结清及其他应收应付款项资金划转，在确保后续不再发生款项进出后的10个工作日内向托管人发出销户申请。</w:t>
      </w:r>
    </w:p>
    <w:p w14:paraId="4BE60F26">
      <w:pPr>
        <w:spacing w:line="360" w:lineRule="auto"/>
        <w:ind w:firstLine="420" w:firstLineChars="200"/>
        <w:rPr>
          <w:rFonts w:ascii="宋体" w:hAnsi="宋体" w:cs="Arial"/>
        </w:rPr>
      </w:pPr>
      <w:r>
        <w:rPr>
          <w:rFonts w:hint="eastAsia" w:ascii="宋体" w:hAnsi="宋体" w:cs="Arial"/>
        </w:rPr>
        <w:t>（四）基金证券账户和证券资金账户的开立和管理</w:t>
      </w:r>
    </w:p>
    <w:p w14:paraId="53E00517">
      <w:pPr>
        <w:spacing w:line="360" w:lineRule="auto"/>
        <w:ind w:firstLine="420" w:firstLineChars="200"/>
        <w:rPr>
          <w:rFonts w:ascii="宋体" w:hAnsi="宋体" w:cs="Arial"/>
        </w:rPr>
      </w:pPr>
      <w:r>
        <w:rPr>
          <w:rFonts w:hint="eastAsia" w:ascii="宋体" w:hAnsi="宋体" w:cs="Arial"/>
        </w:rPr>
        <w:t>1.基金托管人在中国证券登记结算有限责任公司为基金开立基金托管人与基金联名的证券账户。</w:t>
      </w:r>
    </w:p>
    <w:p w14:paraId="54301D7E">
      <w:pPr>
        <w:spacing w:line="360" w:lineRule="auto"/>
        <w:ind w:firstLine="420" w:firstLineChars="200"/>
        <w:rPr>
          <w:rFonts w:ascii="宋体" w:hAnsi="宋体" w:cs="Arial"/>
        </w:rPr>
      </w:pPr>
      <w:r>
        <w:rPr>
          <w:rFonts w:hint="eastAsia" w:ascii="宋体" w:hAnsi="宋体" w:cs="Arial"/>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14:paraId="54E85851">
      <w:pPr>
        <w:spacing w:line="360" w:lineRule="auto"/>
        <w:ind w:firstLine="420" w:firstLineChars="200"/>
        <w:rPr>
          <w:rFonts w:ascii="宋体" w:hAnsi="宋体" w:cs="Arial"/>
        </w:rPr>
      </w:pPr>
      <w:r>
        <w:rPr>
          <w:rFonts w:hint="eastAsia" w:ascii="宋体" w:hAnsi="宋体" w:cs="Arial"/>
        </w:rPr>
        <w:t>3.基金证券账户的开立和证券账户卡的保管由基金托管人负责，账户资产的管理和运用由基金管理人负责。</w:t>
      </w:r>
    </w:p>
    <w:p w14:paraId="70910AB1">
      <w:pPr>
        <w:spacing w:line="360" w:lineRule="auto"/>
        <w:ind w:firstLine="420" w:firstLineChars="200"/>
        <w:rPr>
          <w:rFonts w:ascii="宋体" w:hAnsi="宋体" w:cs="Arial"/>
        </w:rPr>
      </w:pPr>
      <w:r>
        <w:rPr>
          <w:rFonts w:hint="eastAsia" w:ascii="宋体" w:hAnsi="宋体" w:cs="Arial"/>
        </w:rPr>
        <w:t>证券账户开户费由基金管理人先行垫付,待托管产品启始运营后,基金管理人可向基金托管人发送划款指令,将代垫开户费从本基金托管资金账户中扣还基金管理人。</w:t>
      </w:r>
    </w:p>
    <w:p w14:paraId="07541E64">
      <w:pPr>
        <w:spacing w:line="360" w:lineRule="auto"/>
        <w:ind w:firstLine="420" w:firstLineChars="200"/>
        <w:rPr>
          <w:rFonts w:ascii="宋体" w:hAnsi="宋体" w:cs="Arial"/>
        </w:rPr>
      </w:pPr>
      <w:r>
        <w:rPr>
          <w:rFonts w:hint="eastAsia" w:ascii="宋体" w:hAnsi="宋体" w:cs="Arial"/>
        </w:rPr>
        <w:t>4.基金管理人为基金财产在证券经纪机构开立证券资金账户，用于基金财产证券交易结算资金的存管、记载交易结算资金的变动明细以及场内证券交易清算，并与基金托管人开立的基金托管资金账户建立第三方存管关系。</w:t>
      </w:r>
    </w:p>
    <w:p w14:paraId="411E9FFF">
      <w:pPr>
        <w:spacing w:line="360" w:lineRule="auto"/>
        <w:ind w:firstLine="420" w:firstLineChars="200"/>
        <w:rPr>
          <w:rFonts w:ascii="宋体" w:hAnsi="宋体" w:cs="Arial"/>
        </w:rPr>
      </w:pPr>
      <w:r>
        <w:rPr>
          <w:rFonts w:hint="eastAsia" w:ascii="宋体" w:hAnsi="宋体" w:cs="Arial"/>
        </w:rPr>
        <w:t>交易所证券交易资金采用第三方存管模式，即用于证券交易结算资金全额存放在基金管理人为基金开立的证券资金账户中，场内的证券交易资金清算由基金管理人所选择的证券经纪机构负责，证券资金账户内的资金，只能通过证银转账方式将资金划转至基金托管资金账户，不得将资金划转至任何其他银行账户。第三方存管对应关系一经确定，不得更改，如果必须更改，应由基金管理人发起，经过基金托管人书面确认后，重新建立第三方存管对应关系。基金托管人和基金管理人不得出借或转让证券账户、证券资金账户，亦不得使用证券账户或证券资金账户进行本基金业务以外的活动。基金管理人承诺证券资金账户为主资金账户，不开立任何辅助资金账户；不为证券资金账户另行开立托管资金账户以外的其他银行账户。基金托管人不负责办理场内的证券交易资金清算，也不负责保管证券资金账户内存放的资金。</w:t>
      </w:r>
    </w:p>
    <w:p w14:paraId="4EECBFEB">
      <w:pPr>
        <w:spacing w:line="360" w:lineRule="auto"/>
        <w:ind w:firstLine="420" w:firstLineChars="200"/>
        <w:rPr>
          <w:rFonts w:ascii="宋体" w:hAnsi="宋体" w:cs="Arial"/>
        </w:rPr>
      </w:pPr>
      <w:r>
        <w:rPr>
          <w:rFonts w:hint="eastAsia" w:ascii="宋体" w:hAnsi="宋体" w:cs="Arial"/>
        </w:rPr>
        <w:t>5.账户注销时，在遵守中国证券登记结算有限责任公司的相关规定下，由基金管理人和基金托管人协商确认主要办理人。账户注销期间，主要办理人如需另一方提供配合的，另一方应予以配合。</w:t>
      </w:r>
    </w:p>
    <w:p w14:paraId="6B8B82BE">
      <w:pPr>
        <w:spacing w:line="360" w:lineRule="auto"/>
        <w:ind w:firstLine="420" w:firstLineChars="200"/>
        <w:rPr>
          <w:rFonts w:ascii="宋体" w:hAnsi="宋体" w:cs="Arial"/>
        </w:rPr>
      </w:pPr>
      <w:r>
        <w:rPr>
          <w:rFonts w:hint="eastAsia" w:ascii="宋体" w:hAnsi="宋体" w:cs="Arial"/>
        </w:rPr>
        <w:t>6.若中国证监会或其他监管机构在本托管协议订立日之后允许基金从事其他投资品种的投资业务，涉及相关账户的开立、使用的，若无相关规定，则基金托管人比照上述关于账户开立、使用的规定执行。</w:t>
      </w:r>
    </w:p>
    <w:p w14:paraId="6223B433">
      <w:pPr>
        <w:spacing w:line="360" w:lineRule="auto"/>
        <w:ind w:firstLine="420" w:firstLineChars="200"/>
        <w:rPr>
          <w:rFonts w:ascii="宋体" w:hAnsi="宋体" w:cs="Arial"/>
        </w:rPr>
      </w:pPr>
      <w:r>
        <w:rPr>
          <w:rFonts w:hint="eastAsia" w:ascii="宋体" w:hAnsi="宋体" w:cs="Arial"/>
        </w:rPr>
        <w:t>（五）银行间账户的开设和管理</w:t>
      </w:r>
    </w:p>
    <w:p w14:paraId="0EC4E810">
      <w:pPr>
        <w:spacing w:line="360" w:lineRule="auto"/>
        <w:ind w:firstLine="420" w:firstLineChars="200"/>
        <w:rPr>
          <w:rFonts w:ascii="宋体" w:hAnsi="宋体" w:cs="Arial"/>
        </w:rPr>
      </w:pPr>
      <w:r>
        <w:rPr>
          <w:rFonts w:hint="eastAsia" w:ascii="宋体" w:hAnsi="宋体" w:cs="Arial"/>
        </w:rPr>
        <w:t>《基金合同》生效后，基金管理人负责以基金的名义申请并取得进入全国银行间同业拆借市场的交易资格，并代表基金进行交易；基金托管人根据中国人民银行、银行间市场登记结算机构的有关规定，在银行间市场登记结算机构开立债券托管账户和资金结算专户，并代表基金进行银行间市场债券的结算。</w:t>
      </w:r>
    </w:p>
    <w:p w14:paraId="330777FE">
      <w:pPr>
        <w:spacing w:line="360" w:lineRule="auto"/>
        <w:ind w:firstLine="420" w:firstLineChars="200"/>
        <w:rPr>
          <w:rFonts w:ascii="宋体" w:hAnsi="宋体" w:cs="Arial"/>
        </w:rPr>
      </w:pPr>
      <w:r>
        <w:rPr>
          <w:rFonts w:hint="eastAsia" w:ascii="宋体" w:hAnsi="宋体" w:cs="Arial"/>
        </w:rPr>
        <w:t>（六）其他账户的开立和管理</w:t>
      </w:r>
    </w:p>
    <w:p w14:paraId="40931E5F">
      <w:pPr>
        <w:spacing w:line="360" w:lineRule="auto"/>
        <w:ind w:firstLine="420" w:firstLineChars="200"/>
        <w:rPr>
          <w:rFonts w:ascii="宋体" w:hAnsi="宋体" w:cs="Arial"/>
        </w:rPr>
      </w:pPr>
      <w:r>
        <w:rPr>
          <w:rFonts w:hint="eastAsia" w:ascii="宋体" w:hAnsi="宋体" w:cs="Arial"/>
        </w:rPr>
        <w:t>1.在本托管协议订立日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w:t>
      </w:r>
    </w:p>
    <w:p w14:paraId="6700E6D8">
      <w:pPr>
        <w:spacing w:line="360" w:lineRule="auto"/>
        <w:ind w:firstLine="420" w:firstLineChars="200"/>
        <w:rPr>
          <w:rFonts w:ascii="宋体" w:hAnsi="宋体" w:cs="Arial"/>
        </w:rPr>
      </w:pPr>
      <w:r>
        <w:rPr>
          <w:rFonts w:hint="eastAsia" w:ascii="宋体" w:hAnsi="宋体" w:cs="Arial"/>
        </w:rPr>
        <w:t>2.法律法规等有关规定对相关账户的开立和管理另有规定的，从其规定办理。</w:t>
      </w:r>
    </w:p>
    <w:p w14:paraId="28A4DF7C">
      <w:pPr>
        <w:spacing w:line="360" w:lineRule="auto"/>
        <w:ind w:firstLine="420" w:firstLineChars="200"/>
        <w:rPr>
          <w:rFonts w:ascii="宋体" w:hAnsi="宋体" w:cs="Arial"/>
        </w:rPr>
      </w:pPr>
      <w:r>
        <w:rPr>
          <w:rFonts w:hint="eastAsia" w:ascii="宋体" w:hAnsi="宋体" w:cs="Arial"/>
        </w:rPr>
        <w:t>（七）基金财产投资的有关有价凭证等的保管</w:t>
      </w:r>
    </w:p>
    <w:p w14:paraId="581E6AEB">
      <w:pPr>
        <w:spacing w:line="360" w:lineRule="auto"/>
        <w:ind w:firstLine="420" w:firstLineChars="200"/>
        <w:rPr>
          <w:rFonts w:ascii="宋体" w:hAnsi="宋体" w:cs="Arial"/>
        </w:rPr>
      </w:pPr>
      <w:r>
        <w:rPr>
          <w:rFonts w:hint="eastAsia" w:ascii="宋体" w:hAnsi="宋体" w:cs="Arial"/>
        </w:rPr>
        <w:t>基金财产投资的有关实物证券、银行存款开户证实书等有价凭证由基金托管人存放于基金托管人的保管库，也可存入法律法规有关规定允许的各类代保管库，保管凭证由基金托管人持有。实物证券、银行定期存款证实书等有价凭证的购买和转让，按基金管理人和基金托管人双方约定办理。基金托管人对由基金托管人以外机构实际有效控制或保管的资产不承担任何责任。</w:t>
      </w:r>
    </w:p>
    <w:p w14:paraId="21F88F2B">
      <w:pPr>
        <w:spacing w:line="360" w:lineRule="auto"/>
        <w:ind w:firstLine="420" w:firstLineChars="200"/>
        <w:rPr>
          <w:rFonts w:ascii="宋体" w:hAnsi="宋体" w:cs="Arial"/>
        </w:rPr>
      </w:pPr>
      <w:r>
        <w:rPr>
          <w:rFonts w:hint="eastAsia" w:ascii="宋体" w:hAnsi="宋体" w:cs="Arial"/>
        </w:rPr>
        <w:t>（八）与基金财产有关的重大合同的保管</w:t>
      </w:r>
    </w:p>
    <w:p w14:paraId="57991746">
      <w:pPr>
        <w:spacing w:line="360" w:lineRule="auto"/>
        <w:ind w:firstLine="420" w:firstLineChars="200"/>
        <w:rPr>
          <w:rFonts w:ascii="宋体" w:hAnsi="宋体" w:cs="Arial"/>
        </w:rPr>
      </w:pPr>
      <w:r>
        <w:rPr>
          <w:rFonts w:hint="eastAsia" w:ascii="宋体" w:hAnsi="宋体" w:cs="Arial"/>
        </w:rPr>
        <w:t>由基金管理人代表基金签署的、与基金有关的重大合同的原件分别由基金管理人、基金托管人保管。除本协议另有规定外，基金管理人在代表基金签署与基金有关的重大合同时应保证基金一方持有两份以上的正本，以保证基金管理人和基金托管人至少各持有一份正本的原件。基金管理人应在重大合同签署后及时将重大合同传真给基金托管人，并在三十个工作日内将正本送达基金托管人处。重大合同的保管期限按照法律法规的规定执行。</w:t>
      </w:r>
    </w:p>
    <w:p w14:paraId="271EAA2E">
      <w:pPr>
        <w:spacing w:line="360" w:lineRule="auto"/>
        <w:ind w:firstLine="422" w:firstLineChars="200"/>
        <w:rPr>
          <w:rFonts w:ascii="宋体" w:hAnsi="宋体" w:cs="Arial"/>
          <w:b/>
        </w:rPr>
      </w:pPr>
      <w:r>
        <w:rPr>
          <w:rFonts w:ascii="宋体" w:hAnsi="宋体" w:cs="Arial"/>
          <w:b/>
        </w:rPr>
        <w:t>五、</w:t>
      </w:r>
      <w:bookmarkEnd w:id="238"/>
      <w:bookmarkEnd w:id="239"/>
      <w:bookmarkEnd w:id="240"/>
      <w:bookmarkEnd w:id="241"/>
      <w:bookmarkEnd w:id="242"/>
      <w:bookmarkEnd w:id="243"/>
      <w:bookmarkEnd w:id="244"/>
      <w:bookmarkEnd w:id="245"/>
      <w:r>
        <w:rPr>
          <w:rFonts w:hint="eastAsia" w:ascii="宋体" w:hAnsi="宋体" w:cs="Arial"/>
          <w:b/>
        </w:rPr>
        <w:t>基金资产净值计算和会计核算</w:t>
      </w:r>
    </w:p>
    <w:p w14:paraId="5E7360B4">
      <w:pPr>
        <w:spacing w:line="360" w:lineRule="auto"/>
        <w:ind w:firstLine="420" w:firstLineChars="200"/>
        <w:rPr>
          <w:rFonts w:ascii="宋体" w:hAnsi="宋体" w:cs="Arial"/>
        </w:rPr>
      </w:pPr>
      <w:bookmarkStart w:id="246" w:name="_Toc278986894"/>
      <w:bookmarkStart w:id="247" w:name="_Toc288639819"/>
      <w:bookmarkStart w:id="248" w:name="_Toc278986609"/>
      <w:bookmarkStart w:id="249" w:name="_Toc286319597"/>
      <w:bookmarkStart w:id="250" w:name="_Toc252355966"/>
      <w:bookmarkStart w:id="251" w:name="_Toc278986834"/>
      <w:bookmarkStart w:id="252" w:name="_Toc287014246"/>
      <w:r>
        <w:rPr>
          <w:rFonts w:hint="eastAsia" w:ascii="宋体" w:hAnsi="宋体" w:cs="Arial"/>
        </w:rPr>
        <w:t>（一）基金资产净值的计算、复核与完成的时间及程序</w:t>
      </w:r>
    </w:p>
    <w:p w14:paraId="0B51C9DD">
      <w:pPr>
        <w:spacing w:line="360" w:lineRule="auto"/>
        <w:ind w:firstLine="420" w:firstLineChars="200"/>
        <w:rPr>
          <w:rFonts w:ascii="宋体" w:hAnsi="宋体" w:cs="Arial"/>
        </w:rPr>
      </w:pPr>
      <w:r>
        <w:rPr>
          <w:rFonts w:hint="eastAsia" w:ascii="宋体" w:hAnsi="宋体" w:cs="Arial"/>
        </w:rPr>
        <w:t>1.基金资产净值是指基金资产总值减去负债后的金额。基金份额净值是按照每个工作日闭市后，基金资产净值除以当日基金份额的余额数量计算，精确到0.0001元，小数点后第五位四舍五入，由此产生的误差计入基金财产。基金管理人可以设立大额赎回情形下的净值精度应急调整机制。国家另有规定的，从其规定。</w:t>
      </w:r>
    </w:p>
    <w:p w14:paraId="5BB9C90C">
      <w:pPr>
        <w:spacing w:line="360" w:lineRule="auto"/>
        <w:ind w:firstLine="420" w:firstLineChars="200"/>
        <w:rPr>
          <w:rFonts w:ascii="宋体" w:hAnsi="宋体" w:cs="Arial"/>
        </w:rPr>
      </w:pPr>
      <w:r>
        <w:rPr>
          <w:rFonts w:hint="eastAsia" w:ascii="宋体" w:hAnsi="宋体" w:cs="Arial"/>
        </w:rPr>
        <w:t>基金管理人于每个工作日计算基金资产净值及基金份额净值，并按规定公告。</w:t>
      </w:r>
    </w:p>
    <w:p w14:paraId="0162C02F">
      <w:pPr>
        <w:spacing w:line="360" w:lineRule="auto"/>
        <w:ind w:firstLine="420" w:firstLineChars="200"/>
        <w:rPr>
          <w:rFonts w:ascii="宋体" w:hAnsi="宋体" w:cs="Arial"/>
        </w:rPr>
      </w:pPr>
      <w:r>
        <w:rPr>
          <w:rFonts w:hint="eastAsia" w:ascii="宋体" w:hAnsi="宋体" w:cs="Arial"/>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对外公布。</w:t>
      </w:r>
    </w:p>
    <w:p w14:paraId="447370FD">
      <w:pPr>
        <w:spacing w:line="360" w:lineRule="auto"/>
        <w:ind w:firstLine="420" w:firstLineChars="200"/>
        <w:rPr>
          <w:rFonts w:ascii="宋体" w:hAnsi="宋体" w:cs="Arial"/>
        </w:rPr>
      </w:pPr>
      <w:r>
        <w:rPr>
          <w:rFonts w:hint="eastAsia" w:ascii="宋体" w:hAnsi="宋体" w:cs="Arial"/>
        </w:rPr>
        <w:t>（二）基金资产估值方法和特殊情形的处理</w:t>
      </w:r>
    </w:p>
    <w:p w14:paraId="1BC2704E">
      <w:pPr>
        <w:spacing w:line="360" w:lineRule="auto"/>
        <w:ind w:firstLine="420" w:firstLineChars="200"/>
        <w:rPr>
          <w:rFonts w:ascii="宋体" w:hAnsi="宋体" w:cs="Arial"/>
        </w:rPr>
      </w:pPr>
      <w:r>
        <w:rPr>
          <w:rFonts w:hint="eastAsia" w:ascii="宋体" w:hAnsi="宋体" w:cs="Arial"/>
        </w:rPr>
        <w:t>1.估值对象</w:t>
      </w:r>
    </w:p>
    <w:p w14:paraId="0D5B2FD7">
      <w:pPr>
        <w:spacing w:line="360" w:lineRule="auto"/>
        <w:ind w:firstLine="420" w:firstLineChars="200"/>
        <w:rPr>
          <w:rFonts w:ascii="宋体" w:hAnsi="宋体" w:cs="Arial"/>
        </w:rPr>
      </w:pPr>
      <w:r>
        <w:rPr>
          <w:rFonts w:hint="eastAsia" w:ascii="宋体" w:hAnsi="宋体" w:cs="Arial"/>
        </w:rPr>
        <w:t>基金所拥有的股票（含存托凭证）、债券、股指期货合约、国债期货合约、股票期权合约、银行存款本息、应收款项、资产支持证券、其它投资等资产及负债。</w:t>
      </w:r>
    </w:p>
    <w:p w14:paraId="7E46F3DD">
      <w:pPr>
        <w:spacing w:line="360" w:lineRule="auto"/>
        <w:ind w:firstLine="420" w:firstLineChars="200"/>
        <w:rPr>
          <w:rFonts w:ascii="宋体" w:hAnsi="宋体" w:cs="Arial"/>
        </w:rPr>
      </w:pPr>
      <w:r>
        <w:rPr>
          <w:rFonts w:hint="eastAsia" w:ascii="宋体" w:hAnsi="宋体" w:cs="Arial"/>
        </w:rPr>
        <w:t>2.估值方法</w:t>
      </w:r>
    </w:p>
    <w:p w14:paraId="03065E4C">
      <w:pPr>
        <w:spacing w:line="360" w:lineRule="auto"/>
        <w:ind w:firstLine="420" w:firstLineChars="200"/>
        <w:rPr>
          <w:rFonts w:ascii="宋体" w:hAnsi="宋体" w:cs="Arial"/>
        </w:rPr>
      </w:pPr>
      <w:r>
        <w:rPr>
          <w:rFonts w:hint="eastAsia" w:ascii="宋体" w:hAnsi="宋体" w:cs="Arial"/>
        </w:rPr>
        <w:t>本基金所持有的投资品种，按如下原则进行估值：</w:t>
      </w:r>
    </w:p>
    <w:p w14:paraId="265C4A93">
      <w:pPr>
        <w:spacing w:line="360" w:lineRule="auto"/>
        <w:ind w:firstLine="420" w:firstLineChars="200"/>
        <w:rPr>
          <w:rFonts w:ascii="宋体" w:hAnsi="宋体" w:cs="Arial"/>
        </w:rPr>
      </w:pPr>
      <w:r>
        <w:rPr>
          <w:rFonts w:hint="eastAsia" w:ascii="宋体" w:hAnsi="宋体" w:cs="Arial"/>
        </w:rPr>
        <w:t>（1）交易所上市或挂牌转让的有价证券（包括股票等，基金合同另有规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3DA5AF63">
      <w:pPr>
        <w:spacing w:line="360" w:lineRule="auto"/>
        <w:ind w:firstLine="420" w:firstLineChars="200"/>
        <w:rPr>
          <w:rFonts w:ascii="宋体" w:hAnsi="宋体" w:cs="Arial"/>
        </w:rPr>
      </w:pPr>
      <w:r>
        <w:rPr>
          <w:rFonts w:hint="eastAsia" w:ascii="宋体" w:hAnsi="宋体" w:cs="Arial"/>
        </w:rPr>
        <w:t>（2）对于已上市或已挂牌转让的不含权固定收益品种，选取估值日第三方估值基准服务机构提供的相应品种当日的估值全价进行估值。</w:t>
      </w:r>
    </w:p>
    <w:p w14:paraId="18464C79">
      <w:pPr>
        <w:spacing w:line="360" w:lineRule="auto"/>
        <w:ind w:firstLine="420" w:firstLineChars="200"/>
        <w:rPr>
          <w:rFonts w:ascii="宋体" w:hAnsi="宋体" w:cs="Arial"/>
        </w:rPr>
      </w:pPr>
      <w:r>
        <w:rPr>
          <w:rFonts w:hint="eastAsia" w:ascii="宋体" w:hAnsi="宋体" w:cs="Arial"/>
        </w:rPr>
        <w:t>（3）对于已上市或已挂牌转让的含权固定收益品种，选取估值日第三方估值基准服务机构提供的相应品种当日的唯一估值全价或推荐估值全价进行估值。</w:t>
      </w:r>
    </w:p>
    <w:p w14:paraId="5BF079D3">
      <w:pPr>
        <w:spacing w:line="360" w:lineRule="auto"/>
        <w:ind w:firstLine="420" w:firstLineChars="200"/>
        <w:rPr>
          <w:rFonts w:ascii="宋体" w:hAnsi="宋体" w:cs="Arial"/>
        </w:rPr>
      </w:pPr>
      <w:r>
        <w:rPr>
          <w:rFonts w:hint="eastAsia" w:ascii="宋体" w:hAnsi="宋体" w:cs="Arial"/>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337E7283">
      <w:pPr>
        <w:spacing w:line="360" w:lineRule="auto"/>
        <w:ind w:firstLine="420" w:firstLineChars="200"/>
        <w:rPr>
          <w:rFonts w:ascii="宋体" w:hAnsi="宋体" w:cs="Arial"/>
        </w:rPr>
      </w:pPr>
      <w:r>
        <w:rPr>
          <w:rFonts w:hint="eastAsia" w:ascii="宋体" w:hAnsi="宋体" w:cs="Arial"/>
        </w:rPr>
        <w:t>（4）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14FBE3C9">
      <w:pPr>
        <w:spacing w:line="360" w:lineRule="auto"/>
        <w:ind w:firstLine="420" w:firstLineChars="200"/>
        <w:rPr>
          <w:rFonts w:ascii="宋体" w:hAnsi="宋体" w:cs="Arial"/>
        </w:rPr>
      </w:pPr>
      <w:r>
        <w:rPr>
          <w:rFonts w:hint="eastAsia" w:ascii="宋体" w:hAnsi="宋体" w:cs="Arial"/>
        </w:rPr>
        <w:t>（5）对于未上市或未挂牌转让且不存在活跃市场的固定收益品种，应采用在当前情况下适用并且有足够可利用数据和其他信息支持的估值技术确定其公允价值。</w:t>
      </w:r>
    </w:p>
    <w:p w14:paraId="1E5E417B">
      <w:pPr>
        <w:spacing w:line="360" w:lineRule="auto"/>
        <w:ind w:firstLine="420" w:firstLineChars="200"/>
        <w:rPr>
          <w:rFonts w:ascii="宋体" w:hAnsi="宋体" w:cs="Arial"/>
        </w:rPr>
      </w:pPr>
      <w:r>
        <w:rPr>
          <w:rFonts w:hint="eastAsia" w:ascii="宋体" w:hAnsi="宋体" w:cs="Arial"/>
        </w:rPr>
        <w:t>（6）处于未上市期间的有价证券应区分如下情况处理：</w:t>
      </w:r>
    </w:p>
    <w:p w14:paraId="2102CCA6">
      <w:pPr>
        <w:spacing w:line="360" w:lineRule="auto"/>
        <w:ind w:firstLine="420" w:firstLineChars="200"/>
        <w:rPr>
          <w:rFonts w:ascii="宋体" w:hAnsi="宋体" w:cs="Arial"/>
        </w:rPr>
      </w:pPr>
      <w:r>
        <w:rPr>
          <w:rFonts w:hint="eastAsia" w:ascii="宋体" w:hAnsi="宋体" w:cs="Arial"/>
        </w:rPr>
        <w:t>1）送股、转增股、配股和公开增发的新股，按估值日在证券交易所挂牌的同一股票的估值方法估值；该日无交易的，以最近一日的市价（收盘价）估值；</w:t>
      </w:r>
    </w:p>
    <w:p w14:paraId="0371C24B">
      <w:pPr>
        <w:spacing w:line="360" w:lineRule="auto"/>
        <w:ind w:firstLine="420" w:firstLineChars="200"/>
        <w:rPr>
          <w:rFonts w:ascii="宋体" w:hAnsi="宋体" w:cs="Arial"/>
        </w:rPr>
      </w:pPr>
      <w:r>
        <w:rPr>
          <w:rFonts w:hint="eastAsia" w:ascii="宋体" w:hAnsi="宋体" w:cs="Arial"/>
        </w:rPr>
        <w:t>2）首次公开发行未上市的股票，采用估值技术确定公允价值；</w:t>
      </w:r>
    </w:p>
    <w:p w14:paraId="3E375D63">
      <w:pPr>
        <w:spacing w:line="360" w:lineRule="auto"/>
        <w:ind w:firstLine="420" w:firstLineChars="200"/>
        <w:rPr>
          <w:rFonts w:ascii="宋体" w:hAnsi="宋体" w:cs="Arial"/>
        </w:rPr>
      </w:pPr>
      <w:r>
        <w:rPr>
          <w:rFonts w:hint="eastAsia" w:ascii="宋体" w:hAnsi="宋体" w:cs="Arial"/>
        </w:rPr>
        <w:t>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6D0663E5">
      <w:pPr>
        <w:spacing w:line="360" w:lineRule="auto"/>
        <w:ind w:firstLine="420" w:firstLineChars="200"/>
        <w:rPr>
          <w:rFonts w:ascii="宋体" w:hAnsi="宋体" w:cs="Arial"/>
        </w:rPr>
      </w:pPr>
      <w:r>
        <w:rPr>
          <w:rFonts w:hint="eastAsia" w:ascii="宋体" w:hAnsi="宋体" w:cs="Arial"/>
        </w:rPr>
        <w:t>（7）本基金投资存托凭证的估值核算，依照境内上市交易的股票执行。</w:t>
      </w:r>
    </w:p>
    <w:p w14:paraId="29334C97">
      <w:pPr>
        <w:spacing w:line="360" w:lineRule="auto"/>
        <w:ind w:firstLine="420" w:firstLineChars="200"/>
        <w:rPr>
          <w:rFonts w:ascii="宋体" w:hAnsi="宋体" w:cs="Arial"/>
        </w:rPr>
      </w:pPr>
      <w:r>
        <w:rPr>
          <w:rFonts w:hint="eastAsia" w:ascii="宋体" w:hAnsi="宋体" w:cs="Arial"/>
        </w:rPr>
        <w:t>（8）同一证券同时在两个或两个以上市场交易的，按证券所处的市场分别估值。</w:t>
      </w:r>
    </w:p>
    <w:p w14:paraId="300E1532">
      <w:pPr>
        <w:spacing w:line="360" w:lineRule="auto"/>
        <w:ind w:firstLine="420" w:firstLineChars="200"/>
        <w:rPr>
          <w:rFonts w:ascii="宋体" w:hAnsi="宋体" w:cs="Arial"/>
        </w:rPr>
      </w:pPr>
      <w:r>
        <w:rPr>
          <w:rFonts w:hint="eastAsia" w:ascii="宋体" w:hAnsi="宋体" w:cs="Arial"/>
        </w:rPr>
        <w:t>（9）本基金参与股指期货、国债期货合约交易，一般以估值当日结算价确定公允价值，估值当日无结算价的，且最近交易日后未发生影响公允价值计量的重大事件的，采用最近交易日结算价估值。</w:t>
      </w:r>
    </w:p>
    <w:p w14:paraId="274FFEED">
      <w:pPr>
        <w:spacing w:line="360" w:lineRule="auto"/>
        <w:ind w:firstLine="420" w:firstLineChars="200"/>
        <w:rPr>
          <w:rFonts w:ascii="宋体" w:hAnsi="宋体" w:cs="Arial"/>
        </w:rPr>
      </w:pPr>
      <w:r>
        <w:rPr>
          <w:rFonts w:hint="eastAsia" w:ascii="宋体" w:hAnsi="宋体" w:cs="Arial"/>
        </w:rPr>
        <w:t>（10）本基金投资股票期权，根据相关法律法规以及监管部门的规定估值。</w:t>
      </w:r>
    </w:p>
    <w:p w14:paraId="42F382D2">
      <w:pPr>
        <w:spacing w:line="360" w:lineRule="auto"/>
        <w:ind w:firstLine="420" w:firstLineChars="200"/>
        <w:rPr>
          <w:rFonts w:ascii="宋体" w:hAnsi="宋体" w:cs="Arial"/>
        </w:rPr>
      </w:pPr>
      <w:r>
        <w:rPr>
          <w:rFonts w:hint="eastAsia" w:ascii="宋体" w:hAnsi="宋体" w:cs="Arial"/>
        </w:rPr>
        <w:t>（11）本基金参与融资及转融通证券出借业务的，应参照法律法规及行业协会的相关规定进行估值。</w:t>
      </w:r>
    </w:p>
    <w:p w14:paraId="12EE7906">
      <w:pPr>
        <w:spacing w:line="360" w:lineRule="auto"/>
        <w:ind w:firstLine="420" w:firstLineChars="200"/>
        <w:rPr>
          <w:rFonts w:ascii="宋体" w:hAnsi="宋体" w:cs="Arial"/>
        </w:rPr>
      </w:pPr>
      <w:r>
        <w:rPr>
          <w:rFonts w:hint="eastAsia" w:ascii="宋体" w:hAnsi="宋体" w:cs="Arial"/>
        </w:rPr>
        <w:t>（12）本基金可以采用第三方估值机构按照上述公允价值确定原则提供的估值价格数据。如有确凿证据表明按上述方法进行估值不能客观反映其公允价值的，基金管理人可根据具体情况与基金托管人商定后，按最能反映公允价值的方法估值。</w:t>
      </w:r>
    </w:p>
    <w:p w14:paraId="61A5A0A3">
      <w:pPr>
        <w:spacing w:line="360" w:lineRule="auto"/>
        <w:ind w:firstLine="420" w:firstLineChars="200"/>
        <w:rPr>
          <w:rFonts w:ascii="宋体" w:hAnsi="宋体" w:cs="Arial"/>
        </w:rPr>
      </w:pPr>
      <w:r>
        <w:rPr>
          <w:rFonts w:hint="eastAsia" w:ascii="宋体" w:hAnsi="宋体" w:cs="Arial"/>
        </w:rPr>
        <w:t>使用模型估值的，应当审慎确定模型参数，不得随意调整。</w:t>
      </w:r>
    </w:p>
    <w:p w14:paraId="2A1075AB">
      <w:pPr>
        <w:spacing w:line="360" w:lineRule="auto"/>
        <w:ind w:firstLine="420" w:firstLineChars="200"/>
        <w:rPr>
          <w:rFonts w:ascii="宋体" w:hAnsi="宋体" w:cs="Arial"/>
        </w:rPr>
      </w:pPr>
      <w:r>
        <w:rPr>
          <w:rFonts w:hint="eastAsia" w:ascii="宋体" w:hAnsi="宋体" w:cs="Arial"/>
        </w:rPr>
        <w:t>对于仅依赖管理人所提供数据（包括不限于管理人自建模型定价）且无法从其他渠道获取可靠数据进行会计核算的投资品种，管理人应对该估值数据的真实性、准确性、完整性、合规性负责，因上述估值数据错误导致估值结果的不真实、不准确、不完整、不合规，托管人不承担任何责任。</w:t>
      </w:r>
    </w:p>
    <w:p w14:paraId="547EDC8A">
      <w:pPr>
        <w:spacing w:line="360" w:lineRule="auto"/>
        <w:ind w:firstLine="420" w:firstLineChars="200"/>
        <w:rPr>
          <w:rFonts w:ascii="宋体" w:hAnsi="宋体" w:cs="Arial"/>
        </w:rPr>
      </w:pPr>
      <w:r>
        <w:rPr>
          <w:rFonts w:hint="eastAsia" w:ascii="宋体" w:hAnsi="宋体" w:cs="Arial"/>
        </w:rPr>
        <w:t>（13）相关法律法规以及监管部门有强制规定的，从其规定。如有新增事项，按国家最新规定估值。</w:t>
      </w:r>
    </w:p>
    <w:p w14:paraId="21DF758C">
      <w:pPr>
        <w:spacing w:line="360" w:lineRule="auto"/>
        <w:ind w:firstLine="420" w:firstLineChars="200"/>
        <w:rPr>
          <w:rFonts w:ascii="宋体" w:hAnsi="宋体" w:cs="Arial"/>
        </w:rPr>
      </w:pPr>
      <w:r>
        <w:rPr>
          <w:rFonts w:hint="eastAsia" w:ascii="宋体" w:hAnsi="宋体" w:cs="Arial"/>
        </w:rPr>
        <w:t>如基金管理人或基金托管人发现基金估值违反基金合同订明的估值方法、程序及相关法律法规的规定或者未能充分维护基金份额持有人利益时，应立即通知对方，共同查明原因，双方协商解决。</w:t>
      </w:r>
    </w:p>
    <w:p w14:paraId="14AD466A">
      <w:pPr>
        <w:spacing w:line="360" w:lineRule="auto"/>
        <w:ind w:firstLine="420" w:firstLineChars="200"/>
        <w:rPr>
          <w:rFonts w:ascii="宋体" w:hAnsi="宋体" w:cs="Arial"/>
        </w:rPr>
      </w:pPr>
      <w:r>
        <w:rPr>
          <w:rFonts w:hint="eastAsia" w:ascii="宋体" w:hAnsi="宋体" w:cs="Arial"/>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基金管理人向基金托管人出具盖章的书面说明后，按照基金管理人对基金净值的计算结果对外予以公布。</w:t>
      </w:r>
    </w:p>
    <w:p w14:paraId="56732015">
      <w:pPr>
        <w:spacing w:line="360" w:lineRule="auto"/>
        <w:ind w:firstLine="420" w:firstLineChars="200"/>
        <w:rPr>
          <w:rFonts w:ascii="宋体" w:hAnsi="宋体" w:cs="Arial"/>
        </w:rPr>
      </w:pPr>
      <w:r>
        <w:rPr>
          <w:rFonts w:hint="eastAsia" w:ascii="宋体" w:hAnsi="宋体" w:cs="Arial"/>
        </w:rPr>
        <w:t>3.特殊情形的处理</w:t>
      </w:r>
    </w:p>
    <w:p w14:paraId="19A29BB9">
      <w:pPr>
        <w:spacing w:line="360" w:lineRule="auto"/>
        <w:ind w:firstLine="420" w:firstLineChars="200"/>
        <w:rPr>
          <w:rFonts w:ascii="宋体" w:hAnsi="宋体" w:cs="Arial"/>
        </w:rPr>
      </w:pPr>
      <w:r>
        <w:rPr>
          <w:rFonts w:hint="eastAsia" w:ascii="宋体" w:hAnsi="宋体" w:cs="Arial"/>
        </w:rPr>
        <w:t>基金管理人、基金托管人按估值方法的第(12)项进行估值时，所造成的误差不作为基金份额净值错误处理。</w:t>
      </w:r>
    </w:p>
    <w:p w14:paraId="0E3CD6BC">
      <w:pPr>
        <w:spacing w:line="360" w:lineRule="auto"/>
        <w:ind w:firstLine="420" w:firstLineChars="200"/>
        <w:rPr>
          <w:rFonts w:ascii="宋体" w:hAnsi="宋体" w:cs="Arial"/>
        </w:rPr>
      </w:pPr>
      <w:r>
        <w:rPr>
          <w:rFonts w:hint="eastAsia" w:ascii="宋体" w:hAnsi="宋体" w:cs="Arial"/>
        </w:rPr>
        <w:t>（三）基金份额净值错误的处理方式</w:t>
      </w:r>
    </w:p>
    <w:p w14:paraId="4F06AB8F">
      <w:pPr>
        <w:spacing w:line="360" w:lineRule="auto"/>
        <w:ind w:firstLine="420" w:firstLineChars="200"/>
        <w:rPr>
          <w:rFonts w:ascii="宋体" w:hAnsi="宋体" w:cs="Arial"/>
        </w:rPr>
      </w:pPr>
      <w:r>
        <w:rPr>
          <w:rFonts w:hint="eastAsia" w:ascii="宋体" w:hAnsi="宋体" w:cs="Arial"/>
        </w:rPr>
        <w:t>1.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并报中国证监会备案；当发生净值计算错误时，由基金管理人负责处理，由此给基金份额持有人和基金造成损失的，应由基金管理人先行赔付，基金管理人按差错情形，有权向其他当事人追偿。</w:t>
      </w:r>
    </w:p>
    <w:p w14:paraId="4DF06ECE">
      <w:pPr>
        <w:spacing w:line="360" w:lineRule="auto"/>
        <w:ind w:firstLine="420" w:firstLineChars="200"/>
        <w:rPr>
          <w:rFonts w:ascii="宋体" w:hAnsi="宋体" w:cs="Arial"/>
        </w:rPr>
      </w:pPr>
      <w:r>
        <w:rPr>
          <w:rFonts w:hint="eastAsia" w:ascii="宋体" w:hAnsi="宋体" w:cs="Arial"/>
        </w:rPr>
        <w:t>2.当基金份额净值计算差错给基金和基金份额持有人造成损失需要进行赔偿时，基金管理人和基金托管人根据实际情况界定双方承担的责任，经确认后按以下条款进行赔偿：</w:t>
      </w:r>
    </w:p>
    <w:p w14:paraId="1BD7B738">
      <w:pPr>
        <w:spacing w:line="360" w:lineRule="auto"/>
        <w:ind w:firstLine="420" w:firstLineChars="200"/>
        <w:rPr>
          <w:rFonts w:ascii="宋体" w:hAnsi="宋体" w:cs="Arial"/>
        </w:rPr>
      </w:pPr>
      <w:r>
        <w:rPr>
          <w:rFonts w:hint="eastAsia" w:ascii="宋体" w:hAnsi="宋体" w:cs="Arial"/>
        </w:rPr>
        <w:t>(1)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14:paraId="3D9CA5C7">
      <w:pPr>
        <w:spacing w:line="360" w:lineRule="auto"/>
        <w:ind w:firstLine="420" w:firstLineChars="200"/>
        <w:rPr>
          <w:rFonts w:ascii="宋体" w:hAnsi="宋体" w:cs="Arial"/>
        </w:rPr>
      </w:pPr>
      <w:r>
        <w:rPr>
          <w:rFonts w:hint="eastAsia" w:ascii="宋体" w:hAnsi="宋体" w:cs="Arial"/>
        </w:rPr>
        <w:t>(2)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管理费和托管费的比例各自承担相应的责任。</w:t>
      </w:r>
    </w:p>
    <w:p w14:paraId="3D90933E">
      <w:pPr>
        <w:spacing w:line="360" w:lineRule="auto"/>
        <w:ind w:firstLine="420" w:firstLineChars="200"/>
        <w:rPr>
          <w:rFonts w:ascii="宋体" w:hAnsi="宋体" w:cs="Arial"/>
        </w:rPr>
      </w:pPr>
      <w:r>
        <w:rPr>
          <w:rFonts w:hint="eastAsia" w:ascii="宋体" w:hAnsi="宋体" w:cs="Arial"/>
        </w:rPr>
        <w:t>(3)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14:paraId="6E6D8418">
      <w:pPr>
        <w:spacing w:line="360" w:lineRule="auto"/>
        <w:ind w:firstLine="420" w:firstLineChars="200"/>
        <w:rPr>
          <w:rFonts w:ascii="宋体" w:hAnsi="宋体" w:cs="Arial"/>
        </w:rPr>
      </w:pPr>
      <w:r>
        <w:rPr>
          <w:rFonts w:hint="eastAsia" w:ascii="宋体" w:hAnsi="宋体" w:cs="Arial"/>
        </w:rPr>
        <w:t>(4)由于基金管理人提供的信息错误（包括但不限于基金申购或赎回金额等），进而导致基金份额净值计算错误而引起的基金份额持有人和基金财产的损失，由基金管理人负责赔付。</w:t>
      </w:r>
    </w:p>
    <w:p w14:paraId="7A716D00">
      <w:pPr>
        <w:spacing w:line="360" w:lineRule="auto"/>
        <w:ind w:firstLine="420" w:firstLineChars="200"/>
        <w:rPr>
          <w:rFonts w:ascii="宋体" w:hAnsi="宋体" w:cs="Arial"/>
        </w:rPr>
      </w:pPr>
      <w:r>
        <w:rPr>
          <w:rFonts w:hint="eastAsia" w:ascii="宋体" w:hAnsi="宋体" w:cs="Arial"/>
        </w:rPr>
        <w:t>3.由于不可抗力原因，或证券/期货交易所、指数编制机构及登记结算公司、证券、期货经营机构等机构发送的数据错误、遗漏等原因，基金管理人和基金托管人虽然已经采取必要、适当、合理的措施进行检查，但是未能发现该错误或即使发现该错误但因前述原因无法及时更正而造成的基金份额净值计算错误，基金管理人、基金托管人免除赔偿责任。但基金管理人、基金托管人应积极采取必要的措施减轻或消除由此造成的影响。</w:t>
      </w:r>
    </w:p>
    <w:p w14:paraId="6C6F8292">
      <w:pPr>
        <w:spacing w:line="360" w:lineRule="auto"/>
        <w:ind w:firstLine="420" w:firstLineChars="200"/>
        <w:rPr>
          <w:rFonts w:ascii="宋体" w:hAnsi="宋体" w:cs="Arial"/>
        </w:rPr>
      </w:pPr>
      <w:r>
        <w:rPr>
          <w:rFonts w:hint="eastAsia" w:ascii="宋体" w:hAnsi="宋体" w:cs="Arial"/>
        </w:rPr>
        <w:t>4.基金管理人和基金托管人由于各自技术系统设置而产生的净值计算尾差，以基金管理人计算结果为准。</w:t>
      </w:r>
    </w:p>
    <w:p w14:paraId="0CF118B2">
      <w:pPr>
        <w:spacing w:line="360" w:lineRule="auto"/>
        <w:ind w:firstLine="420" w:firstLineChars="200"/>
        <w:rPr>
          <w:rFonts w:ascii="宋体" w:hAnsi="宋体" w:cs="Arial"/>
        </w:rPr>
      </w:pPr>
      <w:r>
        <w:rPr>
          <w:rFonts w:hint="eastAsia" w:ascii="宋体" w:hAnsi="宋体" w:cs="Arial"/>
        </w:rPr>
        <w:t>5.前述内容如法律法规或者监管部门另有规定的，从其规定。如果行业另有通行做法，双方当事人应本着平等和保护基金份额持有人利益的原则进行协商。</w:t>
      </w:r>
    </w:p>
    <w:p w14:paraId="184D2FAC">
      <w:pPr>
        <w:spacing w:line="360" w:lineRule="auto"/>
        <w:ind w:firstLine="420" w:firstLineChars="200"/>
        <w:rPr>
          <w:rFonts w:ascii="宋体" w:hAnsi="宋体" w:cs="Arial"/>
        </w:rPr>
      </w:pPr>
      <w:r>
        <w:rPr>
          <w:rFonts w:hint="eastAsia" w:ascii="宋体" w:hAnsi="宋体" w:cs="Arial"/>
        </w:rPr>
        <w:t>（四）暂停估值的情形</w:t>
      </w:r>
    </w:p>
    <w:p w14:paraId="642A8624">
      <w:pPr>
        <w:spacing w:line="360" w:lineRule="auto"/>
        <w:ind w:firstLine="420" w:firstLineChars="200"/>
        <w:rPr>
          <w:rFonts w:ascii="宋体" w:hAnsi="宋体" w:cs="Arial"/>
        </w:rPr>
      </w:pPr>
      <w:r>
        <w:rPr>
          <w:rFonts w:hint="eastAsia" w:ascii="宋体" w:hAnsi="宋体" w:cs="Arial"/>
        </w:rPr>
        <w:t>1.基金投资所涉及的证券/期货交易市场遇法定节假日或因其他原因暂停营业时；</w:t>
      </w:r>
    </w:p>
    <w:p w14:paraId="4E68F6CF">
      <w:pPr>
        <w:spacing w:line="360" w:lineRule="auto"/>
        <w:ind w:firstLine="420" w:firstLineChars="200"/>
        <w:rPr>
          <w:rFonts w:ascii="宋体" w:hAnsi="宋体" w:cs="Arial"/>
        </w:rPr>
      </w:pPr>
      <w:r>
        <w:rPr>
          <w:rFonts w:hint="eastAsia" w:ascii="宋体" w:hAnsi="宋体" w:cs="Arial"/>
        </w:rPr>
        <w:t>2.因不可抗力或者其他情形致使基金管理人、基金托管人无法准确评估基金资产价值时；</w:t>
      </w:r>
    </w:p>
    <w:p w14:paraId="2BD133F9">
      <w:pPr>
        <w:spacing w:line="360" w:lineRule="auto"/>
        <w:ind w:firstLine="420" w:firstLineChars="200"/>
        <w:rPr>
          <w:rFonts w:ascii="宋体" w:hAnsi="宋体" w:cs="Arial"/>
        </w:rPr>
      </w:pPr>
      <w:r>
        <w:rPr>
          <w:rFonts w:hint="eastAsia" w:ascii="宋体" w:hAnsi="宋体" w:cs="Arial"/>
        </w:rPr>
        <w:t>3.当前一估值日基金资产净值 50%以上的资产出现无可参考的活跃市场价格且采用估值技术仍导致公允价值存在重大不确定性时，经与基金托管人协商确认后，基金管理人应当暂停估值；</w:t>
      </w:r>
    </w:p>
    <w:p w14:paraId="13C3A9F5">
      <w:pPr>
        <w:spacing w:line="360" w:lineRule="auto"/>
        <w:ind w:firstLine="420" w:firstLineChars="200"/>
        <w:rPr>
          <w:rFonts w:ascii="宋体" w:hAnsi="宋体" w:cs="Arial"/>
        </w:rPr>
      </w:pPr>
      <w:r>
        <w:rPr>
          <w:rFonts w:hint="eastAsia" w:ascii="宋体" w:hAnsi="宋体" w:cs="Arial"/>
        </w:rPr>
        <w:t>4. 法律法规、中国证监会和《基金合同》认定的其他情形。</w:t>
      </w:r>
    </w:p>
    <w:p w14:paraId="545BCEF4">
      <w:pPr>
        <w:spacing w:line="360" w:lineRule="auto"/>
        <w:ind w:firstLine="420" w:firstLineChars="200"/>
        <w:rPr>
          <w:rFonts w:ascii="宋体" w:hAnsi="宋体" w:cs="Arial"/>
        </w:rPr>
      </w:pPr>
      <w:r>
        <w:rPr>
          <w:rFonts w:hint="eastAsia" w:ascii="宋体" w:hAnsi="宋体" w:cs="Arial"/>
        </w:rPr>
        <w:t>（五）基金会计制度</w:t>
      </w:r>
    </w:p>
    <w:p w14:paraId="611F5442">
      <w:pPr>
        <w:spacing w:line="360" w:lineRule="auto"/>
        <w:ind w:firstLine="420" w:firstLineChars="200"/>
        <w:rPr>
          <w:rFonts w:ascii="宋体" w:hAnsi="宋体" w:cs="Arial"/>
        </w:rPr>
      </w:pPr>
      <w:r>
        <w:rPr>
          <w:rFonts w:hint="eastAsia" w:ascii="宋体" w:hAnsi="宋体" w:cs="Arial"/>
        </w:rPr>
        <w:t>按国家有关部门规定的会计制度执行。</w:t>
      </w:r>
    </w:p>
    <w:p w14:paraId="09F05E38">
      <w:pPr>
        <w:spacing w:line="360" w:lineRule="auto"/>
        <w:ind w:firstLine="420" w:firstLineChars="200"/>
        <w:rPr>
          <w:rFonts w:ascii="宋体" w:hAnsi="宋体" w:cs="Arial"/>
        </w:rPr>
      </w:pPr>
      <w:r>
        <w:rPr>
          <w:rFonts w:hint="eastAsia" w:ascii="宋体" w:hAnsi="宋体" w:cs="Arial"/>
        </w:rPr>
        <w:t>（六）基金账册的建立</w:t>
      </w:r>
    </w:p>
    <w:p w14:paraId="655B2F95">
      <w:pPr>
        <w:spacing w:line="360" w:lineRule="auto"/>
        <w:ind w:firstLine="420" w:firstLineChars="200"/>
        <w:rPr>
          <w:rFonts w:ascii="宋体" w:hAnsi="宋体" w:cs="Arial"/>
        </w:rPr>
      </w:pPr>
      <w:r>
        <w:rPr>
          <w:rFonts w:hint="eastAsia" w:ascii="宋体" w:hAnsi="宋体" w:cs="Arial"/>
        </w:rPr>
        <w:t>基金管理人进行基金会计核算并编制基金财务会计报告。基金管理人独立地设置、记录和保管本基金的全套账册。若基金管理人和基金托管人对会计处理方法存在分歧，应以基金管理人的处理方法为准。若当日核对不符，暂时无法查找到错账的原因而影响到基金净值信息的计算和公告的，以基金管理人的账册为准。</w:t>
      </w:r>
    </w:p>
    <w:p w14:paraId="763D4B88">
      <w:pPr>
        <w:spacing w:line="360" w:lineRule="auto"/>
        <w:ind w:firstLine="420" w:firstLineChars="200"/>
        <w:rPr>
          <w:rFonts w:ascii="宋体" w:hAnsi="宋体" w:cs="Arial"/>
        </w:rPr>
      </w:pPr>
      <w:r>
        <w:rPr>
          <w:rFonts w:hint="eastAsia" w:ascii="宋体" w:hAnsi="宋体" w:cs="Arial"/>
        </w:rPr>
        <w:t>（七）基金财务报表与报告的编制和复核</w:t>
      </w:r>
    </w:p>
    <w:p w14:paraId="28878988">
      <w:pPr>
        <w:spacing w:line="360" w:lineRule="auto"/>
        <w:ind w:firstLine="420" w:firstLineChars="200"/>
        <w:rPr>
          <w:rFonts w:ascii="宋体" w:hAnsi="宋体" w:cs="Arial"/>
        </w:rPr>
      </w:pPr>
      <w:r>
        <w:rPr>
          <w:rFonts w:hint="eastAsia" w:ascii="宋体" w:hAnsi="宋体" w:cs="Arial"/>
        </w:rPr>
        <w:t>1.财务报表的编制</w:t>
      </w:r>
    </w:p>
    <w:p w14:paraId="72B3FA40">
      <w:pPr>
        <w:spacing w:line="360" w:lineRule="auto"/>
        <w:ind w:firstLine="420" w:firstLineChars="200"/>
        <w:rPr>
          <w:rFonts w:ascii="宋体" w:hAnsi="宋体" w:cs="Arial"/>
        </w:rPr>
      </w:pPr>
      <w:r>
        <w:rPr>
          <w:rFonts w:hint="eastAsia" w:ascii="宋体" w:hAnsi="宋体" w:cs="Arial"/>
        </w:rPr>
        <w:t>基金财务报表由基金管理人编制，基金托管人复核。</w:t>
      </w:r>
    </w:p>
    <w:p w14:paraId="7D944CE7">
      <w:pPr>
        <w:spacing w:line="360" w:lineRule="auto"/>
        <w:ind w:firstLine="420" w:firstLineChars="200"/>
        <w:rPr>
          <w:rFonts w:ascii="宋体" w:hAnsi="宋体" w:cs="Arial"/>
        </w:rPr>
      </w:pPr>
      <w:r>
        <w:rPr>
          <w:rFonts w:hint="eastAsia" w:ascii="宋体" w:hAnsi="宋体" w:cs="Arial"/>
        </w:rPr>
        <w:t>2.报表复核</w:t>
      </w:r>
    </w:p>
    <w:p w14:paraId="3D572A3C">
      <w:pPr>
        <w:spacing w:line="360" w:lineRule="auto"/>
        <w:ind w:firstLine="420" w:firstLineChars="200"/>
        <w:rPr>
          <w:rFonts w:ascii="宋体" w:hAnsi="宋体" w:cs="Arial"/>
        </w:rPr>
      </w:pPr>
      <w:r>
        <w:rPr>
          <w:rFonts w:hint="eastAsia" w:ascii="宋体" w:hAnsi="宋体" w:cs="Arial"/>
        </w:rPr>
        <w:t>基金托管人在收到基金管理人编制的基金财务报表后，进行独立的复核。核对不符时，应及时通知基金管理人共同查出原因，进行调整，直至双方数据完全一致。</w:t>
      </w:r>
    </w:p>
    <w:p w14:paraId="53FC246D">
      <w:pPr>
        <w:spacing w:line="360" w:lineRule="auto"/>
        <w:ind w:firstLine="420" w:firstLineChars="200"/>
        <w:rPr>
          <w:rFonts w:ascii="宋体" w:hAnsi="宋体" w:cs="Arial"/>
        </w:rPr>
      </w:pPr>
      <w:r>
        <w:rPr>
          <w:rFonts w:hint="eastAsia" w:ascii="宋体" w:hAnsi="宋体" w:cs="Arial"/>
        </w:rPr>
        <w:t>3.财务报表的编制与复核时间安排</w:t>
      </w:r>
    </w:p>
    <w:p w14:paraId="0B0E4144">
      <w:pPr>
        <w:spacing w:line="360" w:lineRule="auto"/>
        <w:ind w:firstLine="420" w:firstLineChars="200"/>
        <w:rPr>
          <w:rFonts w:ascii="宋体" w:hAnsi="宋体" w:cs="Arial"/>
        </w:rPr>
      </w:pPr>
      <w:r>
        <w:rPr>
          <w:rFonts w:hint="eastAsia" w:ascii="宋体" w:hAnsi="宋体" w:cs="Arial"/>
        </w:rPr>
        <w:t>(1)报表的编制</w:t>
      </w:r>
    </w:p>
    <w:p w14:paraId="3CEA951C">
      <w:pPr>
        <w:spacing w:line="360" w:lineRule="auto"/>
        <w:ind w:firstLine="420" w:firstLineChars="200"/>
        <w:rPr>
          <w:rFonts w:ascii="宋体" w:hAnsi="宋体" w:cs="Arial"/>
        </w:rPr>
      </w:pPr>
      <w:r>
        <w:rPr>
          <w:rFonts w:hint="eastAsia" w:ascii="宋体" w:hAnsi="宋体" w:cs="Arial"/>
        </w:rPr>
        <w:t>基金管理人应当在每月结束后5个工作日内完成月度报表的编制；在每个季度结束之日起15个工作日内完成基金季度报告的编制；在上半年结束之日起2个月内完成基金中期报告的编制；在每年结束之日起3个月内完成基金年度报告的编制。基金年度报告的财务会计报告应当经过符合《证券法》规定的会计师事务所审计。《基金合同》生效不足两个月的，基金管理人可以不编制当期季度报告、中期报告或者年度报告。</w:t>
      </w:r>
    </w:p>
    <w:p w14:paraId="0E6730FC">
      <w:pPr>
        <w:spacing w:line="360" w:lineRule="auto"/>
        <w:ind w:firstLine="420" w:firstLineChars="200"/>
        <w:rPr>
          <w:rFonts w:ascii="宋体" w:hAnsi="宋体" w:cs="Arial"/>
        </w:rPr>
      </w:pPr>
      <w:r>
        <w:rPr>
          <w:rFonts w:hint="eastAsia" w:ascii="宋体" w:hAnsi="宋体" w:cs="Arial"/>
        </w:rPr>
        <w:t>(2)报表的复核</w:t>
      </w:r>
    </w:p>
    <w:p w14:paraId="27CEF6E9">
      <w:pPr>
        <w:spacing w:line="360" w:lineRule="auto"/>
        <w:ind w:firstLine="420" w:firstLineChars="200"/>
        <w:rPr>
          <w:rFonts w:ascii="宋体" w:hAnsi="宋体" w:cs="Arial"/>
        </w:rPr>
      </w:pPr>
      <w:r>
        <w:rPr>
          <w:rFonts w:hint="eastAsia" w:ascii="宋体" w:hAnsi="宋体" w:cs="Arial"/>
        </w:rPr>
        <w:t>基金管理人应及时完成报表编制，将有关报表提供基金托管人复核；基金托管人在复核过程中，发现双方的报表存在不符时，基金管理人和基金托管人应共同查明原因，进行调整，调整以国家有关规定为准。</w:t>
      </w:r>
    </w:p>
    <w:p w14:paraId="49E3076F">
      <w:pPr>
        <w:spacing w:line="360" w:lineRule="auto"/>
        <w:ind w:firstLine="420" w:firstLineChars="200"/>
        <w:rPr>
          <w:rFonts w:ascii="宋体" w:hAnsi="宋体" w:cs="Arial"/>
        </w:rPr>
      </w:pPr>
      <w:r>
        <w:rPr>
          <w:rFonts w:hint="eastAsia" w:ascii="宋体" w:hAnsi="宋体" w:cs="Arial"/>
        </w:rPr>
        <w:t>基金管理人应留足充分的时间，便于基金托管人复核相关报表及报告。如果基金管理人与基金托管人不能于应当发布公告之日之前就相关报表达成一致，基金管理人按照其编制的报表对外发布公告，基金托管人有权就相关情况报中国证监会备案。</w:t>
      </w:r>
    </w:p>
    <w:p w14:paraId="25A10F68">
      <w:pPr>
        <w:spacing w:line="360" w:lineRule="auto"/>
        <w:ind w:firstLine="420" w:firstLineChars="200"/>
        <w:rPr>
          <w:rFonts w:ascii="宋体" w:hAnsi="宋体" w:cs="Arial"/>
        </w:rPr>
      </w:pPr>
      <w:r>
        <w:rPr>
          <w:rFonts w:hint="eastAsia" w:ascii="宋体" w:hAnsi="宋体" w:cs="Arial"/>
        </w:rPr>
        <w:t>（八）基金管理人应在编制季度报告、中期报告或者年度报告之前及时向基金托管人提供基金业绩比较基准的基础数据和编制结果。</w:t>
      </w:r>
    </w:p>
    <w:p w14:paraId="2ED8D9B5">
      <w:pPr>
        <w:spacing w:line="360" w:lineRule="auto"/>
        <w:ind w:left="422"/>
        <w:rPr>
          <w:rFonts w:ascii="宋体" w:hAnsi="宋体" w:cs="Arial"/>
          <w:b/>
        </w:rPr>
      </w:pPr>
      <w:r>
        <w:rPr>
          <w:rFonts w:ascii="宋体" w:hAnsi="宋体" w:cs="Arial"/>
          <w:b/>
        </w:rPr>
        <w:t>六、</w:t>
      </w:r>
      <w:bookmarkEnd w:id="246"/>
      <w:bookmarkEnd w:id="247"/>
      <w:bookmarkEnd w:id="248"/>
      <w:bookmarkEnd w:id="249"/>
      <w:bookmarkEnd w:id="250"/>
      <w:bookmarkEnd w:id="251"/>
      <w:bookmarkEnd w:id="252"/>
      <w:r>
        <w:rPr>
          <w:rFonts w:hint="eastAsia" w:ascii="宋体" w:hAnsi="宋体" w:cs="Arial"/>
          <w:b/>
        </w:rPr>
        <w:t>基金份额持有人名册的保管</w:t>
      </w:r>
    </w:p>
    <w:p w14:paraId="5024AED3">
      <w:pPr>
        <w:spacing w:line="360" w:lineRule="auto"/>
        <w:ind w:firstLine="420" w:firstLineChars="200"/>
        <w:rPr>
          <w:rFonts w:ascii="宋体" w:hAnsi="宋体" w:cs="Arial"/>
        </w:rPr>
      </w:pPr>
      <w:bookmarkStart w:id="253" w:name="_Toc286319598"/>
      <w:bookmarkStart w:id="254" w:name="_Toc288639820"/>
      <w:bookmarkStart w:id="255" w:name="_Toc278986610"/>
      <w:bookmarkStart w:id="256" w:name="_Toc278986895"/>
      <w:bookmarkStart w:id="257" w:name="_Toc278986835"/>
      <w:bookmarkStart w:id="258" w:name="_Toc287014247"/>
      <w:r>
        <w:rPr>
          <w:rFonts w:hint="eastAsia" w:ascii="宋体" w:hAnsi="宋体" w:cs="Arial"/>
        </w:rPr>
        <w:t>基金份额持有人名册至少应包括基金份额持有人的名称和持有的基金份额。基金份额持有人名册由基金注册登记机构根据基金管理人的指令编制和保管，基金管理人和基金托管人应分别保管基金份额持有人名册，保存期限按照法律法规的规定执行。如不能妥善保管，则按相关法规承担责任。</w:t>
      </w:r>
    </w:p>
    <w:p w14:paraId="2A53A5BA">
      <w:pPr>
        <w:spacing w:line="360" w:lineRule="auto"/>
        <w:ind w:firstLine="420" w:firstLineChars="200"/>
        <w:rPr>
          <w:rFonts w:ascii="宋体" w:hAnsi="宋体" w:cs="Arial"/>
        </w:rPr>
      </w:pPr>
      <w:r>
        <w:rPr>
          <w:rFonts w:hint="eastAsia" w:ascii="宋体" w:hAnsi="宋体" w:cs="Arial"/>
        </w:rPr>
        <w:t>在基金托管人要求或编制中期报告和年度报告前，基金管理人应将有关资料送交基金托管人，不得无故拒绝或延误提供，并保证其真实性、准确性和完整性。基金托管人不得将所保管的基金份额持有人名册用于基金托管业务以外的其他用途，并应遵守保密义务。</w:t>
      </w:r>
    </w:p>
    <w:p w14:paraId="66099893">
      <w:pPr>
        <w:spacing w:line="360" w:lineRule="auto"/>
        <w:ind w:firstLine="422" w:firstLineChars="200"/>
        <w:rPr>
          <w:rFonts w:ascii="宋体" w:hAnsi="宋体" w:cs="Arial"/>
          <w:b/>
        </w:rPr>
      </w:pPr>
      <w:r>
        <w:rPr>
          <w:rFonts w:ascii="宋体" w:hAnsi="宋体" w:cs="Arial"/>
          <w:b/>
        </w:rPr>
        <w:t>七、争议解决方式</w:t>
      </w:r>
      <w:bookmarkEnd w:id="253"/>
      <w:bookmarkEnd w:id="254"/>
      <w:bookmarkEnd w:id="255"/>
      <w:bookmarkEnd w:id="256"/>
      <w:bookmarkEnd w:id="257"/>
      <w:bookmarkEnd w:id="258"/>
    </w:p>
    <w:p w14:paraId="192F2E99">
      <w:pPr>
        <w:spacing w:line="360" w:lineRule="auto"/>
        <w:ind w:firstLine="420" w:firstLineChars="200"/>
        <w:rPr>
          <w:rFonts w:ascii="宋体" w:hAnsi="宋体" w:cs="Arial"/>
        </w:rPr>
      </w:pPr>
      <w:bookmarkStart w:id="259" w:name="_Toc288639821"/>
      <w:bookmarkStart w:id="260" w:name="_Toc278986836"/>
      <w:bookmarkStart w:id="261" w:name="_Toc278986896"/>
      <w:bookmarkStart w:id="262" w:name="_Toc252355970"/>
      <w:bookmarkStart w:id="263" w:name="_Toc286319599"/>
      <w:bookmarkStart w:id="264" w:name="_Toc287014248"/>
      <w:bookmarkStart w:id="265" w:name="_Toc278986611"/>
      <w:r>
        <w:rPr>
          <w:rFonts w:hint="eastAsia" w:ascii="宋体" w:hAnsi="宋体" w:cs="Arial"/>
        </w:rPr>
        <w:t>因本协议产生或与之相关的争议，双方当事人应通过协商、调解解决，协商、调解不能解决的，应将争议提交中国国际经济贸易仲裁委员会，仲裁地点为北京市，按照中国国际经济贸易仲裁委员会届时有效的仲裁规则进行仲裁。仲裁裁决是终局的，对当事人均有约束力。除非仲裁裁决另有规定，仲裁费用由败诉方承担。</w:t>
      </w:r>
    </w:p>
    <w:p w14:paraId="421B6C56">
      <w:pPr>
        <w:spacing w:line="360" w:lineRule="auto"/>
        <w:ind w:firstLine="420" w:firstLineChars="200"/>
        <w:rPr>
          <w:rFonts w:ascii="宋体" w:hAnsi="宋体" w:cs="Arial"/>
        </w:rPr>
      </w:pPr>
      <w:r>
        <w:rPr>
          <w:rFonts w:hint="eastAsia" w:ascii="宋体" w:hAnsi="宋体" w:cs="Arial"/>
        </w:rPr>
        <w:t>争议处理期间，双方当事人应恪守基金管理人和基金托管人职责，各自继续忠实、勤勉、尽责地履行《基金合同》和本托管协议规定的义务，维护基金份额持有人的合法权益。</w:t>
      </w:r>
    </w:p>
    <w:p w14:paraId="31180765">
      <w:pPr>
        <w:spacing w:line="360" w:lineRule="auto"/>
        <w:ind w:firstLine="420" w:firstLineChars="200"/>
        <w:rPr>
          <w:rFonts w:ascii="宋体" w:hAnsi="宋体" w:cs="Arial"/>
        </w:rPr>
      </w:pPr>
      <w:r>
        <w:rPr>
          <w:rFonts w:hint="eastAsia" w:ascii="宋体" w:hAnsi="宋体" w:cs="Arial"/>
        </w:rPr>
        <w:t>本协议受中国法律（为本托管协议之目的，在此不包括香港、澳门特别行政区法律和台湾地区的有关规定）管辖并从其解释。</w:t>
      </w:r>
    </w:p>
    <w:p w14:paraId="01E0739B">
      <w:pPr>
        <w:spacing w:line="360" w:lineRule="auto"/>
        <w:ind w:firstLine="422" w:firstLineChars="200"/>
        <w:rPr>
          <w:rFonts w:ascii="宋体" w:hAnsi="宋体" w:cs="Arial"/>
          <w:b/>
        </w:rPr>
      </w:pPr>
      <w:r>
        <w:rPr>
          <w:rFonts w:ascii="宋体" w:hAnsi="宋体" w:cs="Arial"/>
          <w:b/>
        </w:rPr>
        <w:t>八、</w:t>
      </w:r>
      <w:bookmarkEnd w:id="259"/>
      <w:bookmarkEnd w:id="260"/>
      <w:bookmarkEnd w:id="261"/>
      <w:bookmarkEnd w:id="262"/>
      <w:bookmarkEnd w:id="263"/>
      <w:bookmarkEnd w:id="264"/>
      <w:bookmarkEnd w:id="265"/>
      <w:bookmarkStart w:id="266" w:name="_Toc147463123"/>
      <w:bookmarkStart w:id="267" w:name="_Toc21073396"/>
      <w:bookmarkStart w:id="268" w:name="_Toc12357176"/>
      <w:bookmarkStart w:id="269" w:name="_Toc214873621"/>
      <w:r>
        <w:rPr>
          <w:rFonts w:hint="eastAsia" w:ascii="宋体" w:hAnsi="宋体" w:cs="Arial"/>
          <w:b/>
        </w:rPr>
        <w:t>基金托管协议的变更、终止与基金财产的清算</w:t>
      </w:r>
    </w:p>
    <w:p w14:paraId="1ABFA07B">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（一）托管协议的变更程序</w:t>
      </w:r>
    </w:p>
    <w:p w14:paraId="447C57BE">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本协议双方当事人经协商一致，可以对协议进行修改。修改后的新协议，其内容不得与《基金合同》的规定有任何冲突。</w:t>
      </w:r>
    </w:p>
    <w:p w14:paraId="713EE252">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（二）托管协议终止的情形</w:t>
      </w:r>
    </w:p>
    <w:p w14:paraId="147D5CE0">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1.《基金合同》终止；</w:t>
      </w:r>
    </w:p>
    <w:p w14:paraId="2860C53C">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2.基金托管人解散、依法被撤销、破产或由其他基金托管人接管基金资产；</w:t>
      </w:r>
    </w:p>
    <w:p w14:paraId="237B49B1">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3.基金管理人解散、依法被撤销、破产或由其他基金管理人接管基金管理权；</w:t>
      </w:r>
    </w:p>
    <w:p w14:paraId="4BC6DC4C">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4.发生法律法规或《基金合同》规定的终止事项。</w:t>
      </w:r>
    </w:p>
    <w:p w14:paraId="26FE3703">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（三）基金财产的清算</w:t>
      </w:r>
    </w:p>
    <w:p w14:paraId="01913B0C">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1.基金财产清算小组：自出现《基金合同》终止事由之日起30个工作日内成立基金财产清算小组，基金管理人组织基金财产清算小组并在中国证监会的监督下进行基金清算。</w:t>
      </w:r>
    </w:p>
    <w:p w14:paraId="3B92DD61">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2.在基金财产清算小组接管基金财产之前，基金管理人和基金托管人应按照《基金合同》和托管协议的规定继续履行保护基金财产安全的职责。</w:t>
      </w:r>
    </w:p>
    <w:p w14:paraId="0C43978D">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3.基金财产清算小组组成：基金财产清算小组成员由基金管理人、基金托管人、符合《证券法》规定的注册会计师、律师以及中国证监会指定的人员组成。基金财产清算小组可以聘用必要的工作人员。</w:t>
      </w:r>
    </w:p>
    <w:p w14:paraId="1819BBD7">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4.基金财产清算小组职责：基金财产清算小组负责基金财产的保管、清理、估价、变现和分配。基金财产清算小组可以依法进行必要的民事活动。</w:t>
      </w:r>
    </w:p>
    <w:p w14:paraId="2E47E2C0">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5.在基金财产清算过程中，基金管理人和基金托管人应各自履行职责，继续忠实、勤勉、尽责地履行基金合同和托管协议规定的义务，维护基金份额持有人的合法权益。</w:t>
      </w:r>
    </w:p>
    <w:p w14:paraId="16D2A9B5">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6.基金财产清算程序：</w:t>
      </w:r>
    </w:p>
    <w:p w14:paraId="2AC542F2">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(1)《基金合同》终止情形出现时，由基金财产清算小组统一接管基金；</w:t>
      </w:r>
    </w:p>
    <w:p w14:paraId="6CA60E9C">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(2)对基金财产和债权债务进行清理和确认；</w:t>
      </w:r>
    </w:p>
    <w:p w14:paraId="398B6890">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(3)对基金财产进行估值和变现；</w:t>
      </w:r>
    </w:p>
    <w:p w14:paraId="343739C0">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(4)制作清算报告；</w:t>
      </w:r>
    </w:p>
    <w:p w14:paraId="45AF41A2">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(5)聘请符合《证券法》规定的会计师事务所对清算报告进行外部审计，聘请律师事务所对清算报告出具法律意见书；</w:t>
      </w:r>
    </w:p>
    <w:p w14:paraId="6F75B73F">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(6)将清算报告报中国证监会备案并公告；</w:t>
      </w:r>
    </w:p>
    <w:p w14:paraId="1203CC19">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(7)对基金剩余财产进行分配。</w:t>
      </w:r>
    </w:p>
    <w:p w14:paraId="36B99740">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7.基金财产清算的期限为6个月。但因本基金所持证券的流动性受到限制而不能及时变现的，清算期限相应顺延。</w:t>
      </w:r>
    </w:p>
    <w:p w14:paraId="08EC469F">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8.清算费用</w:t>
      </w:r>
    </w:p>
    <w:p w14:paraId="6B5E0977">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清算费用是指基金财产清算小组在进行基金财产清算过程中发生的所有合理费用，清算费用由基金财产清算小组优先从基金剩余财产中支付。</w:t>
      </w:r>
    </w:p>
    <w:p w14:paraId="119E13EB">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9.基金财产清算剩余资产的分配：</w:t>
      </w:r>
    </w:p>
    <w:p w14:paraId="786ED13F">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依据基金财产清算的分配方案，将基金财产清算后的全部剩余资产扣除基金财产清算费用、交纳所欠税款并清偿基金债务后，按基金份额持有人持有的基金份额比例进行分配。</w:t>
      </w:r>
    </w:p>
    <w:p w14:paraId="4E5E448A">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10.基金财产清算的公告</w:t>
      </w:r>
    </w:p>
    <w:p w14:paraId="11783648">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4BC71AF5">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11.基金财产清算账册及文件的保存</w:t>
      </w:r>
    </w:p>
    <w:p w14:paraId="306208B0">
      <w:pPr>
        <w:adjustRightInd w:val="0"/>
        <w:snapToGrid w:val="0"/>
        <w:spacing w:line="360" w:lineRule="auto"/>
        <w:ind w:firstLine="422" w:firstLineChars="201"/>
        <w:rPr>
          <w:color w:val="000000" w:themeColor="text1"/>
          <w14:textFill>
            <w14:solidFill>
              <w14:schemeClr w14:val="tx1"/>
            </w14:solidFill>
          </w14:textFill>
        </w:rPr>
      </w:pPr>
      <w:r>
        <w:rPr>
          <w:rFonts w:hint="eastAsia"/>
          <w:color w:val="000000" w:themeColor="text1"/>
          <w14:textFill>
            <w14:solidFill>
              <w14:schemeClr w14:val="tx1"/>
            </w14:solidFill>
          </w14:textFill>
        </w:rPr>
        <w:t>基金财产清算账册及有关文件由基金托管人保存，保存期限按照法律法规的规定执行。</w:t>
      </w:r>
    </w:p>
    <w:p w14:paraId="536CB0F5">
      <w:pPr>
        <w:adjustRightInd w:val="0"/>
        <w:snapToGrid w:val="0"/>
        <w:spacing w:line="360" w:lineRule="auto"/>
        <w:ind w:firstLine="422" w:firstLineChars="201"/>
        <w:rPr>
          <w:rFonts w:ascii="宋体" w:hAnsi="宋体" w:cs="Arial"/>
        </w:rPr>
        <w:sectPr>
          <w:pgSz w:w="11906" w:h="16838"/>
          <w:pgMar w:top="1440" w:right="1800" w:bottom="1440" w:left="1800" w:header="851" w:footer="992" w:gutter="0"/>
          <w:pgNumType w:start="1"/>
          <w:cols w:space="720" w:num="1"/>
          <w:docGrid w:linePitch="312" w:charSpace="0"/>
        </w:sectPr>
      </w:pPr>
      <w:r>
        <w:rPr>
          <w:color w:val="000000" w:themeColor="text1"/>
          <w14:textFill>
            <w14:solidFill>
              <w14:schemeClr w14:val="tx1"/>
            </w14:solidFill>
          </w14:textFill>
        </w:rPr>
        <w:t> </w:t>
      </w:r>
      <w:bookmarkEnd w:id="216"/>
    </w:p>
    <w:p w14:paraId="1F7E83F1">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270" w:name="_Toc22601"/>
      <w:bookmarkStart w:id="271" w:name="_Toc8052760"/>
      <w:bookmarkStart w:id="272" w:name="_Toc91110290"/>
      <w:r>
        <w:rPr>
          <w:rFonts w:ascii="宋体" w:hAnsi="宋体" w:eastAsia="宋体" w:cs="Arial"/>
          <w:kern w:val="0"/>
          <w:sz w:val="28"/>
          <w:szCs w:val="28"/>
        </w:rPr>
        <w:t>第二十</w:t>
      </w:r>
      <w:r>
        <w:rPr>
          <w:rFonts w:hint="eastAsia" w:ascii="宋体" w:hAnsi="宋体" w:eastAsia="宋体" w:cs="Arial"/>
          <w:kern w:val="0"/>
          <w:sz w:val="28"/>
          <w:szCs w:val="28"/>
        </w:rPr>
        <w:t>二</w:t>
      </w:r>
      <w:r>
        <w:rPr>
          <w:rFonts w:ascii="宋体" w:hAnsi="宋体" w:eastAsia="宋体" w:cs="Arial"/>
          <w:kern w:val="0"/>
          <w:sz w:val="28"/>
          <w:szCs w:val="28"/>
        </w:rPr>
        <w:t xml:space="preserve">部分  </w:t>
      </w:r>
      <w:bookmarkEnd w:id="266"/>
      <w:bookmarkEnd w:id="267"/>
      <w:bookmarkEnd w:id="268"/>
      <w:r>
        <w:rPr>
          <w:rFonts w:ascii="宋体" w:hAnsi="宋体" w:eastAsia="宋体" w:cs="Arial"/>
          <w:kern w:val="0"/>
          <w:sz w:val="28"/>
          <w:szCs w:val="28"/>
        </w:rPr>
        <w:t>对基金份额持有人的服务</w:t>
      </w:r>
      <w:bookmarkEnd w:id="269"/>
      <w:bookmarkEnd w:id="270"/>
      <w:bookmarkEnd w:id="271"/>
      <w:bookmarkEnd w:id="272"/>
    </w:p>
    <w:p w14:paraId="539879A2">
      <w:pPr>
        <w:adjustRightInd w:val="0"/>
        <w:snapToGrid w:val="0"/>
        <w:spacing w:line="360" w:lineRule="auto"/>
        <w:ind w:firstLine="420" w:firstLineChars="200"/>
        <w:rPr>
          <w:rFonts w:ascii="宋体" w:hAnsi="宋体" w:cs="Arial"/>
        </w:rPr>
      </w:pPr>
    </w:p>
    <w:p w14:paraId="1B7F27D3">
      <w:pPr>
        <w:adjustRightInd w:val="0"/>
        <w:snapToGrid w:val="0"/>
        <w:spacing w:line="360" w:lineRule="auto"/>
        <w:ind w:firstLine="420" w:firstLineChars="200"/>
        <w:rPr>
          <w:rFonts w:ascii="宋体" w:hAnsi="宋体"/>
          <w:kern w:val="0"/>
        </w:rPr>
      </w:pPr>
      <w:r>
        <w:rPr>
          <w:rFonts w:ascii="宋体" w:hAnsi="宋体"/>
          <w:kern w:val="0"/>
        </w:rPr>
        <w:t>对本基金份额持有人的服务主要由基金管理人、发售代理机构、申购赎回代理券商提供。基金管理人承诺为基金份额持有人提供一系列的服务，以下是主要的服务内容。基金管理人根据基金份额持有人的需要和市场的变化，有权增加和修改服务项目。</w:t>
      </w:r>
    </w:p>
    <w:p w14:paraId="782799AC">
      <w:pPr>
        <w:adjustRightInd w:val="0"/>
        <w:snapToGrid w:val="0"/>
        <w:spacing w:line="360" w:lineRule="auto"/>
        <w:ind w:firstLine="420" w:firstLineChars="200"/>
        <w:rPr>
          <w:rFonts w:ascii="宋体" w:hAnsi="宋体"/>
          <w:kern w:val="0"/>
        </w:rPr>
      </w:pPr>
      <w:r>
        <w:rPr>
          <w:rFonts w:ascii="宋体" w:hAnsi="宋体"/>
          <w:kern w:val="0"/>
        </w:rPr>
        <w:t>基金管理人提供的服务内容如下：</w:t>
      </w:r>
    </w:p>
    <w:p w14:paraId="223F5B64">
      <w:pPr>
        <w:adjustRightInd w:val="0"/>
        <w:snapToGrid w:val="0"/>
        <w:spacing w:line="360" w:lineRule="auto"/>
        <w:ind w:firstLine="422" w:firstLineChars="200"/>
        <w:rPr>
          <w:rFonts w:ascii="宋体" w:hAnsi="宋体"/>
          <w:b/>
          <w:kern w:val="0"/>
        </w:rPr>
      </w:pPr>
      <w:r>
        <w:rPr>
          <w:rFonts w:ascii="宋体" w:hAnsi="宋体"/>
          <w:b/>
          <w:kern w:val="0"/>
        </w:rPr>
        <w:t>一、客户服务电话</w:t>
      </w:r>
    </w:p>
    <w:p w14:paraId="73A1C133">
      <w:pPr>
        <w:adjustRightInd w:val="0"/>
        <w:snapToGrid w:val="0"/>
        <w:spacing w:line="360" w:lineRule="auto"/>
        <w:ind w:firstLine="420" w:firstLineChars="200"/>
        <w:rPr>
          <w:rFonts w:ascii="宋体" w:hAnsi="宋体"/>
          <w:kern w:val="0"/>
        </w:rPr>
      </w:pPr>
      <w:r>
        <w:rPr>
          <w:rFonts w:ascii="宋体" w:hAnsi="宋体"/>
          <w:kern w:val="0"/>
        </w:rPr>
        <w:t>客户服务中心自动语音系统提供每周七天、每天24小时的自动语音服务和查询服务，客户可以通过电话查询基金份额净值。同时，客服中心提供工作日每天9:00-21:00、节假日（十一和春节除外）9:00-17:00 的电话人工服务。</w:t>
      </w:r>
    </w:p>
    <w:p w14:paraId="1F7DB25F">
      <w:pPr>
        <w:adjustRightInd w:val="0"/>
        <w:snapToGrid w:val="0"/>
        <w:spacing w:line="360" w:lineRule="auto"/>
        <w:ind w:firstLine="420" w:firstLineChars="200"/>
        <w:rPr>
          <w:rFonts w:ascii="宋体" w:hAnsi="宋体"/>
          <w:kern w:val="0"/>
        </w:rPr>
      </w:pPr>
      <w:r>
        <w:rPr>
          <w:rFonts w:hint="eastAsia" w:ascii="宋体" w:hAnsi="宋体"/>
          <w:kern w:val="0"/>
        </w:rPr>
        <w:t>博时一线通</w:t>
      </w:r>
      <w:r>
        <w:rPr>
          <w:rFonts w:ascii="宋体" w:hAnsi="宋体"/>
          <w:kern w:val="0"/>
        </w:rPr>
        <w:t>：95105568（免长途话费）</w:t>
      </w:r>
    </w:p>
    <w:p w14:paraId="3430AF45">
      <w:pPr>
        <w:adjustRightInd w:val="0"/>
        <w:snapToGrid w:val="0"/>
        <w:spacing w:line="360" w:lineRule="auto"/>
        <w:ind w:firstLine="422" w:firstLineChars="200"/>
        <w:rPr>
          <w:rFonts w:ascii="宋体" w:hAnsi="宋体"/>
          <w:b/>
          <w:kern w:val="0"/>
        </w:rPr>
      </w:pPr>
      <w:r>
        <w:rPr>
          <w:rFonts w:ascii="宋体" w:hAnsi="宋体"/>
          <w:b/>
          <w:kern w:val="0"/>
        </w:rPr>
        <w:t>二、网上客户服务中心</w:t>
      </w:r>
    </w:p>
    <w:p w14:paraId="4AC0ABDA">
      <w:pPr>
        <w:adjustRightInd w:val="0"/>
        <w:snapToGrid w:val="0"/>
        <w:spacing w:line="360" w:lineRule="auto"/>
        <w:ind w:firstLine="420" w:firstLineChars="200"/>
        <w:rPr>
          <w:rFonts w:ascii="宋体" w:hAnsi="宋体"/>
          <w:kern w:val="0"/>
        </w:rPr>
      </w:pPr>
      <w:r>
        <w:rPr>
          <w:rFonts w:ascii="宋体" w:hAnsi="宋体"/>
          <w:kern w:val="0"/>
        </w:rPr>
        <w:t>网上客户服务为投资人提供查询服务、资讯服务以及在线</w:t>
      </w:r>
      <w:r>
        <w:rPr>
          <w:rFonts w:hint="eastAsia" w:ascii="宋体" w:hAnsi="宋体"/>
          <w:kern w:val="0"/>
        </w:rPr>
        <w:t>咨询</w:t>
      </w:r>
      <w:r>
        <w:rPr>
          <w:rFonts w:ascii="宋体" w:hAnsi="宋体"/>
          <w:kern w:val="0"/>
        </w:rPr>
        <w:t>的平台。登陆网站后，投资人可以查询基金相关信息，享受资讯服务；投资人还可以</w:t>
      </w:r>
      <w:r>
        <w:rPr>
          <w:rFonts w:hint="eastAsia" w:ascii="宋体" w:hAnsi="宋体"/>
          <w:kern w:val="0"/>
        </w:rPr>
        <w:t>使用</w:t>
      </w:r>
      <w:r>
        <w:rPr>
          <w:rFonts w:ascii="宋体" w:hAnsi="宋体"/>
          <w:kern w:val="0"/>
        </w:rPr>
        <w:t>“在线客服”</w:t>
      </w:r>
      <w:r>
        <w:rPr>
          <w:rFonts w:hint="eastAsia" w:ascii="宋体" w:hAnsi="宋体"/>
          <w:kern w:val="0"/>
        </w:rPr>
        <w:t>功能</w:t>
      </w:r>
      <w:r>
        <w:rPr>
          <w:rFonts w:ascii="宋体" w:hAnsi="宋体"/>
          <w:kern w:val="0"/>
        </w:rPr>
        <w:t>进行在线咨询</w:t>
      </w:r>
      <w:r>
        <w:rPr>
          <w:rFonts w:hint="eastAsia" w:ascii="宋体" w:hAnsi="宋体"/>
          <w:kern w:val="0"/>
        </w:rPr>
        <w:t>以及</w:t>
      </w:r>
      <w:r>
        <w:rPr>
          <w:rFonts w:ascii="宋体" w:hAnsi="宋体"/>
          <w:kern w:val="0"/>
        </w:rPr>
        <w:t>查询热点问题及其解答，并提交投诉与建议。</w:t>
      </w:r>
    </w:p>
    <w:p w14:paraId="5C8DB677">
      <w:pPr>
        <w:adjustRightInd w:val="0"/>
        <w:snapToGrid w:val="0"/>
        <w:spacing w:line="360" w:lineRule="auto"/>
        <w:ind w:firstLine="420" w:firstLineChars="200"/>
        <w:rPr>
          <w:rFonts w:ascii="宋体" w:hAnsi="宋体"/>
          <w:kern w:val="0"/>
        </w:rPr>
      </w:pPr>
      <w:r>
        <w:rPr>
          <w:rFonts w:hint="eastAsia" w:ascii="宋体" w:hAnsi="宋体"/>
          <w:kern w:val="0"/>
        </w:rPr>
        <w:t>基金管理人</w:t>
      </w:r>
      <w:r>
        <w:rPr>
          <w:rFonts w:ascii="宋体" w:hAnsi="宋体"/>
          <w:kern w:val="0"/>
        </w:rPr>
        <w:t xml:space="preserve">网址： </w:t>
      </w:r>
      <w:r>
        <w:fldChar w:fldCharType="begin"/>
      </w:r>
      <w:r>
        <w:instrText xml:space="preserve"> HYPERLINK "http://www.bosera.com" </w:instrText>
      </w:r>
      <w:r>
        <w:fldChar w:fldCharType="separate"/>
      </w:r>
      <w:r>
        <w:rPr>
          <w:rFonts w:ascii="宋体" w:hAnsi="宋体"/>
          <w:kern w:val="0"/>
        </w:rPr>
        <w:t>www.bosera.com</w:t>
      </w:r>
      <w:r>
        <w:rPr>
          <w:rFonts w:ascii="宋体" w:hAnsi="宋体"/>
          <w:kern w:val="0"/>
        </w:rPr>
        <w:fldChar w:fldCharType="end"/>
      </w:r>
    </w:p>
    <w:p w14:paraId="439DDF21">
      <w:pPr>
        <w:adjustRightInd w:val="0"/>
        <w:snapToGrid w:val="0"/>
        <w:spacing w:line="360" w:lineRule="auto"/>
        <w:ind w:firstLine="420" w:firstLineChars="200"/>
        <w:rPr>
          <w:rFonts w:ascii="宋体" w:hAnsi="宋体"/>
          <w:kern w:val="0"/>
        </w:rPr>
      </w:pPr>
      <w:r>
        <w:rPr>
          <w:rFonts w:ascii="宋体" w:hAnsi="宋体"/>
          <w:kern w:val="0"/>
        </w:rPr>
        <w:t>电子邮箱：</w:t>
      </w:r>
      <w:r>
        <w:fldChar w:fldCharType="begin"/>
      </w:r>
      <w:r>
        <w:instrText xml:space="preserve"> HYPERLINK "mailto:service@bosera.com" </w:instrText>
      </w:r>
      <w:r>
        <w:fldChar w:fldCharType="separate"/>
      </w:r>
      <w:r>
        <w:rPr>
          <w:rFonts w:ascii="宋体" w:hAnsi="宋体"/>
          <w:kern w:val="0"/>
        </w:rPr>
        <w:t>service@bosera.com</w:t>
      </w:r>
      <w:r>
        <w:rPr>
          <w:rFonts w:ascii="宋体" w:hAnsi="宋体"/>
          <w:kern w:val="0"/>
        </w:rPr>
        <w:fldChar w:fldCharType="end"/>
      </w:r>
    </w:p>
    <w:p w14:paraId="1A85BE0C">
      <w:pPr>
        <w:adjustRightInd w:val="0"/>
        <w:snapToGrid w:val="0"/>
        <w:spacing w:line="360" w:lineRule="auto"/>
        <w:ind w:firstLine="422" w:firstLineChars="200"/>
        <w:rPr>
          <w:rFonts w:ascii="宋体" w:hAnsi="宋体"/>
          <w:b/>
          <w:kern w:val="0"/>
        </w:rPr>
      </w:pPr>
      <w:r>
        <w:rPr>
          <w:rFonts w:ascii="宋体" w:hAnsi="宋体"/>
          <w:b/>
          <w:kern w:val="0"/>
        </w:rPr>
        <w:t>三、客户投诉处理</w:t>
      </w:r>
    </w:p>
    <w:p w14:paraId="17D889A9">
      <w:pPr>
        <w:adjustRightInd w:val="0"/>
        <w:snapToGrid w:val="0"/>
        <w:spacing w:line="360" w:lineRule="auto"/>
        <w:ind w:firstLine="420" w:firstLineChars="200"/>
        <w:rPr>
          <w:rFonts w:ascii="宋体" w:hAnsi="宋体"/>
          <w:kern w:val="0"/>
        </w:rPr>
      </w:pPr>
      <w:r>
        <w:rPr>
          <w:rFonts w:ascii="宋体" w:hAnsi="宋体"/>
          <w:kern w:val="0"/>
        </w:rPr>
        <w:t>投资者可以通过博时基金网站、客服中心IVR自动语音留言、客服中心电话人工坐席、书信、电子邮件、传真等渠道对基金管理人提供的服务进行投诉。投资者还可以通过发售代理机构、申购赎回代理券商的服务电话对该代理机构提供的服务进行投诉</w:t>
      </w:r>
      <w:r>
        <w:rPr>
          <w:rFonts w:hint="eastAsia" w:ascii="宋体" w:hAnsi="宋体"/>
          <w:kern w:val="0"/>
        </w:rPr>
        <w:t>。</w:t>
      </w:r>
    </w:p>
    <w:p w14:paraId="31B2F4D8">
      <w:pPr>
        <w:adjustRightInd w:val="0"/>
        <w:snapToGrid w:val="0"/>
        <w:spacing w:line="360" w:lineRule="auto"/>
        <w:ind w:firstLine="422" w:firstLineChars="200"/>
        <w:rPr>
          <w:rFonts w:ascii="宋体" w:hAnsi="宋体" w:cs="Arial"/>
        </w:rPr>
        <w:sectPr>
          <w:footerReference r:id="rId45" w:type="first"/>
          <w:footerReference r:id="rId44" w:type="default"/>
          <w:pgSz w:w="11906" w:h="16838"/>
          <w:pgMar w:top="1440" w:right="1800" w:bottom="1440" w:left="1800" w:header="851" w:footer="992" w:gutter="0"/>
          <w:pgNumType w:start="1"/>
          <w:cols w:space="720" w:num="1"/>
          <w:docGrid w:linePitch="312" w:charSpace="0"/>
        </w:sectPr>
      </w:pPr>
      <w:r>
        <w:rPr>
          <w:rFonts w:hint="eastAsia" w:ascii="宋体" w:hAnsi="宋体"/>
          <w:b/>
          <w:kern w:val="0"/>
        </w:rPr>
        <w:t>如本招募说明书存在任何您/贵机构无法理解的内容，请通过上述方式联系基金管理人。请确保投资前，您/贵机构已经全面理解了本招募说明书。</w:t>
      </w:r>
    </w:p>
    <w:p w14:paraId="6A55B852">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273" w:name="_Toc214873622"/>
      <w:bookmarkStart w:id="274" w:name="_Toc91110291"/>
      <w:bookmarkStart w:id="275" w:name="_Toc8052761"/>
      <w:bookmarkStart w:id="276" w:name="_Toc7090"/>
      <w:bookmarkStart w:id="277" w:name="_Toc530223198"/>
      <w:bookmarkStart w:id="278" w:name="_Toc484165614"/>
      <w:r>
        <w:rPr>
          <w:rFonts w:ascii="宋体" w:hAnsi="宋体" w:eastAsia="宋体" w:cs="Arial"/>
          <w:kern w:val="0"/>
          <w:sz w:val="28"/>
          <w:szCs w:val="28"/>
        </w:rPr>
        <w:t>第二十</w:t>
      </w:r>
      <w:r>
        <w:rPr>
          <w:rFonts w:hint="eastAsia" w:ascii="宋体" w:hAnsi="宋体" w:eastAsia="宋体" w:cs="Arial"/>
          <w:kern w:val="0"/>
          <w:sz w:val="28"/>
          <w:szCs w:val="28"/>
        </w:rPr>
        <w:t>三</w:t>
      </w:r>
      <w:r>
        <w:rPr>
          <w:rFonts w:ascii="宋体" w:hAnsi="宋体" w:eastAsia="宋体" w:cs="Arial"/>
          <w:kern w:val="0"/>
          <w:sz w:val="28"/>
          <w:szCs w:val="28"/>
        </w:rPr>
        <w:t>部分  招募说明书存放及查阅方式</w:t>
      </w:r>
      <w:bookmarkEnd w:id="273"/>
      <w:bookmarkEnd w:id="274"/>
      <w:bookmarkEnd w:id="275"/>
      <w:bookmarkEnd w:id="276"/>
      <w:bookmarkEnd w:id="277"/>
    </w:p>
    <w:p w14:paraId="758D031E">
      <w:pPr>
        <w:adjustRightInd w:val="0"/>
        <w:snapToGrid w:val="0"/>
        <w:spacing w:line="360" w:lineRule="auto"/>
        <w:ind w:firstLine="420" w:firstLineChars="200"/>
        <w:rPr>
          <w:rFonts w:ascii="宋体" w:hAnsi="宋体"/>
          <w:kern w:val="0"/>
        </w:rPr>
      </w:pPr>
      <w:r>
        <w:rPr>
          <w:rFonts w:ascii="宋体" w:hAnsi="宋体"/>
          <w:kern w:val="0"/>
        </w:rPr>
        <w:t>招募说明书公布后，应当分别置备于基金管理人、基金托管人的住所</w:t>
      </w:r>
      <w:r>
        <w:rPr>
          <w:rFonts w:hint="eastAsia" w:ascii="宋体" w:hAnsi="宋体"/>
          <w:kern w:val="0"/>
        </w:rPr>
        <w:t>和基金上市交易的证券交易所</w:t>
      </w:r>
      <w:r>
        <w:rPr>
          <w:rFonts w:ascii="宋体" w:hAnsi="宋体"/>
          <w:kern w:val="0"/>
        </w:rPr>
        <w:t>，供公众查阅、复制。投资人可在办公时间查阅；投资人在支付工本费后，可在合理时间内取得上述文件复制件或复印件。对投资人按此种方式所获得的文件及其复印件，基金管理人保证文本的内容与所公告的内容完全一致。</w:t>
      </w:r>
    </w:p>
    <w:p w14:paraId="3DBD943A">
      <w:pPr>
        <w:ind w:firstLine="480"/>
        <w:rPr>
          <w:rFonts w:ascii="宋体" w:hAnsi="宋体"/>
        </w:rPr>
      </w:pPr>
      <w:r>
        <w:rPr>
          <w:rFonts w:ascii="宋体" w:hAnsi="宋体"/>
          <w:kern w:val="0"/>
        </w:rPr>
        <w:t>投资人还可以直接登录基金管理人的网站（www.bosera.com）查阅和下载招募说明书。</w:t>
      </w:r>
    </w:p>
    <w:p w14:paraId="678A1D79">
      <w:pPr>
        <w:rPr>
          <w:rFonts w:ascii="宋体" w:hAnsi="宋体"/>
        </w:rPr>
        <w:sectPr>
          <w:footerReference r:id="rId47" w:type="first"/>
          <w:footerReference r:id="rId46" w:type="default"/>
          <w:pgSz w:w="11906" w:h="16838"/>
          <w:pgMar w:top="1440" w:right="1800" w:bottom="1440" w:left="1800" w:header="851" w:footer="992" w:gutter="0"/>
          <w:pgNumType w:start="1"/>
          <w:cols w:space="720" w:num="1"/>
          <w:docGrid w:linePitch="312" w:charSpace="0"/>
        </w:sectPr>
      </w:pPr>
    </w:p>
    <w:bookmarkEnd w:id="278"/>
    <w:p w14:paraId="020C01C4">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bookmarkStart w:id="279" w:name="_Toc91110292"/>
      <w:bookmarkStart w:id="280" w:name="_Toc517169204"/>
      <w:bookmarkStart w:id="281" w:name="_Toc6910"/>
      <w:bookmarkStart w:id="282" w:name="_Toc320887661"/>
      <w:bookmarkStart w:id="283" w:name="_Toc465240490"/>
      <w:bookmarkStart w:id="284" w:name="_Toc335232710"/>
      <w:bookmarkStart w:id="285" w:name="_Toc386115319"/>
      <w:bookmarkStart w:id="286" w:name="_Toc8052762"/>
      <w:bookmarkStart w:id="287" w:name="_Toc214873623"/>
      <w:bookmarkStart w:id="288" w:name="_Toc530223199"/>
      <w:bookmarkStart w:id="289" w:name="_Toc317088167"/>
      <w:bookmarkStart w:id="290" w:name="_Toc317088556"/>
    </w:p>
    <w:p w14:paraId="21AC78D3">
      <w:pPr>
        <w:pStyle w:val="2"/>
        <w:autoSpaceDE w:val="0"/>
        <w:autoSpaceDN w:val="0"/>
        <w:adjustRightInd w:val="0"/>
        <w:snapToGrid w:val="0"/>
        <w:spacing w:before="0" w:after="0" w:line="360" w:lineRule="auto"/>
        <w:ind w:firstLine="141" w:firstLineChars="50"/>
        <w:jc w:val="center"/>
        <w:textAlignment w:val="baseline"/>
        <w:rPr>
          <w:rFonts w:ascii="宋体" w:hAnsi="宋体" w:eastAsia="宋体" w:cs="Arial"/>
          <w:kern w:val="0"/>
          <w:sz w:val="28"/>
          <w:szCs w:val="28"/>
        </w:rPr>
      </w:pPr>
      <w:r>
        <w:rPr>
          <w:rFonts w:hint="eastAsia" w:ascii="宋体" w:hAnsi="宋体" w:eastAsia="宋体" w:cs="Arial"/>
          <w:kern w:val="0"/>
          <w:sz w:val="28"/>
          <w:szCs w:val="28"/>
        </w:rPr>
        <w:t xml:space="preserve">第二十四部分  </w:t>
      </w:r>
      <w:r>
        <w:rPr>
          <w:rFonts w:ascii="宋体" w:hAnsi="宋体" w:eastAsia="宋体" w:cs="Arial"/>
          <w:kern w:val="0"/>
          <w:sz w:val="28"/>
          <w:szCs w:val="28"/>
        </w:rPr>
        <w:t>备查文件</w:t>
      </w:r>
      <w:bookmarkEnd w:id="279"/>
      <w:bookmarkEnd w:id="280"/>
      <w:bookmarkEnd w:id="281"/>
      <w:bookmarkEnd w:id="282"/>
      <w:bookmarkEnd w:id="283"/>
      <w:bookmarkEnd w:id="284"/>
      <w:bookmarkEnd w:id="285"/>
      <w:bookmarkEnd w:id="286"/>
      <w:bookmarkEnd w:id="287"/>
      <w:bookmarkEnd w:id="288"/>
      <w:bookmarkEnd w:id="289"/>
      <w:bookmarkEnd w:id="290"/>
    </w:p>
    <w:p w14:paraId="70A3E81B">
      <w:pPr>
        <w:rPr>
          <w:lang w:val="zh-CN"/>
        </w:rPr>
      </w:pPr>
    </w:p>
    <w:p w14:paraId="5B0C4027">
      <w:pPr>
        <w:autoSpaceDE w:val="0"/>
        <w:autoSpaceDN w:val="0"/>
        <w:adjustRightInd w:val="0"/>
        <w:snapToGrid w:val="0"/>
        <w:spacing w:line="360" w:lineRule="auto"/>
        <w:ind w:firstLine="420" w:firstLineChars="200"/>
        <w:rPr>
          <w:kern w:val="0"/>
        </w:rPr>
      </w:pPr>
      <w:r>
        <w:rPr>
          <w:kern w:val="0"/>
        </w:rPr>
        <w:t>以下备查文件存放在基金管理人的办公场所，在办公时间可供免费查阅。</w:t>
      </w:r>
    </w:p>
    <w:p w14:paraId="00060B30">
      <w:pPr>
        <w:autoSpaceDE w:val="0"/>
        <w:autoSpaceDN w:val="0"/>
        <w:adjustRightInd w:val="0"/>
        <w:snapToGrid w:val="0"/>
        <w:spacing w:line="360" w:lineRule="auto"/>
        <w:ind w:firstLine="420" w:firstLineChars="200"/>
        <w:rPr>
          <w:kern w:val="0"/>
        </w:rPr>
      </w:pPr>
      <w:r>
        <w:rPr>
          <w:kern w:val="0"/>
        </w:rPr>
        <w:t>（一）中国证监会准予</w:t>
      </w:r>
      <w:r>
        <w:rPr>
          <w:rFonts w:hint="eastAsia"/>
          <w:kern w:val="0"/>
        </w:rPr>
        <w:t>博时中证全指红利质量交易型开放式指数证券投资基金</w:t>
      </w:r>
      <w:r>
        <w:rPr>
          <w:kern w:val="0"/>
        </w:rPr>
        <w:t>注册的文件</w:t>
      </w:r>
    </w:p>
    <w:p w14:paraId="02E7DCF3">
      <w:pPr>
        <w:autoSpaceDE w:val="0"/>
        <w:autoSpaceDN w:val="0"/>
        <w:adjustRightInd w:val="0"/>
        <w:snapToGrid w:val="0"/>
        <w:spacing w:line="360" w:lineRule="auto"/>
        <w:ind w:firstLine="420" w:firstLineChars="200"/>
        <w:rPr>
          <w:kern w:val="0"/>
        </w:rPr>
      </w:pPr>
      <w:r>
        <w:rPr>
          <w:kern w:val="0"/>
        </w:rPr>
        <w:t>（二）《</w:t>
      </w:r>
      <w:r>
        <w:rPr>
          <w:rFonts w:hint="eastAsia"/>
          <w:kern w:val="0"/>
        </w:rPr>
        <w:t>博时中证全指红利质量交易型开放式指数证券投资基金</w:t>
      </w:r>
      <w:r>
        <w:rPr>
          <w:kern w:val="0"/>
        </w:rPr>
        <w:t>基金合同》</w:t>
      </w:r>
    </w:p>
    <w:p w14:paraId="141405B6">
      <w:pPr>
        <w:autoSpaceDE w:val="0"/>
        <w:autoSpaceDN w:val="0"/>
        <w:adjustRightInd w:val="0"/>
        <w:snapToGrid w:val="0"/>
        <w:spacing w:line="360" w:lineRule="auto"/>
        <w:ind w:firstLine="420" w:firstLineChars="200"/>
        <w:rPr>
          <w:kern w:val="0"/>
        </w:rPr>
      </w:pPr>
      <w:r>
        <w:rPr>
          <w:kern w:val="0"/>
        </w:rPr>
        <w:t>（三）《</w:t>
      </w:r>
      <w:r>
        <w:rPr>
          <w:rFonts w:hint="eastAsia"/>
          <w:kern w:val="0"/>
        </w:rPr>
        <w:t>博时中证全指红利质量交易型开放式指数证券投资基金</w:t>
      </w:r>
      <w:r>
        <w:rPr>
          <w:kern w:val="0"/>
        </w:rPr>
        <w:t>托管协议》</w:t>
      </w:r>
    </w:p>
    <w:p w14:paraId="5F2BD76C">
      <w:pPr>
        <w:autoSpaceDE w:val="0"/>
        <w:autoSpaceDN w:val="0"/>
        <w:adjustRightInd w:val="0"/>
        <w:snapToGrid w:val="0"/>
        <w:spacing w:line="360" w:lineRule="auto"/>
        <w:ind w:firstLine="420" w:firstLineChars="200"/>
        <w:rPr>
          <w:kern w:val="0"/>
        </w:rPr>
      </w:pPr>
      <w:r>
        <w:rPr>
          <w:kern w:val="0"/>
        </w:rPr>
        <w:t>（四）基金管理人业务资格批件、营业执照</w:t>
      </w:r>
    </w:p>
    <w:p w14:paraId="2FF43CBF">
      <w:pPr>
        <w:autoSpaceDE w:val="0"/>
        <w:autoSpaceDN w:val="0"/>
        <w:adjustRightInd w:val="0"/>
        <w:snapToGrid w:val="0"/>
        <w:spacing w:line="360" w:lineRule="auto"/>
        <w:ind w:firstLine="420" w:firstLineChars="200"/>
        <w:rPr>
          <w:kern w:val="0"/>
        </w:rPr>
      </w:pPr>
      <w:r>
        <w:rPr>
          <w:kern w:val="0"/>
        </w:rPr>
        <w:t>（五）基金托管人业务资格批件、营业执照</w:t>
      </w:r>
    </w:p>
    <w:p w14:paraId="47CB2BFA">
      <w:pPr>
        <w:autoSpaceDE w:val="0"/>
        <w:autoSpaceDN w:val="0"/>
        <w:adjustRightInd w:val="0"/>
        <w:snapToGrid w:val="0"/>
        <w:spacing w:line="360" w:lineRule="auto"/>
        <w:ind w:firstLine="420" w:firstLineChars="200"/>
        <w:rPr>
          <w:kern w:val="0"/>
        </w:rPr>
      </w:pPr>
      <w:r>
        <w:rPr>
          <w:kern w:val="0"/>
        </w:rPr>
        <w:t>（六）法律意见书</w:t>
      </w:r>
    </w:p>
    <w:p w14:paraId="5862DF53">
      <w:pPr>
        <w:autoSpaceDE w:val="0"/>
        <w:autoSpaceDN w:val="0"/>
        <w:adjustRightInd w:val="0"/>
        <w:snapToGrid w:val="0"/>
        <w:spacing w:line="360" w:lineRule="auto"/>
        <w:ind w:firstLine="420" w:firstLineChars="200"/>
        <w:rPr>
          <w:kern w:val="0"/>
        </w:rPr>
      </w:pPr>
      <w:r>
        <w:rPr>
          <w:kern w:val="0"/>
        </w:rPr>
        <w:t>（七）中国证监会要求的其他文件</w:t>
      </w:r>
    </w:p>
    <w:p w14:paraId="641E5442">
      <w:pPr>
        <w:autoSpaceDE w:val="0"/>
        <w:autoSpaceDN w:val="0"/>
        <w:adjustRightInd w:val="0"/>
        <w:snapToGrid w:val="0"/>
        <w:spacing w:line="360" w:lineRule="auto"/>
        <w:ind w:firstLine="420" w:firstLineChars="200"/>
        <w:rPr>
          <w:kern w:val="0"/>
        </w:rPr>
      </w:pPr>
      <w:r>
        <w:rPr>
          <w:kern w:val="0"/>
        </w:rPr>
        <w:t>查阅方式：投资者可在营业时间免费查阅，也可按工本费购买复印件。</w:t>
      </w:r>
    </w:p>
    <w:p w14:paraId="7A935166">
      <w:pPr>
        <w:autoSpaceDE w:val="0"/>
        <w:autoSpaceDN w:val="0"/>
        <w:adjustRightInd w:val="0"/>
        <w:snapToGrid w:val="0"/>
        <w:spacing w:line="360" w:lineRule="auto"/>
        <w:rPr>
          <w:szCs w:val="20"/>
        </w:rPr>
      </w:pPr>
    </w:p>
    <w:p w14:paraId="00A6A5B4">
      <w:pPr>
        <w:autoSpaceDE w:val="0"/>
        <w:autoSpaceDN w:val="0"/>
        <w:adjustRightInd w:val="0"/>
        <w:snapToGrid w:val="0"/>
        <w:spacing w:line="360" w:lineRule="auto"/>
        <w:rPr>
          <w:szCs w:val="20"/>
        </w:rPr>
      </w:pPr>
    </w:p>
    <w:p w14:paraId="142F9062">
      <w:pPr>
        <w:autoSpaceDE w:val="0"/>
        <w:autoSpaceDN w:val="0"/>
        <w:adjustRightInd w:val="0"/>
        <w:snapToGrid w:val="0"/>
        <w:spacing w:line="360" w:lineRule="auto"/>
        <w:ind w:firstLine="420" w:firstLineChars="200"/>
        <w:jc w:val="right"/>
        <w:rPr>
          <w:kern w:val="0"/>
        </w:rPr>
      </w:pPr>
    </w:p>
    <w:p w14:paraId="7FC2B699">
      <w:pPr>
        <w:autoSpaceDE w:val="0"/>
        <w:autoSpaceDN w:val="0"/>
        <w:adjustRightInd w:val="0"/>
        <w:snapToGrid w:val="0"/>
        <w:spacing w:line="360" w:lineRule="auto"/>
        <w:ind w:firstLine="420" w:firstLineChars="200"/>
        <w:jc w:val="right"/>
        <w:rPr>
          <w:kern w:val="0"/>
        </w:rPr>
      </w:pPr>
      <w:r>
        <w:rPr>
          <w:kern w:val="0"/>
        </w:rPr>
        <w:t>博时基金管理有限公司</w:t>
      </w:r>
    </w:p>
    <w:p w14:paraId="6BE3FD5C">
      <w:pPr>
        <w:autoSpaceDE w:val="0"/>
        <w:autoSpaceDN w:val="0"/>
        <w:adjustRightInd w:val="0"/>
        <w:snapToGrid w:val="0"/>
        <w:spacing w:line="360" w:lineRule="auto"/>
        <w:ind w:firstLine="420" w:firstLineChars="200"/>
        <w:jc w:val="right"/>
        <w:rPr>
          <w:rFonts w:ascii="宋体" w:hAnsi="宋体" w:eastAsia="宋体" w:cs="宋体"/>
          <w:kern w:val="0"/>
        </w:rPr>
      </w:pPr>
      <w:r>
        <w:rPr>
          <w:rFonts w:hint="eastAsia" w:ascii="宋体" w:hAnsi="宋体" w:eastAsia="宋体" w:cs="宋体"/>
          <w:kern w:val="0"/>
        </w:rPr>
        <w:t>2026年</w:t>
      </w:r>
      <w:r>
        <w:rPr>
          <w:rFonts w:hint="eastAsia" w:ascii="宋体" w:hAnsi="宋体" w:eastAsia="宋体" w:cs="宋体"/>
          <w:kern w:val="0"/>
          <w:lang w:val="en-US" w:eastAsia="zh-CN"/>
        </w:rPr>
        <w:t>5</w:t>
      </w:r>
      <w:r>
        <w:rPr>
          <w:rFonts w:hint="eastAsia" w:ascii="宋体" w:hAnsi="宋体" w:eastAsia="宋体" w:cs="宋体"/>
          <w:kern w:val="0"/>
        </w:rPr>
        <w:t>月</w:t>
      </w:r>
      <w:r>
        <w:rPr>
          <w:rFonts w:hint="eastAsia" w:ascii="宋体" w:hAnsi="宋体" w:eastAsia="宋体" w:cs="宋体"/>
          <w:kern w:val="0"/>
          <w:lang w:val="en-US" w:eastAsia="zh-CN"/>
        </w:rPr>
        <w:t>28</w:t>
      </w:r>
      <w:r>
        <w:rPr>
          <w:rFonts w:hint="eastAsia" w:ascii="宋体" w:hAnsi="宋体" w:eastAsia="宋体" w:cs="宋体"/>
          <w:kern w:val="0"/>
        </w:rPr>
        <w:t>日</w:t>
      </w:r>
    </w:p>
    <w:p w14:paraId="247B98B3">
      <w:pPr>
        <w:autoSpaceDE w:val="0"/>
        <w:autoSpaceDN w:val="0"/>
        <w:adjustRightInd w:val="0"/>
        <w:spacing w:line="320" w:lineRule="exact"/>
        <w:jc w:val="left"/>
        <w:rPr>
          <w:rFonts w:ascii="方正仿宋简体" w:hAnsi="方正仿宋简体" w:eastAsia="方正仿宋简体" w:cs="方正仿宋简体"/>
          <w:iCs/>
        </w:rPr>
      </w:pPr>
    </w:p>
    <w:p w14:paraId="349DE29F"/>
    <w:p w14:paraId="280BAE34"/>
    <w:p w14:paraId="6326BC75"/>
    <w:p w14:paraId="6018BDDA"/>
    <w:p w14:paraId="30383CDF"/>
    <w:p w14:paraId="78840755"/>
    <w:p w14:paraId="7C1A3D4A"/>
    <w:p w14:paraId="15AE3200"/>
    <w:p w14:paraId="56C0F60D"/>
    <w:p w14:paraId="43AC3893"/>
    <w:p w14:paraId="41032FCD"/>
    <w:p w14:paraId="324DA17E"/>
    <w:p w14:paraId="67392654"/>
    <w:p w14:paraId="16805044"/>
    <w:p w14:paraId="5393FBD2"/>
    <w:p w14:paraId="6F308D30"/>
    <w:p w14:paraId="34A56BD7"/>
    <w:p w14:paraId="4926E541">
      <w:pPr>
        <w:jc w:val="center"/>
      </w:pPr>
    </w:p>
    <w:sectPr>
      <w:footerReference r:id="rId48"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仿宋简体">
    <w:altName w:val="等线"/>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2CB64E">
    <w:pPr>
      <w:pStyle w:val="8"/>
      <w:jc w:val="center"/>
      <w:rPr>
        <w:rFonts w:ascii="Arial" w:hAnsi="Arial" w:cs="Arial"/>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23881">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55198">
    <w:pPr>
      <w:pStyle w:val="8"/>
      <w:jc w:val="center"/>
      <w:rPr>
        <w:rFonts w:ascii="Arial" w:hAnsi="Arial" w:cs="Arial"/>
        <w:sz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8B008">
    <w:pPr>
      <w:pStyle w:val="8"/>
    </w:pPr>
    <w: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5BB619">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wYeQywCAABXBAAADgAAAAAAAAABACAAAAAfAQAAZHJzL2Uyb0RvYy54bWxQSwUGAAAAAAYA&#10;BgBZAQAAvQUAAAAA&#10;">
              <v:fill on="f" focussize="0,0"/>
              <v:stroke on="f" weight="0.5pt"/>
              <v:imagedata o:title=""/>
              <o:lock v:ext="edit" aspectratio="f"/>
              <v:textbox inset="0mm,0mm,0mm,0mm" style="mso-fit-shape-to-text:t;">
                <w:txbxContent>
                  <w:p w14:paraId="0D5BB619">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BB047">
    <w:pPr>
      <w:pStyle w:val="8"/>
      <w:jc w:val="center"/>
      <w:rPr>
        <w:rFonts w:ascii="Arial" w:hAnsi="Arial" w:cs="Arial"/>
        <w:sz w:val="21"/>
      </w:rPr>
    </w:pPr>
    <w:r>
      <w:rPr>
        <w:sz w:val="21"/>
      </w:rPr>
      <mc:AlternateContent>
        <mc:Choice Requires="wps">
          <w:drawing>
            <wp:anchor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2E5742">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910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PQ64M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r6Z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PQ64MtAgAAVwQAAA4AAAAAAAAAAQAgAAAAHwEAAGRycy9lMm9Eb2MueG1sUEsFBgAAAAAG&#10;AAYAWQEAAL4FAAAAAA==&#10;">
              <v:fill on="f" focussize="0,0"/>
              <v:stroke on="f" weight="0.5pt"/>
              <v:imagedata o:title=""/>
              <o:lock v:ext="edit" aspectratio="f"/>
              <v:textbox inset="0mm,0mm,0mm,0mm" style="mso-fit-shape-to-text:t;">
                <w:txbxContent>
                  <w:p w14:paraId="542E5742">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615309">
    <w:pPr>
      <w:pStyle w:val="8"/>
      <w:jc w:val="center"/>
      <w:rPr>
        <w:rFonts w:ascii="Arial" w:hAnsi="Arial" w:cs="Arial"/>
        <w:szCs w:val="21"/>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EB755C">
                          <w:pPr>
                            <w:pStyle w:val="8"/>
                            <w:jc w:val="center"/>
                          </w:pP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w:t>
                          </w:r>
                          <w:r>
                            <w:rPr>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4FEB755C">
                    <w:pPr>
                      <w:pStyle w:val="8"/>
                      <w:jc w:val="center"/>
                    </w:pP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w:t>
                    </w:r>
                    <w:r>
                      <w:rPr>
                        <w:rFonts w:ascii="Arial" w:hAnsi="Arial" w:cs="Arial"/>
                        <w:szCs w:val="21"/>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82F2C">
    <w:pPr>
      <w:pStyle w:val="8"/>
      <w:jc w:val="center"/>
      <w:rPr>
        <w:rFonts w:ascii="Arial" w:hAnsi="Arial" w:cs="Arial"/>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761A7C">
                          <w:pPr>
                            <w:pStyle w:val="8"/>
                            <w:jc w:val="center"/>
                          </w:pPr>
                          <w:r>
                            <w:rPr>
                              <w:rFonts w:ascii="Arial" w:hAnsi="Arial" w:cs="Arial"/>
                              <w:sz w:val="21"/>
                              <w:szCs w:val="21"/>
                            </w:rPr>
                            <w:t>5-</w:t>
                          </w:r>
                          <w:r>
                            <w:rPr>
                              <w:rStyle w:val="18"/>
                              <w:rFonts w:ascii="Arial" w:hAnsi="Arial" w:cs="Arial"/>
                              <w:sz w:val="21"/>
                              <w:szCs w:val="21"/>
                            </w:rPr>
                            <w:fldChar w:fldCharType="begin"/>
                          </w:r>
                          <w:r>
                            <w:rPr>
                              <w:rStyle w:val="18"/>
                              <w:rFonts w:ascii="Arial" w:hAnsi="Arial" w:cs="Arial"/>
                              <w:sz w:val="21"/>
                              <w:szCs w:val="21"/>
                            </w:rPr>
                            <w:instrText xml:space="preserve"> PAGE </w:instrText>
                          </w:r>
                          <w:r>
                            <w:rPr>
                              <w:rStyle w:val="18"/>
                              <w:rFonts w:ascii="Arial" w:hAnsi="Arial" w:cs="Arial"/>
                              <w:sz w:val="21"/>
                              <w:szCs w:val="21"/>
                            </w:rPr>
                            <w:fldChar w:fldCharType="separate"/>
                          </w:r>
                          <w:r>
                            <w:rPr>
                              <w:rStyle w:val="18"/>
                              <w:rFonts w:ascii="Arial" w:hAnsi="Arial" w:cs="Arial"/>
                              <w:sz w:val="21"/>
                              <w:szCs w:val="21"/>
                            </w:rPr>
                            <w:t>3</w:t>
                          </w:r>
                          <w:r>
                            <w:rPr>
                              <w:rStyle w:val="18"/>
                              <w:rFonts w:ascii="Arial" w:hAnsi="Arial" w:cs="Arial"/>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5C761A7C">
                    <w:pPr>
                      <w:pStyle w:val="8"/>
                      <w:jc w:val="center"/>
                    </w:pPr>
                    <w:r>
                      <w:rPr>
                        <w:rFonts w:ascii="Arial" w:hAnsi="Arial" w:cs="Arial"/>
                        <w:sz w:val="21"/>
                        <w:szCs w:val="21"/>
                      </w:rPr>
                      <w:t>5-</w:t>
                    </w:r>
                    <w:r>
                      <w:rPr>
                        <w:rStyle w:val="18"/>
                        <w:rFonts w:ascii="Arial" w:hAnsi="Arial" w:cs="Arial"/>
                        <w:sz w:val="21"/>
                        <w:szCs w:val="21"/>
                      </w:rPr>
                      <w:fldChar w:fldCharType="begin"/>
                    </w:r>
                    <w:r>
                      <w:rPr>
                        <w:rStyle w:val="18"/>
                        <w:rFonts w:ascii="Arial" w:hAnsi="Arial" w:cs="Arial"/>
                        <w:sz w:val="21"/>
                        <w:szCs w:val="21"/>
                      </w:rPr>
                      <w:instrText xml:space="preserve"> PAGE </w:instrText>
                    </w:r>
                    <w:r>
                      <w:rPr>
                        <w:rStyle w:val="18"/>
                        <w:rFonts w:ascii="Arial" w:hAnsi="Arial" w:cs="Arial"/>
                        <w:sz w:val="21"/>
                        <w:szCs w:val="21"/>
                      </w:rPr>
                      <w:fldChar w:fldCharType="separate"/>
                    </w:r>
                    <w:r>
                      <w:rPr>
                        <w:rStyle w:val="18"/>
                        <w:rFonts w:ascii="Arial" w:hAnsi="Arial" w:cs="Arial"/>
                        <w:sz w:val="21"/>
                        <w:szCs w:val="21"/>
                      </w:rPr>
                      <w:t>3</w:t>
                    </w:r>
                    <w:r>
                      <w:rPr>
                        <w:rStyle w:val="18"/>
                        <w:rFonts w:ascii="Arial" w:hAnsi="Arial" w:cs="Arial"/>
                        <w:sz w:val="21"/>
                        <w:szCs w:val="21"/>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315F3">
    <w:pPr>
      <w:pStyle w:val="8"/>
      <w:jc w:val="center"/>
      <w:rPr>
        <w:rFonts w:ascii="Arial" w:hAnsi="Arial" w:cs="Arial"/>
        <w:szCs w:val="21"/>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2FD940">
                          <w:pPr>
                            <w:pStyle w:val="8"/>
                            <w:jc w:val="center"/>
                          </w:pPr>
                          <w:r>
                            <w:rPr>
                              <w:rStyle w:val="18"/>
                              <w:rFonts w:hint="eastAsia" w:ascii="Arial" w:hAnsi="Arial" w:cs="Arial"/>
                              <w:szCs w:val="21"/>
                            </w:rPr>
                            <w:t>1-</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4A2FD940">
                    <w:pPr>
                      <w:pStyle w:val="8"/>
                      <w:jc w:val="center"/>
                    </w:pPr>
                    <w:r>
                      <w:rPr>
                        <w:rStyle w:val="18"/>
                        <w:rFonts w:hint="eastAsia" w:ascii="Arial" w:hAnsi="Arial" w:cs="Arial"/>
                        <w:szCs w:val="21"/>
                      </w:rPr>
                      <w:t>1-</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C2DB7">
    <w:pPr>
      <w:pStyle w:val="8"/>
      <w:jc w:val="center"/>
      <w:rPr>
        <w:rFonts w:ascii="Arial" w:hAnsi="Arial" w:cs="Arial"/>
        <w:szCs w:val="21"/>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D0BA91">
                          <w:pPr>
                            <w:pStyle w:val="8"/>
                            <w:jc w:val="center"/>
                          </w:pPr>
                          <w:r>
                            <w:rPr>
                              <w:rStyle w:val="18"/>
                              <w:rFonts w:hint="eastAsia" w:ascii="Arial" w:hAnsi="Arial" w:cs="Arial"/>
                              <w:szCs w:val="21"/>
                            </w:rPr>
                            <w:t>2-</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5</w:t>
                          </w:r>
                          <w:r>
                            <w:rPr>
                              <w:rStyle w:val="18"/>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2BD0BA91">
                    <w:pPr>
                      <w:pStyle w:val="8"/>
                      <w:jc w:val="center"/>
                    </w:pPr>
                    <w:r>
                      <w:rPr>
                        <w:rStyle w:val="18"/>
                        <w:rFonts w:hint="eastAsia" w:ascii="Arial" w:hAnsi="Arial" w:cs="Arial"/>
                        <w:szCs w:val="21"/>
                      </w:rPr>
                      <w:t>2-</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5</w:t>
                    </w:r>
                    <w:r>
                      <w:rPr>
                        <w:rStyle w:val="18"/>
                        <w:rFonts w:ascii="Arial" w:hAnsi="Arial" w:cs="Arial"/>
                        <w:szCs w:val="21"/>
                      </w:rPr>
                      <w:fldChar w:fldCharType="end"/>
                    </w:r>
                  </w:p>
                </w:txbxContent>
              </v:textbox>
            </v:shape>
          </w:pict>
        </mc:Fallback>
      </mc:AlternateContent>
    </w:r>
  </w:p>
  <w:p w14:paraId="4F227595">
    <w:pPr>
      <w:pStyle w:val="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CC929">
    <w:pPr>
      <w:pStyle w:val="8"/>
      <w:jc w:val="center"/>
      <w:rPr>
        <w:rFonts w:ascii="Arial" w:hAnsi="Arial" w:cs="Arial"/>
        <w:szCs w:val="21"/>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3C6C99">
                          <w:pPr>
                            <w:pStyle w:val="8"/>
                            <w:jc w:val="center"/>
                          </w:pPr>
                          <w:r>
                            <w:rPr>
                              <w:rStyle w:val="18"/>
                              <w:rFonts w:hint="eastAsia" w:ascii="Arial" w:hAnsi="Arial" w:cs="Arial"/>
                              <w:szCs w:val="21"/>
                            </w:rPr>
                            <w:t>2-</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413C6C99">
                    <w:pPr>
                      <w:pStyle w:val="8"/>
                      <w:jc w:val="center"/>
                    </w:pPr>
                    <w:r>
                      <w:rPr>
                        <w:rStyle w:val="18"/>
                        <w:rFonts w:hint="eastAsia" w:ascii="Arial" w:hAnsi="Arial" w:cs="Arial"/>
                        <w:szCs w:val="21"/>
                      </w:rPr>
                      <w:t>2-</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DC61E">
    <w:pPr>
      <w:pStyle w:val="8"/>
      <w:jc w:val="center"/>
      <w:rPr>
        <w:rFonts w:ascii="Arial" w:hAnsi="Arial" w:cs="Arial"/>
        <w:szCs w:val="21"/>
      </w:rP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EF7088">
                          <w:pPr>
                            <w:pStyle w:val="8"/>
                            <w:jc w:val="center"/>
                          </w:pPr>
                          <w:r>
                            <w:rPr>
                              <w:rStyle w:val="18"/>
                              <w:rFonts w:hint="eastAsia" w:ascii="Arial" w:hAnsi="Arial" w:cs="Arial"/>
                              <w:szCs w:val="21"/>
                            </w:rPr>
                            <w:t>3-</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8</w:t>
                          </w:r>
                          <w:r>
                            <w:rPr>
                              <w:rStyle w:val="18"/>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pGcYw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RnGMKwIAAFcEAAAOAAAAAAAAAAEAIAAAAB8BAABkcnMvZTJvRG9jLnhtbFBLBQYAAAAABgAG&#10;AFkBAAC8BQAAAAA=&#10;">
              <v:fill on="f" focussize="0,0"/>
              <v:stroke on="f" weight="0.5pt"/>
              <v:imagedata o:title=""/>
              <o:lock v:ext="edit" aspectratio="f"/>
              <v:textbox inset="0mm,0mm,0mm,0mm" style="mso-fit-shape-to-text:t;">
                <w:txbxContent>
                  <w:p w14:paraId="02EF7088">
                    <w:pPr>
                      <w:pStyle w:val="8"/>
                      <w:jc w:val="center"/>
                    </w:pPr>
                    <w:r>
                      <w:rPr>
                        <w:rStyle w:val="18"/>
                        <w:rFonts w:hint="eastAsia" w:ascii="Arial" w:hAnsi="Arial" w:cs="Arial"/>
                        <w:szCs w:val="21"/>
                      </w:rPr>
                      <w:t>3-</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8</w:t>
                    </w:r>
                    <w:r>
                      <w:rPr>
                        <w:rStyle w:val="18"/>
                        <w:rFonts w:ascii="Arial" w:hAnsi="Arial" w:cs="Arial"/>
                        <w:szCs w:val="21"/>
                      </w:rPr>
                      <w:fldChar w:fldCharType="end"/>
                    </w:r>
                  </w:p>
                </w:txbxContent>
              </v:textbox>
            </v:shape>
          </w:pict>
        </mc:Fallback>
      </mc:AlternateContent>
    </w:r>
  </w:p>
  <w:p w14:paraId="22A61909">
    <w:pPr>
      <w:pStyle w:val="8"/>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65A78">
    <w:pPr>
      <w:pStyle w:val="8"/>
      <w:jc w:val="center"/>
      <w:rPr>
        <w:rFonts w:ascii="Arial" w:hAnsi="Arial" w:cs="Arial"/>
        <w:szCs w:val="21"/>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94B65E">
                          <w:pPr>
                            <w:pStyle w:val="8"/>
                            <w:jc w:val="center"/>
                          </w:pPr>
                          <w:r>
                            <w:rPr>
                              <w:rStyle w:val="18"/>
                              <w:rFonts w:hint="eastAsia" w:ascii="Arial" w:hAnsi="Arial" w:cs="Arial"/>
                              <w:szCs w:val="21"/>
                            </w:rPr>
                            <w:t>3-</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ILIsw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1dvx+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MgsizCwCAABXBAAADgAAAAAAAAABACAAAAAfAQAAZHJzL2Uyb0RvYy54bWxQSwUGAAAAAAYA&#10;BgBZAQAAvQUAAAAA&#10;">
              <v:fill on="f" focussize="0,0"/>
              <v:stroke on="f" weight="0.5pt"/>
              <v:imagedata o:title=""/>
              <o:lock v:ext="edit" aspectratio="f"/>
              <v:textbox inset="0mm,0mm,0mm,0mm" style="mso-fit-shape-to-text:t;">
                <w:txbxContent>
                  <w:p w14:paraId="5D94B65E">
                    <w:pPr>
                      <w:pStyle w:val="8"/>
                      <w:jc w:val="center"/>
                    </w:pPr>
                    <w:r>
                      <w:rPr>
                        <w:rStyle w:val="18"/>
                        <w:rFonts w:hint="eastAsia" w:ascii="Arial" w:hAnsi="Arial" w:cs="Arial"/>
                        <w:szCs w:val="21"/>
                      </w:rPr>
                      <w:t>3-</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A2D911">
    <w:pPr>
      <w:pStyle w:val="8"/>
      <w:jc w:val="center"/>
      <w:rPr>
        <w:rFonts w:ascii="Arial" w:hAnsi="Arial" w:cs="Arial"/>
        <w:szCs w:val="21"/>
      </w:rPr>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6840C2">
                          <w:pPr>
                            <w:pStyle w:val="8"/>
                            <w:jc w:val="center"/>
                          </w:pPr>
                          <w:r>
                            <w:rPr>
                              <w:rFonts w:hint="eastAsia" w:ascii="Arial" w:hAnsi="Arial" w:cs="Arial"/>
                              <w:szCs w:val="21"/>
                            </w:rPr>
                            <w:t>4-</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w:t>
                          </w:r>
                          <w:r>
                            <w:rPr>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076840C2">
                    <w:pPr>
                      <w:pStyle w:val="8"/>
                      <w:jc w:val="center"/>
                    </w:pPr>
                    <w:r>
                      <w:rPr>
                        <w:rFonts w:hint="eastAsia" w:ascii="Arial" w:hAnsi="Arial" w:cs="Arial"/>
                        <w:szCs w:val="21"/>
                      </w:rPr>
                      <w:t>4-</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w:t>
                    </w:r>
                    <w:r>
                      <w:rPr>
                        <w:rFonts w:ascii="Arial" w:hAnsi="Arial" w:cs="Arial"/>
                        <w:szCs w:val="21"/>
                      </w:rP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7B9F0">
    <w:pPr>
      <w:pStyle w:val="8"/>
      <w:jc w:val="center"/>
      <w:rPr>
        <w:rFonts w:ascii="Arial" w:hAnsi="Arial" w:cs="Arial"/>
        <w:szCs w:val="21"/>
      </w:rPr>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360B27">
                          <w:pPr>
                            <w:pStyle w:val="8"/>
                            <w:jc w:val="center"/>
                          </w:pPr>
                          <w:r>
                            <w:rPr>
                              <w:rStyle w:val="18"/>
                              <w:rFonts w:hint="eastAsia" w:ascii="Arial" w:hAnsi="Arial" w:cs="Arial"/>
                              <w:szCs w:val="21"/>
                            </w:rPr>
                            <w:t>4-</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OguJYs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UgdJtlYasfLI/Q&#10;UTxvV4cAAZOuUZROiV4r9FuqTD8bsaH/3Keop//B8h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6C4liwCAABXBAAADgAAAAAAAAABACAAAAAfAQAAZHJzL2Uyb0RvYy54bWxQSwUGAAAAAAYA&#10;BgBZAQAAvQUAAAAA&#10;">
              <v:fill on="f" focussize="0,0"/>
              <v:stroke on="f" weight="0.5pt"/>
              <v:imagedata o:title=""/>
              <o:lock v:ext="edit" aspectratio="f"/>
              <v:textbox inset="0mm,0mm,0mm,0mm" style="mso-fit-shape-to-text:t;">
                <w:txbxContent>
                  <w:p w14:paraId="02360B27">
                    <w:pPr>
                      <w:pStyle w:val="8"/>
                      <w:jc w:val="center"/>
                    </w:pPr>
                    <w:r>
                      <w:rPr>
                        <w:rStyle w:val="18"/>
                        <w:rFonts w:hint="eastAsia" w:ascii="Arial" w:hAnsi="Arial" w:cs="Arial"/>
                        <w:szCs w:val="21"/>
                      </w:rPr>
                      <w:t>4-</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6670DF">
    <w:pPr>
      <w:pStyle w:val="8"/>
      <w:jc w:val="center"/>
      <w:rPr>
        <w:rFonts w:ascii="Arial" w:hAnsi="Arial" w:cs="Arial"/>
        <w:szCs w:val="21"/>
      </w:rPr>
    </w:pPr>
    <w: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234C0F">
                          <w:pPr>
                            <w:pStyle w:val="8"/>
                            <w:jc w:val="center"/>
                          </w:pPr>
                          <w:r>
                            <w:rPr>
                              <w:rFonts w:hint="eastAsia" w:ascii="Arial" w:hAnsi="Arial" w:cs="Arial"/>
                              <w:szCs w:val="21"/>
                            </w:rPr>
                            <w:t>5-</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w:t>
                          </w:r>
                          <w:r>
                            <w:rPr>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t2TVYr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7dk1WKwIAAFcEAAAOAAAAAAAAAAEAIAAAAB8BAABkcnMvZTJvRG9jLnhtbFBLBQYAAAAABgAG&#10;AFkBAAC8BQAAAAA=&#10;">
              <v:fill on="f" focussize="0,0"/>
              <v:stroke on="f" weight="0.5pt"/>
              <v:imagedata o:title=""/>
              <o:lock v:ext="edit" aspectratio="f"/>
              <v:textbox inset="0mm,0mm,0mm,0mm" style="mso-fit-shape-to-text:t;">
                <w:txbxContent>
                  <w:p w14:paraId="4F234C0F">
                    <w:pPr>
                      <w:pStyle w:val="8"/>
                      <w:jc w:val="center"/>
                    </w:pPr>
                    <w:r>
                      <w:rPr>
                        <w:rFonts w:hint="eastAsia" w:ascii="Arial" w:hAnsi="Arial" w:cs="Arial"/>
                        <w:szCs w:val="21"/>
                      </w:rPr>
                      <w:t>5-</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w:t>
                    </w:r>
                    <w:r>
                      <w:rPr>
                        <w:rFonts w:ascii="Arial" w:hAnsi="Arial" w:cs="Arial"/>
                        <w:szCs w:val="21"/>
                      </w:rP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79A69D">
    <w:pPr>
      <w:pStyle w:val="8"/>
      <w:jc w:val="center"/>
      <w:rPr>
        <w:rFonts w:ascii="Arial" w:hAnsi="Arial" w:cs="Arial"/>
        <w:szCs w:val="21"/>
      </w:rPr>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84D2FB">
                          <w:pPr>
                            <w:pStyle w:val="8"/>
                            <w:jc w:val="center"/>
                          </w:pPr>
                          <w:r>
                            <w:rPr>
                              <w:rStyle w:val="18"/>
                              <w:rFonts w:hint="eastAsia" w:ascii="Arial" w:hAnsi="Arial" w:cs="Arial"/>
                              <w:szCs w:val="21"/>
                            </w:rPr>
                            <w:t>5-</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HhYs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0zseFiwCAABXBAAADgAAAAAAAAABACAAAAAfAQAAZHJzL2Uyb0RvYy54bWxQSwUGAAAAAAYA&#10;BgBZAQAAvQUAAAAA&#10;">
              <v:fill on="f" focussize="0,0"/>
              <v:stroke on="f" weight="0.5pt"/>
              <v:imagedata o:title=""/>
              <o:lock v:ext="edit" aspectratio="f"/>
              <v:textbox inset="0mm,0mm,0mm,0mm" style="mso-fit-shape-to-text:t;">
                <w:txbxContent>
                  <w:p w14:paraId="3784D2FB">
                    <w:pPr>
                      <w:pStyle w:val="8"/>
                      <w:jc w:val="center"/>
                    </w:pPr>
                    <w:r>
                      <w:rPr>
                        <w:rStyle w:val="18"/>
                        <w:rFonts w:hint="eastAsia" w:ascii="Arial" w:hAnsi="Arial" w:cs="Arial"/>
                        <w:szCs w:val="21"/>
                      </w:rPr>
                      <w:t>5-</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1ED04">
    <w:pPr>
      <w:pStyle w:val="8"/>
      <w:jc w:val="center"/>
      <w:rPr>
        <w:rFonts w:ascii="Arial" w:hAnsi="Arial" w:cs="Arial"/>
        <w:szCs w:val="21"/>
      </w:rP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EB759B">
                          <w:pPr>
                            <w:pStyle w:val="8"/>
                            <w:jc w:val="center"/>
                          </w:pPr>
                          <w:r>
                            <w:rPr>
                              <w:rFonts w:hint="eastAsia" w:ascii="Arial" w:hAnsi="Arial" w:cs="Arial"/>
                              <w:szCs w:val="21"/>
                            </w:rPr>
                            <w:t>6-</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3</w:t>
                          </w:r>
                          <w:r>
                            <w:rPr>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m63mM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Jut5jKwIAAFcEAAAOAAAAAAAAAAEAIAAAAB8BAABkcnMvZTJvRG9jLnhtbFBLBQYAAAAABgAG&#10;AFkBAAC8BQAAAAA=&#10;">
              <v:fill on="f" focussize="0,0"/>
              <v:stroke on="f" weight="0.5pt"/>
              <v:imagedata o:title=""/>
              <o:lock v:ext="edit" aspectratio="f"/>
              <v:textbox inset="0mm,0mm,0mm,0mm" style="mso-fit-shape-to-text:t;">
                <w:txbxContent>
                  <w:p w14:paraId="38EB759B">
                    <w:pPr>
                      <w:pStyle w:val="8"/>
                      <w:jc w:val="center"/>
                    </w:pPr>
                    <w:r>
                      <w:rPr>
                        <w:rFonts w:hint="eastAsia" w:ascii="Arial" w:hAnsi="Arial" w:cs="Arial"/>
                        <w:szCs w:val="21"/>
                      </w:rPr>
                      <w:t>6-</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3</w:t>
                    </w:r>
                    <w:r>
                      <w:rPr>
                        <w:rFonts w:ascii="Arial" w:hAnsi="Arial" w:cs="Arial"/>
                        <w:szCs w:val="21"/>
                      </w:rP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5C8FB">
    <w:pPr>
      <w:pStyle w:val="8"/>
      <w:jc w:val="center"/>
      <w:rPr>
        <w:rFonts w:ascii="Arial" w:hAnsi="Arial" w:cs="Arial"/>
        <w:szCs w:val="21"/>
      </w:rP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50BE40">
                          <w:pPr>
                            <w:pStyle w:val="8"/>
                            <w:jc w:val="center"/>
                          </w:pPr>
                          <w:r>
                            <w:rPr>
                              <w:rStyle w:val="18"/>
                              <w:rFonts w:hint="eastAsia" w:ascii="Arial" w:hAnsi="Arial" w:cs="Arial"/>
                              <w:szCs w:val="21"/>
                            </w:rPr>
                            <w:t>6-</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3jSMs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JbSjRTqPjpx/fT&#10;z4fTr28EZxCotX6GuHuLyNC9Mx2Ch3OPw8i7q5yKXzAi8EPe40Ve0QXC46XpZDrN4eLwDRvgZ4/X&#10;rfPhvTCKRKOgDvVLsrLDxoc+dAiJ2bRZN1KmGkpN2oJevX6T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4feNIywCAABXBAAADgAAAAAAAAABACAAAAAfAQAAZHJzL2Uyb0RvYy54bWxQSwUGAAAAAAYA&#10;BgBZAQAAvQUAAAAA&#10;">
              <v:fill on="f" focussize="0,0"/>
              <v:stroke on="f" weight="0.5pt"/>
              <v:imagedata o:title=""/>
              <o:lock v:ext="edit" aspectratio="f"/>
              <v:textbox inset="0mm,0mm,0mm,0mm" style="mso-fit-shape-to-text:t;">
                <w:txbxContent>
                  <w:p w14:paraId="1150BE40">
                    <w:pPr>
                      <w:pStyle w:val="8"/>
                      <w:jc w:val="center"/>
                    </w:pPr>
                    <w:r>
                      <w:rPr>
                        <w:rStyle w:val="18"/>
                        <w:rFonts w:hint="eastAsia" w:ascii="Arial" w:hAnsi="Arial" w:cs="Arial"/>
                        <w:szCs w:val="21"/>
                      </w:rPr>
                      <w:t>6-</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E27C75">
    <w:pPr>
      <w:pStyle w:val="8"/>
      <w:jc w:val="center"/>
      <w:rPr>
        <w:rFonts w:ascii="Arial" w:hAnsi="Arial" w:cs="Arial"/>
        <w:sz w:val="21"/>
        <w:szCs w:val="21"/>
      </w:rPr>
    </w:pPr>
    <w:r>
      <w:rPr>
        <w:sz w:val="21"/>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7D517C">
                          <w:pPr>
                            <w:pStyle w:val="8"/>
                            <w:jc w:val="center"/>
                          </w:pPr>
                          <w:r>
                            <w:rPr>
                              <w:rFonts w:hint="eastAsia" w:ascii="Arial" w:hAnsi="Arial" w:cs="Arial"/>
                              <w:sz w:val="21"/>
                              <w:szCs w:val="21"/>
                            </w:rPr>
                            <w:t>7-</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rPr>
                            <w:t>1</w:t>
                          </w:r>
                          <w:r>
                            <w:rPr>
                              <w:rFonts w:ascii="Arial" w:hAnsi="Arial" w:cs="Arial"/>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JScb8r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yUnG/KwIAAFcEAAAOAAAAAAAAAAEAIAAAAB8BAABkcnMvZTJvRG9jLnhtbFBLBQYAAAAABgAG&#10;AFkBAAC8BQAAAAA=&#10;">
              <v:fill on="f" focussize="0,0"/>
              <v:stroke on="f" weight="0.5pt"/>
              <v:imagedata o:title=""/>
              <o:lock v:ext="edit" aspectratio="f"/>
              <v:textbox inset="0mm,0mm,0mm,0mm" style="mso-fit-shape-to-text:t;">
                <w:txbxContent>
                  <w:p w14:paraId="1F7D517C">
                    <w:pPr>
                      <w:pStyle w:val="8"/>
                      <w:jc w:val="center"/>
                    </w:pPr>
                    <w:r>
                      <w:rPr>
                        <w:rFonts w:hint="eastAsia" w:ascii="Arial" w:hAnsi="Arial" w:cs="Arial"/>
                        <w:sz w:val="21"/>
                        <w:szCs w:val="21"/>
                      </w:rPr>
                      <w:t>7-</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rPr>
                      <w:t>1</w:t>
                    </w:r>
                    <w:r>
                      <w:rPr>
                        <w:rFonts w:ascii="Arial" w:hAnsi="Arial" w:cs="Arial"/>
                        <w:sz w:val="21"/>
                        <w:szCs w:val="21"/>
                      </w:rP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56265E">
    <w:pPr>
      <w:pStyle w:val="8"/>
      <w:jc w:val="center"/>
      <w:rPr>
        <w:rFonts w:ascii="Arial" w:hAnsi="Arial" w:cs="Arial"/>
        <w:szCs w:val="21"/>
      </w:rPr>
    </w:pPr>
    <w: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81CEC8">
                          <w:pPr>
                            <w:pStyle w:val="8"/>
                            <w:jc w:val="center"/>
                          </w:pPr>
                          <w:r>
                            <w:rPr>
                              <w:rFonts w:hint="eastAsia" w:ascii="Arial" w:hAnsi="Arial" w:cs="Arial"/>
                              <w:szCs w:val="21"/>
                            </w:rPr>
                            <w:t>8-</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w:t>
                          </w:r>
                          <w:r>
                            <w:rPr>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4981CEC8">
                    <w:pPr>
                      <w:pStyle w:val="8"/>
                      <w:jc w:val="center"/>
                    </w:pPr>
                    <w:r>
                      <w:rPr>
                        <w:rFonts w:hint="eastAsia" w:ascii="Arial" w:hAnsi="Arial" w:cs="Arial"/>
                        <w:szCs w:val="21"/>
                      </w:rPr>
                      <w:t>8-</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w:t>
                    </w:r>
                    <w:r>
                      <w:rPr>
                        <w:rFonts w:ascii="Arial" w:hAnsi="Arial" w:cs="Arial"/>
                        <w:szCs w:val="21"/>
                      </w:rP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809793">
    <w:pPr>
      <w:pStyle w:val="8"/>
      <w:jc w:val="center"/>
      <w:rPr>
        <w:rFonts w:ascii="Arial" w:hAnsi="Arial" w:cs="Arial"/>
        <w:szCs w:val="21"/>
      </w:rPr>
    </w:pPr>
    <w: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9B1248">
                          <w:pPr>
                            <w:pStyle w:val="8"/>
                            <w:jc w:val="center"/>
                          </w:pPr>
                          <w:r>
                            <w:rPr>
                              <w:rFonts w:hint="eastAsia" w:ascii="Arial" w:hAnsi="Arial" w:cs="Arial"/>
                              <w:szCs w:val="21"/>
                            </w:rPr>
                            <w:t>9-</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w:t>
                          </w:r>
                          <w:r>
                            <w:rPr>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J1z8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snXPywCAABXBAAADgAAAAAAAAABACAAAAAfAQAAZHJzL2Uyb0RvYy54bWxQSwUGAAAAAAYA&#10;BgBZAQAAvQUAAAAA&#10;">
              <v:fill on="f" focussize="0,0"/>
              <v:stroke on="f" weight="0.5pt"/>
              <v:imagedata o:title=""/>
              <o:lock v:ext="edit" aspectratio="f"/>
              <v:textbox inset="0mm,0mm,0mm,0mm" style="mso-fit-shape-to-text:t;">
                <w:txbxContent>
                  <w:p w14:paraId="799B1248">
                    <w:pPr>
                      <w:pStyle w:val="8"/>
                      <w:jc w:val="center"/>
                    </w:pPr>
                    <w:r>
                      <w:rPr>
                        <w:rFonts w:hint="eastAsia" w:ascii="Arial" w:hAnsi="Arial" w:cs="Arial"/>
                        <w:szCs w:val="21"/>
                      </w:rPr>
                      <w:t>9-</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w:t>
                    </w:r>
                    <w:r>
                      <w:rPr>
                        <w:rFonts w:ascii="Arial" w:hAnsi="Arial" w:cs="Arial"/>
                        <w:szCs w:val="21"/>
                      </w:rP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64C43">
    <w:pPr>
      <w:pStyle w:val="8"/>
      <w:jc w:val="center"/>
      <w:rPr>
        <w:rFonts w:ascii="Arial" w:hAnsi="Arial" w:cs="Arial"/>
        <w:szCs w:val="21"/>
      </w:rPr>
    </w:pPr>
    <w: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6DFDBF">
                          <w:pPr>
                            <w:pStyle w:val="8"/>
                            <w:jc w:val="center"/>
                          </w:pPr>
                          <w:r>
                            <w:rPr>
                              <w:rStyle w:val="18"/>
                              <w:rFonts w:hint="eastAsia" w:ascii="Arial" w:hAnsi="Arial" w:cs="Arial"/>
                              <w:szCs w:val="21"/>
                            </w:rPr>
                            <w:t>9-</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EhH8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MqEhH8tAgAAVwQAAA4AAAAAAAAAAQAgAAAAHwEAAGRycy9lMm9Eb2MueG1sUEsFBgAAAAAG&#10;AAYAWQEAAL4FAAAAAA==&#10;">
              <v:fill on="f" focussize="0,0"/>
              <v:stroke on="f" weight="0.5pt"/>
              <v:imagedata o:title=""/>
              <o:lock v:ext="edit" aspectratio="f"/>
              <v:textbox inset="0mm,0mm,0mm,0mm" style="mso-fit-shape-to-text:t;">
                <w:txbxContent>
                  <w:p w14:paraId="106DFDBF">
                    <w:pPr>
                      <w:pStyle w:val="8"/>
                      <w:jc w:val="center"/>
                    </w:pPr>
                    <w:r>
                      <w:rPr>
                        <w:rStyle w:val="18"/>
                        <w:rFonts w:hint="eastAsia" w:ascii="Arial" w:hAnsi="Arial" w:cs="Arial"/>
                        <w:szCs w:val="21"/>
                      </w:rPr>
                      <w:t>9-</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0E049C">
    <w:pPr>
      <w:pStyle w:val="8"/>
      <w:jc w:val="center"/>
      <w:rPr>
        <w:rFonts w:ascii="Arial" w:hAnsi="Arial" w:cs="Arial"/>
        <w:szCs w:val="21"/>
      </w:rPr>
    </w:pPr>
    <w: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ACC2DC">
                          <w:pPr>
                            <w:pStyle w:val="8"/>
                            <w:jc w:val="center"/>
                          </w:pPr>
                          <w:r>
                            <w:rPr>
                              <w:rFonts w:hint="eastAsia" w:ascii="Arial" w:hAnsi="Arial" w:cs="Arial"/>
                              <w:szCs w:val="21"/>
                            </w:rPr>
                            <w:t>10-</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w:t>
                          </w:r>
                          <w:r>
                            <w:rPr>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iTWU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NiTWUtAgAAVwQAAA4AAAAAAAAAAQAgAAAAHwEAAGRycy9lMm9Eb2MueG1sUEsFBgAAAAAG&#10;AAYAWQEAAL4FAAAAAA==&#10;">
              <v:fill on="f" focussize="0,0"/>
              <v:stroke on="f" weight="0.5pt"/>
              <v:imagedata o:title=""/>
              <o:lock v:ext="edit" aspectratio="f"/>
              <v:textbox inset="0mm,0mm,0mm,0mm" style="mso-fit-shape-to-text:t;">
                <w:txbxContent>
                  <w:p w14:paraId="5CACC2DC">
                    <w:pPr>
                      <w:pStyle w:val="8"/>
                      <w:jc w:val="center"/>
                    </w:pPr>
                    <w:r>
                      <w:rPr>
                        <w:rFonts w:hint="eastAsia" w:ascii="Arial" w:hAnsi="Arial" w:cs="Arial"/>
                        <w:szCs w:val="21"/>
                      </w:rPr>
                      <w:t>10-</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w:t>
                    </w:r>
                    <w:r>
                      <w:rPr>
                        <w:rFonts w:ascii="Arial" w:hAnsi="Arial" w:cs="Arial"/>
                        <w:szCs w:val="21"/>
                      </w:rPr>
                      <w:fldChar w:fldCharType="end"/>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B3632">
    <w:pPr>
      <w:pStyle w:val="8"/>
      <w:jc w:val="center"/>
      <w:rPr>
        <w:rFonts w:ascii="Arial" w:hAnsi="Arial" w:cs="Arial"/>
        <w:szCs w:val="21"/>
      </w:rPr>
    </w:pPr>
    <w: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67B353">
                          <w:pPr>
                            <w:pStyle w:val="8"/>
                            <w:jc w:val="center"/>
                          </w:pPr>
                          <w:r>
                            <w:rPr>
                              <w:rFonts w:hint="eastAsia" w:ascii="Arial" w:hAnsi="Arial" w:cs="Arial"/>
                              <w:szCs w:val="21"/>
                            </w:rPr>
                            <w:t>11-</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3</w:t>
                          </w:r>
                          <w:r>
                            <w:rPr>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p w14:paraId="5967B353">
                    <w:pPr>
                      <w:pStyle w:val="8"/>
                      <w:jc w:val="center"/>
                    </w:pPr>
                    <w:r>
                      <w:rPr>
                        <w:rFonts w:hint="eastAsia" w:ascii="Arial" w:hAnsi="Arial" w:cs="Arial"/>
                        <w:szCs w:val="21"/>
                      </w:rPr>
                      <w:t>11-</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3</w:t>
                    </w:r>
                    <w:r>
                      <w:rPr>
                        <w:rFonts w:ascii="Arial" w:hAnsi="Arial" w:cs="Arial"/>
                        <w:szCs w:val="21"/>
                      </w:rPr>
                      <w:fldChar w:fldCharType="end"/>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D5679F">
    <w:pPr>
      <w:pStyle w:val="8"/>
      <w:jc w:val="center"/>
      <w:rPr>
        <w:rFonts w:ascii="Arial" w:hAnsi="Arial" w:cs="Arial"/>
        <w:szCs w:val="21"/>
      </w:rPr>
    </w:pPr>
    <w: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AB535F">
                          <w:pPr>
                            <w:pStyle w:val="8"/>
                            <w:jc w:val="center"/>
                          </w:pPr>
                          <w:r>
                            <w:rPr>
                              <w:rFonts w:hint="eastAsia" w:ascii="Arial" w:hAnsi="Arial" w:cs="Arial"/>
                              <w:szCs w:val="21"/>
                            </w:rPr>
                            <w:t>12-</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w:t>
                          </w:r>
                          <w:r>
                            <w:rPr>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P56+UsAgAAVw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g/nr5SwCAABXBAAADgAAAAAAAAABACAAAAAfAQAAZHJzL2Uyb0RvYy54bWxQSwUGAAAAAAYA&#10;BgBZAQAAvQUAAAAA&#10;">
              <v:fill on="f" focussize="0,0"/>
              <v:stroke on="f" weight="0.5pt"/>
              <v:imagedata o:title=""/>
              <o:lock v:ext="edit" aspectratio="f"/>
              <v:textbox inset="0mm,0mm,0mm,0mm" style="mso-fit-shape-to-text:t;">
                <w:txbxContent>
                  <w:p w14:paraId="02AB535F">
                    <w:pPr>
                      <w:pStyle w:val="8"/>
                      <w:jc w:val="center"/>
                    </w:pPr>
                    <w:r>
                      <w:rPr>
                        <w:rFonts w:hint="eastAsia" w:ascii="Arial" w:hAnsi="Arial" w:cs="Arial"/>
                        <w:szCs w:val="21"/>
                      </w:rPr>
                      <w:t>12-</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w:t>
                    </w:r>
                    <w:r>
                      <w:rPr>
                        <w:rFonts w:ascii="Arial" w:hAnsi="Arial" w:cs="Arial"/>
                        <w:szCs w:val="21"/>
                      </w:rPr>
                      <w:fldChar w:fldCharType="end"/>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D360B">
    <w:pPr>
      <w:pStyle w:val="8"/>
      <w:jc w:val="center"/>
      <w:rPr>
        <w:rFonts w:ascii="Arial" w:hAnsi="Arial" w:cs="Arial"/>
        <w:szCs w:val="21"/>
      </w:rPr>
    </w:pPr>
    <w: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3DAE33">
                          <w:pPr>
                            <w:pStyle w:val="8"/>
                            <w:jc w:val="center"/>
                          </w:pPr>
                          <w:r>
                            <w:rPr>
                              <w:rFonts w:hint="eastAsia" w:ascii="Arial" w:hAnsi="Arial" w:cs="Arial"/>
                              <w:szCs w:val="21"/>
                            </w:rPr>
                            <w:t>13-</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w:t>
                          </w:r>
                          <w:r>
                            <w:rPr>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u0uKUtAgAAVwQAAA4AAABkcnMvZTJvRG9jLnhtbK1UzY7TMBC+I/EO&#10;lu80aRFL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Cu0uKUtAgAAVwQAAA4AAAAAAAAAAQAgAAAAHwEAAGRycy9lMm9Eb2MueG1sUEsFBgAAAAAG&#10;AAYAWQEAAL4FAAAAAA==&#10;">
              <v:fill on="f" focussize="0,0"/>
              <v:stroke on="f" weight="0.5pt"/>
              <v:imagedata o:title=""/>
              <o:lock v:ext="edit" aspectratio="f"/>
              <v:textbox inset="0mm,0mm,0mm,0mm" style="mso-fit-shape-to-text:t;">
                <w:txbxContent>
                  <w:p w14:paraId="763DAE33">
                    <w:pPr>
                      <w:pStyle w:val="8"/>
                      <w:jc w:val="center"/>
                    </w:pPr>
                    <w:r>
                      <w:rPr>
                        <w:rFonts w:hint="eastAsia" w:ascii="Arial" w:hAnsi="Arial" w:cs="Arial"/>
                        <w:szCs w:val="21"/>
                      </w:rPr>
                      <w:t>13-</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w:t>
                    </w:r>
                    <w:r>
                      <w:rPr>
                        <w:rFonts w:ascii="Arial" w:hAnsi="Arial" w:cs="Arial"/>
                        <w:szCs w:val="21"/>
                      </w:rPr>
                      <w:fldChar w:fldCharType="end"/>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54E4A8">
    <w:pPr>
      <w:pStyle w:val="8"/>
      <w:jc w:val="center"/>
      <w:rPr>
        <w:rFonts w:ascii="Arial" w:hAnsi="Arial" w:cs="Arial"/>
        <w:szCs w:val="21"/>
      </w:rPr>
    </w:pPr>
    <w:r>
      <w:rPr>
        <w:rStyle w:val="18"/>
        <w:rFonts w:hint="eastAsia" w:ascii="Arial" w:hAnsi="Arial" w:cs="Arial"/>
        <w:szCs w:val="21"/>
      </w:rPr>
      <w:t>14-</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3CCCF2">
    <w:pPr>
      <w:pStyle w:val="8"/>
      <w:jc w:val="center"/>
      <w:rPr>
        <w:rFonts w:ascii="Arial" w:hAnsi="Arial" w:cs="Arial"/>
        <w:sz w:val="21"/>
        <w:szCs w:val="21"/>
      </w:rPr>
    </w:pPr>
    <w:r>
      <w:rPr>
        <w:sz w:val="21"/>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AA274A">
                          <w:pPr>
                            <w:pStyle w:val="8"/>
                            <w:jc w:val="center"/>
                          </w:pPr>
                          <w:r>
                            <w:rPr>
                              <w:rFonts w:hint="eastAsia" w:ascii="Arial" w:hAnsi="Arial" w:cs="Arial"/>
                              <w:sz w:val="21"/>
                              <w:szCs w:val="21"/>
                            </w:rPr>
                            <w:t>15-</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rPr>
                            <w:t>2</w:t>
                          </w:r>
                          <w:r>
                            <w:rPr>
                              <w:rFonts w:ascii="Arial" w:hAnsi="Arial" w:cs="Arial"/>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E1eNAs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sTV40CwCAABXBAAADgAAAAAAAAABACAAAAAfAQAAZHJzL2Uyb0RvYy54bWxQSwUGAAAAAAYA&#10;BgBZAQAAvQUAAAAA&#10;">
              <v:fill on="f" focussize="0,0"/>
              <v:stroke on="f" weight="0.5pt"/>
              <v:imagedata o:title=""/>
              <o:lock v:ext="edit" aspectratio="f"/>
              <v:textbox inset="0mm,0mm,0mm,0mm" style="mso-fit-shape-to-text:t;">
                <w:txbxContent>
                  <w:p w14:paraId="34AA274A">
                    <w:pPr>
                      <w:pStyle w:val="8"/>
                      <w:jc w:val="center"/>
                    </w:pPr>
                    <w:r>
                      <w:rPr>
                        <w:rFonts w:hint="eastAsia" w:ascii="Arial" w:hAnsi="Arial" w:cs="Arial"/>
                        <w:sz w:val="21"/>
                        <w:szCs w:val="21"/>
                      </w:rPr>
                      <w:t>15-</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rPr>
                      <w:t>2</w:t>
                    </w:r>
                    <w:r>
                      <w:rPr>
                        <w:rFonts w:ascii="Arial" w:hAnsi="Arial" w:cs="Arial"/>
                        <w:sz w:val="21"/>
                        <w:szCs w:val="21"/>
                      </w:rPr>
                      <w:fldChar w:fldCharType="end"/>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5F6A95">
    <w:pPr>
      <w:pStyle w:val="8"/>
      <w:jc w:val="center"/>
      <w:rPr>
        <w:rFonts w:ascii="Arial" w:hAnsi="Arial" w:cs="Arial"/>
        <w:szCs w:val="21"/>
      </w:rPr>
    </w:pPr>
    <w: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A55F00">
                          <w:pPr>
                            <w:pStyle w:val="8"/>
                            <w:jc w:val="center"/>
                          </w:pPr>
                          <w:r>
                            <w:rPr>
                              <w:rFonts w:hint="eastAsia" w:ascii="Arial" w:hAnsi="Arial" w:cs="Arial"/>
                              <w:szCs w:val="21"/>
                            </w:rPr>
                            <w:t>16-</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w:t>
                          </w:r>
                          <w:r>
                            <w:rPr>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l4K5AtAgAAVwQAAA4AAABkcnMvZTJvRG9jLnhtbK1UzY7TMBC+I/EO&#10;lu80aRGrUj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qKZQsVPP76f&#10;fj6cfn0jOINArfUzxN1bRIbunenQNsO5x2Hk3VVOxS8YEfgh7/Eir+gC4fHSdDKd5nBx+IYN8LPH&#10;69b58F4YRaJRUIf6JVnZYeNDHzqExGzarBspUw2lJm1Br16/y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Bl4K5AtAgAAVwQAAA4AAAAAAAAAAQAgAAAAHwEAAGRycy9lMm9Eb2MueG1sUEsFBgAAAAAG&#10;AAYAWQEAAL4FAAAAAA==&#10;">
              <v:fill on="f" focussize="0,0"/>
              <v:stroke on="f" weight="0.5pt"/>
              <v:imagedata o:title=""/>
              <o:lock v:ext="edit" aspectratio="f"/>
              <v:textbox inset="0mm,0mm,0mm,0mm" style="mso-fit-shape-to-text:t;">
                <w:txbxContent>
                  <w:p w14:paraId="0EA55F00">
                    <w:pPr>
                      <w:pStyle w:val="8"/>
                      <w:jc w:val="center"/>
                    </w:pPr>
                    <w:r>
                      <w:rPr>
                        <w:rFonts w:hint="eastAsia" w:ascii="Arial" w:hAnsi="Arial" w:cs="Arial"/>
                        <w:szCs w:val="21"/>
                      </w:rPr>
                      <w:t>16-</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w:t>
                    </w:r>
                    <w:r>
                      <w:rPr>
                        <w:rFonts w:ascii="Arial" w:hAnsi="Arial" w:cs="Arial"/>
                        <w:szCs w:val="21"/>
                      </w:rPr>
                      <w:fldChar w:fldCharType="end"/>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887B1B">
    <w:pPr>
      <w:pStyle w:val="8"/>
      <w:jc w:val="center"/>
      <w:rPr>
        <w:rFonts w:ascii="Arial" w:hAnsi="Arial" w:cs="Arial"/>
        <w:szCs w:val="21"/>
      </w:rPr>
    </w:pPr>
    <w:r>
      <w:rPr>
        <w:rStyle w:val="18"/>
        <w:rFonts w:hint="eastAsia" w:ascii="Arial" w:hAnsi="Arial" w:cs="Arial"/>
        <w:szCs w:val="21"/>
      </w:rPr>
      <w:t>16-</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A0A43">
    <w:pPr>
      <w:pStyle w:val="8"/>
      <w:jc w:val="center"/>
      <w:rPr>
        <w:rFonts w:ascii="Arial" w:hAnsi="Arial" w:cs="Arial"/>
        <w:sz w:val="21"/>
        <w:szCs w:val="21"/>
      </w:rPr>
    </w:pPr>
    <w:r>
      <w:rPr>
        <w:sz w:val="21"/>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84043E4">
                          <w:pPr>
                            <w:pStyle w:val="8"/>
                            <w:jc w:val="center"/>
                          </w:pPr>
                          <w:r>
                            <w:rPr>
                              <w:rFonts w:hint="eastAsia" w:ascii="Arial" w:hAnsi="Arial" w:cs="Arial"/>
                              <w:sz w:val="21"/>
                              <w:szCs w:val="21"/>
                            </w:rPr>
                            <w:t>17-</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rPr>
                            <w:t>2</w:t>
                          </w:r>
                          <w:r>
                            <w:rPr>
                              <w:rFonts w:ascii="Arial" w:hAnsi="Arial" w:cs="Arial"/>
                              <w:sz w:val="21"/>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UqPGcs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pSo8ZywCAABXBAAADgAAAAAAAAABACAAAAAfAQAAZHJzL2Uyb0RvYy54bWxQSwUGAAAAAAYA&#10;BgBZAQAAvQUAAAAA&#10;">
              <v:fill on="f" focussize="0,0"/>
              <v:stroke on="f" weight="0.5pt"/>
              <v:imagedata o:title=""/>
              <o:lock v:ext="edit" aspectratio="f"/>
              <v:textbox inset="0mm,0mm,0mm,0mm" style="mso-fit-shape-to-text:t;">
                <w:txbxContent>
                  <w:p w14:paraId="484043E4">
                    <w:pPr>
                      <w:pStyle w:val="8"/>
                      <w:jc w:val="center"/>
                    </w:pPr>
                    <w:r>
                      <w:rPr>
                        <w:rFonts w:hint="eastAsia" w:ascii="Arial" w:hAnsi="Arial" w:cs="Arial"/>
                        <w:sz w:val="21"/>
                        <w:szCs w:val="21"/>
                      </w:rPr>
                      <w:t>17-</w:t>
                    </w:r>
                    <w:r>
                      <w:rPr>
                        <w:rFonts w:ascii="Arial" w:hAnsi="Arial" w:cs="Arial"/>
                        <w:sz w:val="21"/>
                        <w:szCs w:val="21"/>
                      </w:rPr>
                      <w:fldChar w:fldCharType="begin"/>
                    </w:r>
                    <w:r>
                      <w:rPr>
                        <w:rFonts w:ascii="Arial" w:hAnsi="Arial" w:cs="Arial"/>
                        <w:sz w:val="21"/>
                        <w:szCs w:val="21"/>
                      </w:rPr>
                      <w:instrText xml:space="preserve"> PAGE   \* MERGEFORMAT </w:instrText>
                    </w:r>
                    <w:r>
                      <w:rPr>
                        <w:rFonts w:ascii="Arial" w:hAnsi="Arial" w:cs="Arial"/>
                        <w:sz w:val="21"/>
                        <w:szCs w:val="21"/>
                      </w:rPr>
                      <w:fldChar w:fldCharType="separate"/>
                    </w:r>
                    <w:r>
                      <w:rPr>
                        <w:rFonts w:ascii="Arial" w:hAnsi="Arial" w:cs="Arial"/>
                        <w:sz w:val="21"/>
                        <w:szCs w:val="21"/>
                      </w:rPr>
                      <w:t>2</w:t>
                    </w:r>
                    <w:r>
                      <w:rPr>
                        <w:rFonts w:ascii="Arial" w:hAnsi="Arial" w:cs="Arial"/>
                        <w:sz w:val="21"/>
                        <w:szCs w:val="21"/>
                      </w:rPr>
                      <w:fldChar w:fldCharType="end"/>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8B773">
    <w:pPr>
      <w:pStyle w:val="8"/>
      <w:jc w:val="center"/>
      <w:rPr>
        <w:rFonts w:ascii="Arial" w:hAnsi="Arial" w:cs="Arial"/>
        <w:szCs w:val="21"/>
      </w:rPr>
    </w:pPr>
    <w: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068912">
                          <w:pPr>
                            <w:pStyle w:val="8"/>
                            <w:jc w:val="center"/>
                          </w:pPr>
                          <w:r>
                            <w:rPr>
                              <w:rFonts w:hint="eastAsia" w:ascii="Arial" w:hAnsi="Arial" w:cs="Arial"/>
                              <w:szCs w:val="21"/>
                            </w:rPr>
                            <w:t>18-</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8</w:t>
                          </w:r>
                          <w:r>
                            <w:rPr>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1nbycsAgAAVwQAAA4AAABkcnMvZTJvRG9jLnhtbK1UzY7TMBC+I/EO&#10;lu80bVes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n31dpwuXDwAlxo5Iomu2GiFdtf2zHam&#10;OIGYM91seMs3NZJvmQ/3zGEYUDCeS7jDUkqDJKa3KKmM+/qv8xiPHsFLSYPhyqnGW6JEftDoHQDD&#10;YLjB2A2GPqhbg2lFO1BLMnHBBTmYpTPqC97QKuaAi2mOTDkNg3kbugHHG+RitUpBmDbLwlY/WB6h&#10;o3jerg4BAiZdoyidEr1WmLfUmf5txIH+c5+inv4Hy0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DWdvJywCAABXBAAADgAAAAAAAAABACAAAAAfAQAAZHJzL2Uyb0RvYy54bWxQSwUGAAAAAAYA&#10;BgBZAQAAvQUAAAAA&#10;">
              <v:fill on="f" focussize="0,0"/>
              <v:stroke on="f" weight="0.5pt"/>
              <v:imagedata o:title=""/>
              <o:lock v:ext="edit" aspectratio="f"/>
              <v:textbox inset="0mm,0mm,0mm,0mm" style="mso-fit-shape-to-text:t;">
                <w:txbxContent>
                  <w:p w14:paraId="1E068912">
                    <w:pPr>
                      <w:pStyle w:val="8"/>
                      <w:jc w:val="center"/>
                    </w:pPr>
                    <w:r>
                      <w:rPr>
                        <w:rFonts w:hint="eastAsia" w:ascii="Arial" w:hAnsi="Arial" w:cs="Arial"/>
                        <w:szCs w:val="21"/>
                      </w:rPr>
                      <w:t>18-</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8</w:t>
                    </w:r>
                    <w:r>
                      <w:rPr>
                        <w:rFonts w:ascii="Arial" w:hAnsi="Arial" w:cs="Arial"/>
                        <w:szCs w:val="21"/>
                      </w:rPr>
                      <w:fldChar w:fldCharType="end"/>
                    </w:r>
                  </w:p>
                </w:txbxContent>
              </v:textbox>
            </v:shape>
          </w:pict>
        </mc:Fallback>
      </mc:AlternateConten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93AF4">
    <w:pPr>
      <w:pStyle w:val="8"/>
      <w:jc w:val="center"/>
      <w:rPr>
        <w:rFonts w:ascii="Arial" w:hAnsi="Arial" w:cs="Arial"/>
        <w:szCs w:val="21"/>
      </w:rPr>
    </w:pPr>
    <w:r>
      <w:rPr>
        <w:rStyle w:val="18"/>
        <w:rFonts w:hint="eastAsia" w:ascii="Arial" w:hAnsi="Arial" w:cs="Arial"/>
        <w:szCs w:val="21"/>
      </w:rPr>
      <w:t>18-</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21C066">
    <w:pPr>
      <w:pStyle w:val="8"/>
      <w:jc w:val="center"/>
      <w:rPr>
        <w:rFonts w:ascii="Arial" w:hAnsi="Arial" w:cs="Arial"/>
        <w:szCs w:val="21"/>
      </w:rPr>
    </w:pPr>
    <w: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0690F6">
                          <w:pPr>
                            <w:pStyle w:val="8"/>
                            <w:jc w:val="center"/>
                          </w:pPr>
                          <w:r>
                            <w:rPr>
                              <w:rFonts w:hint="eastAsia" w:ascii="Arial" w:hAnsi="Arial" w:cs="Arial"/>
                              <w:szCs w:val="21"/>
                            </w:rPr>
                            <w:t>19-</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w:t>
                          </w:r>
                          <w:r>
                            <w:rPr>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xmuctAgAAVwQAAA4AAABkcnMvZTJvRG9jLnhtbK1UzY7TMBC+I/EO&#10;lu80bVes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OrKSWaKVT8/OP7&#10;+efv869vBGcQqLF+jrgHi8jQvjMt2mY49ziMvNvSqfgFIwI/5D1d5BVtIDxemk1nszFcHL5hA/zs&#10;6bp1PrwXRpFo5NShfklWdtz60IUOITGbNptaylRDqUmT0+urt+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PWxmuctAgAAVwQAAA4AAAAAAAAAAQAgAAAAHwEAAGRycy9lMm9Eb2MueG1sUEsFBgAAAAAG&#10;AAYAWQEAAL4FAAAAAA==&#10;">
              <v:fill on="f" focussize="0,0"/>
              <v:stroke on="f" weight="0.5pt"/>
              <v:imagedata o:title=""/>
              <o:lock v:ext="edit" aspectratio="f"/>
              <v:textbox inset="0mm,0mm,0mm,0mm" style="mso-fit-shape-to-text:t;">
                <w:txbxContent>
                  <w:p w14:paraId="5B0690F6">
                    <w:pPr>
                      <w:pStyle w:val="8"/>
                      <w:jc w:val="center"/>
                    </w:pPr>
                    <w:r>
                      <w:rPr>
                        <w:rFonts w:hint="eastAsia" w:ascii="Arial" w:hAnsi="Arial" w:cs="Arial"/>
                        <w:szCs w:val="21"/>
                      </w:rPr>
                      <w:t>19-</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2</w:t>
                    </w:r>
                    <w:r>
                      <w:rPr>
                        <w:rFonts w:ascii="Arial" w:hAnsi="Arial" w:cs="Arial"/>
                        <w:szCs w:val="21"/>
                      </w:rPr>
                      <w:fldChar w:fldCharType="end"/>
                    </w:r>
                  </w:p>
                </w:txbxContent>
              </v:textbox>
            </v:shape>
          </w:pict>
        </mc:Fallback>
      </mc:AlternateConten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F32BA">
    <w:pPr>
      <w:pStyle w:val="8"/>
      <w:jc w:val="center"/>
      <w:rPr>
        <w:rFonts w:ascii="Arial" w:hAnsi="Arial" w:cs="Arial"/>
        <w:szCs w:val="21"/>
      </w:rPr>
    </w:pPr>
    <w:r>
      <w:rPr>
        <w:rStyle w:val="18"/>
        <w:rFonts w:hint="eastAsia" w:ascii="Arial" w:hAnsi="Arial" w:cs="Arial"/>
        <w:szCs w:val="21"/>
      </w:rPr>
      <w:t>19-</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0D829">
    <w:pPr>
      <w:pStyle w:val="8"/>
      <w:jc w:val="center"/>
      <w:rPr>
        <w:rFonts w:ascii="Arial" w:hAnsi="Arial" w:cs="Arial"/>
        <w:szCs w:val="21"/>
      </w:rPr>
    </w:pPr>
    <w: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B0AC4E">
                          <w:pPr>
                            <w:pStyle w:val="8"/>
                            <w:jc w:val="center"/>
                          </w:pPr>
                          <w:r>
                            <w:rPr>
                              <w:rFonts w:hint="eastAsia" w:ascii="Arial" w:hAnsi="Arial" w:cs="Arial"/>
                              <w:szCs w:val="21"/>
                            </w:rPr>
                            <w:t>21-</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11</w:t>
                          </w:r>
                          <w:r>
                            <w:rPr>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38yactAgAAV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F38yactAgAAVwQAAA4AAAAAAAAAAQAgAAAAHwEAAGRycy9lMm9Eb2MueG1sUEsFBgAAAAAG&#10;AAYAWQEAAL4FAAAAAA==&#10;">
              <v:fill on="f" focussize="0,0"/>
              <v:stroke on="f" weight="0.5pt"/>
              <v:imagedata o:title=""/>
              <o:lock v:ext="edit" aspectratio="f"/>
              <v:textbox inset="0mm,0mm,0mm,0mm" style="mso-fit-shape-to-text:t;">
                <w:txbxContent>
                  <w:p w14:paraId="20B0AC4E">
                    <w:pPr>
                      <w:pStyle w:val="8"/>
                      <w:jc w:val="center"/>
                    </w:pPr>
                    <w:r>
                      <w:rPr>
                        <w:rFonts w:hint="eastAsia" w:ascii="Arial" w:hAnsi="Arial" w:cs="Arial"/>
                        <w:szCs w:val="21"/>
                      </w:rPr>
                      <w:t>21-</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11</w:t>
                    </w:r>
                    <w:r>
                      <w:rPr>
                        <w:rFonts w:ascii="Arial" w:hAnsi="Arial" w:cs="Arial"/>
                        <w:szCs w:val="21"/>
                      </w:rPr>
                      <w:fldChar w:fldCharType="end"/>
                    </w:r>
                  </w:p>
                </w:txbxContent>
              </v:textbox>
            </v:shape>
          </w:pict>
        </mc:Fallback>
      </mc:AlternateConten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B5426">
    <w:pPr>
      <w:pStyle w:val="8"/>
      <w:jc w:val="center"/>
      <w:rPr>
        <w:rFonts w:ascii="Arial" w:hAnsi="Arial" w:cs="Arial"/>
        <w:szCs w:val="21"/>
      </w:rPr>
    </w:pPr>
    <w:r>
      <w:rPr>
        <w:rStyle w:val="18"/>
        <w:rFonts w:hint="eastAsia" w:ascii="Arial" w:hAnsi="Arial" w:cs="Arial"/>
        <w:szCs w:val="21"/>
      </w:rPr>
      <w:t>21-</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p w14:paraId="583838EE"/>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144FEC">
    <w:pPr>
      <w:pStyle w:val="8"/>
      <w:jc w:val="center"/>
      <w:rPr>
        <w:rFonts w:ascii="Arial" w:hAnsi="Arial" w:cs="Arial"/>
        <w:szCs w:val="21"/>
      </w:rPr>
    </w:pPr>
    <w: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C33C5A">
                          <w:pPr>
                            <w:pStyle w:val="8"/>
                            <w:jc w:val="center"/>
                          </w:pPr>
                          <w:r>
                            <w:rPr>
                              <w:rFonts w:hint="eastAsia" w:ascii="Arial" w:hAnsi="Arial" w:cs="Arial"/>
                              <w:szCs w:val="21"/>
                            </w:rPr>
                            <w:t>22-</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w:t>
                          </w:r>
                          <w:r>
                            <w:rPr>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QaAL0tAgAAVwQAAA4AAABkcnMvZTJvRG9jLnhtbK1UzY7TMBC+I/EO&#10;lu80aRd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QaAL0tAgAAVwQAAA4AAAAAAAAAAQAgAAAAHwEAAGRycy9lMm9Eb2MueG1sUEsFBgAAAAAG&#10;AAYAWQEAAL4FAAAAAA==&#10;">
              <v:fill on="f" focussize="0,0"/>
              <v:stroke on="f" weight="0.5pt"/>
              <v:imagedata o:title=""/>
              <o:lock v:ext="edit" aspectratio="f"/>
              <v:textbox inset="0mm,0mm,0mm,0mm" style="mso-fit-shape-to-text:t;">
                <w:txbxContent>
                  <w:p w14:paraId="7FC33C5A">
                    <w:pPr>
                      <w:pStyle w:val="8"/>
                      <w:jc w:val="center"/>
                    </w:pPr>
                    <w:r>
                      <w:rPr>
                        <w:rFonts w:hint="eastAsia" w:ascii="Arial" w:hAnsi="Arial" w:cs="Arial"/>
                        <w:szCs w:val="21"/>
                      </w:rPr>
                      <w:t>22-</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w:t>
                    </w:r>
                    <w:r>
                      <w:rPr>
                        <w:rFonts w:ascii="Arial" w:hAnsi="Arial" w:cs="Arial"/>
                        <w:szCs w:val="21"/>
                      </w:rPr>
                      <w:fldChar w:fldCharType="end"/>
                    </w:r>
                  </w:p>
                </w:txbxContent>
              </v:textbox>
            </v:shape>
          </w:pict>
        </mc:Fallback>
      </mc:AlternateConten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263DE">
    <w:pPr>
      <w:pStyle w:val="8"/>
      <w:jc w:val="center"/>
      <w:rPr>
        <w:rFonts w:ascii="Arial" w:hAnsi="Arial" w:cs="Arial"/>
        <w:szCs w:val="21"/>
      </w:rPr>
    </w:pPr>
    <w:r>
      <w:rPr>
        <w:rStyle w:val="18"/>
        <w:rFonts w:hint="eastAsia" w:ascii="Arial" w:hAnsi="Arial" w:cs="Arial"/>
        <w:szCs w:val="21"/>
      </w:rPr>
      <w:t>22-</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01A6C">
    <w:pPr>
      <w:pStyle w:val="8"/>
      <w:jc w:val="center"/>
      <w:rPr>
        <w:rFonts w:ascii="Arial" w:hAnsi="Arial" w:cs="Arial"/>
        <w:szCs w:val="21"/>
      </w:rPr>
    </w:pPr>
    <w: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7380D3">
                          <w:pPr>
                            <w:pStyle w:val="8"/>
                            <w:jc w:val="center"/>
                          </w:pPr>
                          <w:r>
                            <w:rPr>
                              <w:rFonts w:hint="eastAsia" w:ascii="Arial" w:hAnsi="Arial" w:cs="Arial"/>
                              <w:szCs w:val="21"/>
                            </w:rPr>
                            <w:t>23-</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w:t>
                          </w:r>
                          <w:r>
                            <w:rPr>
                              <w:rFonts w:ascii="Arial" w:hAnsi="Arial" w:cs="Arial"/>
                              <w:szCs w:val="21"/>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OxXU/0tAgAAVwQAAA4AAAAAAAAAAQAgAAAAHwEAAGRycy9lMm9Eb2MueG1sUEsFBgAAAAAG&#10;AAYAWQEAAL4FAAAAAA==&#10;">
              <v:fill on="f" focussize="0,0"/>
              <v:stroke on="f" weight="0.5pt"/>
              <v:imagedata o:title=""/>
              <o:lock v:ext="edit" aspectratio="f"/>
              <v:textbox inset="0mm,0mm,0mm,0mm" style="mso-fit-shape-to-text:t;">
                <w:txbxContent>
                  <w:p w14:paraId="187380D3">
                    <w:pPr>
                      <w:pStyle w:val="8"/>
                      <w:jc w:val="center"/>
                    </w:pPr>
                    <w:r>
                      <w:rPr>
                        <w:rFonts w:hint="eastAsia" w:ascii="Arial" w:hAnsi="Arial" w:cs="Arial"/>
                        <w:szCs w:val="21"/>
                      </w:rPr>
                      <w:t>23-</w:t>
                    </w:r>
                    <w:r>
                      <w:rPr>
                        <w:rFonts w:ascii="Arial" w:hAnsi="Arial" w:cs="Arial"/>
                        <w:szCs w:val="21"/>
                      </w:rPr>
                      <w:fldChar w:fldCharType="begin"/>
                    </w:r>
                    <w:r>
                      <w:rPr>
                        <w:rFonts w:ascii="Arial" w:hAnsi="Arial" w:cs="Arial"/>
                        <w:szCs w:val="21"/>
                      </w:rPr>
                      <w:instrText xml:space="preserve"> PAGE   \* MERGEFORMAT </w:instrText>
                    </w:r>
                    <w:r>
                      <w:rPr>
                        <w:rFonts w:ascii="Arial" w:hAnsi="Arial" w:cs="Arial"/>
                        <w:szCs w:val="21"/>
                      </w:rPr>
                      <w:fldChar w:fldCharType="separate"/>
                    </w:r>
                    <w:r>
                      <w:rPr>
                        <w:rFonts w:ascii="Arial" w:hAnsi="Arial" w:cs="Arial"/>
                        <w:szCs w:val="21"/>
                      </w:rPr>
                      <w:t>1</w:t>
                    </w:r>
                    <w:r>
                      <w:rPr>
                        <w:rFonts w:ascii="Arial" w:hAnsi="Arial" w:cs="Arial"/>
                        <w:szCs w:val="21"/>
                      </w:rPr>
                      <w:fldChar w:fldCharType="end"/>
                    </w:r>
                  </w:p>
                </w:txbxContent>
              </v:textbox>
            </v:shape>
          </w:pict>
        </mc:Fallback>
      </mc:AlternateConten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59ADAE">
    <w:pPr>
      <w:pStyle w:val="8"/>
      <w:jc w:val="center"/>
      <w:rPr>
        <w:rFonts w:ascii="Arial" w:hAnsi="Arial" w:cs="Arial"/>
        <w:szCs w:val="21"/>
      </w:rPr>
    </w:pPr>
    <w:r>
      <w:rPr>
        <w:rStyle w:val="18"/>
        <w:rFonts w:hint="eastAsia" w:ascii="Arial" w:hAnsi="Arial" w:cs="Arial"/>
        <w:szCs w:val="21"/>
      </w:rPr>
      <w:t>23-</w:t>
    </w:r>
    <w:r>
      <w:rPr>
        <w:rStyle w:val="18"/>
        <w:rFonts w:ascii="Arial" w:hAnsi="Arial" w:cs="Arial"/>
        <w:szCs w:val="21"/>
      </w:rPr>
      <w:fldChar w:fldCharType="begin"/>
    </w:r>
    <w:r>
      <w:rPr>
        <w:rStyle w:val="18"/>
        <w:rFonts w:ascii="Arial" w:hAnsi="Arial" w:cs="Arial"/>
        <w:szCs w:val="21"/>
      </w:rPr>
      <w:instrText xml:space="preserve"> PAGE </w:instrText>
    </w:r>
    <w:r>
      <w:rPr>
        <w:rStyle w:val="18"/>
        <w:rFonts w:ascii="Arial" w:hAnsi="Arial" w:cs="Arial"/>
        <w:szCs w:val="21"/>
      </w:rPr>
      <w:fldChar w:fldCharType="separate"/>
    </w:r>
    <w:r>
      <w:rPr>
        <w:rStyle w:val="18"/>
        <w:rFonts w:ascii="Arial" w:hAnsi="Arial" w:cs="Arial"/>
        <w:szCs w:val="21"/>
      </w:rPr>
      <w:t>1</w:t>
    </w:r>
    <w:r>
      <w:rPr>
        <w:rStyle w:val="18"/>
        <w:rFonts w:ascii="Arial" w:hAnsi="Arial" w:cs="Arial"/>
        <w:szCs w:val="21"/>
      </w:rPr>
      <w:fldChar w:fldCharType="end"/>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A69CD">
    <w:pPr>
      <w:pStyle w:val="8"/>
      <w:jc w:val="center"/>
    </w:pPr>
    <w: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E30987">
                          <w:pPr>
                            <w:pStyle w:val="8"/>
                          </w:pPr>
                          <w:r>
                            <w:rPr>
                              <w:rFonts w:hint="eastAsia"/>
                            </w:rPr>
                            <w:t>24-</w:t>
                          </w: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SBpj0tAgAAV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odssC1u9szxC&#10;R/G8XR0DBGx1jaJ0SvRaod/ayvSzERv6z30b9fQ/WD4C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BSBpj0tAgAAVwQAAA4AAAAAAAAAAQAgAAAAHwEAAGRycy9lMm9Eb2MueG1sUEsFBgAAAAAG&#10;AAYAWQEAAL4FAAAAAA==&#10;">
              <v:fill on="f" focussize="0,0"/>
              <v:stroke on="f" weight="0.5pt"/>
              <v:imagedata o:title=""/>
              <o:lock v:ext="edit" aspectratio="f"/>
              <v:textbox inset="0mm,0mm,0mm,0mm" style="mso-fit-shape-to-text:t;">
                <w:txbxContent>
                  <w:p w14:paraId="06E30987">
                    <w:pPr>
                      <w:pStyle w:val="8"/>
                    </w:pPr>
                    <w:r>
                      <w:rPr>
                        <w:rFonts w:hint="eastAsia"/>
                      </w:rPr>
                      <w:t>24-</w:t>
                    </w:r>
                    <w:r>
                      <w:fldChar w:fldCharType="begin"/>
                    </w:r>
                    <w:r>
                      <w:instrText xml:space="preserve"> PAGE  \* MERGEFORMAT </w:instrText>
                    </w:r>
                    <w:r>
                      <w:fldChar w:fldCharType="separate"/>
                    </w:r>
                    <w:r>
                      <w:t>1</w:t>
                    </w:r>
                    <w:r>
                      <w:fldChar w:fldCharType="end"/>
                    </w:r>
                  </w:p>
                </w:txbxContent>
              </v:textbox>
            </v:shape>
          </w:pict>
        </mc:Fallback>
      </mc:AlternateContent>
    </w:r>
  </w:p>
  <w:p w14:paraId="6D39C7F1">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8BD35">
    <w:pPr>
      <w:pStyle w:val="9"/>
      <w:jc w:val="right"/>
    </w:pPr>
    <w:r>
      <w:rPr>
        <w:rFonts w:hint="eastAsia"/>
      </w:rPr>
      <w:t>博时中证全指红利质量交易型开放式指数证券投资基金招募说明书</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356909">
    <w:pPr>
      <w:pStyle w:val="9"/>
      <w:pBdr>
        <w:bottom w:val="none" w:color="auto" w:sz="0" w:space="0"/>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D1189">
    <w:pPr>
      <w:pStyle w:val="9"/>
      <w:jc w:val="right"/>
    </w:pPr>
    <w:r>
      <w:rPr>
        <w:rFonts w:hint="eastAsia"/>
      </w:rPr>
      <w:t>博时中证全指红利质量交易型开放式指数证券投资基金招募说明书</w:t>
    </w:r>
  </w:p>
  <w:p w14:paraId="2016A850"/>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18AC7">
    <w:pPr>
      <w:pBdr>
        <w:bottom w:val="single" w:color="auto" w:sz="4" w:space="1"/>
      </w:pBdr>
      <w:jc w:val="right"/>
    </w:pPr>
    <w:r>
      <w:rPr>
        <w:rFonts w:hint="eastAsia"/>
        <w:sz w:val="18"/>
        <w:szCs w:val="18"/>
        <w:lang w:val="zh-CN"/>
      </w:rPr>
      <w:t>博时中证全指红利质量交易型开放式指数证券投资基金招募说明书</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287016"/>
    <w:multiLevelType w:val="singleLevel"/>
    <w:tmpl w:val="AA287016"/>
    <w:lvl w:ilvl="0" w:tentative="0">
      <w:start w:val="2"/>
      <w:numFmt w:val="decimal"/>
      <w:suff w:val="nothing"/>
      <w:lvlText w:val="%1、"/>
      <w:lvlJc w:val="left"/>
    </w:lvl>
  </w:abstractNum>
  <w:abstractNum w:abstractNumId="1">
    <w:nsid w:val="0C20467E"/>
    <w:multiLevelType w:val="multilevel"/>
    <w:tmpl w:val="0C20467E"/>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1B716C97"/>
    <w:multiLevelType w:val="multilevel"/>
    <w:tmpl w:val="1B716C97"/>
    <w:lvl w:ilvl="0" w:tentative="0">
      <w:start w:val="1"/>
      <w:numFmt w:val="decimal"/>
      <w:pStyle w:val="23"/>
      <w:lvlText w:val="§%1"/>
      <w:lvlJc w:val="left"/>
      <w:pPr>
        <w:ind w:left="420" w:hanging="420"/>
      </w:pPr>
      <w:rPr>
        <w:rFonts w:hint="default" w:eastAsia="宋体"/>
        <w:b/>
        <w:i w:val="0"/>
        <w:sz w:val="28"/>
      </w:rPr>
    </w:lvl>
    <w:lvl w:ilvl="1" w:tentative="0">
      <w:start w:val="1"/>
      <w:numFmt w:val="decimal"/>
      <w:pStyle w:val="25"/>
      <w:suff w:val="space"/>
      <w:lvlText w:val="%1.%2"/>
      <w:lvlJc w:val="left"/>
      <w:pPr>
        <w:ind w:left="284" w:hanging="284"/>
      </w:pPr>
      <w:rPr>
        <w:rFonts w:hint="eastAsia"/>
      </w:rPr>
    </w:lvl>
    <w:lvl w:ilvl="2" w:tentative="0">
      <w:start w:val="1"/>
      <w:numFmt w:val="decimal"/>
      <w:pStyle w:val="26"/>
      <w:suff w:val="space"/>
      <w:lvlText w:val="%1.%2.%3"/>
      <w:lvlJc w:val="left"/>
      <w:pPr>
        <w:ind w:left="284" w:hanging="284"/>
      </w:pPr>
      <w:rPr>
        <w:rFonts w:hint="eastAsia"/>
      </w:rPr>
    </w:lvl>
    <w:lvl w:ilvl="3" w:tentative="0">
      <w:start w:val="1"/>
      <w:numFmt w:val="decimal"/>
      <w:pStyle w:val="27"/>
      <w:suff w:val="space"/>
      <w:lvlText w:val="%1.%2.%3.%4"/>
      <w:lvlJc w:val="left"/>
      <w:pPr>
        <w:ind w:left="284" w:hanging="284"/>
      </w:pPr>
      <w:rPr>
        <w:rFonts w:hint="eastAsia"/>
      </w:rPr>
    </w:lvl>
    <w:lvl w:ilvl="4" w:tentative="0">
      <w:start w:val="1"/>
      <w:numFmt w:val="decimal"/>
      <w:pStyle w:val="28"/>
      <w:suff w:val="space"/>
      <w:lvlText w:val="%1.%2.%3.%4.%5"/>
      <w:lvlJc w:val="left"/>
      <w:pPr>
        <w:ind w:left="284" w:hanging="284"/>
      </w:pPr>
      <w:rPr>
        <w:rFonts w:hint="eastAsia"/>
      </w:rPr>
    </w:lvl>
    <w:lvl w:ilvl="5" w:tentative="0">
      <w:start w:val="1"/>
      <w:numFmt w:val="decimal"/>
      <w:lvlText w:val="%1.%2.%3.%4.%5.%6."/>
      <w:lvlJc w:val="left"/>
      <w:pPr>
        <w:ind w:left="1134" w:hanging="1134"/>
      </w:pPr>
      <w:rPr>
        <w:rFonts w:hint="eastAsia"/>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abstractNum w:abstractNumId="3">
    <w:nsid w:val="6CC472AB"/>
    <w:multiLevelType w:val="multilevel"/>
    <w:tmpl w:val="6CC472AB"/>
    <w:lvl w:ilvl="0" w:tentative="0">
      <w:start w:val="1"/>
      <w:numFmt w:val="decimal"/>
      <w:lvlText w:val="%1）"/>
      <w:lvlJc w:val="left"/>
      <w:pPr>
        <w:ind w:left="780" w:hanging="360"/>
      </w:pPr>
      <w:rPr>
        <w:rFonts w:ascii="Arial" w:hAnsi="Arial" w:eastAsia="宋体" w:cs="Arial"/>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6EAF3352"/>
    <w:multiLevelType w:val="singleLevel"/>
    <w:tmpl w:val="6EAF3352"/>
    <w:lvl w:ilvl="0" w:tentative="0">
      <w:start w:val="1"/>
      <w:numFmt w:val="decimal"/>
      <w:suff w:val="nothing"/>
      <w:lvlText w:val="（%1）"/>
      <w:lvlJc w:val="left"/>
    </w:lvl>
  </w:abstractNum>
  <w:abstractNum w:abstractNumId="5">
    <w:nsid w:val="6FBD6257"/>
    <w:multiLevelType w:val="multilevel"/>
    <w:tmpl w:val="6FBD6257"/>
    <w:lvl w:ilvl="0" w:tentative="0">
      <w:start w:val="1"/>
      <w:numFmt w:val="japaneseCounting"/>
      <w:lvlText w:val="%1、"/>
      <w:lvlJc w:val="left"/>
      <w:pPr>
        <w:ind w:left="872" w:hanging="450"/>
      </w:pPr>
      <w:rPr>
        <w:rFonts w:hint="default"/>
      </w:rPr>
    </w:lvl>
    <w:lvl w:ilvl="1" w:tentative="0">
      <w:start w:val="1"/>
      <w:numFmt w:val="lowerLetter"/>
      <w:lvlText w:val="%2)"/>
      <w:lvlJc w:val="left"/>
      <w:pPr>
        <w:ind w:left="1262" w:hanging="420"/>
      </w:pPr>
    </w:lvl>
    <w:lvl w:ilvl="2" w:tentative="0">
      <w:start w:val="1"/>
      <w:numFmt w:val="lowerRoman"/>
      <w:lvlText w:val="%3."/>
      <w:lvlJc w:val="right"/>
      <w:pPr>
        <w:ind w:left="1682" w:hanging="420"/>
      </w:pPr>
    </w:lvl>
    <w:lvl w:ilvl="3" w:tentative="0">
      <w:start w:val="1"/>
      <w:numFmt w:val="decimal"/>
      <w:lvlText w:val="%4."/>
      <w:lvlJc w:val="left"/>
      <w:pPr>
        <w:ind w:left="2102" w:hanging="420"/>
      </w:pPr>
    </w:lvl>
    <w:lvl w:ilvl="4" w:tentative="0">
      <w:start w:val="1"/>
      <w:numFmt w:val="lowerLetter"/>
      <w:lvlText w:val="%5)"/>
      <w:lvlJc w:val="left"/>
      <w:pPr>
        <w:ind w:left="2522" w:hanging="420"/>
      </w:pPr>
    </w:lvl>
    <w:lvl w:ilvl="5" w:tentative="0">
      <w:start w:val="1"/>
      <w:numFmt w:val="lowerRoman"/>
      <w:lvlText w:val="%6."/>
      <w:lvlJc w:val="right"/>
      <w:pPr>
        <w:ind w:left="2942" w:hanging="420"/>
      </w:pPr>
    </w:lvl>
    <w:lvl w:ilvl="6" w:tentative="0">
      <w:start w:val="1"/>
      <w:numFmt w:val="decimal"/>
      <w:lvlText w:val="%7."/>
      <w:lvlJc w:val="left"/>
      <w:pPr>
        <w:ind w:left="3362" w:hanging="420"/>
      </w:pPr>
    </w:lvl>
    <w:lvl w:ilvl="7" w:tentative="0">
      <w:start w:val="1"/>
      <w:numFmt w:val="lowerLetter"/>
      <w:lvlText w:val="%8)"/>
      <w:lvlJc w:val="left"/>
      <w:pPr>
        <w:ind w:left="3782" w:hanging="420"/>
      </w:pPr>
    </w:lvl>
    <w:lvl w:ilvl="8" w:tentative="0">
      <w:start w:val="1"/>
      <w:numFmt w:val="lowerRoman"/>
      <w:lvlText w:val="%9."/>
      <w:lvlJc w:val="right"/>
      <w:pPr>
        <w:ind w:left="4202" w:hanging="420"/>
      </w:pPr>
    </w:lvl>
  </w:abstractNum>
  <w:abstractNum w:abstractNumId="6">
    <w:nsid w:val="772E4F06"/>
    <w:multiLevelType w:val="singleLevel"/>
    <w:tmpl w:val="772E4F06"/>
    <w:lvl w:ilvl="0" w:tentative="0">
      <w:start w:val="10"/>
      <w:numFmt w:val="chineseCounting"/>
      <w:suff w:val="nothing"/>
      <w:lvlText w:val="（%1）"/>
      <w:lvlJc w:val="left"/>
      <w:rPr>
        <w:rFonts w:hint="eastAsia"/>
      </w:rPr>
    </w:lvl>
  </w:abstractNum>
  <w:abstractNum w:abstractNumId="7">
    <w:nsid w:val="794E0427"/>
    <w:multiLevelType w:val="multilevel"/>
    <w:tmpl w:val="794E0427"/>
    <w:lvl w:ilvl="0" w:tentative="0">
      <w:start w:val="1"/>
      <w:numFmt w:val="chineseCountingThousand"/>
      <w:lvlText w:val="%1、"/>
      <w:lvlJc w:val="left"/>
      <w:pPr>
        <w:ind w:left="840" w:hanging="420"/>
      </w:pPr>
      <w:rPr>
        <w:rFonts w:hint="default" w:ascii="Arial" w:hAnsi="Arial" w:cs="宋体"/>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2"/>
  </w:num>
  <w:num w:numId="2">
    <w:abstractNumId w:val="1"/>
  </w:num>
  <w:num w:numId="3">
    <w:abstractNumId w:val="3"/>
  </w:num>
  <w:num w:numId="4">
    <w:abstractNumId w:val="4"/>
  </w:num>
  <w:num w:numId="5">
    <w:abstractNumId w:val="0"/>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displayBackgroundShape w:val="1"/>
  <w:bordersDoNotSurroundHeader w:val="1"/>
  <w:bordersDoNotSurroundFooter w:val="1"/>
  <w:hideSpellingErrors/>
  <w:trackRevisions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isclosure_Version" w:val="true"/>
  </w:docVars>
  <w:rsids>
    <w:rsidRoot w:val="00946FAA"/>
    <w:rsid w:val="000A0F04"/>
    <w:rsid w:val="000C723C"/>
    <w:rsid w:val="000D453C"/>
    <w:rsid w:val="000F5526"/>
    <w:rsid w:val="00104D25"/>
    <w:rsid w:val="00150397"/>
    <w:rsid w:val="00173D9D"/>
    <w:rsid w:val="00193BF2"/>
    <w:rsid w:val="001F76CA"/>
    <w:rsid w:val="002103FB"/>
    <w:rsid w:val="002171F7"/>
    <w:rsid w:val="002561F8"/>
    <w:rsid w:val="00270D3E"/>
    <w:rsid w:val="00291D64"/>
    <w:rsid w:val="00362E55"/>
    <w:rsid w:val="00364709"/>
    <w:rsid w:val="00371484"/>
    <w:rsid w:val="003720CE"/>
    <w:rsid w:val="003C0AB9"/>
    <w:rsid w:val="003E7971"/>
    <w:rsid w:val="003F28E3"/>
    <w:rsid w:val="004571C5"/>
    <w:rsid w:val="0049549C"/>
    <w:rsid w:val="005113E8"/>
    <w:rsid w:val="005A3068"/>
    <w:rsid w:val="0060032D"/>
    <w:rsid w:val="006A6185"/>
    <w:rsid w:val="006E627C"/>
    <w:rsid w:val="0072764A"/>
    <w:rsid w:val="007A424A"/>
    <w:rsid w:val="007F05BB"/>
    <w:rsid w:val="007F2650"/>
    <w:rsid w:val="00835984"/>
    <w:rsid w:val="008C10BD"/>
    <w:rsid w:val="00910658"/>
    <w:rsid w:val="00945A4E"/>
    <w:rsid w:val="00945F45"/>
    <w:rsid w:val="00946FAA"/>
    <w:rsid w:val="009623AA"/>
    <w:rsid w:val="00975D6F"/>
    <w:rsid w:val="009851ED"/>
    <w:rsid w:val="009A0344"/>
    <w:rsid w:val="009B4D8E"/>
    <w:rsid w:val="00A11603"/>
    <w:rsid w:val="00A33537"/>
    <w:rsid w:val="00A43FA2"/>
    <w:rsid w:val="00AB635E"/>
    <w:rsid w:val="00AD0BCB"/>
    <w:rsid w:val="00B2513F"/>
    <w:rsid w:val="00B72556"/>
    <w:rsid w:val="00BA5293"/>
    <w:rsid w:val="00BF6EAF"/>
    <w:rsid w:val="00C23A8B"/>
    <w:rsid w:val="00C46C38"/>
    <w:rsid w:val="00C859FB"/>
    <w:rsid w:val="00C94FDD"/>
    <w:rsid w:val="00C95CE9"/>
    <w:rsid w:val="00D12B30"/>
    <w:rsid w:val="00D54049"/>
    <w:rsid w:val="00E02B39"/>
    <w:rsid w:val="00E04E08"/>
    <w:rsid w:val="00E27BAD"/>
    <w:rsid w:val="00E7023F"/>
    <w:rsid w:val="00E943A2"/>
    <w:rsid w:val="00EC3657"/>
    <w:rsid w:val="00F3589B"/>
    <w:rsid w:val="00FF7E96"/>
    <w:rsid w:val="04C42F97"/>
    <w:rsid w:val="06354582"/>
    <w:rsid w:val="069D3221"/>
    <w:rsid w:val="08FE5557"/>
    <w:rsid w:val="09CD44CE"/>
    <w:rsid w:val="0CDA7428"/>
    <w:rsid w:val="0D8A6F5C"/>
    <w:rsid w:val="0E015589"/>
    <w:rsid w:val="0E254E7A"/>
    <w:rsid w:val="0E4501C2"/>
    <w:rsid w:val="0E455956"/>
    <w:rsid w:val="0E7C59F6"/>
    <w:rsid w:val="0EB46312"/>
    <w:rsid w:val="0F593801"/>
    <w:rsid w:val="11316CFA"/>
    <w:rsid w:val="13215C47"/>
    <w:rsid w:val="13987CAD"/>
    <w:rsid w:val="13A2211D"/>
    <w:rsid w:val="14255E50"/>
    <w:rsid w:val="14652E5C"/>
    <w:rsid w:val="14A53C92"/>
    <w:rsid w:val="14B22874"/>
    <w:rsid w:val="151C11B8"/>
    <w:rsid w:val="19DA132C"/>
    <w:rsid w:val="1BD6492A"/>
    <w:rsid w:val="1CA45302"/>
    <w:rsid w:val="1D6F5A77"/>
    <w:rsid w:val="1E2E1250"/>
    <w:rsid w:val="1F2A556A"/>
    <w:rsid w:val="21DC5392"/>
    <w:rsid w:val="23157A60"/>
    <w:rsid w:val="23824106"/>
    <w:rsid w:val="23A8170A"/>
    <w:rsid w:val="23BE15F7"/>
    <w:rsid w:val="24101930"/>
    <w:rsid w:val="24A776FC"/>
    <w:rsid w:val="24AC6A3D"/>
    <w:rsid w:val="24BA5944"/>
    <w:rsid w:val="2693506C"/>
    <w:rsid w:val="28110732"/>
    <w:rsid w:val="28C74374"/>
    <w:rsid w:val="2AF20181"/>
    <w:rsid w:val="2B91187F"/>
    <w:rsid w:val="2C190224"/>
    <w:rsid w:val="2D984736"/>
    <w:rsid w:val="30916EF7"/>
    <w:rsid w:val="30BE22CF"/>
    <w:rsid w:val="30BF6DBA"/>
    <w:rsid w:val="30ED1FB5"/>
    <w:rsid w:val="314E6FFA"/>
    <w:rsid w:val="345677A4"/>
    <w:rsid w:val="36103832"/>
    <w:rsid w:val="37A35CC5"/>
    <w:rsid w:val="37D416A4"/>
    <w:rsid w:val="37D7556C"/>
    <w:rsid w:val="39FD6FD9"/>
    <w:rsid w:val="3ABD49E7"/>
    <w:rsid w:val="3EA233FD"/>
    <w:rsid w:val="40B24483"/>
    <w:rsid w:val="4173673A"/>
    <w:rsid w:val="42C07526"/>
    <w:rsid w:val="43E83F80"/>
    <w:rsid w:val="43F87FBB"/>
    <w:rsid w:val="445D6968"/>
    <w:rsid w:val="44F1580E"/>
    <w:rsid w:val="457E3EFB"/>
    <w:rsid w:val="460431F4"/>
    <w:rsid w:val="4722535D"/>
    <w:rsid w:val="47B763F7"/>
    <w:rsid w:val="493A36B0"/>
    <w:rsid w:val="4957713A"/>
    <w:rsid w:val="4C145CD4"/>
    <w:rsid w:val="4C8A5F71"/>
    <w:rsid w:val="4E456253"/>
    <w:rsid w:val="50723006"/>
    <w:rsid w:val="5327056F"/>
    <w:rsid w:val="53450372"/>
    <w:rsid w:val="53E01713"/>
    <w:rsid w:val="551D7F6B"/>
    <w:rsid w:val="56211822"/>
    <w:rsid w:val="5684707C"/>
    <w:rsid w:val="5896066E"/>
    <w:rsid w:val="599E6A2B"/>
    <w:rsid w:val="5A023B98"/>
    <w:rsid w:val="5AD074EA"/>
    <w:rsid w:val="5AD95471"/>
    <w:rsid w:val="5B57673E"/>
    <w:rsid w:val="5B5B7BAC"/>
    <w:rsid w:val="5D5071A3"/>
    <w:rsid w:val="5D7C78E8"/>
    <w:rsid w:val="5D9B4982"/>
    <w:rsid w:val="5E856795"/>
    <w:rsid w:val="63061515"/>
    <w:rsid w:val="647B034D"/>
    <w:rsid w:val="64F82D3A"/>
    <w:rsid w:val="660D737A"/>
    <w:rsid w:val="661028BD"/>
    <w:rsid w:val="66965CDC"/>
    <w:rsid w:val="67882CC7"/>
    <w:rsid w:val="6E907ED6"/>
    <w:rsid w:val="6FA50B6B"/>
    <w:rsid w:val="73A12624"/>
    <w:rsid w:val="73FC405E"/>
    <w:rsid w:val="75D96C1E"/>
    <w:rsid w:val="792A5104"/>
    <w:rsid w:val="7BC17BCF"/>
    <w:rsid w:val="7CD00A53"/>
    <w:rsid w:val="7D8C5DEA"/>
    <w:rsid w:val="7EA87A6F"/>
    <w:rsid w:val="7F5A36CA"/>
    <w:rsid w:val="7FDA20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0"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0" w:semiHidden="0"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1"/>
      <w:lang w:val="en-US" w:eastAsia="zh-CN" w:bidi="ar-SA"/>
    </w:rPr>
  </w:style>
  <w:style w:type="paragraph" w:styleId="2">
    <w:name w:val="heading 1"/>
    <w:basedOn w:val="1"/>
    <w:next w:val="1"/>
    <w:link w:val="34"/>
    <w:qFormat/>
    <w:uiPriority w:val="9"/>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16">
    <w:name w:val="Default Paragraph Font"/>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35"/>
    <w:unhideWhenUsed/>
    <w:qFormat/>
    <w:uiPriority w:val="0"/>
    <w:pPr>
      <w:jc w:val="left"/>
    </w:pPr>
  </w:style>
  <w:style w:type="paragraph" w:styleId="5">
    <w:name w:val="Body Text Indent"/>
    <w:basedOn w:val="1"/>
    <w:qFormat/>
    <w:uiPriority w:val="0"/>
    <w:pPr>
      <w:spacing w:after="120"/>
      <w:ind w:left="420" w:leftChars="200"/>
    </w:pPr>
    <w:rPr>
      <w:szCs w:val="20"/>
    </w:rPr>
  </w:style>
  <w:style w:type="paragraph" w:styleId="6">
    <w:name w:val="Body Text Indent 2"/>
    <w:basedOn w:val="1"/>
    <w:qFormat/>
    <w:uiPriority w:val="0"/>
    <w:pPr>
      <w:spacing w:after="120" w:line="360" w:lineRule="auto"/>
      <w:ind w:firstLine="480" w:firstLineChars="200"/>
    </w:pPr>
    <w:rPr>
      <w:rFonts w:ascii="宋体" w:hAnsi="宋体"/>
      <w:color w:val="FF0000"/>
      <w:sz w:val="24"/>
    </w:rPr>
  </w:style>
  <w:style w:type="paragraph" w:styleId="7">
    <w:name w:val="Balloon Text"/>
    <w:basedOn w:val="1"/>
    <w:link w:val="31"/>
    <w:semiHidden/>
    <w:unhideWhenUsed/>
    <w:qFormat/>
    <w:uiPriority w:val="99"/>
    <w:rPr>
      <w:sz w:val="18"/>
      <w:szCs w:val="18"/>
    </w:rPr>
  </w:style>
  <w:style w:type="paragraph" w:styleId="8">
    <w:name w:val="footer"/>
    <w:basedOn w:val="1"/>
    <w:link w:val="30"/>
    <w:unhideWhenUsed/>
    <w:qFormat/>
    <w:uiPriority w:val="99"/>
    <w:pPr>
      <w:tabs>
        <w:tab w:val="center" w:pos="4153"/>
        <w:tab w:val="right" w:pos="8306"/>
      </w:tabs>
      <w:snapToGrid w:val="0"/>
      <w:jc w:val="left"/>
    </w:pPr>
    <w:rPr>
      <w:sz w:val="18"/>
      <w:szCs w:val="18"/>
    </w:rPr>
  </w:style>
  <w:style w:type="paragraph" w:styleId="9">
    <w:name w:val="header"/>
    <w:basedOn w:val="1"/>
    <w:link w:val="29"/>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pPr>
      <w:tabs>
        <w:tab w:val="right" w:leader="dot" w:pos="8295"/>
      </w:tabs>
      <w:snapToGrid w:val="0"/>
      <w:spacing w:line="360" w:lineRule="auto"/>
    </w:pPr>
    <w:rPr>
      <w:rFonts w:ascii="宋体" w:hAnsi="宋体"/>
      <w:caps/>
      <w:sz w:val="24"/>
    </w:rPr>
  </w:style>
  <w:style w:type="paragraph" w:styleId="11">
    <w:name w:val="footnote text"/>
    <w:basedOn w:val="1"/>
    <w:link w:val="33"/>
    <w:unhideWhenUsed/>
    <w:qFormat/>
    <w:uiPriority w:val="0"/>
    <w:pPr>
      <w:snapToGrid w:val="0"/>
      <w:jc w:val="left"/>
    </w:pPr>
    <w:rPr>
      <w:rFonts w:ascii="Calibri" w:hAnsi="Calibri" w:eastAsia="宋体" w:cs="Times New Roman"/>
      <w:sz w:val="18"/>
      <w:szCs w:val="24"/>
    </w:rPr>
  </w:style>
  <w:style w:type="paragraph" w:styleId="12">
    <w:name w:val="Normal (Web)"/>
    <w:basedOn w:val="1"/>
    <w:qFormat/>
    <w:uiPriority w:val="99"/>
    <w:pPr>
      <w:widowControl/>
      <w:spacing w:before="100" w:beforeAutospacing="1" w:after="100" w:afterAutospacing="1"/>
      <w:jc w:val="left"/>
    </w:pPr>
    <w:rPr>
      <w:rFonts w:ascii="宋体" w:hAnsi="宋体"/>
      <w:kern w:val="0"/>
      <w:sz w:val="24"/>
    </w:rPr>
  </w:style>
  <w:style w:type="paragraph" w:styleId="13">
    <w:name w:val="annotation subject"/>
    <w:basedOn w:val="4"/>
    <w:next w:val="4"/>
    <w:link w:val="36"/>
    <w:semiHidden/>
    <w:unhideWhenUsed/>
    <w:qFormat/>
    <w:uiPriority w:val="99"/>
    <w:rPr>
      <w:b/>
      <w:bCs/>
    </w:rPr>
  </w:style>
  <w:style w:type="table" w:styleId="15">
    <w:name w:val="Table Grid"/>
    <w:basedOn w:val="1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22"/>
    <w:rPr>
      <w:b/>
      <w:bCs/>
    </w:rPr>
  </w:style>
  <w:style w:type="character" w:styleId="18">
    <w:name w:val="page number"/>
    <w:basedOn w:val="16"/>
    <w:qFormat/>
    <w:uiPriority w:val="0"/>
  </w:style>
  <w:style w:type="character" w:styleId="19">
    <w:name w:val="FollowedHyperlink"/>
    <w:basedOn w:val="16"/>
    <w:semiHidden/>
    <w:unhideWhenUsed/>
    <w:qFormat/>
    <w:uiPriority w:val="99"/>
    <w:rPr>
      <w:color w:val="800080"/>
      <w:u w:val="single"/>
    </w:rPr>
  </w:style>
  <w:style w:type="character" w:styleId="20">
    <w:name w:val="Hyperlink"/>
    <w:basedOn w:val="16"/>
    <w:unhideWhenUsed/>
    <w:qFormat/>
    <w:uiPriority w:val="99"/>
    <w:rPr>
      <w:color w:val="0000FF"/>
      <w:u w:val="single"/>
    </w:rPr>
  </w:style>
  <w:style w:type="character" w:styleId="21">
    <w:name w:val="annotation reference"/>
    <w:basedOn w:val="16"/>
    <w:semiHidden/>
    <w:unhideWhenUsed/>
    <w:qFormat/>
    <w:uiPriority w:val="99"/>
    <w:rPr>
      <w:sz w:val="21"/>
      <w:szCs w:val="21"/>
    </w:rPr>
  </w:style>
  <w:style w:type="character" w:styleId="22">
    <w:name w:val="footnote reference"/>
    <w:unhideWhenUsed/>
    <w:qFormat/>
    <w:uiPriority w:val="0"/>
    <w:rPr>
      <w:rFonts w:ascii="Times New Roman" w:hAnsi="Times New Roman" w:eastAsia="宋体" w:cs="Times New Roman"/>
      <w:vertAlign w:val="superscript"/>
    </w:rPr>
  </w:style>
  <w:style w:type="paragraph" w:customStyle="1" w:styleId="23">
    <w:name w:val="一级"/>
    <w:basedOn w:val="24"/>
    <w:qFormat/>
    <w:uiPriority w:val="0"/>
    <w:pPr>
      <w:numPr>
        <w:ilvl w:val="0"/>
        <w:numId w:val="1"/>
      </w:numPr>
      <w:spacing w:line="360" w:lineRule="auto"/>
      <w:ind w:firstLine="0" w:firstLineChars="0"/>
      <w:jc w:val="center"/>
    </w:pPr>
    <w:rPr>
      <w:b/>
      <w:sz w:val="28"/>
    </w:rPr>
  </w:style>
  <w:style w:type="paragraph" w:styleId="24">
    <w:name w:val="List Paragraph"/>
    <w:basedOn w:val="1"/>
    <w:qFormat/>
    <w:uiPriority w:val="34"/>
    <w:pPr>
      <w:ind w:firstLine="420" w:firstLineChars="200"/>
    </w:pPr>
  </w:style>
  <w:style w:type="paragraph" w:customStyle="1" w:styleId="25">
    <w:name w:val="二级"/>
    <w:basedOn w:val="24"/>
    <w:qFormat/>
    <w:uiPriority w:val="0"/>
    <w:pPr>
      <w:numPr>
        <w:ilvl w:val="1"/>
        <w:numId w:val="1"/>
      </w:numPr>
      <w:ind w:firstLine="0" w:firstLineChars="0"/>
    </w:pPr>
    <w:rPr>
      <w:b/>
      <w:sz w:val="28"/>
    </w:rPr>
  </w:style>
  <w:style w:type="paragraph" w:customStyle="1" w:styleId="26">
    <w:name w:val="三级"/>
    <w:basedOn w:val="24"/>
    <w:qFormat/>
    <w:uiPriority w:val="0"/>
    <w:pPr>
      <w:numPr>
        <w:ilvl w:val="2"/>
        <w:numId w:val="1"/>
      </w:numPr>
      <w:ind w:firstLine="0" w:firstLineChars="0"/>
    </w:pPr>
    <w:rPr>
      <w:b/>
      <w:sz w:val="28"/>
    </w:rPr>
  </w:style>
  <w:style w:type="paragraph" w:customStyle="1" w:styleId="27">
    <w:name w:val="四级"/>
    <w:basedOn w:val="26"/>
    <w:qFormat/>
    <w:uiPriority w:val="0"/>
    <w:pPr>
      <w:numPr>
        <w:ilvl w:val="3"/>
      </w:numPr>
    </w:pPr>
  </w:style>
  <w:style w:type="paragraph" w:customStyle="1" w:styleId="28">
    <w:name w:val="五级"/>
    <w:basedOn w:val="27"/>
    <w:qFormat/>
    <w:uiPriority w:val="0"/>
    <w:pPr>
      <w:numPr>
        <w:ilvl w:val="4"/>
      </w:numPr>
    </w:pPr>
    <w:rPr>
      <w:sz w:val="24"/>
    </w:rPr>
  </w:style>
  <w:style w:type="character" w:customStyle="1" w:styleId="29">
    <w:name w:val="页眉 Char"/>
    <w:basedOn w:val="16"/>
    <w:link w:val="9"/>
    <w:qFormat/>
    <w:uiPriority w:val="99"/>
    <w:rPr>
      <w:sz w:val="18"/>
      <w:szCs w:val="18"/>
    </w:rPr>
  </w:style>
  <w:style w:type="character" w:customStyle="1" w:styleId="30">
    <w:name w:val="页脚 Char"/>
    <w:basedOn w:val="16"/>
    <w:link w:val="8"/>
    <w:qFormat/>
    <w:uiPriority w:val="99"/>
    <w:rPr>
      <w:sz w:val="18"/>
      <w:szCs w:val="18"/>
    </w:rPr>
  </w:style>
  <w:style w:type="character" w:customStyle="1" w:styleId="31">
    <w:name w:val="批注框文本 Char"/>
    <w:basedOn w:val="16"/>
    <w:link w:val="7"/>
    <w:semiHidden/>
    <w:qFormat/>
    <w:uiPriority w:val="99"/>
    <w:rPr>
      <w:sz w:val="18"/>
      <w:szCs w:val="18"/>
    </w:rPr>
  </w:style>
  <w:style w:type="character" w:styleId="32">
    <w:name w:val="Placeholder Text"/>
    <w:basedOn w:val="16"/>
    <w:semiHidden/>
    <w:qFormat/>
    <w:uiPriority w:val="99"/>
    <w:rPr>
      <w:color w:val="808080"/>
    </w:rPr>
  </w:style>
  <w:style w:type="character" w:customStyle="1" w:styleId="33">
    <w:name w:val="脚注文本 Char"/>
    <w:basedOn w:val="16"/>
    <w:link w:val="11"/>
    <w:qFormat/>
    <w:uiPriority w:val="0"/>
    <w:rPr>
      <w:rFonts w:ascii="Calibri" w:hAnsi="Calibri" w:eastAsia="宋体" w:cs="Times New Roman"/>
      <w:sz w:val="18"/>
      <w:szCs w:val="24"/>
    </w:rPr>
  </w:style>
  <w:style w:type="character" w:customStyle="1" w:styleId="34">
    <w:name w:val="标题 1 Char"/>
    <w:basedOn w:val="16"/>
    <w:link w:val="2"/>
    <w:qFormat/>
    <w:uiPriority w:val="9"/>
    <w:rPr>
      <w:b/>
      <w:bCs/>
      <w:kern w:val="44"/>
      <w:sz w:val="44"/>
      <w:szCs w:val="44"/>
    </w:rPr>
  </w:style>
  <w:style w:type="character" w:customStyle="1" w:styleId="35">
    <w:name w:val="批注文字 Char"/>
    <w:basedOn w:val="16"/>
    <w:link w:val="4"/>
    <w:qFormat/>
    <w:uiPriority w:val="99"/>
  </w:style>
  <w:style w:type="character" w:customStyle="1" w:styleId="36">
    <w:name w:val="批注主题 Char"/>
    <w:basedOn w:val="35"/>
    <w:link w:val="13"/>
    <w:semiHidden/>
    <w:qFormat/>
    <w:uiPriority w:val="99"/>
    <w:rPr>
      <w:b/>
      <w:bCs/>
    </w:rPr>
  </w:style>
  <w:style w:type="paragraph" w:customStyle="1" w:styleId="37">
    <w:name w:val="修订1"/>
    <w:hidden/>
    <w:semiHidden/>
    <w:qFormat/>
    <w:uiPriority w:val="99"/>
    <w:rPr>
      <w:rFonts w:asciiTheme="minorHAnsi" w:hAnsiTheme="minorHAnsi" w:eastAsiaTheme="minorEastAsia" w:cstheme="minorBidi"/>
      <w:kern w:val="2"/>
      <w:sz w:val="21"/>
      <w:szCs w:val="21"/>
      <w:lang w:val="en-US" w:eastAsia="zh-CN" w:bidi="ar-SA"/>
    </w:rPr>
  </w:style>
  <w:style w:type="paragraph" w:customStyle="1" w:styleId="38">
    <w:name w:val="修订2"/>
    <w:hidden/>
    <w:unhideWhenUsed/>
    <w:qFormat/>
    <w:uiPriority w:val="99"/>
    <w:rPr>
      <w:rFonts w:asciiTheme="minorHAnsi" w:hAnsiTheme="minorHAnsi" w:eastAsiaTheme="minorEastAsia" w:cstheme="minorBidi"/>
      <w:kern w:val="2"/>
      <w:sz w:val="21"/>
      <w:szCs w:val="21"/>
      <w:lang w:val="en-US" w:eastAsia="zh-CN" w:bidi="ar-SA"/>
    </w:rPr>
  </w:style>
  <w:style w:type="paragraph" w:customStyle="1" w:styleId="39">
    <w:name w:val="修订3"/>
    <w:hidden/>
    <w:semiHidden/>
    <w:qFormat/>
    <w:uiPriority w:val="99"/>
    <w:rPr>
      <w:rFonts w:asciiTheme="minorHAnsi" w:hAnsiTheme="minorHAnsi" w:eastAsiaTheme="minorEastAsia" w:cstheme="minorBidi"/>
      <w:kern w:val="2"/>
      <w:sz w:val="21"/>
      <w:szCs w:val="21"/>
      <w:lang w:val="en-US" w:eastAsia="zh-CN" w:bidi="ar-SA"/>
    </w:rPr>
  </w:style>
  <w:style w:type="paragraph" w:customStyle="1" w:styleId="40">
    <w:name w:val="修订4"/>
    <w:hidden/>
    <w:unhideWhenUsed/>
    <w:qFormat/>
    <w:uiPriority w:val="99"/>
    <w:rPr>
      <w:rFonts w:asciiTheme="minorHAnsi" w:hAnsiTheme="minorHAnsi" w:eastAsiaTheme="minorEastAsia" w:cstheme="minorBidi"/>
      <w:kern w:val="2"/>
      <w:sz w:val="21"/>
      <w:szCs w:val="21"/>
      <w:lang w:val="en-US" w:eastAsia="zh-CN" w:bidi="ar-SA"/>
    </w:rPr>
  </w:style>
  <w:style w:type="paragraph" w:customStyle="1" w:styleId="41">
    <w:name w:val="正文所"/>
    <w:basedOn w:val="1"/>
    <w:qFormat/>
    <w:uiPriority w:val="0"/>
    <w:pPr>
      <w:spacing w:line="360" w:lineRule="auto"/>
      <w:ind w:firstLine="420" w:firstLineChars="200"/>
    </w:pPr>
    <w:rPr>
      <w:rFonts w:ascii="宋体"/>
      <w:szCs w:val="20"/>
    </w:rPr>
  </w:style>
  <w:style w:type="paragraph" w:customStyle="1" w:styleId="42">
    <w:name w:val="修订5"/>
    <w:hidden/>
    <w:unhideWhenUsed/>
    <w:qFormat/>
    <w:uiPriority w:val="99"/>
    <w:rPr>
      <w:rFonts w:asciiTheme="minorHAnsi" w:hAnsiTheme="minorHAnsi" w:eastAsiaTheme="minorEastAsia" w:cstheme="minorBidi"/>
      <w:kern w:val="2"/>
      <w:sz w:val="21"/>
      <w:szCs w:val="21"/>
      <w:lang w:val="en-US" w:eastAsia="zh-CN" w:bidi="ar-SA"/>
    </w:rPr>
  </w:style>
  <w:style w:type="paragraph" w:customStyle="1" w:styleId="43">
    <w:name w:val="修订6"/>
    <w:hidden/>
    <w:unhideWhenUsed/>
    <w:qFormat/>
    <w:uiPriority w:val="99"/>
    <w:rPr>
      <w:rFonts w:asciiTheme="minorHAnsi" w:hAnsiTheme="minorHAnsi" w:eastAsiaTheme="minorEastAsia" w:cstheme="minorBidi"/>
      <w:kern w:val="2"/>
      <w:sz w:val="21"/>
      <w:szCs w:val="21"/>
      <w:lang w:val="en-US" w:eastAsia="zh-CN" w:bidi="ar-SA"/>
    </w:rPr>
  </w:style>
  <w:style w:type="character" w:customStyle="1" w:styleId="44">
    <w:name w:val="bjh-p"/>
    <w:basedOn w:val="16"/>
    <w:qFormat/>
    <w:uiPriority w:val="0"/>
    <w:rPr>
      <w:rFonts w:ascii="Calibri" w:hAnsi="Calibri" w:eastAsia="宋体" w:cs="Times New Roman"/>
      <w:lang w:val="en-US" w:eastAsia="zh-CN" w:bidi="ar-SA"/>
    </w:rPr>
  </w:style>
  <w:style w:type="paragraph" w:customStyle="1" w:styleId="45">
    <w:name w:val="正文文本 21"/>
    <w:basedOn w:val="1"/>
    <w:qFormat/>
    <w:uiPriority w:val="99"/>
    <w:pPr>
      <w:spacing w:line="360" w:lineRule="auto"/>
    </w:pPr>
    <w:rPr>
      <w:sz w:val="24"/>
      <w:szCs w:val="24"/>
    </w:rPr>
  </w:style>
  <w:style w:type="paragraph" w:customStyle="1" w:styleId="46">
    <w:name w:val="修订7"/>
    <w:hidden/>
    <w:semiHidden/>
    <w:qFormat/>
    <w:uiPriority w:val="99"/>
    <w:rPr>
      <w:rFonts w:asciiTheme="minorHAnsi" w:hAnsiTheme="minorHAnsi" w:eastAsiaTheme="minorEastAsia" w:cstheme="minorBidi"/>
      <w:kern w:val="2"/>
      <w:sz w:val="21"/>
      <w:szCs w:val="21"/>
      <w:lang w:val="en-US" w:eastAsia="zh-CN" w:bidi="ar-SA"/>
    </w:rPr>
  </w:style>
  <w:style w:type="character" w:customStyle="1" w:styleId="47">
    <w:name w:val="批注文字 字符1"/>
    <w:semiHidden/>
    <w:qFormat/>
    <w:locked/>
    <w:uiPriority w:val="0"/>
    <w:rPr>
      <w:rFonts w:ascii="Calibri" w:hAnsi="Cambria" w:cs="Calibri"/>
      <w:sz w:val="21"/>
      <w:szCs w:val="22"/>
      <w:lang w:eastAsia="en-US"/>
    </w:rPr>
  </w:style>
  <w:style w:type="paragraph" w:customStyle="1" w:styleId="48">
    <w:name w:val="修订8"/>
    <w:hidden/>
    <w:unhideWhenUsed/>
    <w:qFormat/>
    <w:uiPriority w:val="99"/>
    <w:rPr>
      <w:rFonts w:asciiTheme="minorHAnsi" w:hAnsiTheme="minorHAnsi" w:eastAsiaTheme="minorEastAsia" w:cstheme="minorBidi"/>
      <w:kern w:val="2"/>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5" Type="http://schemas.openxmlformats.org/officeDocument/2006/relationships/fontTable" Target="fontTable.xml"/><Relationship Id="rId54" Type="http://schemas.openxmlformats.org/officeDocument/2006/relationships/customXml" Target="../customXml/item2.xml"/><Relationship Id="rId53" Type="http://schemas.openxmlformats.org/officeDocument/2006/relationships/numbering" Target="numbering.xml"/><Relationship Id="rId52" Type="http://schemas.openxmlformats.org/officeDocument/2006/relationships/customXml" Target="../customXml/item1.xml"/><Relationship Id="rId51" Type="http://schemas.openxmlformats.org/officeDocument/2006/relationships/image" Target="media/image2.png"/><Relationship Id="rId50" Type="http://schemas.openxmlformats.org/officeDocument/2006/relationships/image" Target="media/image1.png"/><Relationship Id="rId5" Type="http://schemas.openxmlformats.org/officeDocument/2006/relationships/footer" Target="footer1.xml"/><Relationship Id="rId49" Type="http://schemas.openxmlformats.org/officeDocument/2006/relationships/theme" Target="theme/theme1.xml"/><Relationship Id="rId48" Type="http://schemas.openxmlformats.org/officeDocument/2006/relationships/footer" Target="footer42.xml"/><Relationship Id="rId47" Type="http://schemas.openxmlformats.org/officeDocument/2006/relationships/footer" Target="footer41.xml"/><Relationship Id="rId46" Type="http://schemas.openxmlformats.org/officeDocument/2006/relationships/footer" Target="footer40.xml"/><Relationship Id="rId45" Type="http://schemas.openxmlformats.org/officeDocument/2006/relationships/footer" Target="footer39.xml"/><Relationship Id="rId44" Type="http://schemas.openxmlformats.org/officeDocument/2006/relationships/footer" Target="footer38.xml"/><Relationship Id="rId43" Type="http://schemas.openxmlformats.org/officeDocument/2006/relationships/footer" Target="footer37.xml"/><Relationship Id="rId42" Type="http://schemas.openxmlformats.org/officeDocument/2006/relationships/footer" Target="footer36.xml"/><Relationship Id="rId41" Type="http://schemas.openxmlformats.org/officeDocument/2006/relationships/footer" Target="footer35.xml"/><Relationship Id="rId40" Type="http://schemas.openxmlformats.org/officeDocument/2006/relationships/footer" Target="footer34.xml"/><Relationship Id="rId4" Type="http://schemas.openxmlformats.org/officeDocument/2006/relationships/header" Target="header2.xml"/><Relationship Id="rId39" Type="http://schemas.openxmlformats.org/officeDocument/2006/relationships/footer" Target="footer33.xml"/><Relationship Id="rId38" Type="http://schemas.openxmlformats.org/officeDocument/2006/relationships/footer" Target="footer32.xml"/><Relationship Id="rId37" Type="http://schemas.openxmlformats.org/officeDocument/2006/relationships/footer" Target="footer31.xml"/><Relationship Id="rId36" Type="http://schemas.openxmlformats.org/officeDocument/2006/relationships/footer" Target="footer30.xml"/><Relationship Id="rId35" Type="http://schemas.openxmlformats.org/officeDocument/2006/relationships/footer" Target="footer29.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header" Target="header1.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13DC29-5238-4186-AEFD-C661839DC25B}">
  <ds:schemaRefs/>
</ds:datastoreItem>
</file>

<file path=docProps/app.xml><?xml version="1.0" encoding="utf-8"?>
<Properties xmlns="http://schemas.openxmlformats.org/officeDocument/2006/extended-properties" xmlns:vt="http://schemas.openxmlformats.org/officeDocument/2006/docPropsVTypes">
  <Template>Normal.dotm</Template>
  <Company>shenduxitong</Company>
  <Pages>116</Pages>
  <Words>15419</Words>
  <Characters>87893</Characters>
  <Lines>732</Lines>
  <Paragraphs>206</Paragraphs>
  <TotalTime>2</TotalTime>
  <ScaleCrop>false</ScaleCrop>
  <LinksUpToDate>false</LinksUpToDate>
  <CharactersWithSpaces>103106</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2026-04-13T06:46:00Z</dcterms:created>
  <dc:creator>Donghm</dc:creator>
  <cp:lastModifiedBy>zhaiq</cp:lastModifiedBy>
  <cp:lastPrinted>2021-05-14T02:45:00Z</cp:lastPrinted>
  <dcterms:modified xsi:type="dcterms:W3CDTF">2026-05-26T07:51:12Z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4DEBDB9B1E534B7CBBBAC34978120084_13</vt:lpwstr>
  </property>
  <property fmtid="{D5CDD505-2E9C-101B-9397-08002B2CF9AE}" pid="4" name="KSOTemplateDocerSaveRecord">
    <vt:lpwstr>eyJoZGlkIjoiMjNmN2NhNjdhOWNlNzJiMWFhNTMzMGMxYjM1YjJkOWIiLCJ1c2VySWQiOiIyMzk2MjkwNzUifQ==</vt:lpwstr>
  </property>
</Properties>
</file>