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Lines="0" w:afterLines="0" w:line="240" w:lineRule="auto"/>
        <w:jc w:val="center"/>
        <w:textAlignment w:val="auto"/>
        <w:rPr>
          <w:rFonts w:hint="eastAsia" w:ascii="Times New Roman" w:hAnsi="Times New Roman" w:eastAsia="宋体"/>
          <w:b/>
          <w:bCs/>
          <w:sz w:val="28"/>
          <w:szCs w:val="28"/>
        </w:rPr>
      </w:pPr>
      <w:r>
        <w:rPr>
          <w:rFonts w:hint="eastAsia" w:ascii="Times New Roman" w:hAnsi="Times New Roman" w:eastAsia="宋体"/>
          <w:b/>
          <w:bCs/>
          <w:sz w:val="28"/>
          <w:szCs w:val="28"/>
          <w:lang w:val="en-US" w:eastAsia="zh-CN"/>
        </w:rPr>
        <w:t>博时津开科工</w:t>
      </w:r>
      <w:r>
        <w:rPr>
          <w:rFonts w:hint="eastAsia" w:ascii="Times New Roman" w:hAnsi="Times New Roman" w:eastAsia="宋体"/>
          <w:b/>
          <w:bCs/>
          <w:sz w:val="28"/>
          <w:szCs w:val="28"/>
        </w:rPr>
        <w:t>产业园封闭式基础设施证券投资基金</w:t>
      </w:r>
    </w:p>
    <w:p>
      <w:pPr>
        <w:keepNext w:val="0"/>
        <w:keepLines w:val="0"/>
        <w:pageBreakBefore w:val="0"/>
        <w:widowControl/>
        <w:kinsoku/>
        <w:wordWrap/>
        <w:overflowPunct/>
        <w:topLinePunct w:val="0"/>
        <w:autoSpaceDE/>
        <w:autoSpaceDN/>
        <w:bidi w:val="0"/>
        <w:adjustRightInd/>
        <w:snapToGrid/>
        <w:spacing w:beforeLines="0" w:afterLines="0" w:line="240" w:lineRule="auto"/>
        <w:jc w:val="center"/>
        <w:textAlignment w:val="auto"/>
        <w:rPr>
          <w:rFonts w:hint="eastAsia" w:ascii="Times New Roman" w:hAnsi="Times New Roman" w:eastAsia="宋体"/>
          <w:b/>
          <w:bCs/>
          <w:sz w:val="28"/>
          <w:szCs w:val="28"/>
        </w:rPr>
      </w:pPr>
      <w:r>
        <w:rPr>
          <w:rFonts w:hint="eastAsia" w:ascii="Times New Roman" w:hAnsi="Times New Roman" w:eastAsia="宋体"/>
          <w:b/>
          <w:bCs/>
          <w:sz w:val="28"/>
          <w:szCs w:val="28"/>
          <w:lang w:val="en-US" w:eastAsia="zh-CN"/>
        </w:rPr>
        <w:t>交易情况</w:t>
      </w:r>
      <w:r>
        <w:rPr>
          <w:rFonts w:hint="eastAsia" w:ascii="Times New Roman" w:hAnsi="Times New Roman"/>
          <w:b/>
          <w:bCs/>
          <w:sz w:val="28"/>
          <w:szCs w:val="28"/>
          <w:lang w:val="en-US" w:eastAsia="zh-CN"/>
        </w:rPr>
        <w:t>的</w:t>
      </w:r>
      <w:r>
        <w:rPr>
          <w:rFonts w:hint="eastAsia" w:ascii="Times New Roman" w:hAnsi="Times New Roman" w:eastAsia="宋体"/>
          <w:b/>
          <w:bCs/>
          <w:sz w:val="28"/>
          <w:szCs w:val="28"/>
          <w:lang w:val="en-US" w:eastAsia="zh-CN"/>
        </w:rPr>
        <w:t>提示</w:t>
      </w:r>
      <w:r>
        <w:rPr>
          <w:rFonts w:hint="eastAsia" w:ascii="Times New Roman" w:hAnsi="Times New Roman" w:eastAsia="宋体"/>
          <w:b/>
          <w:bCs/>
          <w:sz w:val="28"/>
          <w:szCs w:val="28"/>
        </w:rPr>
        <w:t>公告</w:t>
      </w:r>
    </w:p>
    <w:p>
      <w:pPr>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jc w:val="left"/>
        <w:textAlignment w:val="auto"/>
        <w:rPr>
          <w:rFonts w:hint="eastAsia" w:ascii="Times New Roman" w:hAnsi="Times New Roman" w:eastAsia="宋体"/>
          <w:b/>
          <w:bCs/>
          <w:sz w:val="24"/>
          <w:szCs w:val="24"/>
        </w:rPr>
      </w:pPr>
      <w:r>
        <w:rPr>
          <w:rFonts w:hint="eastAsia" w:ascii="Times New Roman" w:hAnsi="Times New Roman" w:eastAsia="宋体"/>
          <w:b/>
          <w:bCs/>
          <w:sz w:val="24"/>
          <w:szCs w:val="24"/>
          <w:lang w:val="en-US" w:eastAsia="zh-CN"/>
        </w:rPr>
        <w:t>一、</w:t>
      </w:r>
      <w:r>
        <w:rPr>
          <w:rFonts w:hint="eastAsia" w:ascii="Times New Roman" w:hAnsi="Times New Roman" w:eastAsia="宋体"/>
          <w:b/>
          <w:bCs/>
          <w:sz w:val="24"/>
          <w:szCs w:val="24"/>
        </w:rPr>
        <w:t>公募</w:t>
      </w:r>
      <w:r>
        <w:rPr>
          <w:rFonts w:hint="default" w:ascii="Times New Roman" w:hAnsi="Times New Roman" w:eastAsia="宋体"/>
          <w:b/>
          <w:bCs/>
          <w:sz w:val="24"/>
          <w:szCs w:val="24"/>
        </w:rPr>
        <w:t>REITs</w:t>
      </w:r>
      <w:r>
        <w:rPr>
          <w:rFonts w:hint="eastAsia" w:ascii="Times New Roman" w:hAnsi="Times New Roman" w:eastAsia="宋体"/>
          <w:b/>
          <w:bCs/>
          <w:sz w:val="24"/>
          <w:szCs w:val="24"/>
        </w:rPr>
        <w:t>基本信息</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0"/>
        <w:gridCol w:w="6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lang w:val="en-US" w:eastAsia="zh-CN"/>
              </w:rPr>
              <w:t>基金</w:t>
            </w:r>
            <w:r>
              <w:rPr>
                <w:rFonts w:hint="eastAsia" w:ascii="Times New Roman" w:hAnsi="Times New Roman" w:eastAsia="宋体"/>
                <w:sz w:val="24"/>
                <w:szCs w:val="24"/>
              </w:rPr>
              <w:t>名称</w:t>
            </w:r>
          </w:p>
        </w:tc>
        <w:tc>
          <w:tcPr>
            <w:tcW w:w="6242" w:type="dxa"/>
          </w:tcPr>
          <w:p>
            <w:pPr>
              <w:widowControl w:val="0"/>
              <w:numPr>
                <w:ilvl w:val="0"/>
                <w:numId w:val="0"/>
              </w:numPr>
              <w:spacing w:beforeLines="0" w:afterLines="0"/>
              <w:jc w:val="left"/>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lang w:val="en-US" w:eastAsia="zh-CN"/>
              </w:rPr>
              <w:t>博时津开科工</w:t>
            </w:r>
            <w:r>
              <w:rPr>
                <w:rFonts w:hint="eastAsia" w:ascii="Times New Roman" w:hAnsi="Times New Roman" w:eastAsia="宋体"/>
                <w:sz w:val="24"/>
                <w:szCs w:val="24"/>
              </w:rPr>
              <w:t>产业园封闭式基础设施证券投资基金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lang w:val="en-US" w:eastAsia="zh-CN"/>
              </w:rPr>
              <w:t>基金</w:t>
            </w:r>
            <w:r>
              <w:rPr>
                <w:rFonts w:hint="eastAsia" w:ascii="Times New Roman" w:hAnsi="Times New Roman" w:eastAsia="宋体"/>
                <w:sz w:val="24"/>
                <w:szCs w:val="24"/>
              </w:rPr>
              <w:t>简称</w:t>
            </w:r>
          </w:p>
        </w:tc>
        <w:tc>
          <w:tcPr>
            <w:tcW w:w="6242" w:type="dxa"/>
          </w:tcPr>
          <w:p>
            <w:pPr>
              <w:widowControl w:val="0"/>
              <w:numPr>
                <w:ilvl w:val="0"/>
                <w:numId w:val="0"/>
              </w:numPr>
              <w:spacing w:beforeLines="0" w:afterLines="0"/>
              <w:jc w:val="left"/>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vertAlign w:val="baseline"/>
                <w:lang w:val="en-US" w:eastAsia="zh-CN"/>
              </w:rPr>
              <w:t>博时津开产园REIT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场内简称</w:t>
            </w:r>
          </w:p>
        </w:tc>
        <w:tc>
          <w:tcPr>
            <w:tcW w:w="6242" w:type="dxa"/>
          </w:tcPr>
          <w:p>
            <w:pPr>
              <w:widowControl w:val="0"/>
              <w:numPr>
                <w:ilvl w:val="0"/>
                <w:numId w:val="0"/>
              </w:numPr>
              <w:spacing w:beforeLines="0" w:afterLines="0"/>
              <w:jc w:val="both"/>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津开产园（扩位简称：博时津开产园REIT）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t>基金代码</w:t>
            </w:r>
          </w:p>
        </w:tc>
        <w:tc>
          <w:tcPr>
            <w:tcW w:w="6242" w:type="dxa"/>
          </w:tcPr>
          <w:p>
            <w:pPr>
              <w:widowControl w:val="0"/>
              <w:numPr>
                <w:ilvl w:val="0"/>
                <w:numId w:val="0"/>
              </w:numPr>
              <w:spacing w:beforeLines="0" w:afterLines="0"/>
              <w:jc w:val="both"/>
              <w:rPr>
                <w:rFonts w:hint="default" w:ascii="Times New Roman" w:hAnsi="Times New Roman" w:eastAsia="宋体"/>
                <w:sz w:val="24"/>
                <w:szCs w:val="24"/>
                <w:lang w:val="en-US" w:eastAsia="zh-CN"/>
              </w:rPr>
            </w:pPr>
            <w:r>
              <w:rPr>
                <w:rFonts w:hint="eastAsia" w:ascii="Times New Roman" w:hAnsi="Times New Roman" w:eastAsia="宋体"/>
                <w:sz w:val="24"/>
                <w:szCs w:val="24"/>
                <w:lang w:val="en-US" w:eastAsia="zh-CN"/>
              </w:rPr>
              <w:t>508022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lang w:val="en-US" w:eastAsia="zh-CN"/>
              </w:rPr>
              <w:t>基金</w:t>
            </w:r>
            <w:r>
              <w:rPr>
                <w:rFonts w:hint="eastAsia" w:ascii="Times New Roman" w:hAnsi="Times New Roman" w:eastAsia="宋体"/>
                <w:sz w:val="24"/>
                <w:szCs w:val="24"/>
              </w:rPr>
              <w:t>合同生效日</w:t>
            </w:r>
          </w:p>
        </w:tc>
        <w:tc>
          <w:tcPr>
            <w:tcW w:w="6242" w:type="dxa"/>
          </w:tcPr>
          <w:p>
            <w:pPr>
              <w:widowControl w:val="0"/>
              <w:numPr>
                <w:ilvl w:val="0"/>
                <w:numId w:val="0"/>
              </w:numPr>
              <w:spacing w:beforeLines="0" w:afterLines="0"/>
              <w:jc w:val="left"/>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vertAlign w:val="baseline"/>
                <w:lang w:val="en-US" w:eastAsia="zh-CN"/>
              </w:rPr>
              <w:t>2024年8月28日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vertAlign w:val="baseline"/>
                <w:lang w:val="en-US" w:eastAsia="zh-CN"/>
              </w:rPr>
              <w:t>基金管理人名称</w:t>
            </w:r>
          </w:p>
        </w:tc>
        <w:tc>
          <w:tcPr>
            <w:tcW w:w="6242" w:type="dxa"/>
          </w:tcPr>
          <w:p>
            <w:pPr>
              <w:widowControl w:val="0"/>
              <w:numPr>
                <w:ilvl w:val="0"/>
                <w:numId w:val="0"/>
              </w:numPr>
              <w:spacing w:beforeLines="0" w:afterLines="0"/>
              <w:jc w:val="left"/>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vertAlign w:val="baseline"/>
                <w:lang w:val="en-US" w:eastAsia="zh-CN"/>
              </w:rPr>
              <w:t>博时基金管理有限公司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vertAlign w:val="baseline"/>
                <w:lang w:val="en-US" w:eastAsia="zh-CN"/>
              </w:rPr>
              <w:t>基金托管人名称</w:t>
            </w:r>
          </w:p>
        </w:tc>
        <w:tc>
          <w:tcPr>
            <w:tcW w:w="6242" w:type="dxa"/>
          </w:tcPr>
          <w:p>
            <w:pPr>
              <w:widowControl w:val="0"/>
              <w:numPr>
                <w:ilvl w:val="0"/>
                <w:numId w:val="0"/>
              </w:numPr>
              <w:spacing w:beforeLines="0" w:afterLines="0"/>
              <w:jc w:val="left"/>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vertAlign w:val="baseline"/>
                <w:lang w:val="en-US" w:eastAsia="zh-CN"/>
              </w:rPr>
              <w:t>渤海银行股份有限公司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vAlign w:val="center"/>
          </w:tcPr>
          <w:p>
            <w:pPr>
              <w:widowControl w:val="0"/>
              <w:numPr>
                <w:ilvl w:val="0"/>
                <w:numId w:val="0"/>
              </w:numPr>
              <w:spacing w:beforeLines="0" w:afterLines="0"/>
              <w:jc w:val="both"/>
              <w:rPr>
                <w:rFonts w:hint="eastAsia" w:ascii="Times New Roman" w:hAnsi="Times New Roman" w:eastAsia="宋体"/>
                <w:sz w:val="24"/>
                <w:szCs w:val="24"/>
                <w:vertAlign w:val="baseline"/>
                <w:lang w:val="en-US" w:eastAsia="zh-CN"/>
              </w:rPr>
            </w:pPr>
            <w:r>
              <w:rPr>
                <w:rFonts w:hint="eastAsia" w:ascii="Times New Roman" w:hAnsi="Times New Roman" w:eastAsia="宋体"/>
                <w:sz w:val="24"/>
                <w:szCs w:val="24"/>
                <w:vertAlign w:val="baseline"/>
                <w:lang w:val="en-US" w:eastAsia="zh-CN"/>
              </w:rPr>
              <w:t>公告依据</w:t>
            </w:r>
          </w:p>
        </w:tc>
        <w:tc>
          <w:tcPr>
            <w:tcW w:w="6242" w:type="dxa"/>
          </w:tcPr>
          <w:p>
            <w:pPr>
              <w:widowControl w:val="0"/>
              <w:spacing w:beforeLines="0" w:afterLines="0"/>
              <w:jc w:val="both"/>
              <w:rPr>
                <w:rFonts w:hint="eastAsia" w:ascii="Times New Roman" w:hAnsi="Times New Roman" w:eastAsia="宋体"/>
                <w:sz w:val="24"/>
                <w:szCs w:val="24"/>
                <w:vertAlign w:val="baseline"/>
                <w:lang w:val="en-US" w:eastAsia="zh-CN"/>
              </w:rPr>
            </w:pPr>
            <w:r>
              <w:rPr>
                <w:rFonts w:ascii="宋体" w:hAnsi="宋体" w:eastAsia="宋体" w:cs="宋体"/>
                <w:sz w:val="24"/>
                <w:szCs w:val="24"/>
              </w:rPr>
              <w:t>《中华人民共和国证券投资基金法》及配套法规、《公开募集基础设施证券投资基金指引（试行）》《上海证券交易所公开募集不动产投资信托基金（REITs）业务办法（试行）》《上海证券交易所公开募集不动产投资信托基金（REITs）规则适用指引第5号——临时报告（试行）》等有关规定以及《</w:t>
            </w:r>
            <w:r>
              <w:rPr>
                <w:rFonts w:hint="eastAsia" w:ascii="宋体" w:hAnsi="宋体" w:cs="宋体"/>
                <w:sz w:val="24"/>
                <w:szCs w:val="24"/>
                <w:lang w:val="en-US" w:eastAsia="zh-CN"/>
              </w:rPr>
              <w:t>博时津开科工产业园</w:t>
            </w:r>
            <w:r>
              <w:rPr>
                <w:rFonts w:ascii="宋体" w:hAnsi="宋体" w:eastAsia="宋体" w:cs="宋体"/>
                <w:sz w:val="24"/>
                <w:szCs w:val="24"/>
              </w:rPr>
              <w:t>封闭式基础设施证券投资基金基金合同》《</w:t>
            </w:r>
            <w:r>
              <w:rPr>
                <w:rFonts w:hint="eastAsia" w:ascii="宋体" w:hAnsi="宋体" w:cs="宋体"/>
                <w:sz w:val="24"/>
                <w:szCs w:val="24"/>
                <w:lang w:val="en-US" w:eastAsia="zh-CN"/>
              </w:rPr>
              <w:t>博时津开科工产业园封闭式基础设施证券投资基金更新招募说明书</w:t>
            </w:r>
            <w:r>
              <w:rPr>
                <w:rFonts w:ascii="宋体" w:hAnsi="宋体" w:eastAsia="宋体" w:cs="宋体"/>
                <w:sz w:val="24"/>
                <w:szCs w:val="24"/>
              </w:rPr>
              <w:t>》及其更新</w:t>
            </w:r>
          </w:p>
        </w:tc>
      </w:tr>
    </w:tbl>
    <w:p>
      <w:pPr>
        <w:rPr>
          <w:rFonts w:ascii="Times New Roman" w:hAnsi="Times New Roman" w:eastAsia="宋体"/>
        </w:rPr>
      </w:pPr>
    </w:p>
    <w:p>
      <w:pPr>
        <w:numPr>
          <w:ilvl w:val="0"/>
          <w:numId w:val="0"/>
        </w:numPr>
        <w:spacing w:beforeLines="0" w:afterLines="0"/>
        <w:jc w:val="left"/>
        <w:rPr>
          <w:rFonts w:hint="eastAsia" w:ascii="Times New Roman" w:hAnsi="Times New Roman" w:eastAsia="宋体" w:cs="宋体"/>
          <w:b w:val="0"/>
          <w:bCs w:val="0"/>
          <w:color w:val="323232"/>
          <w:sz w:val="24"/>
          <w:szCs w:val="24"/>
          <w:lang w:val="en-US" w:eastAsia="zh-CN"/>
        </w:rPr>
      </w:pPr>
      <w:r>
        <w:rPr>
          <w:rFonts w:hint="eastAsia" w:ascii="Times New Roman" w:hAnsi="Times New Roman" w:eastAsia="宋体" w:cs="宋体"/>
          <w:b/>
          <w:bCs/>
          <w:color w:val="323232"/>
          <w:sz w:val="24"/>
          <w:szCs w:val="24"/>
          <w:lang w:val="en-US" w:eastAsia="zh-CN"/>
        </w:rPr>
        <w:t>二、公募REITs</w:t>
      </w:r>
      <w:r>
        <w:rPr>
          <w:rFonts w:hint="eastAsia" w:ascii="Times New Roman" w:hAnsi="Times New Roman" w:cs="宋体"/>
          <w:b/>
          <w:bCs/>
          <w:color w:val="323232"/>
          <w:sz w:val="24"/>
          <w:szCs w:val="24"/>
          <w:lang w:val="en-US" w:eastAsia="zh-CN"/>
        </w:rPr>
        <w:t>交易事项的提示</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根据《上海证券交易所公开募集不动产投资信托基金（REITs）规则适用指引第5号——临时报告（试行）》的相关规定，当日收盘价涨跌幅超过5%，基金管理人应当于有关事项发生的次一交易日披露交易情况提示公告，但上市首日除外。</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2026年7月</w:t>
      </w:r>
      <w:r>
        <w:rPr>
          <w:rFonts w:hint="eastAsia" w:ascii="Times New Roman" w:hAnsi="Times New Roman"/>
          <w:b w:val="0"/>
          <w:bCs w:val="0"/>
          <w:color w:val="000000"/>
          <w:sz w:val="24"/>
          <w:szCs w:val="24"/>
          <w:lang w:val="en-US" w:eastAsia="zh-CN"/>
        </w:rPr>
        <w:t>31</w:t>
      </w:r>
      <w:r>
        <w:rPr>
          <w:rFonts w:hint="eastAsia" w:ascii="Times New Roman" w:hAnsi="Times New Roman" w:eastAsia="宋体"/>
          <w:b w:val="0"/>
          <w:bCs w:val="0"/>
          <w:color w:val="000000"/>
          <w:sz w:val="24"/>
          <w:szCs w:val="24"/>
          <w:lang w:val="en-US" w:eastAsia="zh-CN"/>
        </w:rPr>
        <w:t>日，本基金二级市场收盘价为</w:t>
      </w:r>
      <w:r>
        <w:rPr>
          <w:rFonts w:hint="eastAsia" w:ascii="Times New Roman" w:hAnsi="Times New Roman" w:eastAsia="宋体"/>
          <w:b w:val="0"/>
          <w:bCs w:val="0"/>
          <w:color w:val="000000"/>
          <w:sz w:val="24"/>
          <w:szCs w:val="24"/>
          <w:highlight w:val="none"/>
          <w:lang w:val="en-US" w:eastAsia="zh-CN"/>
        </w:rPr>
        <w:t>2.</w:t>
      </w:r>
      <w:r>
        <w:rPr>
          <w:rFonts w:hint="eastAsia" w:ascii="Times New Roman" w:hAnsi="Times New Roman"/>
          <w:b w:val="0"/>
          <w:bCs w:val="0"/>
          <w:color w:val="000000"/>
          <w:sz w:val="24"/>
          <w:szCs w:val="24"/>
          <w:highlight w:val="none"/>
          <w:lang w:val="en-US" w:eastAsia="zh-CN"/>
        </w:rPr>
        <w:t>550</w:t>
      </w:r>
      <w:r>
        <w:rPr>
          <w:rFonts w:hint="eastAsia" w:ascii="Times New Roman" w:hAnsi="Times New Roman" w:eastAsia="宋体"/>
          <w:b w:val="0"/>
          <w:bCs w:val="0"/>
          <w:color w:val="000000"/>
          <w:sz w:val="24"/>
          <w:szCs w:val="24"/>
          <w:highlight w:val="none"/>
          <w:lang w:val="en-US" w:eastAsia="zh-CN"/>
        </w:rPr>
        <w:t>元/</w:t>
      </w:r>
      <w:r>
        <w:rPr>
          <w:rFonts w:hint="eastAsia" w:ascii="Times New Roman" w:hAnsi="Times New Roman" w:eastAsia="宋体"/>
          <w:b w:val="0"/>
          <w:bCs w:val="0"/>
          <w:color w:val="000000"/>
          <w:sz w:val="24"/>
          <w:szCs w:val="24"/>
          <w:lang w:val="en-US" w:eastAsia="zh-CN"/>
        </w:rPr>
        <w:t>份</w:t>
      </w:r>
      <w:r>
        <w:rPr>
          <w:rFonts w:hint="eastAsia" w:ascii="Times New Roman" w:hAnsi="Times New Roman"/>
          <w:b w:val="0"/>
          <w:bCs w:val="0"/>
          <w:color w:val="000000"/>
          <w:sz w:val="24"/>
          <w:szCs w:val="24"/>
          <w:lang w:val="en-US" w:eastAsia="zh-CN"/>
        </w:rPr>
        <w:t>，当日收盘价涨幅为5.11</w:t>
      </w:r>
      <w:r>
        <w:rPr>
          <w:rFonts w:hint="eastAsia" w:ascii="Times New Roman" w:hAnsi="Times New Roman" w:eastAsia="宋体"/>
          <w:b w:val="0"/>
          <w:bCs w:val="0"/>
          <w:color w:val="000000"/>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截至本公告发布之日，本基金投资的</w:t>
      </w:r>
      <w:r>
        <w:rPr>
          <w:rFonts w:hint="eastAsia" w:ascii="Times New Roman" w:hAnsi="Times New Roman"/>
          <w:b w:val="0"/>
          <w:bCs w:val="0"/>
          <w:color w:val="000000"/>
          <w:sz w:val="24"/>
          <w:szCs w:val="24"/>
          <w:lang w:val="en-US" w:eastAsia="zh-CN"/>
        </w:rPr>
        <w:t>不动产</w:t>
      </w:r>
      <w:r>
        <w:rPr>
          <w:rFonts w:hint="eastAsia" w:ascii="Times New Roman" w:hAnsi="Times New Roman" w:eastAsia="宋体"/>
          <w:b w:val="0"/>
          <w:bCs w:val="0"/>
          <w:color w:val="000000"/>
          <w:sz w:val="24"/>
          <w:szCs w:val="24"/>
          <w:lang w:val="en-US" w:eastAsia="zh-CN"/>
        </w:rPr>
        <w:t>项目经营稳定，基金投资运作正常，运营管理机构履职正常，无应披露而未披露的重大信息，基金管理人将严格按照法律法规及基金合同的规定进行投资运作，履行信息披露义务。</w:t>
      </w:r>
      <w:r>
        <w:rPr>
          <w:rFonts w:hint="eastAsia" w:ascii="Times New Roman" w:hAnsi="Times New Roman" w:eastAsia="宋体"/>
          <w:color w:val="000000"/>
          <w:sz w:val="24"/>
          <w:szCs w:val="24"/>
        </w:rPr>
        <w:t>郑重提醒广大投资者注意本基金二级市场价格受多种因素影响，敬请投资者关注交易价格波动风险，在理性判断的基础上进行投资决策。</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jc w:val="left"/>
        <w:textAlignment w:val="auto"/>
        <w:rPr>
          <w:rFonts w:hint="eastAsia" w:ascii="Times New Roman" w:hAnsi="Times New Roman" w:eastAsia="宋体"/>
          <w:b/>
          <w:bCs/>
          <w:color w:val="000000"/>
          <w:sz w:val="24"/>
          <w:szCs w:val="24"/>
          <w:lang w:val="en-US" w:eastAsia="zh-CN"/>
        </w:rPr>
      </w:pPr>
      <w:r>
        <w:rPr>
          <w:rFonts w:hint="eastAsia" w:ascii="Times New Roman" w:hAnsi="Times New Roman" w:eastAsia="宋体"/>
          <w:b/>
          <w:bCs/>
          <w:color w:val="000000"/>
          <w:sz w:val="24"/>
          <w:szCs w:val="24"/>
          <w:lang w:val="en-US" w:eastAsia="zh-CN"/>
        </w:rPr>
        <w:t>三、</w:t>
      </w:r>
      <w:r>
        <w:rPr>
          <w:rFonts w:hint="eastAsia" w:ascii="Times New Roman" w:hAnsi="Times New Roman"/>
          <w:b/>
          <w:bCs/>
          <w:color w:val="000000"/>
          <w:sz w:val="24"/>
          <w:szCs w:val="24"/>
          <w:lang w:val="en-US" w:eastAsia="zh-CN"/>
        </w:rPr>
        <w:t>不动产</w:t>
      </w:r>
      <w:r>
        <w:rPr>
          <w:rFonts w:hint="eastAsia" w:ascii="Times New Roman" w:hAnsi="Times New Roman" w:eastAsia="宋体"/>
          <w:b/>
          <w:bCs/>
          <w:color w:val="000000"/>
          <w:sz w:val="24"/>
          <w:szCs w:val="24"/>
          <w:lang w:val="en-US" w:eastAsia="zh-CN"/>
        </w:rPr>
        <w:t>项目的经营业绩情况</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default"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本基金通过专项计划100%持有的</w:t>
      </w:r>
      <w:r>
        <w:rPr>
          <w:rFonts w:hint="eastAsia" w:ascii="Times New Roman" w:hAnsi="Times New Roman"/>
          <w:b w:val="0"/>
          <w:bCs w:val="0"/>
          <w:color w:val="000000"/>
          <w:sz w:val="24"/>
          <w:szCs w:val="24"/>
          <w:lang w:val="en-US" w:eastAsia="zh-CN"/>
        </w:rPr>
        <w:t>不动产</w:t>
      </w:r>
      <w:r>
        <w:rPr>
          <w:rFonts w:hint="eastAsia" w:ascii="Times New Roman" w:hAnsi="Times New Roman" w:eastAsia="宋体"/>
          <w:b w:val="0"/>
          <w:bCs w:val="0"/>
          <w:color w:val="000000"/>
          <w:sz w:val="24"/>
          <w:szCs w:val="24"/>
          <w:lang w:val="en-US" w:eastAsia="zh-CN"/>
        </w:rPr>
        <w:t>资产由</w:t>
      </w:r>
      <w:r>
        <w:rPr>
          <w:rFonts w:hint="eastAsia" w:ascii="Times New Roman" w:hAnsi="Times New Roman"/>
          <w:b w:val="0"/>
          <w:bCs w:val="0"/>
          <w:color w:val="000000"/>
          <w:sz w:val="24"/>
          <w:szCs w:val="24"/>
          <w:lang w:val="en-US" w:eastAsia="zh-CN"/>
        </w:rPr>
        <w:t>2</w:t>
      </w:r>
      <w:r>
        <w:rPr>
          <w:rFonts w:hint="eastAsia" w:ascii="Times New Roman" w:hAnsi="Times New Roman" w:eastAsia="宋体"/>
          <w:b w:val="0"/>
          <w:bCs w:val="0"/>
          <w:color w:val="000000"/>
          <w:sz w:val="24"/>
          <w:szCs w:val="24"/>
          <w:lang w:val="en-US" w:eastAsia="zh-CN"/>
        </w:rPr>
        <w:t>个产业园项目组成，</w:t>
      </w:r>
      <w:r>
        <w:rPr>
          <w:rFonts w:hint="eastAsia" w:ascii="Times New Roman" w:hAnsi="Times New Roman"/>
          <w:b w:val="0"/>
          <w:bCs w:val="0"/>
          <w:color w:val="000000"/>
          <w:sz w:val="24"/>
          <w:szCs w:val="24"/>
          <w:lang w:val="en-US" w:eastAsia="zh-CN"/>
        </w:rPr>
        <w:t>分别为</w:t>
      </w:r>
      <w:r>
        <w:rPr>
          <w:rFonts w:hint="eastAsia" w:ascii="Times New Roman" w:hAnsi="Times New Roman" w:eastAsia="宋体"/>
          <w:b w:val="0"/>
          <w:bCs w:val="0"/>
          <w:color w:val="000000"/>
          <w:sz w:val="24"/>
          <w:szCs w:val="24"/>
          <w:lang w:val="en-US" w:eastAsia="zh-CN"/>
        </w:rPr>
        <w:t>天河数字产业园和大陆汽车厂房产业园</w:t>
      </w:r>
      <w:r>
        <w:rPr>
          <w:rFonts w:hint="eastAsia" w:ascii="Times New Roman" w:hAnsi="Times New Roman"/>
          <w:b w:val="0"/>
          <w:bCs w:val="0"/>
          <w:color w:val="000000"/>
          <w:sz w:val="24"/>
          <w:szCs w:val="24"/>
          <w:lang w:val="en-US" w:eastAsia="zh-CN"/>
        </w:rPr>
        <w:t>，</w:t>
      </w:r>
      <w:r>
        <w:rPr>
          <w:rFonts w:hint="eastAsia" w:ascii="Times New Roman" w:hAnsi="Times New Roman" w:eastAsia="宋体"/>
          <w:b w:val="0"/>
          <w:bCs w:val="0"/>
          <w:color w:val="000000"/>
          <w:sz w:val="24"/>
          <w:szCs w:val="24"/>
          <w:lang w:val="en-US" w:eastAsia="zh-CN"/>
        </w:rPr>
        <w:t>可出租面积合计约</w:t>
      </w:r>
      <w:r>
        <w:rPr>
          <w:rFonts w:hint="eastAsia" w:ascii="Times New Roman" w:hAnsi="Times New Roman"/>
          <w:b w:val="0"/>
          <w:bCs w:val="0"/>
          <w:color w:val="000000"/>
          <w:sz w:val="24"/>
          <w:szCs w:val="24"/>
          <w:lang w:val="en-US" w:eastAsia="zh-CN"/>
        </w:rPr>
        <w:t>205,745.62</w:t>
      </w:r>
      <w:r>
        <w:rPr>
          <w:rFonts w:hint="eastAsia" w:ascii="Times New Roman" w:hAnsi="Times New Roman" w:eastAsia="宋体"/>
          <w:b w:val="0"/>
          <w:bCs w:val="0"/>
          <w:color w:val="000000"/>
          <w:sz w:val="24"/>
          <w:szCs w:val="24"/>
          <w:lang w:val="en-US" w:eastAsia="zh-CN"/>
        </w:rPr>
        <w:t>平方米。截至202</w:t>
      </w:r>
      <w:r>
        <w:rPr>
          <w:rFonts w:hint="eastAsia" w:ascii="Times New Roman" w:hAnsi="Times New Roman"/>
          <w:b w:val="0"/>
          <w:bCs w:val="0"/>
          <w:color w:val="000000"/>
          <w:sz w:val="24"/>
          <w:szCs w:val="24"/>
          <w:lang w:val="en-US" w:eastAsia="zh-CN"/>
        </w:rPr>
        <w:t>6</w:t>
      </w:r>
      <w:r>
        <w:rPr>
          <w:rFonts w:hint="eastAsia" w:ascii="Times New Roman" w:hAnsi="Times New Roman" w:eastAsia="宋体"/>
          <w:b w:val="0"/>
          <w:bCs w:val="0"/>
          <w:color w:val="000000"/>
          <w:sz w:val="24"/>
          <w:szCs w:val="24"/>
          <w:lang w:val="en-US" w:eastAsia="zh-CN"/>
        </w:rPr>
        <w:t>年</w:t>
      </w:r>
      <w:r>
        <w:rPr>
          <w:rFonts w:hint="eastAsia" w:ascii="Times New Roman" w:hAnsi="Times New Roman"/>
          <w:b w:val="0"/>
          <w:bCs w:val="0"/>
          <w:color w:val="000000"/>
          <w:sz w:val="24"/>
          <w:szCs w:val="24"/>
          <w:lang w:val="en-US" w:eastAsia="zh-CN"/>
        </w:rPr>
        <w:t>6</w:t>
      </w:r>
      <w:r>
        <w:rPr>
          <w:rFonts w:hint="eastAsia" w:ascii="Times New Roman" w:hAnsi="Times New Roman" w:eastAsia="宋体"/>
          <w:b w:val="0"/>
          <w:bCs w:val="0"/>
          <w:color w:val="000000"/>
          <w:sz w:val="24"/>
          <w:szCs w:val="24"/>
          <w:lang w:val="en-US" w:eastAsia="zh-CN"/>
        </w:rPr>
        <w:t>月3</w:t>
      </w:r>
      <w:r>
        <w:rPr>
          <w:rFonts w:hint="eastAsia" w:ascii="Times New Roman" w:hAnsi="Times New Roman"/>
          <w:b w:val="0"/>
          <w:bCs w:val="0"/>
          <w:color w:val="000000"/>
          <w:sz w:val="24"/>
          <w:szCs w:val="24"/>
          <w:lang w:val="en-US" w:eastAsia="zh-CN"/>
        </w:rPr>
        <w:t>0</w:t>
      </w:r>
      <w:r>
        <w:rPr>
          <w:rFonts w:hint="eastAsia" w:ascii="Times New Roman" w:hAnsi="Times New Roman" w:eastAsia="宋体"/>
          <w:b w:val="0"/>
          <w:bCs w:val="0"/>
          <w:color w:val="000000"/>
          <w:sz w:val="24"/>
          <w:szCs w:val="24"/>
          <w:lang w:val="en-US" w:eastAsia="zh-CN"/>
        </w:rPr>
        <w:t>日，</w:t>
      </w:r>
      <w:r>
        <w:rPr>
          <w:rFonts w:hint="eastAsia" w:ascii="Times New Roman" w:hAnsi="Times New Roman"/>
          <w:b w:val="0"/>
          <w:bCs w:val="0"/>
          <w:color w:val="000000"/>
          <w:sz w:val="24"/>
          <w:szCs w:val="24"/>
          <w:lang w:val="en-US" w:eastAsia="zh-CN"/>
        </w:rPr>
        <w:t>不动产</w:t>
      </w:r>
      <w:r>
        <w:rPr>
          <w:rFonts w:hint="eastAsia" w:ascii="Times New Roman" w:hAnsi="Times New Roman" w:eastAsia="宋体"/>
          <w:b w:val="0"/>
          <w:bCs w:val="0"/>
          <w:color w:val="000000"/>
          <w:sz w:val="24"/>
          <w:szCs w:val="24"/>
          <w:lang w:val="en-US" w:eastAsia="zh-CN"/>
        </w:rPr>
        <w:t>项目期末时点合计实际出租面积为</w:t>
      </w:r>
      <w:r>
        <w:rPr>
          <w:rFonts w:hint="eastAsia" w:ascii="Times New Roman" w:hAnsi="Times New Roman"/>
          <w:b w:val="0"/>
          <w:bCs w:val="0"/>
          <w:color w:val="000000"/>
          <w:sz w:val="24"/>
          <w:szCs w:val="24"/>
          <w:lang w:val="en-US" w:eastAsia="zh-CN"/>
        </w:rPr>
        <w:t>172,776.16</w:t>
      </w:r>
      <w:r>
        <w:rPr>
          <w:rFonts w:hint="eastAsia" w:ascii="Times New Roman" w:hAnsi="Times New Roman" w:eastAsia="宋体"/>
          <w:b w:val="0"/>
          <w:bCs w:val="0"/>
          <w:color w:val="000000"/>
          <w:sz w:val="24"/>
          <w:szCs w:val="24"/>
          <w:lang w:val="en-US" w:eastAsia="zh-CN"/>
        </w:rPr>
        <w:t>平方米，期末时点出租率为83.</w:t>
      </w:r>
      <w:r>
        <w:rPr>
          <w:rFonts w:hint="eastAsia" w:ascii="Times New Roman" w:hAnsi="Times New Roman"/>
          <w:b w:val="0"/>
          <w:bCs w:val="0"/>
          <w:color w:val="000000"/>
          <w:sz w:val="24"/>
          <w:szCs w:val="24"/>
          <w:lang w:val="en-US" w:eastAsia="zh-CN"/>
        </w:rPr>
        <w:t>98</w:t>
      </w:r>
      <w:r>
        <w:rPr>
          <w:rFonts w:hint="eastAsia" w:ascii="Times New Roman" w:hAnsi="Times New Roman" w:eastAsia="宋体"/>
          <w:b w:val="0"/>
          <w:bCs w:val="0"/>
          <w:color w:val="000000"/>
          <w:sz w:val="24"/>
          <w:szCs w:val="24"/>
          <w:lang w:val="en-US" w:eastAsia="zh-CN"/>
        </w:rPr>
        <w:t>%。</w:t>
      </w:r>
      <w:r>
        <w:rPr>
          <w:rFonts w:hint="eastAsia" w:ascii="Times New Roman" w:hAnsi="Times New Roman"/>
          <w:b w:val="0"/>
          <w:bCs w:val="0"/>
          <w:color w:val="000000"/>
          <w:sz w:val="24"/>
          <w:szCs w:val="24"/>
          <w:lang w:val="en-US" w:eastAsia="zh-CN"/>
        </w:rPr>
        <w:t>不动产</w:t>
      </w:r>
      <w:r>
        <w:rPr>
          <w:rFonts w:hint="eastAsia" w:ascii="Times New Roman" w:hAnsi="Times New Roman" w:eastAsia="宋体"/>
          <w:b w:val="0"/>
          <w:bCs w:val="0"/>
          <w:color w:val="000000"/>
          <w:sz w:val="24"/>
          <w:szCs w:val="24"/>
          <w:lang w:val="en-US" w:eastAsia="zh-CN"/>
        </w:rPr>
        <w:t>项目运营情况较为稳定</w:t>
      </w:r>
      <w:r>
        <w:rPr>
          <w:rFonts w:hint="eastAsia" w:ascii="Times New Roman" w:hAnsi="Times New Roman"/>
          <w:b w:val="0"/>
          <w:bCs w:val="0"/>
          <w:color w:val="000000"/>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jc w:val="left"/>
        <w:textAlignment w:val="auto"/>
        <w:rPr>
          <w:rFonts w:hint="eastAsia" w:ascii="Times New Roman" w:hAnsi="Times New Roman" w:eastAsia="宋体"/>
          <w:b/>
          <w:bCs/>
          <w:color w:val="000000"/>
          <w:sz w:val="24"/>
          <w:szCs w:val="24"/>
          <w:lang w:eastAsia="zh-CN"/>
        </w:rPr>
      </w:pPr>
      <w:r>
        <w:rPr>
          <w:rFonts w:hint="eastAsia" w:ascii="Times New Roman" w:hAnsi="Times New Roman" w:eastAsia="宋体"/>
          <w:b/>
          <w:bCs/>
          <w:color w:val="000000"/>
          <w:sz w:val="24"/>
          <w:szCs w:val="24"/>
          <w:lang w:val="en-US" w:eastAsia="zh-CN"/>
        </w:rPr>
        <w:t>四、</w:t>
      </w:r>
      <w:r>
        <w:rPr>
          <w:rFonts w:hint="eastAsia" w:ascii="Times New Roman" w:hAnsi="Times New Roman" w:eastAsia="宋体"/>
          <w:b/>
          <w:bCs/>
          <w:color w:val="000000"/>
          <w:sz w:val="24"/>
          <w:szCs w:val="24"/>
        </w:rPr>
        <w:t>价格变动对基金份额持有人权益影响</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基金首次发行时的年化净现金流分派率预测值=预计年度可供分配现金流/基金发行规模。对应到每个投资者的年化净现金流分派率预测值=预计年度可供分配现金流/基金买入成本。基金二级市场交易价格上涨/下跌会导致买入成本上涨/下降，导致投资者实际的净现金流分派率降低/提高。</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根据《博时津开科工产业园封闭式基础设施证券投资基金2026年第2季度报告》，截至2026年6月30日，本基金2026年累计可供分配金额为37,267,673.93元。以此简单年化测算，2026年预测可供分配金额为75,153,044.11元（按照37,267,673.93元/181×365计算）。</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本基金已发行份额50,000万份。基于上述数据，净现金流分派率的计算方法举例说明如下：</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1、如投资人在首次发行时买入本基金，买入价格为2.398元/份，该投资</w:t>
      </w:r>
      <w:r>
        <w:rPr>
          <w:rFonts w:hint="eastAsia" w:ascii="Times New Roman" w:hAnsi="Times New Roman"/>
          <w:color w:val="000000"/>
          <w:sz w:val="24"/>
          <w:szCs w:val="24"/>
          <w:lang w:val="en-US" w:eastAsia="zh-CN"/>
        </w:rPr>
        <w:t>人</w:t>
      </w:r>
      <w:r>
        <w:rPr>
          <w:rFonts w:hint="eastAsia" w:ascii="Times New Roman" w:hAnsi="Times New Roman" w:eastAsia="宋体"/>
          <w:color w:val="000000"/>
          <w:sz w:val="24"/>
          <w:szCs w:val="24"/>
          <w:lang w:val="en-US" w:eastAsia="zh-CN"/>
        </w:rPr>
        <w:t>的2026年度净现金流分派率预测值=7,515.30/(2.398×50,000）=6.27%。</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2、如投资人在2026年7月</w:t>
      </w:r>
      <w:r>
        <w:rPr>
          <w:rFonts w:hint="eastAsia" w:ascii="Times New Roman" w:hAnsi="Times New Roman"/>
          <w:color w:val="000000"/>
          <w:sz w:val="24"/>
          <w:szCs w:val="24"/>
          <w:lang w:val="en-US" w:eastAsia="zh-CN"/>
        </w:rPr>
        <w:t>31</w:t>
      </w:r>
      <w:r>
        <w:rPr>
          <w:rFonts w:hint="eastAsia" w:ascii="Times New Roman" w:hAnsi="Times New Roman" w:eastAsia="宋体"/>
          <w:color w:val="000000"/>
          <w:sz w:val="24"/>
          <w:szCs w:val="24"/>
          <w:lang w:val="en-US" w:eastAsia="zh-CN"/>
        </w:rPr>
        <w:t>日通过二级市场交易买入本基金，假设买入价格为当天收盘价</w:t>
      </w:r>
      <w:r>
        <w:rPr>
          <w:rFonts w:hint="eastAsia" w:ascii="Times New Roman" w:hAnsi="Times New Roman" w:eastAsia="宋体"/>
          <w:color w:val="000000"/>
          <w:sz w:val="24"/>
          <w:szCs w:val="24"/>
          <w:highlight w:val="none"/>
          <w:lang w:val="en-US" w:eastAsia="zh-CN"/>
        </w:rPr>
        <w:t>2.</w:t>
      </w:r>
      <w:r>
        <w:rPr>
          <w:rFonts w:hint="eastAsia" w:ascii="Times New Roman" w:hAnsi="Times New Roman"/>
          <w:color w:val="000000"/>
          <w:sz w:val="24"/>
          <w:szCs w:val="24"/>
          <w:highlight w:val="none"/>
          <w:lang w:val="en-US" w:eastAsia="zh-CN"/>
        </w:rPr>
        <w:t>55</w:t>
      </w:r>
      <w:r>
        <w:rPr>
          <w:rFonts w:hint="eastAsia" w:ascii="Times New Roman" w:hAnsi="Times New Roman" w:eastAsia="宋体"/>
          <w:color w:val="000000"/>
          <w:sz w:val="24"/>
          <w:szCs w:val="24"/>
          <w:highlight w:val="none"/>
          <w:lang w:val="en-US" w:eastAsia="zh-CN"/>
        </w:rPr>
        <w:t>0元</w:t>
      </w:r>
      <w:r>
        <w:rPr>
          <w:rFonts w:hint="eastAsia" w:ascii="Times New Roman" w:hAnsi="Times New Roman" w:eastAsia="宋体"/>
          <w:color w:val="000000"/>
          <w:sz w:val="24"/>
          <w:szCs w:val="24"/>
          <w:lang w:val="en-US" w:eastAsia="zh-CN"/>
        </w:rPr>
        <w:t>/份，该投资</w:t>
      </w:r>
      <w:r>
        <w:rPr>
          <w:rFonts w:hint="eastAsia" w:ascii="Times New Roman" w:hAnsi="Times New Roman"/>
          <w:color w:val="000000"/>
          <w:sz w:val="24"/>
          <w:szCs w:val="24"/>
          <w:lang w:val="en-US" w:eastAsia="zh-CN"/>
        </w:rPr>
        <w:t>人</w:t>
      </w:r>
      <w:r>
        <w:rPr>
          <w:rFonts w:hint="eastAsia" w:ascii="Times New Roman" w:hAnsi="Times New Roman" w:eastAsia="宋体"/>
          <w:color w:val="000000"/>
          <w:sz w:val="24"/>
          <w:szCs w:val="24"/>
          <w:lang w:val="en-US" w:eastAsia="zh-CN"/>
        </w:rPr>
        <w:t>的2026年度净现金流分派率预测值=7,515.30/(</w:t>
      </w:r>
      <w:r>
        <w:rPr>
          <w:rFonts w:hint="eastAsia" w:ascii="Times New Roman" w:hAnsi="Times New Roman" w:eastAsia="宋体"/>
          <w:color w:val="000000"/>
          <w:sz w:val="24"/>
          <w:szCs w:val="24"/>
          <w:highlight w:val="none"/>
          <w:lang w:val="en-US" w:eastAsia="zh-CN"/>
        </w:rPr>
        <w:t>2.</w:t>
      </w:r>
      <w:r>
        <w:rPr>
          <w:rFonts w:hint="eastAsia" w:ascii="Times New Roman" w:hAnsi="Times New Roman"/>
          <w:color w:val="000000"/>
          <w:sz w:val="24"/>
          <w:szCs w:val="24"/>
          <w:highlight w:val="none"/>
          <w:lang w:val="en-US" w:eastAsia="zh-CN"/>
        </w:rPr>
        <w:t>55</w:t>
      </w:r>
      <w:r>
        <w:rPr>
          <w:rFonts w:hint="eastAsia" w:ascii="Times New Roman" w:hAnsi="Times New Roman" w:eastAsia="宋体"/>
          <w:color w:val="000000"/>
          <w:sz w:val="24"/>
          <w:szCs w:val="24"/>
          <w:highlight w:val="none"/>
          <w:lang w:val="en-US" w:eastAsia="zh-CN"/>
        </w:rPr>
        <w:t>0</w:t>
      </w:r>
      <w:r>
        <w:rPr>
          <w:rFonts w:hint="eastAsia" w:ascii="Times New Roman" w:hAnsi="Times New Roman" w:eastAsia="宋体"/>
          <w:color w:val="000000"/>
          <w:sz w:val="24"/>
          <w:szCs w:val="24"/>
          <w:lang w:val="en-US" w:eastAsia="zh-CN"/>
        </w:rPr>
        <w:t>×50,000）=</w:t>
      </w:r>
      <w:r>
        <w:rPr>
          <w:rFonts w:hint="eastAsia" w:ascii="Times New Roman" w:hAnsi="Times New Roman"/>
          <w:color w:val="000000"/>
          <w:sz w:val="24"/>
          <w:szCs w:val="24"/>
          <w:highlight w:val="none"/>
          <w:lang w:val="en-US" w:eastAsia="zh-CN"/>
        </w:rPr>
        <w:t>5.89</w:t>
      </w:r>
      <w:r>
        <w:rPr>
          <w:rFonts w:hint="eastAsia" w:ascii="Times New Roman" w:hAnsi="Times New Roman" w:eastAsia="宋体"/>
          <w:color w:val="000000"/>
          <w:sz w:val="24"/>
          <w:szCs w:val="24"/>
          <w:highlight w:val="none"/>
          <w:lang w:val="en-US" w:eastAsia="zh-CN"/>
        </w:rPr>
        <w:t>%</w:t>
      </w:r>
      <w:r>
        <w:rPr>
          <w:rFonts w:hint="eastAsia" w:ascii="Times New Roman" w:hAnsi="Times New Roman" w:eastAsia="宋体"/>
          <w:color w:val="000000"/>
          <w:sz w:val="24"/>
          <w:szCs w:val="24"/>
          <w:lang w:val="en-US" w:eastAsia="zh-CN"/>
        </w:rPr>
        <w:t>。</w:t>
      </w:r>
    </w:p>
    <w:p>
      <w:pPr>
        <w:keepNext w:val="0"/>
        <w:keepLines w:val="0"/>
        <w:pageBreakBefore w:val="0"/>
        <w:widowControl/>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需特别说明的是：</w:t>
      </w:r>
    </w:p>
    <w:p>
      <w:pPr>
        <w:keepNext w:val="0"/>
        <w:keepLines w:val="0"/>
        <w:pageBreakBefore w:val="0"/>
        <w:widowControl/>
        <w:numPr>
          <w:ilvl w:val="0"/>
          <w:numId w:val="1"/>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以上计算说明中的2026年可供分配预测金额系根据本基金截至2026年6月30日的累计可供分配金额简单年化测算而得，计算公式为2026年上半年累计可供分配金额/上半年度实际天数×365，不代表实际年度的可供分配金额，如实际年度可供分配金额降低，将影响届时净现金流分派率的计算结果。</w:t>
      </w:r>
    </w:p>
    <w:p>
      <w:pPr>
        <w:keepNext w:val="0"/>
        <w:keepLines w:val="0"/>
        <w:pageBreakBefore w:val="0"/>
        <w:widowControl/>
        <w:numPr>
          <w:ilvl w:val="0"/>
          <w:numId w:val="1"/>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净现金流分派率不等同于基金的收益率。</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jc w:val="left"/>
        <w:textAlignment w:val="auto"/>
        <w:rPr>
          <w:rFonts w:hint="eastAsia" w:ascii="Times New Roman" w:hAnsi="Times New Roman" w:eastAsia="宋体"/>
          <w:b/>
          <w:bCs/>
          <w:color w:val="000000"/>
          <w:sz w:val="24"/>
          <w:szCs w:val="24"/>
          <w:lang w:val="en-US" w:eastAsia="zh-CN"/>
        </w:rPr>
      </w:pPr>
      <w:r>
        <w:rPr>
          <w:rFonts w:hint="eastAsia" w:ascii="Times New Roman" w:hAnsi="Times New Roman" w:eastAsia="宋体"/>
          <w:b/>
          <w:bCs/>
          <w:color w:val="000000"/>
          <w:sz w:val="24"/>
          <w:szCs w:val="24"/>
          <w:lang w:val="en-US" w:eastAsia="zh-CN"/>
        </w:rPr>
        <w:t>五、相关机构联系方式</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投资人可以通过博时一线通：95105568（免长途话费）或登录本公司网站www.bosera.com获取相关信息。</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jc w:val="left"/>
        <w:textAlignment w:val="auto"/>
        <w:rPr>
          <w:rFonts w:hint="eastAsia" w:ascii="Times New Roman" w:hAnsi="Times New Roman" w:eastAsia="宋体"/>
          <w:b/>
          <w:bCs/>
          <w:color w:val="000000"/>
          <w:sz w:val="24"/>
          <w:szCs w:val="24"/>
          <w:lang w:val="en-US" w:eastAsia="zh-CN"/>
        </w:rPr>
      </w:pPr>
      <w:r>
        <w:rPr>
          <w:rFonts w:hint="eastAsia" w:ascii="Times New Roman" w:hAnsi="Times New Roman" w:eastAsia="宋体"/>
          <w:b/>
          <w:bCs/>
          <w:color w:val="000000"/>
          <w:sz w:val="24"/>
          <w:szCs w:val="24"/>
          <w:lang w:val="en-US" w:eastAsia="zh-CN"/>
        </w:rPr>
        <w:t>六、风险提示</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基金管理人承诺以诚实信用、勤勉尽责的原则管理和运用基金资产，但不保证基金一定盈利，也不保证最低收益。基金的过往业绩及其净值高低并不预示其未来业绩表现。基金管理人提醒投资者基金投资的“买者自负”原则，在做出投资决策后，基金运营状况与基金净值变化引致的投资风险，由投资者自行负担。销售机构根据法规要求对投资者类别、风险承受能力和基金的风险等级进行划分，并提出适当性匹配意见。投资者在投资本基金前，应当认真阅读本基金基金合同、招募说明书、基金产品资料概要等法律文件，全面认识本基金的风险收益特征和产品特性，在了解产品情况及销售机构适当性意见的基础上，根据自身的投资目标、投资期限、投资经验、资产状况等判断基金是否和自身风险承受能力相适应，理性判断市场，自主判断基金投资价值，自主、谨慎做出投资决策，并自行承担投资风险。</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特此公告。</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left"/>
        <w:textAlignment w:val="auto"/>
        <w:rPr>
          <w:rFonts w:hint="eastAsia" w:ascii="Times New Roman" w:hAnsi="Times New Roman" w:eastAsia="宋体"/>
          <w:b w:val="0"/>
          <w:bCs w:val="0"/>
          <w:color w:val="00000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righ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博时基金管理有限公司</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80" w:firstLineChars="200"/>
        <w:jc w:val="right"/>
        <w:textAlignment w:val="auto"/>
        <w:rPr>
          <w:rFonts w:hint="eastAsia" w:ascii="Times New Roman" w:hAnsi="Times New Roman" w:eastAsia="宋体"/>
          <w:b w:val="0"/>
          <w:bCs w:val="0"/>
          <w:color w:val="000000"/>
          <w:sz w:val="24"/>
          <w:szCs w:val="24"/>
          <w:lang w:val="en-US" w:eastAsia="zh-CN"/>
        </w:rPr>
      </w:pPr>
      <w:r>
        <w:rPr>
          <w:rFonts w:hint="eastAsia" w:ascii="Times New Roman" w:hAnsi="Times New Roman" w:eastAsia="宋体"/>
          <w:b w:val="0"/>
          <w:bCs w:val="0"/>
          <w:color w:val="000000"/>
          <w:sz w:val="24"/>
          <w:szCs w:val="24"/>
          <w:lang w:val="en-US" w:eastAsia="zh-CN"/>
        </w:rPr>
        <w:t>2026年</w:t>
      </w:r>
      <w:r>
        <w:rPr>
          <w:rFonts w:hint="eastAsia" w:ascii="Times New Roman" w:hAnsi="Times New Roman"/>
          <w:b w:val="0"/>
          <w:bCs w:val="0"/>
          <w:color w:val="000000"/>
          <w:sz w:val="24"/>
          <w:szCs w:val="24"/>
          <w:lang w:val="en-US" w:eastAsia="zh-CN"/>
        </w:rPr>
        <w:t>8</w:t>
      </w:r>
      <w:r>
        <w:rPr>
          <w:rFonts w:hint="eastAsia" w:ascii="Times New Roman" w:hAnsi="Times New Roman" w:eastAsia="宋体"/>
          <w:b w:val="0"/>
          <w:bCs w:val="0"/>
          <w:color w:val="000000"/>
          <w:sz w:val="24"/>
          <w:szCs w:val="24"/>
          <w:lang w:val="en-US" w:eastAsia="zh-CN"/>
        </w:rPr>
        <w:t>月</w:t>
      </w:r>
      <w:r>
        <w:rPr>
          <w:rFonts w:hint="eastAsia" w:ascii="Times New Roman" w:hAnsi="Times New Roman"/>
          <w:b w:val="0"/>
          <w:bCs w:val="0"/>
          <w:color w:val="000000"/>
          <w:sz w:val="24"/>
          <w:szCs w:val="24"/>
          <w:lang w:val="en-US" w:eastAsia="zh-CN"/>
        </w:rPr>
        <w:t>1</w:t>
      </w:r>
      <w:r>
        <w:rPr>
          <w:rFonts w:hint="eastAsia" w:ascii="Times New Roman" w:hAnsi="Times New Roman" w:eastAsia="宋体"/>
          <w:b w:val="0"/>
          <w:bCs w:val="0"/>
          <w:color w:val="000000"/>
          <w:sz w:val="24"/>
          <w:szCs w:val="24"/>
          <w:lang w:val="en-US" w:eastAsia="zh-CN"/>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nPSMT">
    <w:altName w:val="Times New Roman"/>
    <w:panose1 w:val="02020503050405090304"/>
    <w:charset w:val="00"/>
    <w:family w:val="auto"/>
    <w:pitch w:val="default"/>
    <w:sig w:usb0="00000000" w:usb1="00000000" w:usb2="00000001" w:usb3="00000000" w:csb0="400001BF" w:csb1="DFF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3B8713"/>
    <w:multiLevelType w:val="singleLevel"/>
    <w:tmpl w:val="EA3B871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3479E0"/>
    <w:rsid w:val="056445DB"/>
    <w:rsid w:val="0D3242F0"/>
    <w:rsid w:val="11A57DFD"/>
    <w:rsid w:val="12FE6775"/>
    <w:rsid w:val="16BC4180"/>
    <w:rsid w:val="174F0D2F"/>
    <w:rsid w:val="1C080BC7"/>
    <w:rsid w:val="1F7B6F6A"/>
    <w:rsid w:val="28482AAB"/>
    <w:rsid w:val="29F254EA"/>
    <w:rsid w:val="31481D42"/>
    <w:rsid w:val="33946B20"/>
    <w:rsid w:val="3843131C"/>
    <w:rsid w:val="3DD636C5"/>
    <w:rsid w:val="41795AB2"/>
    <w:rsid w:val="41B17611"/>
    <w:rsid w:val="41FC095B"/>
    <w:rsid w:val="428427E6"/>
    <w:rsid w:val="4E21680C"/>
    <w:rsid w:val="50CE6C92"/>
    <w:rsid w:val="558B590D"/>
    <w:rsid w:val="56053D37"/>
    <w:rsid w:val="58656643"/>
    <w:rsid w:val="59D87AFE"/>
    <w:rsid w:val="5FCF2BAF"/>
    <w:rsid w:val="601943DC"/>
    <w:rsid w:val="64D04E3B"/>
    <w:rsid w:val="69BA3C10"/>
    <w:rsid w:val="6A1A75A8"/>
    <w:rsid w:val="6B9D0E71"/>
    <w:rsid w:val="6C9C39A4"/>
    <w:rsid w:val="6DDFE8BA"/>
    <w:rsid w:val="7501464C"/>
    <w:rsid w:val="7612071E"/>
    <w:rsid w:val="7FB78505"/>
    <w:rsid w:val="FCAB4962"/>
    <w:rsid w:val="FFBFD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Default"/>
    <w:unhideWhenUsed/>
    <w:qFormat/>
    <w:uiPriority w:val="99"/>
    <w:pPr>
      <w:widowControl w:val="0"/>
      <w:autoSpaceDE w:val="0"/>
      <w:autoSpaceDN w:val="0"/>
      <w:adjustRightInd w:val="0"/>
      <w:spacing w:beforeLines="0" w:afterLines="0"/>
    </w:pPr>
    <w:rPr>
      <w:rFonts w:hint="eastAsia" w:ascii="宋体" w:hAnsi="宋体" w:eastAsia="宋体" w:cs="Times New Roman"/>
      <w:color w:val="000000"/>
      <w:sz w:val="24"/>
      <w:szCs w:val="24"/>
    </w:rPr>
  </w:style>
  <w:style w:type="character" w:customStyle="1" w:styleId="6">
    <w:name w:val="fontstyle01"/>
    <w:basedOn w:val="4"/>
    <w:qFormat/>
    <w:uiPriority w:val="0"/>
    <w:rPr>
      <w:rFonts w:ascii="宋体" w:hAnsi="宋体" w:eastAsia="宋体" w:cs="宋体"/>
      <w:color w:val="000000"/>
      <w:sz w:val="24"/>
      <w:szCs w:val="24"/>
    </w:rPr>
  </w:style>
  <w:style w:type="character" w:customStyle="1" w:styleId="7">
    <w:name w:val="fontstyle21"/>
    <w:basedOn w:val="4"/>
    <w:qFormat/>
    <w:uiPriority w:val="0"/>
    <w:rPr>
      <w:rFonts w:ascii="TimesNewRomanPSMT" w:hAnsi="TimesNewRomanPSMT" w:eastAsia="TimesNewRomanPSMT" w:cs="TimesNewRomanPSMT"/>
      <w:color w:val="000000"/>
      <w:sz w:val="24"/>
      <w:szCs w:val="24"/>
    </w:rPr>
  </w:style>
  <w:style w:type="character" w:customStyle="1" w:styleId="8">
    <w:name w:val="fontstyle11"/>
    <w:basedOn w:val="4"/>
    <w:qFormat/>
    <w:uiPriority w:val="0"/>
    <w:rPr>
      <w:rFonts w:ascii="TimesNewRomanPSMT" w:hAnsi="TimesNewRomanPSMT" w:eastAsia="TimesNewRomanPSMT" w:cs="TimesNewRomanPSMT"/>
      <w:color w:val="00000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84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2025-01-25T14:33:00Z</dcterms:created>
  <dc:creator>lirw6383</dc:creator>
  <cp:lastModifiedBy>lirw6383</cp:lastModifiedBy>
  <dcterms:modified xsi:type="dcterms:W3CDTF">2026-07-31T08:57:22Z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27D814740F1B4508A00DD726A8284BAA</vt:lpwstr>
  </property>
</Properties>
</file>